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A2E812" w14:textId="5B068DC1" w:rsidR="00B141C0" w:rsidRPr="00083779" w:rsidRDefault="00255BD6" w:rsidP="00601458">
      <w:pPr>
        <w:rPr>
          <w:rFonts w:eastAsia="Times New Roman" w:cs="Arial"/>
          <w:b/>
          <w:bCs/>
          <w:color w:val="1F497D" w:themeColor="text2"/>
          <w:sz w:val="24"/>
          <w:szCs w:val="24"/>
          <w:lang w:eastAsia="en-US"/>
        </w:rPr>
      </w:pPr>
      <w:bookmarkStart w:id="0" w:name="_GoBack"/>
      <w:bookmarkEnd w:id="0"/>
      <w:r>
        <w:rPr>
          <w:bCs/>
          <w:noProof/>
        </w:rPr>
        <w:drawing>
          <wp:anchor distT="0" distB="0" distL="114300" distR="114300" simplePos="0" relativeHeight="251658240" behindDoc="0" locked="0" layoutInCell="1" allowOverlap="1" wp14:anchorId="075FF2B0" wp14:editId="42CED9D9">
            <wp:simplePos x="0" y="0"/>
            <wp:positionH relativeFrom="column">
              <wp:posOffset>3508375</wp:posOffset>
            </wp:positionH>
            <wp:positionV relativeFrom="paragraph">
              <wp:posOffset>0</wp:posOffset>
            </wp:positionV>
            <wp:extent cx="1659890" cy="48133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email">
                      <a:alphaModFix amt="37000"/>
                      <a:extLst>
                        <a:ext uri="{28A0092B-C50C-407E-A947-70E740481C1C}">
                          <a14:useLocalDpi xmlns:a14="http://schemas.microsoft.com/office/drawing/2010/main"/>
                        </a:ext>
                      </a:extLst>
                    </a:blip>
                    <a:srcRect/>
                    <a:stretch>
                      <a:fillRect/>
                    </a:stretch>
                  </pic:blipFill>
                  <pic:spPr bwMode="auto">
                    <a:xfrm>
                      <a:off x="0" y="0"/>
                      <a:ext cx="1659890" cy="4813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41C0" w:rsidRPr="00083779">
        <w:rPr>
          <w:rFonts w:eastAsia="Times New Roman" w:cs="Arial"/>
          <w:b/>
          <w:bCs/>
          <w:color w:val="1F497D" w:themeColor="text2"/>
          <w:sz w:val="24"/>
          <w:szCs w:val="24"/>
          <w:lang w:eastAsia="en-US"/>
        </w:rPr>
        <w:t>Latrobe Valley Regional Water Study – Ecological Effects Assessment</w:t>
      </w:r>
    </w:p>
    <w:p w14:paraId="73E45450" w14:textId="2706AE6A" w:rsidR="00B141C0" w:rsidRPr="00083779" w:rsidRDefault="00B141C0" w:rsidP="00601458">
      <w:pPr>
        <w:rPr>
          <w:rFonts w:eastAsia="Times New Roman" w:cs="Arial"/>
          <w:b/>
          <w:bCs/>
          <w:color w:val="00B0F0"/>
          <w:sz w:val="24"/>
          <w:szCs w:val="24"/>
          <w:lang w:eastAsia="en-US"/>
        </w:rPr>
      </w:pPr>
      <w:r w:rsidRPr="00083779">
        <w:rPr>
          <w:rFonts w:eastAsia="Times New Roman" w:cs="Arial"/>
          <w:b/>
          <w:bCs/>
          <w:color w:val="00B0F0"/>
          <w:sz w:val="24"/>
          <w:szCs w:val="24"/>
          <w:lang w:eastAsia="en-US"/>
        </w:rPr>
        <w:t>DELWP Cover Note</w:t>
      </w:r>
    </w:p>
    <w:p w14:paraId="7B8BED2F" w14:textId="1AB231B4" w:rsidR="004A52DC" w:rsidRPr="00083779" w:rsidRDefault="004A52DC" w:rsidP="00601458">
      <w:pPr>
        <w:rPr>
          <w:rFonts w:eastAsia="Times New Roman" w:cs="Arial"/>
          <w:i/>
          <w:iCs/>
          <w:color w:val="000000" w:themeColor="text1"/>
          <w:sz w:val="24"/>
          <w:szCs w:val="24"/>
          <w:lang w:eastAsia="en-US"/>
        </w:rPr>
      </w:pPr>
      <w:bookmarkStart w:id="1" w:name="Here"/>
      <w:bookmarkEnd w:id="1"/>
      <w:r w:rsidRPr="00083779">
        <w:rPr>
          <w:rFonts w:eastAsia="Times New Roman" w:cs="Arial"/>
          <w:i/>
          <w:iCs/>
          <w:color w:val="000000" w:themeColor="text1"/>
          <w:sz w:val="24"/>
          <w:szCs w:val="24"/>
          <w:lang w:eastAsia="en-US"/>
        </w:rPr>
        <w:t>November 2020</w:t>
      </w:r>
    </w:p>
    <w:p w14:paraId="0F19BF4D" w14:textId="77777777" w:rsidR="004A52DC" w:rsidRDefault="004A52DC" w:rsidP="00615913">
      <w:pPr>
        <w:rPr>
          <w:bCs/>
        </w:rPr>
      </w:pPr>
    </w:p>
    <w:p w14:paraId="1AB1CFCF" w14:textId="77777777" w:rsidR="00B636E0" w:rsidRDefault="00081AFB" w:rsidP="00083779">
      <w:pPr>
        <w:jc w:val="both"/>
        <w:rPr>
          <w:bCs/>
        </w:rPr>
      </w:pPr>
      <w:r>
        <w:rPr>
          <w:bCs/>
        </w:rPr>
        <w:t>The ‘Ecological Effects Assessment’ (EEA)</w:t>
      </w:r>
      <w:r>
        <w:rPr>
          <w:rStyle w:val="FootnoteReference"/>
          <w:bCs/>
        </w:rPr>
        <w:footnoteReference w:id="2"/>
      </w:r>
      <w:r>
        <w:rPr>
          <w:bCs/>
        </w:rPr>
        <w:t xml:space="preserve">, was commissioned by the </w:t>
      </w:r>
      <w:r w:rsidRPr="0086105A">
        <w:rPr>
          <w:bCs/>
        </w:rPr>
        <w:t>Department of Environment, Land, Water and Planning</w:t>
      </w:r>
      <w:r>
        <w:rPr>
          <w:bCs/>
        </w:rPr>
        <w:t xml:space="preserve"> (DELWP) as part of the </w:t>
      </w:r>
      <w:r w:rsidRPr="00154A6A">
        <w:rPr>
          <w:bCs/>
          <w:i/>
          <w:iCs/>
        </w:rPr>
        <w:t>Latrobe Valley Regional Water Study</w:t>
      </w:r>
      <w:r>
        <w:rPr>
          <w:bCs/>
        </w:rPr>
        <w:t xml:space="preserve"> and was used to inform the development of the </w:t>
      </w:r>
      <w:r w:rsidRPr="00154A6A">
        <w:rPr>
          <w:bCs/>
          <w:i/>
          <w:iCs/>
        </w:rPr>
        <w:t>Latrobe Valley Regional Rehabilitation Strategy</w:t>
      </w:r>
      <w:r>
        <w:rPr>
          <w:bCs/>
          <w:i/>
          <w:iCs/>
        </w:rPr>
        <w:t xml:space="preserve"> </w:t>
      </w:r>
      <w:r w:rsidRPr="00D41709">
        <w:rPr>
          <w:bCs/>
        </w:rPr>
        <w:t>(LVRRS).</w:t>
      </w:r>
      <w:r>
        <w:rPr>
          <w:bCs/>
        </w:rPr>
        <w:t xml:space="preserve"> The EEA’s authors, Jennifer Hale and colleagues, are independent scientists with expertise in aquatic ecology.    </w:t>
      </w:r>
    </w:p>
    <w:p w14:paraId="557C39F6" w14:textId="77777777" w:rsidR="00B636E0" w:rsidRDefault="00081AFB" w:rsidP="00083779">
      <w:pPr>
        <w:jc w:val="both"/>
      </w:pPr>
      <w:r w:rsidRPr="00E8217C">
        <w:t>T</w:t>
      </w:r>
      <w:r w:rsidRPr="00E8217C">
        <w:rPr>
          <w:bCs/>
        </w:rPr>
        <w:t>he EEA provides Government with scenario-</w:t>
      </w:r>
      <w:r w:rsidRPr="0039791A">
        <w:rPr>
          <w:bCs/>
        </w:rPr>
        <w:t>based</w:t>
      </w:r>
      <w:r w:rsidRPr="00E31131">
        <w:rPr>
          <w:bCs/>
        </w:rPr>
        <w:t xml:space="preserve"> evidence</w:t>
      </w:r>
      <w:r w:rsidRPr="0039791A">
        <w:rPr>
          <w:bCs/>
        </w:rPr>
        <w:t xml:space="preserve"> to </w:t>
      </w:r>
      <w:r w:rsidRPr="00E31131">
        <w:rPr>
          <w:bCs/>
        </w:rPr>
        <w:t>inform</w:t>
      </w:r>
      <w:r w:rsidRPr="00E8217C">
        <w:rPr>
          <w:bCs/>
        </w:rPr>
        <w:t xml:space="preserve"> </w:t>
      </w:r>
      <w:r>
        <w:rPr>
          <w:bCs/>
        </w:rPr>
        <w:t xml:space="preserve">policy development. Specifically, </w:t>
      </w:r>
      <w:r>
        <w:t>the</w:t>
      </w:r>
      <w:r w:rsidRPr="0045090D">
        <w:t xml:space="preserve"> EEA</w:t>
      </w:r>
      <w:r>
        <w:t xml:space="preserve"> answers the following question:</w:t>
      </w:r>
      <w:r w:rsidRPr="0045090D">
        <w:t xml:space="preserve"> </w:t>
      </w:r>
    </w:p>
    <w:p w14:paraId="03F8FDDF" w14:textId="6B480BFB" w:rsidR="00081AFB" w:rsidRPr="00B636E0" w:rsidRDefault="00081AFB" w:rsidP="00083779">
      <w:pPr>
        <w:jc w:val="both"/>
        <w:rPr>
          <w:bCs/>
        </w:rPr>
      </w:pPr>
      <w:r w:rsidRPr="00CC7CB3">
        <w:rPr>
          <w:i/>
          <w:iCs/>
          <w:u w:val="single"/>
        </w:rPr>
        <w:t>If</w:t>
      </w:r>
      <w:r w:rsidRPr="00CC7CB3">
        <w:rPr>
          <w:i/>
          <w:iCs/>
        </w:rPr>
        <w:t xml:space="preserve"> </w:t>
      </w:r>
      <w:r w:rsidR="00D170CF">
        <w:rPr>
          <w:i/>
          <w:iCs/>
        </w:rPr>
        <w:t xml:space="preserve">the </w:t>
      </w:r>
      <w:r w:rsidRPr="00CC7CB3">
        <w:rPr>
          <w:i/>
          <w:iCs/>
        </w:rPr>
        <w:t xml:space="preserve">surface water from </w:t>
      </w:r>
      <w:r>
        <w:rPr>
          <w:i/>
          <w:iCs/>
        </w:rPr>
        <w:t>the Latrobe River</w:t>
      </w:r>
      <w:r w:rsidRPr="00CC7CB3">
        <w:rPr>
          <w:i/>
          <w:iCs/>
        </w:rPr>
        <w:t xml:space="preserve"> system </w:t>
      </w:r>
      <w:r>
        <w:rPr>
          <w:i/>
          <w:iCs/>
        </w:rPr>
        <w:t xml:space="preserve">currently </w:t>
      </w:r>
      <w:r w:rsidRPr="00CC7CB3">
        <w:rPr>
          <w:i/>
          <w:iCs/>
        </w:rPr>
        <w:t xml:space="preserve">permitted to be </w:t>
      </w:r>
      <w:r>
        <w:rPr>
          <w:i/>
          <w:iCs/>
        </w:rPr>
        <w:t>used for power generation</w:t>
      </w:r>
      <w:r w:rsidRPr="00CC7CB3">
        <w:rPr>
          <w:i/>
          <w:iCs/>
        </w:rPr>
        <w:t xml:space="preserve"> was permitted to be used for mine rehabilitation </w:t>
      </w:r>
      <w:r>
        <w:rPr>
          <w:i/>
          <w:iCs/>
        </w:rPr>
        <w:t>once power generation ceases</w:t>
      </w:r>
      <w:r w:rsidRPr="00CC7CB3">
        <w:rPr>
          <w:i/>
          <w:iCs/>
        </w:rPr>
        <w:t xml:space="preserve">, what would be the likely effects of </w:t>
      </w:r>
      <w:r>
        <w:rPr>
          <w:i/>
          <w:iCs/>
        </w:rPr>
        <w:t xml:space="preserve">these ongoing extractions </w:t>
      </w:r>
      <w:r w:rsidRPr="00CC7CB3">
        <w:rPr>
          <w:i/>
          <w:iCs/>
        </w:rPr>
        <w:t>on the aquatic ecosystems of the Latrobe River system?</w:t>
      </w:r>
      <w:r>
        <w:t xml:space="preserve">  </w:t>
      </w:r>
    </w:p>
    <w:p w14:paraId="053213E4" w14:textId="77777777" w:rsidR="00081AFB" w:rsidRDefault="00081AFB" w:rsidP="00083779">
      <w:pPr>
        <w:jc w:val="both"/>
        <w:rPr>
          <w:bCs/>
        </w:rPr>
      </w:pPr>
      <w:r>
        <w:t xml:space="preserve">The approach taken to answering this question was to assess and compare </w:t>
      </w:r>
      <w:r>
        <w:rPr>
          <w:bCs/>
        </w:rPr>
        <w:t>the</w:t>
      </w:r>
      <w:r w:rsidRPr="00CF5D77">
        <w:rPr>
          <w:bCs/>
        </w:rPr>
        <w:t xml:space="preserve"> </w:t>
      </w:r>
      <w:r>
        <w:rPr>
          <w:bCs/>
        </w:rPr>
        <w:t>likely impacts of flows on the ecology of the Latrobe River system</w:t>
      </w:r>
      <w:r w:rsidRPr="00CF5D77">
        <w:rPr>
          <w:bCs/>
        </w:rPr>
        <w:t xml:space="preserve"> </w:t>
      </w:r>
      <w:r>
        <w:rPr>
          <w:bCs/>
        </w:rPr>
        <w:t>under</w:t>
      </w:r>
      <w:r w:rsidRPr="00CF5D77">
        <w:rPr>
          <w:bCs/>
        </w:rPr>
        <w:t xml:space="preserve"> five </w:t>
      </w:r>
      <w:r>
        <w:rPr>
          <w:bCs/>
        </w:rPr>
        <w:t xml:space="preserve">different climate and water-use </w:t>
      </w:r>
      <w:r w:rsidRPr="00CF5D77">
        <w:rPr>
          <w:bCs/>
        </w:rPr>
        <w:t>scenarios</w:t>
      </w:r>
      <w:r>
        <w:rPr>
          <w:bCs/>
        </w:rPr>
        <w:t>. One scenario assumes less water use than current, two scenarios are based on current water use, and two further scenarios assume higher than current use.</w:t>
      </w:r>
      <w:r>
        <w:rPr>
          <w:rStyle w:val="FootnoteReference"/>
          <w:bCs/>
        </w:rPr>
        <w:footnoteReference w:id="3"/>
      </w:r>
      <w:r>
        <w:rPr>
          <w:bCs/>
        </w:rPr>
        <w:t xml:space="preserve"> </w:t>
      </w:r>
    </w:p>
    <w:p w14:paraId="29E6C471" w14:textId="77777777" w:rsidR="00081AFB" w:rsidRDefault="00081AFB" w:rsidP="00083779">
      <w:pPr>
        <w:jc w:val="both"/>
        <w:rPr>
          <w:bCs/>
        </w:rPr>
      </w:pPr>
      <w:r>
        <w:rPr>
          <w:bCs/>
        </w:rPr>
        <w:t>The key conclusions of the EEA are that:</w:t>
      </w:r>
    </w:p>
    <w:p w14:paraId="150AF2DA" w14:textId="77777777" w:rsidR="00081AFB" w:rsidRDefault="00081AFB" w:rsidP="00083779">
      <w:pPr>
        <w:pStyle w:val="ListParagraph"/>
        <w:numPr>
          <w:ilvl w:val="0"/>
          <w:numId w:val="31"/>
        </w:numPr>
        <w:spacing w:after="0"/>
        <w:ind w:left="426"/>
        <w:contextualSpacing w:val="0"/>
        <w:jc w:val="both"/>
      </w:pPr>
      <w:r>
        <w:t xml:space="preserve">If </w:t>
      </w:r>
      <w:r w:rsidRPr="0046169B">
        <w:t xml:space="preserve">water </w:t>
      </w:r>
      <w:r>
        <w:t>from the Latrobe River system continues to be taken and used at current rates,</w:t>
      </w:r>
      <w:r w:rsidRPr="0046169B">
        <w:t xml:space="preserve"> under a drier </w:t>
      </w:r>
      <w:r>
        <w:t xml:space="preserve">future </w:t>
      </w:r>
      <w:r w:rsidRPr="0046169B">
        <w:t xml:space="preserve">climate </w:t>
      </w:r>
      <w:r>
        <w:t xml:space="preserve">this </w:t>
      </w:r>
      <w:r w:rsidRPr="0046169B">
        <w:t>w</w:t>
      </w:r>
      <w:r>
        <w:t>ould</w:t>
      </w:r>
      <w:r w:rsidRPr="0046169B">
        <w:t xml:space="preserve"> lead to </w:t>
      </w:r>
      <w:r>
        <w:t>a</w:t>
      </w:r>
      <w:r w:rsidRPr="0046169B">
        <w:t xml:space="preserve"> decline in </w:t>
      </w:r>
      <w:r>
        <w:t xml:space="preserve">the </w:t>
      </w:r>
      <w:r w:rsidRPr="0046169B">
        <w:t xml:space="preserve">environmental values of the Latrobe system and a loss of biodiversity. </w:t>
      </w:r>
    </w:p>
    <w:p w14:paraId="601359D4" w14:textId="77777777" w:rsidR="00081AFB" w:rsidRDefault="00081AFB" w:rsidP="00083779">
      <w:pPr>
        <w:pStyle w:val="ListParagraph"/>
        <w:numPr>
          <w:ilvl w:val="0"/>
          <w:numId w:val="31"/>
        </w:numPr>
        <w:spacing w:after="0"/>
        <w:ind w:left="426"/>
        <w:contextualSpacing w:val="0"/>
        <w:jc w:val="both"/>
      </w:pPr>
      <w:r>
        <w:t>These declines would</w:t>
      </w:r>
      <w:r w:rsidRPr="0046169B">
        <w:t xml:space="preserve"> be exacerbated if there </w:t>
      </w:r>
      <w:r>
        <w:t xml:space="preserve">was </w:t>
      </w:r>
      <w:r w:rsidRPr="0046169B">
        <w:t>an increase</w:t>
      </w:r>
      <w:r>
        <w:t xml:space="preserve"> in the amount of water extracted from the system</w:t>
      </w:r>
      <w:r w:rsidRPr="0046169B">
        <w:t>.</w:t>
      </w:r>
    </w:p>
    <w:p w14:paraId="212B4024" w14:textId="14AF9DE6" w:rsidR="00B636E0" w:rsidRDefault="00081AFB" w:rsidP="00083779">
      <w:pPr>
        <w:pStyle w:val="ListParagraph"/>
        <w:numPr>
          <w:ilvl w:val="0"/>
          <w:numId w:val="31"/>
        </w:numPr>
        <w:spacing w:after="0"/>
        <w:ind w:left="426"/>
        <w:contextualSpacing w:val="0"/>
        <w:jc w:val="both"/>
      </w:pPr>
      <w:r w:rsidRPr="0046169B">
        <w:t>Decreases in water availability in the Latrobe</w:t>
      </w:r>
      <w:r>
        <w:t xml:space="preserve"> River</w:t>
      </w:r>
      <w:r w:rsidRPr="0046169B">
        <w:t xml:space="preserve"> system from </w:t>
      </w:r>
      <w:r>
        <w:t>i</w:t>
      </w:r>
      <w:r w:rsidRPr="00A35CBD">
        <w:t>ncreased extraction and/or reduction in return flows from power stations</w:t>
      </w:r>
      <w:r w:rsidRPr="0046169B">
        <w:t xml:space="preserve"> w</w:t>
      </w:r>
      <w:r>
        <w:t>ould</w:t>
      </w:r>
      <w:r w:rsidRPr="0046169B">
        <w:t xml:space="preserve"> </w:t>
      </w:r>
      <w:r>
        <w:t>lead to</w:t>
      </w:r>
      <w:r w:rsidRPr="0046169B">
        <w:t xml:space="preserve"> </w:t>
      </w:r>
      <w:r>
        <w:t xml:space="preserve">the emergence of </w:t>
      </w:r>
      <w:r w:rsidRPr="0046169B">
        <w:t>multiple and interconnected threats</w:t>
      </w:r>
      <w:r>
        <w:t>,</w:t>
      </w:r>
      <w:r w:rsidRPr="0046169B">
        <w:t xml:space="preserve"> resulting in loss of</w:t>
      </w:r>
      <w:r>
        <w:t xml:space="preserve"> the</w:t>
      </w:r>
      <w:r w:rsidRPr="0046169B">
        <w:t xml:space="preserve"> </w:t>
      </w:r>
      <w:r>
        <w:t>environmental, Aboriginal cultural</w:t>
      </w:r>
      <w:r w:rsidRPr="0046169B">
        <w:t xml:space="preserve"> and social values of the </w:t>
      </w:r>
      <w:r w:rsidRPr="008117F4">
        <w:t>Latrobe River, its estuary and the Ramsar-listed Gippsland Lakes.</w:t>
      </w:r>
    </w:p>
    <w:p w14:paraId="06AB028F" w14:textId="77777777" w:rsidR="00083779" w:rsidRDefault="00083779" w:rsidP="00083779">
      <w:pPr>
        <w:pStyle w:val="ListParagraph"/>
        <w:spacing w:after="0"/>
        <w:ind w:left="426"/>
        <w:contextualSpacing w:val="0"/>
        <w:jc w:val="both"/>
      </w:pPr>
    </w:p>
    <w:p w14:paraId="1C241E2F" w14:textId="77777777" w:rsidR="00D62F0B" w:rsidRDefault="00081AFB" w:rsidP="00083779">
      <w:pPr>
        <w:jc w:val="both"/>
      </w:pPr>
      <w:r>
        <w:t xml:space="preserve">Like the Latrobe River, the </w:t>
      </w:r>
      <w:r w:rsidRPr="002A3234">
        <w:t>Thomson</w:t>
      </w:r>
      <w:r>
        <w:t>-Macalister (and</w:t>
      </w:r>
      <w:r w:rsidRPr="002A3234">
        <w:t xml:space="preserve"> Avon</w:t>
      </w:r>
      <w:r>
        <w:t>)</w:t>
      </w:r>
      <w:r w:rsidRPr="002A3234">
        <w:t xml:space="preserve"> Rivers flow into Lake Wellington</w:t>
      </w:r>
      <w:r>
        <w:t>. T</w:t>
      </w:r>
      <w:r w:rsidRPr="002A3234">
        <w:t xml:space="preserve">he impacts of </w:t>
      </w:r>
      <w:r>
        <w:t>diversions</w:t>
      </w:r>
      <w:r w:rsidRPr="002A3234">
        <w:t xml:space="preserve"> from </w:t>
      </w:r>
      <w:r>
        <w:t>individual waterways on receiving waters—the Lower Latrobe wetlands and</w:t>
      </w:r>
      <w:r w:rsidRPr="002A3234">
        <w:t xml:space="preserve"> Gippsland Lakes</w:t>
      </w:r>
      <w:r>
        <w:t>—are</w:t>
      </w:r>
      <w:r w:rsidRPr="002A3234">
        <w:t xml:space="preserve"> cumulative</w:t>
      </w:r>
      <w:r>
        <w:t>. Nevertheless</w:t>
      </w:r>
      <w:r w:rsidRPr="002A3234">
        <w:t xml:space="preserve">, consumptive use </w:t>
      </w:r>
      <w:r>
        <w:t xml:space="preserve">from these rivers is </w:t>
      </w:r>
      <w:r w:rsidRPr="002A3234">
        <w:t xml:space="preserve">independent of potential extractions from </w:t>
      </w:r>
      <w:r>
        <w:t xml:space="preserve">the </w:t>
      </w:r>
      <w:r w:rsidRPr="002A3234">
        <w:t>Latrobe system for the</w:t>
      </w:r>
      <w:r w:rsidRPr="008117F4">
        <w:t xml:space="preserve"> purposes of mine rehabilitation</w:t>
      </w:r>
      <w:r>
        <w:t>, and therefore, the EEA is focused on the latter</w:t>
      </w:r>
      <w:r w:rsidRPr="008117F4">
        <w:t xml:space="preserve">. </w:t>
      </w:r>
      <w:r>
        <w:t>(Refer to the</w:t>
      </w:r>
      <w:r w:rsidRPr="008117F4">
        <w:t xml:space="preserve"> text box ‘Water resource use in the Thomson River Basin’ on page 28 of the report for further information.</w:t>
      </w:r>
      <w:r>
        <w:t>)</w:t>
      </w:r>
      <w:r w:rsidRPr="008117F4">
        <w:t xml:space="preserve"> </w:t>
      </w:r>
    </w:p>
    <w:p w14:paraId="4CF665D0" w14:textId="107CBB24" w:rsidR="00601458" w:rsidRPr="00601458" w:rsidRDefault="00081AFB" w:rsidP="00601458">
      <w:pPr>
        <w:jc w:val="both"/>
        <w:rPr>
          <w:bCs/>
        </w:rPr>
      </w:pPr>
      <w:r>
        <w:rPr>
          <w:bCs/>
        </w:rPr>
        <w:t xml:space="preserve">The </w:t>
      </w:r>
      <w:r w:rsidRPr="00FF61A7">
        <w:rPr>
          <w:bCs/>
          <w:i/>
          <w:iCs/>
        </w:rPr>
        <w:t>Latrobe Valley Regional Rehabilitation Strategy</w:t>
      </w:r>
      <w:r>
        <w:rPr>
          <w:bCs/>
          <w:i/>
          <w:iCs/>
        </w:rPr>
        <w:t xml:space="preserve"> </w:t>
      </w:r>
      <w:r>
        <w:rPr>
          <w:bCs/>
        </w:rPr>
        <w:t>includes a principle — any water used for mine rehabilitation should not negatively impact on Traditional Owners’ values, environmental values of the Latrobe River system or the rights of other existing water users.</w:t>
      </w:r>
      <w:r w:rsidDel="00CF616C">
        <w:rPr>
          <w:bCs/>
        </w:rPr>
        <w:t xml:space="preserve"> </w:t>
      </w:r>
      <w:r>
        <w:rPr>
          <w:bCs/>
        </w:rPr>
        <w:t>The LVRRS also notes that to protect the security of existing entitlements for other water users and prevent further environmental impacts, “…the maximum annual supply of water for mine rehabilitation would need to be no more than the power stations’ current annual net usage, and may need to be limited to a volume smaller than this”, should the Minister for Water decide to permit the take and use of water for the purpose of mine rehabilitation. The findings of the EEA, along with other studies, informed this position.</w:t>
      </w:r>
    </w:p>
    <w:p w14:paraId="51B5B1BF" w14:textId="77777777" w:rsidR="00B141C0" w:rsidRDefault="00B141C0" w:rsidP="00615913">
      <w:pPr>
        <w:rPr>
          <w:bCs/>
        </w:rPr>
      </w:pPr>
    </w:p>
    <w:p w14:paraId="7378C62C" w14:textId="3CB39DB3" w:rsidR="006C3ECD" w:rsidRDefault="006C3ECD" w:rsidP="00615913">
      <w:pPr>
        <w:rPr>
          <w:bCs/>
        </w:rPr>
        <w:sectPr w:rsidR="006C3ECD" w:rsidSect="00143696">
          <w:type w:val="continuous"/>
          <w:pgSz w:w="11900" w:h="16840"/>
          <w:pgMar w:top="1440" w:right="1800" w:bottom="1440" w:left="1800" w:header="708" w:footer="708" w:gutter="0"/>
          <w:pgNumType w:start="1"/>
          <w:cols w:space="708"/>
          <w:titlePg/>
        </w:sectPr>
      </w:pPr>
    </w:p>
    <w:p w14:paraId="6C6261F3" w14:textId="58C87A5D" w:rsidR="00716D5D" w:rsidRPr="00237510" w:rsidRDefault="00C80321" w:rsidP="00C80321">
      <w:pPr>
        <w:pStyle w:val="Title"/>
      </w:pPr>
      <w:r w:rsidRPr="00237510">
        <w:rPr>
          <w:bCs/>
        </w:rPr>
        <w:lastRenderedPageBreak/>
        <w:t>Latrobe Valley Regional Water Study – Ecological Effects Assessment</w:t>
      </w:r>
    </w:p>
    <w:p w14:paraId="6817E018" w14:textId="77777777" w:rsidR="00716D5D" w:rsidRPr="00237510" w:rsidRDefault="00716D5D">
      <w:pPr>
        <w:spacing w:after="0"/>
      </w:pPr>
    </w:p>
    <w:p w14:paraId="5DE41593" w14:textId="77777777" w:rsidR="00716D5D" w:rsidRPr="00237510" w:rsidRDefault="00716D5D">
      <w:pPr>
        <w:spacing w:after="0"/>
      </w:pPr>
    </w:p>
    <w:p w14:paraId="6CB17FB1" w14:textId="0AE85876" w:rsidR="00716D5D" w:rsidRPr="00237510" w:rsidRDefault="00716D5D">
      <w:pPr>
        <w:spacing w:after="0"/>
      </w:pPr>
    </w:p>
    <w:p w14:paraId="0E9665E3" w14:textId="3ACF5FBA" w:rsidR="00716D5D" w:rsidRPr="00237510" w:rsidRDefault="00716D5D">
      <w:pPr>
        <w:spacing w:after="0"/>
      </w:pPr>
    </w:p>
    <w:p w14:paraId="40982721" w14:textId="2821FE8C" w:rsidR="00716D5D" w:rsidRPr="00237510" w:rsidRDefault="00716D5D">
      <w:pPr>
        <w:spacing w:after="0"/>
      </w:pPr>
    </w:p>
    <w:p w14:paraId="3B2F075E" w14:textId="163A7811" w:rsidR="00716D5D" w:rsidRPr="00237510" w:rsidRDefault="00716D5D">
      <w:pPr>
        <w:spacing w:after="0"/>
      </w:pPr>
    </w:p>
    <w:p w14:paraId="5C1CF2A0" w14:textId="5D94C4C8" w:rsidR="00716D5D" w:rsidRPr="00237510" w:rsidRDefault="00716D5D">
      <w:pPr>
        <w:spacing w:after="0"/>
      </w:pPr>
    </w:p>
    <w:p w14:paraId="2F4E12A3" w14:textId="612DB2DB" w:rsidR="00716D5D" w:rsidRPr="00237510" w:rsidRDefault="00716D5D">
      <w:pPr>
        <w:spacing w:after="0"/>
      </w:pPr>
    </w:p>
    <w:p w14:paraId="31336BE1" w14:textId="5FFFF141" w:rsidR="00716D5D" w:rsidRPr="00237510" w:rsidRDefault="00716D5D" w:rsidP="00716D5D">
      <w:pPr>
        <w:tabs>
          <w:tab w:val="left" w:pos="6124"/>
        </w:tabs>
        <w:spacing w:after="0"/>
      </w:pPr>
      <w:r w:rsidRPr="00237510">
        <w:tab/>
      </w:r>
    </w:p>
    <w:p w14:paraId="4CCCFF29" w14:textId="6F65936B" w:rsidR="00716D5D" w:rsidRPr="00237510" w:rsidRDefault="00716D5D">
      <w:pPr>
        <w:spacing w:after="0"/>
      </w:pPr>
    </w:p>
    <w:p w14:paraId="26D573AC" w14:textId="77777777" w:rsidR="00716D5D" w:rsidRPr="00237510" w:rsidRDefault="00716D5D">
      <w:pPr>
        <w:spacing w:after="0"/>
      </w:pPr>
    </w:p>
    <w:p w14:paraId="7574BA2A" w14:textId="77777777" w:rsidR="00716D5D" w:rsidRPr="00237510" w:rsidRDefault="00716D5D">
      <w:pPr>
        <w:spacing w:after="0"/>
      </w:pPr>
    </w:p>
    <w:p w14:paraId="7954D3F5" w14:textId="77777777" w:rsidR="00716D5D" w:rsidRPr="00237510" w:rsidRDefault="00716D5D">
      <w:pPr>
        <w:spacing w:after="0"/>
      </w:pPr>
    </w:p>
    <w:p w14:paraId="2C5318BA" w14:textId="77777777" w:rsidR="00716D5D" w:rsidRPr="00237510" w:rsidRDefault="00716D5D">
      <w:pPr>
        <w:spacing w:after="0"/>
      </w:pPr>
    </w:p>
    <w:p w14:paraId="4D7E6389" w14:textId="46545524" w:rsidR="00D93677" w:rsidRPr="00237510" w:rsidRDefault="00716D5D">
      <w:pPr>
        <w:spacing w:after="0"/>
      </w:pPr>
      <w:r>
        <w:rPr>
          <w:noProof/>
        </w:rPr>
        <w:drawing>
          <wp:inline distT="0" distB="0" distL="0" distR="0" wp14:anchorId="4EE3FF64" wp14:editId="63448A52">
            <wp:extent cx="5270501" cy="3513455"/>
            <wp:effectExtent l="0" t="0" r="0" b="4445"/>
            <wp:docPr id="10" name="Picture 10" descr="An Australasian Darter perched on a rock in a wetland area at Sale Common. Small outcroppings of reeds protrude out of the water throughout the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8" cstate="email">
                      <a:extLst>
                        <a:ext uri="{28A0092B-C50C-407E-A947-70E740481C1C}">
                          <a14:useLocalDpi xmlns:a14="http://schemas.microsoft.com/office/drawing/2010/main"/>
                        </a:ext>
                      </a:extLst>
                    </a:blip>
                    <a:stretch>
                      <a:fillRect/>
                    </a:stretch>
                  </pic:blipFill>
                  <pic:spPr>
                    <a:xfrm>
                      <a:off x="0" y="0"/>
                      <a:ext cx="5270501" cy="3513455"/>
                    </a:xfrm>
                    <a:prstGeom prst="rect">
                      <a:avLst/>
                    </a:prstGeom>
                  </pic:spPr>
                </pic:pic>
              </a:graphicData>
            </a:graphic>
          </wp:inline>
        </w:drawing>
      </w:r>
    </w:p>
    <w:p w14:paraId="6F8A0401" w14:textId="77777777" w:rsidR="00C663D7" w:rsidRPr="00237510" w:rsidRDefault="00C663D7">
      <w:pPr>
        <w:spacing w:after="0"/>
      </w:pPr>
    </w:p>
    <w:p w14:paraId="5F8B6B9A" w14:textId="77777777" w:rsidR="00716D5D" w:rsidRPr="00237510" w:rsidRDefault="00716D5D">
      <w:pPr>
        <w:spacing w:after="0"/>
        <w:sectPr w:rsidR="00716D5D" w:rsidRPr="00237510" w:rsidSect="00143696">
          <w:type w:val="continuous"/>
          <w:pgSz w:w="11900" w:h="16840"/>
          <w:pgMar w:top="1440" w:right="1800" w:bottom="1440" w:left="1800" w:header="708" w:footer="708" w:gutter="0"/>
          <w:pgNumType w:start="1"/>
          <w:cols w:space="708"/>
          <w:titlePg/>
        </w:sectPr>
      </w:pPr>
    </w:p>
    <w:p w14:paraId="3D1A6CC2" w14:textId="06FAD35E" w:rsidR="00D93677" w:rsidRPr="00237510" w:rsidRDefault="00D93677">
      <w:pPr>
        <w:spacing w:after="0"/>
        <w:rPr>
          <w:b/>
          <w:bCs/>
        </w:rPr>
      </w:pPr>
      <w:r w:rsidRPr="00237510">
        <w:rPr>
          <w:b/>
          <w:bCs/>
        </w:rPr>
        <w:t>Citation</w:t>
      </w:r>
      <w:r w:rsidR="00C22930" w:rsidRPr="00237510">
        <w:rPr>
          <w:b/>
          <w:bCs/>
        </w:rPr>
        <w:t>:</w:t>
      </w:r>
    </w:p>
    <w:p w14:paraId="0849E768" w14:textId="336267F4" w:rsidR="00C22930" w:rsidRPr="00237510" w:rsidRDefault="00C22930">
      <w:pPr>
        <w:spacing w:after="0"/>
        <w:rPr>
          <w:b/>
          <w:bCs/>
        </w:rPr>
      </w:pPr>
      <w:r w:rsidRPr="00237510">
        <w:t xml:space="preserve">Hale, J., Boon, </w:t>
      </w:r>
      <w:r w:rsidR="00716D5D" w:rsidRPr="00237510">
        <w:t>P</w:t>
      </w:r>
      <w:r w:rsidRPr="00237510">
        <w:t>.</w:t>
      </w:r>
      <w:r w:rsidR="00176D81" w:rsidRPr="00237510">
        <w:t xml:space="preserve">, Lloyd, L., Vietz, G. and Jempson, M. </w:t>
      </w:r>
      <w:r w:rsidRPr="00237510">
        <w:t>(20</w:t>
      </w:r>
      <w:r w:rsidR="00CE125A" w:rsidRPr="00237510">
        <w:t>20</w:t>
      </w:r>
      <w:r w:rsidRPr="00237510">
        <w:t xml:space="preserve">) </w:t>
      </w:r>
      <w:sdt>
        <w:sdtPr>
          <w:rPr>
            <w:bCs/>
          </w:rPr>
          <w:id w:val="1641620155"/>
          <w:placeholder>
            <w:docPart w:val="F17720D2D5E9474AAB852DD81C0D8CC4"/>
          </w:placeholder>
        </w:sdtPr>
        <w:sdtEndPr/>
        <w:sdtContent>
          <w:r w:rsidR="00176D81" w:rsidRPr="00237510">
            <w:rPr>
              <w:bCs/>
            </w:rPr>
            <w:t xml:space="preserve">Latrobe Valley Regional Water Study – </w:t>
          </w:r>
          <w:r w:rsidR="001A0F67" w:rsidRPr="00237510">
            <w:rPr>
              <w:bCs/>
            </w:rPr>
            <w:t>Ecological</w:t>
          </w:r>
          <w:r w:rsidR="00176D81" w:rsidRPr="00237510">
            <w:rPr>
              <w:bCs/>
            </w:rPr>
            <w:t xml:space="preserve"> Effects Assessment</w:t>
          </w:r>
        </w:sdtContent>
      </w:sdt>
      <w:r w:rsidRPr="00237510">
        <w:t xml:space="preserve">. A report to </w:t>
      </w:r>
      <w:r w:rsidR="00176D81" w:rsidRPr="00237510">
        <w:t>the Department of Environment, Land, Water and Planning</w:t>
      </w:r>
      <w:r w:rsidRPr="00237510">
        <w:t>.</w:t>
      </w:r>
    </w:p>
    <w:p w14:paraId="423B1892" w14:textId="77777777" w:rsidR="00D93677" w:rsidRPr="00237510" w:rsidRDefault="00D93677">
      <w:pPr>
        <w:spacing w:after="0"/>
      </w:pPr>
    </w:p>
    <w:p w14:paraId="28D64448" w14:textId="62AF077F" w:rsidR="00D93677" w:rsidRPr="00237510" w:rsidRDefault="00D93677">
      <w:pPr>
        <w:spacing w:after="0"/>
        <w:rPr>
          <w:b/>
          <w:bCs/>
        </w:rPr>
      </w:pPr>
      <w:r w:rsidRPr="00237510">
        <w:rPr>
          <w:b/>
          <w:bCs/>
        </w:rPr>
        <w:t>Acknowledgements</w:t>
      </w:r>
      <w:r w:rsidR="00716D5D" w:rsidRPr="00237510">
        <w:rPr>
          <w:b/>
          <w:bCs/>
        </w:rPr>
        <w:t>:</w:t>
      </w:r>
    </w:p>
    <w:p w14:paraId="6FBF7870" w14:textId="65C35471" w:rsidR="00716D5D" w:rsidRPr="00237510" w:rsidRDefault="00716D5D">
      <w:pPr>
        <w:spacing w:after="0"/>
      </w:pPr>
      <w:r w:rsidRPr="00237510">
        <w:t>The authors would like to thank the steering committee members, representing DELWP, and West and East Gippsland Catchment Management Authorities for their advice and insights. Thanks also to Alluvium for sharing their modelling and outputs of the Latrobe Flows Assessment.</w:t>
      </w:r>
    </w:p>
    <w:p w14:paraId="118B4D6B" w14:textId="2825B799" w:rsidR="00716D5D" w:rsidRPr="00237510" w:rsidRDefault="00716D5D">
      <w:pPr>
        <w:spacing w:after="0"/>
      </w:pPr>
    </w:p>
    <w:p w14:paraId="4A012520" w14:textId="26673243" w:rsidR="00716D5D" w:rsidRPr="00237510" w:rsidRDefault="00716D5D">
      <w:pPr>
        <w:spacing w:after="0"/>
      </w:pPr>
      <w:r w:rsidRPr="00237510">
        <w:rPr>
          <w:b/>
          <w:bCs/>
        </w:rPr>
        <w:t>Photo credit:</w:t>
      </w:r>
      <w:r w:rsidRPr="00237510">
        <w:t xml:space="preserve"> Australasian darter at Sale Common, Sean Phillipson.</w:t>
      </w:r>
    </w:p>
    <w:p w14:paraId="3F0641D1" w14:textId="77777777" w:rsidR="00D93677" w:rsidRPr="00237510" w:rsidRDefault="00D93677">
      <w:pPr>
        <w:spacing w:after="0"/>
      </w:pPr>
    </w:p>
    <w:p w14:paraId="39CB2AF0" w14:textId="77777777" w:rsidR="00D93677" w:rsidRPr="00237510" w:rsidRDefault="00D93677">
      <w:pPr>
        <w:spacing w:after="0"/>
      </w:pPr>
    </w:p>
    <w:p w14:paraId="3FD3548E" w14:textId="77777777" w:rsidR="0085355B" w:rsidRPr="00237510" w:rsidRDefault="0085355B">
      <w:pPr>
        <w:spacing w:after="0"/>
        <w:sectPr w:rsidR="0085355B" w:rsidRPr="00237510" w:rsidSect="00CE125A">
          <w:pgSz w:w="11900" w:h="16840"/>
          <w:pgMar w:top="1440" w:right="1800" w:bottom="1440" w:left="1800" w:header="708" w:footer="708" w:gutter="0"/>
          <w:pgNumType w:start="1"/>
          <w:cols w:space="708"/>
          <w:titlePg/>
        </w:sectPr>
      </w:pPr>
    </w:p>
    <w:p w14:paraId="6FA66273" w14:textId="77777777" w:rsidR="00CE125A" w:rsidRPr="00237510" w:rsidRDefault="00CE125A" w:rsidP="5DF9B386">
      <w:pPr>
        <w:pStyle w:val="Heading1nonumbers"/>
      </w:pPr>
      <w:bookmarkStart w:id="2" w:name="_Toc42001364"/>
      <w:r>
        <w:t>Executive summary</w:t>
      </w:r>
      <w:bookmarkEnd w:id="2"/>
    </w:p>
    <w:p w14:paraId="47981684" w14:textId="5FDC01A0" w:rsidR="00930E6E" w:rsidRDefault="00930E6E" w:rsidP="00930E6E">
      <w:r>
        <w:t>The Latrobe Valley holds significant brown coal reserves and there are</w:t>
      </w:r>
      <w:r w:rsidRPr="000E66AE">
        <w:t xml:space="preserve"> three open-cut mines in the region at Hazelwood, Loy Yang and Yallourn. These mines are all large, each extending over 12 km</w:t>
      </w:r>
      <w:r w:rsidRPr="000E66AE">
        <w:rPr>
          <w:vertAlign w:val="superscript"/>
        </w:rPr>
        <w:t>2</w:t>
      </w:r>
      <w:r w:rsidRPr="000E66AE">
        <w:t xml:space="preserve"> and with a combined void space of </w:t>
      </w:r>
      <w:r w:rsidR="00024C5B">
        <w:t xml:space="preserve">around </w:t>
      </w:r>
      <w:r>
        <w:t>28</w:t>
      </w:r>
      <w:r w:rsidRPr="000E66AE">
        <w:t xml:space="preserve">00 GL (million cubic metres). The Hazelwood mine closed in March 2017, </w:t>
      </w:r>
      <w:r w:rsidRPr="00237510">
        <w:t>and the Yallourn and Loy Yang mines are scheduled for closure in 2032 and 2048 respectively</w:t>
      </w:r>
      <w:r w:rsidRPr="000E66AE">
        <w:t>.</w:t>
      </w:r>
    </w:p>
    <w:p w14:paraId="30A4AD0E" w14:textId="51E83951" w:rsidR="00930E6E" w:rsidRDefault="00930E6E" w:rsidP="00930E6E">
      <w:r w:rsidRPr="00237510">
        <w:t xml:space="preserve">The Victorian Government initiated the Latrobe Valley Regional Rehabilitation Strategy (LVRRS), </w:t>
      </w:r>
      <w:r>
        <w:t xml:space="preserve">which aims </w:t>
      </w:r>
      <w:r w:rsidRPr="00237510">
        <w:t xml:space="preserve">to address some of the identified knowledge gaps and specifically investigate the feasibility of </w:t>
      </w:r>
      <w:proofErr w:type="gramStart"/>
      <w:r>
        <w:t>water based</w:t>
      </w:r>
      <w:proofErr w:type="gramEnd"/>
      <w:r w:rsidRPr="00237510">
        <w:t xml:space="preserve"> rehabilitation for the Latrobe Valley coal mines.</w:t>
      </w:r>
      <w:r>
        <w:t xml:space="preserve"> T</w:t>
      </w:r>
      <w:r w:rsidRPr="00237510">
        <w:t xml:space="preserve">his project - the Latrobe Valley Regional Water Study - Ecological Effects Assessment - seeks to assess the potential environmental effects </w:t>
      </w:r>
      <w:r w:rsidR="00FE242D" w:rsidRPr="00237510">
        <w:t>on the</w:t>
      </w:r>
      <w:r w:rsidR="000313B0">
        <w:t xml:space="preserve"> region’s</w:t>
      </w:r>
      <w:r w:rsidR="00FE242D" w:rsidRPr="00237510">
        <w:t xml:space="preserve"> aquatic ecosystems </w:t>
      </w:r>
      <w:r w:rsidR="00773E2F">
        <w:t xml:space="preserve">that would </w:t>
      </w:r>
      <w:r w:rsidR="00B1312C">
        <w:t xml:space="preserve">arise </w:t>
      </w:r>
      <w:r w:rsidR="00FE242D">
        <w:t>from</w:t>
      </w:r>
      <w:r w:rsidRPr="00237510">
        <w:t xml:space="preserve"> altered hydrology </w:t>
      </w:r>
      <w:r w:rsidR="00CE02BD">
        <w:t xml:space="preserve">that would be </w:t>
      </w:r>
      <w:r w:rsidR="00383609">
        <w:t xml:space="preserve">caused </w:t>
      </w:r>
      <w:r w:rsidR="006D7C49">
        <w:t xml:space="preserve">if different </w:t>
      </w:r>
      <w:r w:rsidR="007B6314">
        <w:t>volumes of</w:t>
      </w:r>
      <w:r>
        <w:t xml:space="preserve"> water</w:t>
      </w:r>
      <w:r w:rsidR="002C31D3">
        <w:t xml:space="preserve"> were permitted to be used</w:t>
      </w:r>
      <w:r>
        <w:t xml:space="preserve"> from the Latrobe River</w:t>
      </w:r>
      <w:r w:rsidR="00F42F6B">
        <w:t xml:space="preserve"> system</w:t>
      </w:r>
      <w:r>
        <w:t xml:space="preserve"> </w:t>
      </w:r>
      <w:r w:rsidRPr="00237510">
        <w:t>for mine rehabilitation.</w:t>
      </w:r>
    </w:p>
    <w:p w14:paraId="388FC987" w14:textId="2C13FF05" w:rsidR="00930E6E" w:rsidRDefault="00930E6E" w:rsidP="00930E6E">
      <w:r>
        <w:t xml:space="preserve">The aquatic ecosystems of the Latrobe Valley that could potentially be affected by mine rehabilitation extend from the Tanjil and Tyers Rivers downstream of Blue Rock and Moondarra Reservoirs respectively to Lake Wellington in the Gippsland Lakes and include the Morwell River and Traralgon Creek which currently receive water discharges from power station operations.  These ecosystems support significant ecological values, and the end of the system contains </w:t>
      </w:r>
      <w:r w:rsidR="399DF87D">
        <w:t xml:space="preserve">the </w:t>
      </w:r>
      <w:r>
        <w:t xml:space="preserve">internationally listed Gippsland Lakes Ramsar Site. </w:t>
      </w:r>
    </w:p>
    <w:p w14:paraId="23C6D544" w14:textId="3007C58E" w:rsidR="00930E6E" w:rsidRDefault="00930E6E" w:rsidP="00930E6E">
      <w:r>
        <w:t xml:space="preserve">The condition of aquatic ecosystems in the region has been affected by </w:t>
      </w:r>
      <w:proofErr w:type="gramStart"/>
      <w:r>
        <w:t>a number of</w:t>
      </w:r>
      <w:proofErr w:type="gramEnd"/>
      <w:r>
        <w:t xml:space="preserve"> factors including water resource use and climate change, which have resulted in a reduction in ecologically important flow regimes. Despite this, much of the system retains high ecological </w:t>
      </w:r>
      <w:r w:rsidR="001A652D">
        <w:t xml:space="preserve">and geomorphological </w:t>
      </w:r>
      <w:r>
        <w:t xml:space="preserve">values including: </w:t>
      </w:r>
    </w:p>
    <w:p w14:paraId="65E5805A" w14:textId="6D867AE3" w:rsidR="00930E6E" w:rsidRDefault="00930E6E" w:rsidP="008A30C6">
      <w:pPr>
        <w:pStyle w:val="ListParagraph"/>
        <w:numPr>
          <w:ilvl w:val="0"/>
          <w:numId w:val="1"/>
        </w:numPr>
        <w:rPr>
          <w:rFonts w:asciiTheme="minorHAnsi" w:hAnsiTheme="minorHAnsi" w:cstheme="minorBidi"/>
        </w:rPr>
      </w:pPr>
      <w:r>
        <w:t>the Latrobe River Silt jetties, which are of State geomorphic significance</w:t>
      </w:r>
      <w:r w:rsidR="00993AD7">
        <w:t>;</w:t>
      </w:r>
      <w:r>
        <w:t xml:space="preserve"> </w:t>
      </w:r>
    </w:p>
    <w:p w14:paraId="37752156" w14:textId="5B2538C5" w:rsidR="00930E6E" w:rsidRDefault="00930E6E" w:rsidP="008A30C6">
      <w:pPr>
        <w:pStyle w:val="ListParagraph"/>
        <w:numPr>
          <w:ilvl w:val="0"/>
          <w:numId w:val="1"/>
        </w:numPr>
      </w:pPr>
      <w:r>
        <w:t xml:space="preserve">a mosaic of </w:t>
      </w:r>
      <w:r w:rsidR="073DE1AC">
        <w:t>freshwater</w:t>
      </w:r>
      <w:r>
        <w:t xml:space="preserve"> dependent vegetation communities such as the bioregionally endangered Floodplain Riparian Woodland that lines the Latrobe River, as well as swamp paperbark, tall marsh and submerged macrophytes in the Lower Latrobe Wetlands; </w:t>
      </w:r>
    </w:p>
    <w:p w14:paraId="38475CD4" w14:textId="3DFFC365" w:rsidR="00930E6E" w:rsidRDefault="00930E6E" w:rsidP="008A30C6">
      <w:pPr>
        <w:pStyle w:val="ListParagraph"/>
        <w:numPr>
          <w:ilvl w:val="0"/>
          <w:numId w:val="1"/>
        </w:numPr>
      </w:pPr>
      <w:r>
        <w:t xml:space="preserve">a diverse estuarine and freshwater fish community that includes </w:t>
      </w:r>
      <w:proofErr w:type="gramStart"/>
      <w:r>
        <w:t>a number of</w:t>
      </w:r>
      <w:proofErr w:type="gramEnd"/>
      <w:r>
        <w:t xml:space="preserve"> diadromous species that move between fresh, estuarine and / or marine habitats to complete their lifecycle such as the nationally vulnerable Australian grayling; </w:t>
      </w:r>
      <w:r w:rsidR="224B0285">
        <w:t xml:space="preserve">and </w:t>
      </w:r>
    </w:p>
    <w:p w14:paraId="1A99D661" w14:textId="17354DE7" w:rsidR="00930E6E" w:rsidRDefault="00930E6E" w:rsidP="008A30C6">
      <w:pPr>
        <w:pStyle w:val="ListParagraph"/>
        <w:numPr>
          <w:ilvl w:val="0"/>
          <w:numId w:val="1"/>
        </w:numPr>
      </w:pPr>
      <w:proofErr w:type="gramStart"/>
      <w:r>
        <w:t>a large number of</w:t>
      </w:r>
      <w:proofErr w:type="gramEnd"/>
      <w:r>
        <w:t xml:space="preserve"> waterbird species that forage and breed in the wetlands of the system</w:t>
      </w:r>
      <w:r w:rsidR="59CBBDD5">
        <w:t xml:space="preserve"> including threatened </w:t>
      </w:r>
      <w:r w:rsidR="7849093A">
        <w:t xml:space="preserve">and internationally protected </w:t>
      </w:r>
      <w:r w:rsidR="59CBBDD5">
        <w:t>species</w:t>
      </w:r>
      <w:r>
        <w:t xml:space="preserve">. </w:t>
      </w:r>
    </w:p>
    <w:p w14:paraId="7F3318E8" w14:textId="489097D9" w:rsidR="00930E6E" w:rsidRDefault="00930E6E" w:rsidP="5DF9B386">
      <w:r>
        <w:t>These ecological values provide important ecological functions and ecosystem services including significant Traditional Owner cultural values as well as tourism, recreation and amenity.</w:t>
      </w:r>
    </w:p>
    <w:p w14:paraId="18946D4A" w14:textId="20732635" w:rsidR="007B51B6" w:rsidRPr="00237510" w:rsidRDefault="007B51B6" w:rsidP="007B51B6">
      <w:pPr>
        <w:rPr>
          <w:lang w:eastAsia="en-US"/>
        </w:rPr>
      </w:pPr>
      <w:r>
        <w:t>This report compare</w:t>
      </w:r>
      <w:r w:rsidR="002F4ACB">
        <w:t>s</w:t>
      </w:r>
      <w:r>
        <w:t xml:space="preserve"> risk to ecological values under five scenarios</w:t>
      </w:r>
      <w:r>
        <w:rPr>
          <w:lang w:eastAsia="en-US"/>
        </w:rPr>
        <w:t>:</w:t>
      </w:r>
    </w:p>
    <w:p w14:paraId="1131671C" w14:textId="77777777" w:rsidR="007B51B6" w:rsidRPr="00237510" w:rsidRDefault="007B51B6" w:rsidP="007B51B6">
      <w:pPr>
        <w:pStyle w:val="ListParagraph"/>
        <w:numPr>
          <w:ilvl w:val="0"/>
          <w:numId w:val="20"/>
        </w:numPr>
      </w:pPr>
      <w:r w:rsidRPr="00237510">
        <w:t>Natural (current climate) – what the system would look like under current climatic conditions but with no extraction</w:t>
      </w:r>
      <w:r>
        <w:t xml:space="preserve"> from the Latrobe River</w:t>
      </w:r>
      <w:r w:rsidRPr="00237510">
        <w:t>. This is the base case against which the effects of water resource extraction and climate change</w:t>
      </w:r>
      <w:r>
        <w:t xml:space="preserve"> are evaluated</w:t>
      </w:r>
      <w:r w:rsidRPr="00237510">
        <w:t>.</w:t>
      </w:r>
    </w:p>
    <w:p w14:paraId="2F4D4BA1" w14:textId="77777777" w:rsidR="007B51B6" w:rsidRPr="00237510" w:rsidRDefault="007B51B6" w:rsidP="007B51B6">
      <w:pPr>
        <w:pStyle w:val="ListParagraph"/>
        <w:numPr>
          <w:ilvl w:val="0"/>
          <w:numId w:val="20"/>
        </w:numPr>
      </w:pPr>
      <w:r w:rsidRPr="00237510">
        <w:t>Current conditions (current climate) – what the system is experiencing now, with current water use and current climatic conditions.</w:t>
      </w:r>
    </w:p>
    <w:p w14:paraId="435B2AA4" w14:textId="77777777" w:rsidR="007B51B6" w:rsidRPr="00237510" w:rsidRDefault="007B51B6" w:rsidP="007B51B6">
      <w:pPr>
        <w:pStyle w:val="ListParagraph"/>
        <w:numPr>
          <w:ilvl w:val="0"/>
          <w:numId w:val="20"/>
        </w:numPr>
      </w:pPr>
      <w:r w:rsidRPr="00237510">
        <w:t>Current conditions (future climate) – what if the amount of water extracted remained the same as today but the climate continues to dry.</w:t>
      </w:r>
    </w:p>
    <w:p w14:paraId="1B7FB68A" w14:textId="77777777" w:rsidR="007B51B6" w:rsidRPr="00237510" w:rsidRDefault="007B51B6" w:rsidP="007B51B6">
      <w:pPr>
        <w:pStyle w:val="ListParagraph"/>
        <w:numPr>
          <w:ilvl w:val="0"/>
          <w:numId w:val="20"/>
        </w:numPr>
      </w:pPr>
      <w:r w:rsidRPr="00237510">
        <w:t xml:space="preserve">Full uptake (current climate) – what would happen if </w:t>
      </w:r>
      <w:r>
        <w:t>additional water were used</w:t>
      </w:r>
      <w:r w:rsidRPr="00237510">
        <w:t xml:space="preserve"> for </w:t>
      </w:r>
      <w:r>
        <w:t>mine rehabilitation under</w:t>
      </w:r>
      <w:r w:rsidRPr="00237510">
        <w:t xml:space="preserve"> current climatic conditions.</w:t>
      </w:r>
    </w:p>
    <w:p w14:paraId="6E1E3998" w14:textId="7FFD5839" w:rsidR="007B51B6" w:rsidRDefault="007B51B6" w:rsidP="00046F32">
      <w:pPr>
        <w:pStyle w:val="ListParagraph"/>
        <w:numPr>
          <w:ilvl w:val="0"/>
          <w:numId w:val="20"/>
        </w:numPr>
      </w:pPr>
      <w:r w:rsidRPr="00237510">
        <w:t xml:space="preserve">Full uptake (future climate) – what would happen if </w:t>
      </w:r>
      <w:r>
        <w:t>additional water were used</w:t>
      </w:r>
      <w:r w:rsidRPr="00237510">
        <w:t xml:space="preserve"> for </w:t>
      </w:r>
      <w:r>
        <w:t>mine rehabilitation</w:t>
      </w:r>
      <w:r w:rsidRPr="00237510">
        <w:t xml:space="preserve"> and the climate continues to dry.</w:t>
      </w:r>
    </w:p>
    <w:p w14:paraId="664F6674" w14:textId="0670A27E" w:rsidR="00930E6E" w:rsidRDefault="00930E6E" w:rsidP="00930E6E">
      <w:pPr>
        <w:rPr>
          <w:lang w:eastAsia="en-US"/>
        </w:rPr>
      </w:pPr>
      <w:r>
        <w:rPr>
          <w:lang w:eastAsia="en-US"/>
        </w:rPr>
        <w:t xml:space="preserve">Hydrological modelling indicates that climate change and continued water use at current levels will have further highly adverse impacts on hydrological regimes, </w:t>
      </w:r>
      <w:r w:rsidR="0077009B">
        <w:rPr>
          <w:lang w:eastAsia="en-US"/>
        </w:rPr>
        <w:t xml:space="preserve">and that </w:t>
      </w:r>
      <w:r>
        <w:rPr>
          <w:lang w:eastAsia="en-US"/>
        </w:rPr>
        <w:t xml:space="preserve">a full uptake of water entitlements </w:t>
      </w:r>
      <w:r w:rsidR="00D33060">
        <w:rPr>
          <w:lang w:eastAsia="en-US"/>
        </w:rPr>
        <w:t xml:space="preserve">for mine rehabilitation </w:t>
      </w:r>
      <w:r w:rsidR="0077009B">
        <w:rPr>
          <w:lang w:eastAsia="en-US"/>
        </w:rPr>
        <w:t xml:space="preserve">would </w:t>
      </w:r>
      <w:r>
        <w:rPr>
          <w:lang w:eastAsia="en-US"/>
        </w:rPr>
        <w:t>exacerbat</w:t>
      </w:r>
      <w:r w:rsidR="0077009B">
        <w:rPr>
          <w:lang w:eastAsia="en-US"/>
        </w:rPr>
        <w:t>e</w:t>
      </w:r>
      <w:r>
        <w:rPr>
          <w:lang w:eastAsia="en-US"/>
        </w:rPr>
        <w:t xml:space="preserve"> the </w:t>
      </w:r>
      <w:r w:rsidR="00072CA4">
        <w:rPr>
          <w:lang w:eastAsia="en-US"/>
        </w:rPr>
        <w:t>effects</w:t>
      </w:r>
      <w:r>
        <w:rPr>
          <w:lang w:eastAsia="en-US"/>
        </w:rPr>
        <w:t xml:space="preserve"> of insufficient flows in this heavily flow-stressed river system. It is expected that a continued decline in water availability for the ecologically important components of the flow regime (e.g. baseflows, freshes and bankfull/overbank flows) will have escalating impacts on the ecological condition of the system.</w:t>
      </w:r>
    </w:p>
    <w:p w14:paraId="0F1A58D2" w14:textId="78579041" w:rsidR="00930E6E" w:rsidRDefault="00930E6E" w:rsidP="00930E6E">
      <w:pPr>
        <w:rPr>
          <w:lang w:eastAsia="en-US"/>
        </w:rPr>
      </w:pPr>
      <w:r w:rsidRPr="5DF9B386">
        <w:rPr>
          <w:lang w:eastAsia="en-US"/>
        </w:rPr>
        <w:t xml:space="preserve">Rivers, estuaries and wetlands, like all ecosystems, adapt to changes in the environment. In terms of reduced freshwater inflows and increased salinity, it is likely that there will be a transition to more terrestrial environments and salt-tolerant biota. This change will be at the expense of freshwater </w:t>
      </w:r>
      <w:r w:rsidR="013AD18B" w:rsidRPr="5DF9B386">
        <w:rPr>
          <w:lang w:eastAsia="en-US"/>
        </w:rPr>
        <w:t xml:space="preserve">dependent </w:t>
      </w:r>
      <w:r w:rsidRPr="5DF9B386">
        <w:rPr>
          <w:lang w:eastAsia="en-US"/>
        </w:rPr>
        <w:t xml:space="preserve">values and most likely represent a reduction in biodiversity. As it is, there remains only one natural freshwater wetland (Sale Common) in the Gippsland Lakes Ramsar </w:t>
      </w:r>
      <w:r w:rsidR="00681B46" w:rsidRPr="5DF9B386">
        <w:rPr>
          <w:lang w:eastAsia="en-US"/>
        </w:rPr>
        <w:t>S</w:t>
      </w:r>
      <w:r w:rsidRPr="5DF9B386">
        <w:rPr>
          <w:lang w:eastAsia="en-US"/>
        </w:rPr>
        <w:t xml:space="preserve">ite. To maintain freshwater </w:t>
      </w:r>
      <w:r w:rsidR="56FC7989" w:rsidRPr="5DF9B386">
        <w:rPr>
          <w:lang w:eastAsia="en-US"/>
        </w:rPr>
        <w:t xml:space="preserve">dependent </w:t>
      </w:r>
      <w:r w:rsidRPr="5DF9B386">
        <w:rPr>
          <w:lang w:eastAsia="en-US"/>
        </w:rPr>
        <w:t>values and meet the management objectives for the Latrobe River</w:t>
      </w:r>
      <w:r w:rsidR="627D252F" w:rsidRPr="5DF9B386">
        <w:rPr>
          <w:lang w:eastAsia="en-US"/>
        </w:rPr>
        <w:t xml:space="preserve"> </w:t>
      </w:r>
      <w:r w:rsidR="2D0EDC03" w:rsidRPr="5DF9B386">
        <w:rPr>
          <w:lang w:eastAsia="en-US"/>
        </w:rPr>
        <w:t>(</w:t>
      </w:r>
      <w:r w:rsidR="627D252F" w:rsidRPr="5DF9B386">
        <w:rPr>
          <w:lang w:eastAsia="en-US"/>
        </w:rPr>
        <w:t>developed in conjunction with the local community</w:t>
      </w:r>
      <w:r w:rsidR="0E1D41B0" w:rsidRPr="5DF9B386">
        <w:rPr>
          <w:lang w:eastAsia="en-US"/>
        </w:rPr>
        <w:t>)</w:t>
      </w:r>
      <w:r w:rsidRPr="5DF9B386">
        <w:rPr>
          <w:lang w:eastAsia="en-US"/>
        </w:rPr>
        <w:t xml:space="preserve">, more </w:t>
      </w:r>
      <w:r w:rsidR="6A83312D" w:rsidRPr="5DF9B386">
        <w:rPr>
          <w:lang w:eastAsia="en-US"/>
        </w:rPr>
        <w:t xml:space="preserve">fresh </w:t>
      </w:r>
      <w:r w:rsidRPr="5DF9B386">
        <w:rPr>
          <w:lang w:eastAsia="en-US"/>
        </w:rPr>
        <w:t xml:space="preserve">water for the environment </w:t>
      </w:r>
      <w:r w:rsidR="43D5551A" w:rsidRPr="5DF9B386">
        <w:rPr>
          <w:lang w:eastAsia="en-US"/>
        </w:rPr>
        <w:t>is</w:t>
      </w:r>
      <w:r w:rsidRPr="5DF9B386">
        <w:rPr>
          <w:lang w:eastAsia="en-US"/>
        </w:rPr>
        <w:t xml:space="preserve"> required − not less − and will need to be carefully managed to optimise ecological outcomes.  </w:t>
      </w:r>
    </w:p>
    <w:p w14:paraId="00CE1A41" w14:textId="263A2242" w:rsidR="00930E6E" w:rsidRDefault="00930E6E" w:rsidP="00930E6E">
      <w:pPr>
        <w:rPr>
          <w:lang w:eastAsia="en-US"/>
        </w:rPr>
      </w:pPr>
      <w:r w:rsidRPr="5DF9B386">
        <w:rPr>
          <w:rFonts w:cstheme="minorBidi"/>
        </w:rPr>
        <w:t xml:space="preserve">Further impacts to the system, through continued and increasing water extraction will undermine the resilience of ecosystems and the biota they support to future changes in climate and other stresses. While the system has proven resilient so far to reduced flow by maintaining much of its ecological values, there will be thresholds beyond which the system cannot recover. It is vital that we manage </w:t>
      </w:r>
      <w:r w:rsidR="16E9DB0D" w:rsidRPr="5DF9B386">
        <w:rPr>
          <w:rFonts w:cstheme="minorBidi"/>
        </w:rPr>
        <w:t xml:space="preserve">water extraction from the system </w:t>
      </w:r>
      <w:r w:rsidRPr="5DF9B386">
        <w:rPr>
          <w:rFonts w:cstheme="minorBidi"/>
        </w:rPr>
        <w:t>within these thresholds of resilience.</w:t>
      </w:r>
    </w:p>
    <w:p w14:paraId="3B584569" w14:textId="2EDF7F1E" w:rsidR="00930E6E" w:rsidRDefault="00930E6E">
      <w:pPr>
        <w:spacing w:after="0"/>
        <w:rPr>
          <w:lang w:eastAsia="en-US"/>
        </w:rPr>
      </w:pPr>
    </w:p>
    <w:p w14:paraId="7DD1D84C" w14:textId="26162A0F" w:rsidR="00930E6E" w:rsidRDefault="00930E6E" w:rsidP="00930E6E">
      <w:pPr>
        <w:rPr>
          <w:lang w:eastAsia="en-US"/>
        </w:rPr>
      </w:pPr>
      <w:r>
        <w:rPr>
          <w:lang w:eastAsia="en-US"/>
        </w:rPr>
        <w:t>The key messages of this EEA are:</w:t>
      </w:r>
    </w:p>
    <w:p w14:paraId="7663CDA6" w14:textId="17B3477C" w:rsidR="00930E6E" w:rsidRPr="00324C84" w:rsidRDefault="00930E6E" w:rsidP="00930E6E">
      <w:pPr>
        <w:pStyle w:val="ListParagraph"/>
        <w:numPr>
          <w:ilvl w:val="0"/>
          <w:numId w:val="27"/>
        </w:numPr>
        <w:rPr>
          <w:lang w:eastAsia="en-US"/>
        </w:rPr>
      </w:pPr>
      <w:r w:rsidRPr="00324C84">
        <w:rPr>
          <w:lang w:eastAsia="en-US"/>
        </w:rPr>
        <w:t xml:space="preserve">Continued water resource use under </w:t>
      </w:r>
      <w:r w:rsidR="00DB66E4">
        <w:rPr>
          <w:lang w:eastAsia="en-US"/>
        </w:rPr>
        <w:t xml:space="preserve">a </w:t>
      </w:r>
      <w:r w:rsidRPr="00324C84">
        <w:rPr>
          <w:lang w:eastAsia="en-US"/>
        </w:rPr>
        <w:t xml:space="preserve">future </w:t>
      </w:r>
      <w:r w:rsidR="00777F2D">
        <w:rPr>
          <w:lang w:eastAsia="en-US"/>
        </w:rPr>
        <w:t xml:space="preserve">drier </w:t>
      </w:r>
      <w:r w:rsidRPr="00324C84">
        <w:rPr>
          <w:lang w:eastAsia="en-US"/>
        </w:rPr>
        <w:t xml:space="preserve">climate will lead to the decline in </w:t>
      </w:r>
      <w:r w:rsidR="000913A8" w:rsidRPr="00324C84">
        <w:rPr>
          <w:lang w:eastAsia="en-US"/>
        </w:rPr>
        <w:t xml:space="preserve">environmental </w:t>
      </w:r>
      <w:r w:rsidRPr="00324C84">
        <w:rPr>
          <w:lang w:eastAsia="en-US"/>
        </w:rPr>
        <w:t>values of the</w:t>
      </w:r>
      <w:r w:rsidR="00324C84">
        <w:rPr>
          <w:lang w:eastAsia="en-US"/>
        </w:rPr>
        <w:t xml:space="preserve"> Latrobe</w:t>
      </w:r>
      <w:r w:rsidRPr="00324C84">
        <w:rPr>
          <w:lang w:eastAsia="en-US"/>
        </w:rPr>
        <w:t xml:space="preserve"> system and a loss of biodiversity. This w</w:t>
      </w:r>
      <w:r w:rsidR="00971902" w:rsidRPr="00046F32">
        <w:rPr>
          <w:lang w:eastAsia="en-US"/>
        </w:rPr>
        <w:t>ould be exacerbated</w:t>
      </w:r>
      <w:r w:rsidR="00776590" w:rsidRPr="00046F32">
        <w:rPr>
          <w:lang w:eastAsia="en-US"/>
        </w:rPr>
        <w:t xml:space="preserve"> if there</w:t>
      </w:r>
      <w:r w:rsidR="00394952" w:rsidRPr="00046F32">
        <w:rPr>
          <w:lang w:eastAsia="en-US"/>
        </w:rPr>
        <w:t xml:space="preserve"> were to</w:t>
      </w:r>
      <w:r w:rsidR="00971902" w:rsidRPr="00046F32">
        <w:rPr>
          <w:lang w:eastAsia="en-US"/>
        </w:rPr>
        <w:t xml:space="preserve"> be</w:t>
      </w:r>
      <w:r w:rsidR="0092726B">
        <w:rPr>
          <w:lang w:eastAsia="en-US"/>
        </w:rPr>
        <w:t xml:space="preserve"> an increased or</w:t>
      </w:r>
      <w:r w:rsidRPr="00324C84">
        <w:rPr>
          <w:lang w:eastAsia="en-US"/>
        </w:rPr>
        <w:t xml:space="preserve"> full uptake of </w:t>
      </w:r>
      <w:r w:rsidR="00394952" w:rsidRPr="00046F32">
        <w:rPr>
          <w:lang w:eastAsia="en-US"/>
        </w:rPr>
        <w:t>mine operators</w:t>
      </w:r>
      <w:r w:rsidR="00777F2D">
        <w:rPr>
          <w:lang w:eastAsia="en-US"/>
        </w:rPr>
        <w:t>’</w:t>
      </w:r>
      <w:r w:rsidR="00394952" w:rsidRPr="00046F32">
        <w:rPr>
          <w:lang w:eastAsia="en-US"/>
        </w:rPr>
        <w:t xml:space="preserve"> </w:t>
      </w:r>
      <w:r w:rsidRPr="00324C84">
        <w:rPr>
          <w:lang w:eastAsia="en-US"/>
        </w:rPr>
        <w:t>entitlements</w:t>
      </w:r>
      <w:r w:rsidR="00394952" w:rsidRPr="00046F32">
        <w:rPr>
          <w:lang w:eastAsia="en-US"/>
        </w:rPr>
        <w:t xml:space="preserve"> </w:t>
      </w:r>
      <w:r w:rsidR="000913A8" w:rsidRPr="00324C84">
        <w:rPr>
          <w:lang w:eastAsia="en-US"/>
        </w:rPr>
        <w:t>for mine rehabilitation</w:t>
      </w:r>
      <w:r w:rsidRPr="00324C84">
        <w:rPr>
          <w:lang w:eastAsia="en-US"/>
        </w:rPr>
        <w:t>.</w:t>
      </w:r>
    </w:p>
    <w:p w14:paraId="2B733203" w14:textId="333E2D9A" w:rsidR="00930E6E" w:rsidRDefault="00930E6E" w:rsidP="00930E6E">
      <w:pPr>
        <w:pStyle w:val="ListParagraph"/>
        <w:numPr>
          <w:ilvl w:val="0"/>
          <w:numId w:val="27"/>
        </w:numPr>
        <w:rPr>
          <w:lang w:eastAsia="en-US"/>
        </w:rPr>
      </w:pPr>
      <w:r w:rsidRPr="5DF9B386">
        <w:rPr>
          <w:lang w:eastAsia="en-US"/>
        </w:rPr>
        <w:t>Decreases in water availability</w:t>
      </w:r>
      <w:r w:rsidR="00E35F07">
        <w:rPr>
          <w:lang w:eastAsia="en-US"/>
        </w:rPr>
        <w:t xml:space="preserve"> in the Latrobe s</w:t>
      </w:r>
      <w:r w:rsidR="00E85FDA">
        <w:rPr>
          <w:lang w:eastAsia="en-US"/>
        </w:rPr>
        <w:t>ystem</w:t>
      </w:r>
      <w:r w:rsidRPr="5DF9B386">
        <w:rPr>
          <w:lang w:eastAsia="en-US"/>
        </w:rPr>
        <w:t xml:space="preserve"> (from </w:t>
      </w:r>
      <w:r w:rsidR="14D6AC8A" w:rsidRPr="5DF9B386">
        <w:rPr>
          <w:lang w:eastAsia="en-US"/>
        </w:rPr>
        <w:t xml:space="preserve">continued or </w:t>
      </w:r>
      <w:r w:rsidRPr="5DF9B386">
        <w:rPr>
          <w:lang w:eastAsia="en-US"/>
        </w:rPr>
        <w:t>increasing abstraction to fill mine pits) will result in multiple and interconnected threats resulting in loss of ecosystem and social values of the Latrobe River, its estuary and the Lakes. These losses will stem from:</w:t>
      </w:r>
    </w:p>
    <w:p w14:paraId="3E930B83" w14:textId="5535B928" w:rsidR="008A30C6" w:rsidRDefault="008A30C6" w:rsidP="008A30C6">
      <w:pPr>
        <w:pStyle w:val="ListParagraph"/>
        <w:numPr>
          <w:ilvl w:val="1"/>
          <w:numId w:val="27"/>
        </w:numPr>
        <w:rPr>
          <w:lang w:eastAsia="en-US"/>
        </w:rPr>
      </w:pPr>
      <w:r>
        <w:rPr>
          <w:lang w:eastAsia="en-US"/>
        </w:rPr>
        <w:t>Altered river channel geomorphology which will impact on habitat for fish and other biota as well as productivity</w:t>
      </w:r>
    </w:p>
    <w:p w14:paraId="7D526372" w14:textId="77777777" w:rsidR="00930E6E" w:rsidRDefault="00930E6E" w:rsidP="00930E6E">
      <w:pPr>
        <w:pStyle w:val="ListParagraph"/>
        <w:numPr>
          <w:ilvl w:val="1"/>
          <w:numId w:val="27"/>
        </w:numPr>
        <w:rPr>
          <w:lang w:eastAsia="en-US"/>
        </w:rPr>
      </w:pPr>
      <w:r>
        <w:rPr>
          <w:lang w:eastAsia="en-US"/>
        </w:rPr>
        <w:t>Decreased native fish breeding and recruitment</w:t>
      </w:r>
    </w:p>
    <w:p w14:paraId="5CBDFBC2" w14:textId="77777777" w:rsidR="00930E6E" w:rsidRDefault="00930E6E" w:rsidP="00930E6E">
      <w:pPr>
        <w:pStyle w:val="ListParagraph"/>
        <w:numPr>
          <w:ilvl w:val="1"/>
          <w:numId w:val="27"/>
        </w:numPr>
        <w:rPr>
          <w:lang w:eastAsia="en-US"/>
        </w:rPr>
      </w:pPr>
      <w:r>
        <w:rPr>
          <w:lang w:eastAsia="en-US"/>
        </w:rPr>
        <w:t>Decreased abundance and diversity of native fish</w:t>
      </w:r>
    </w:p>
    <w:p w14:paraId="7F701851" w14:textId="77777777" w:rsidR="00930E6E" w:rsidRDefault="00930E6E" w:rsidP="00930E6E">
      <w:pPr>
        <w:pStyle w:val="ListParagraph"/>
        <w:numPr>
          <w:ilvl w:val="1"/>
          <w:numId w:val="27"/>
        </w:numPr>
        <w:rPr>
          <w:lang w:eastAsia="en-US"/>
        </w:rPr>
      </w:pPr>
      <w:r>
        <w:rPr>
          <w:lang w:eastAsia="en-US"/>
        </w:rPr>
        <w:t>Decreased success of waterbird breeding</w:t>
      </w:r>
    </w:p>
    <w:p w14:paraId="0A61C946" w14:textId="77777777" w:rsidR="00930E6E" w:rsidRDefault="00930E6E" w:rsidP="00930E6E">
      <w:pPr>
        <w:pStyle w:val="ListParagraph"/>
        <w:numPr>
          <w:ilvl w:val="1"/>
          <w:numId w:val="27"/>
        </w:numPr>
        <w:rPr>
          <w:lang w:eastAsia="en-US"/>
        </w:rPr>
      </w:pPr>
      <w:r>
        <w:rPr>
          <w:lang w:eastAsia="en-US"/>
        </w:rPr>
        <w:t>Decreased abundance and diversity of water birds</w:t>
      </w:r>
    </w:p>
    <w:p w14:paraId="647340FE" w14:textId="77777777" w:rsidR="00930E6E" w:rsidRDefault="00930E6E" w:rsidP="00930E6E">
      <w:pPr>
        <w:pStyle w:val="ListParagraph"/>
        <w:numPr>
          <w:ilvl w:val="1"/>
          <w:numId w:val="27"/>
        </w:numPr>
        <w:rPr>
          <w:lang w:eastAsia="en-US"/>
        </w:rPr>
      </w:pPr>
      <w:r>
        <w:rPr>
          <w:lang w:eastAsia="en-US"/>
        </w:rPr>
        <w:t xml:space="preserve">Decreased abundance and reproduction of frogs and turtles </w:t>
      </w:r>
    </w:p>
    <w:p w14:paraId="349143D0" w14:textId="77777777" w:rsidR="00930E6E" w:rsidRDefault="00930E6E" w:rsidP="00930E6E">
      <w:pPr>
        <w:pStyle w:val="ListParagraph"/>
        <w:numPr>
          <w:ilvl w:val="1"/>
          <w:numId w:val="27"/>
        </w:numPr>
        <w:rPr>
          <w:lang w:eastAsia="en-US"/>
        </w:rPr>
      </w:pPr>
      <w:r w:rsidRPr="5DF9B386">
        <w:rPr>
          <w:lang w:eastAsia="en-US"/>
        </w:rPr>
        <w:t>Decreased condition and diversity of wetland vegetation</w:t>
      </w:r>
    </w:p>
    <w:p w14:paraId="43E35FD9" w14:textId="4F19C889" w:rsidR="00930E6E" w:rsidRDefault="00930E6E" w:rsidP="00930E6E">
      <w:pPr>
        <w:pStyle w:val="ListParagraph"/>
        <w:numPr>
          <w:ilvl w:val="0"/>
          <w:numId w:val="27"/>
        </w:numPr>
        <w:rPr>
          <w:lang w:eastAsia="en-US"/>
        </w:rPr>
      </w:pPr>
      <w:r>
        <w:rPr>
          <w:lang w:eastAsia="en-US"/>
        </w:rPr>
        <w:t xml:space="preserve">Hydrology, salinity, vegetation, fish and waterbirds are all identified as critical to the ecological character of the Gippsland Lakes Ramsar </w:t>
      </w:r>
      <w:r w:rsidR="006F1F85">
        <w:rPr>
          <w:lang w:eastAsia="en-US"/>
        </w:rPr>
        <w:t>S</w:t>
      </w:r>
      <w:r>
        <w:rPr>
          <w:lang w:eastAsia="en-US"/>
        </w:rPr>
        <w:t>ite. The predicted impacts</w:t>
      </w:r>
      <w:r w:rsidR="00DD5500">
        <w:rPr>
          <w:lang w:eastAsia="en-US"/>
        </w:rPr>
        <w:t xml:space="preserve"> from reduced flows in the Latrobe River</w:t>
      </w:r>
      <w:r>
        <w:rPr>
          <w:lang w:eastAsia="en-US"/>
        </w:rPr>
        <w:t xml:space="preserve"> to the aquatic ecosystems of the Lower Latrobe Wetlands, Lake Wellington and the Latrobe Estuary have implications with respect to Australia’s obligations under the </w:t>
      </w:r>
      <w:r w:rsidR="006F1F85">
        <w:rPr>
          <w:lang w:eastAsia="en-US"/>
        </w:rPr>
        <w:t xml:space="preserve">Ramsar </w:t>
      </w:r>
      <w:r>
        <w:rPr>
          <w:lang w:eastAsia="en-US"/>
        </w:rPr>
        <w:t xml:space="preserve">Convention. </w:t>
      </w:r>
    </w:p>
    <w:p w14:paraId="04E0E725" w14:textId="61DAE672" w:rsidR="00930E6E" w:rsidRPr="008E2C1D" w:rsidRDefault="00930E6E" w:rsidP="00930E6E">
      <w:pPr>
        <w:pStyle w:val="ListParagraph"/>
        <w:numPr>
          <w:ilvl w:val="0"/>
          <w:numId w:val="27"/>
        </w:numPr>
        <w:rPr>
          <w:lang w:eastAsia="en-US"/>
        </w:rPr>
      </w:pPr>
      <w:r>
        <w:rPr>
          <w:lang w:eastAsia="en-US"/>
        </w:rPr>
        <w:t>Harvesting floods to fill pit lakes</w:t>
      </w:r>
      <w:r w:rsidR="001C399E">
        <w:rPr>
          <w:lang w:eastAsia="en-US"/>
        </w:rPr>
        <w:t xml:space="preserve"> would </w:t>
      </w:r>
      <w:r w:rsidR="00324C84">
        <w:rPr>
          <w:lang w:eastAsia="en-US"/>
        </w:rPr>
        <w:t>have negative impacts</w:t>
      </w:r>
      <w:r>
        <w:rPr>
          <w:lang w:eastAsia="en-US"/>
        </w:rPr>
        <w:t xml:space="preserve"> to the system, particularly for Lake Wellington and the Lower Latrobe Wetlands. It will potentially lead to a change in the ecological character of the Gippsland Lakes Ramsar Site, which would have national and international implications.</w:t>
      </w:r>
    </w:p>
    <w:p w14:paraId="43102BB7" w14:textId="77777777" w:rsidR="00930E6E" w:rsidRPr="00820505" w:rsidRDefault="00930E6E" w:rsidP="00930E6E">
      <w:pPr>
        <w:rPr>
          <w:rFonts w:cstheme="minorHAnsi"/>
        </w:rPr>
      </w:pPr>
      <w:r>
        <w:rPr>
          <w:rFonts w:cstheme="minorHAnsi"/>
        </w:rPr>
        <w:t>Any</w:t>
      </w:r>
      <w:r w:rsidRPr="002E0211">
        <w:rPr>
          <w:rFonts w:cstheme="minorHAnsi"/>
        </w:rPr>
        <w:t xml:space="preserve"> decline in condition and loss of values</w:t>
      </w:r>
      <w:r>
        <w:rPr>
          <w:rFonts w:cstheme="minorHAnsi"/>
        </w:rPr>
        <w:t xml:space="preserve"> in the Latrobe region</w:t>
      </w:r>
      <w:r w:rsidRPr="002E0211">
        <w:rPr>
          <w:rFonts w:cstheme="minorHAnsi"/>
        </w:rPr>
        <w:t xml:space="preserve"> </w:t>
      </w:r>
      <w:r>
        <w:rPr>
          <w:rFonts w:cstheme="minorHAnsi"/>
        </w:rPr>
        <w:t xml:space="preserve">would </w:t>
      </w:r>
      <w:r w:rsidRPr="002E0211">
        <w:rPr>
          <w:rFonts w:cstheme="minorHAnsi"/>
        </w:rPr>
        <w:t>ha</w:t>
      </w:r>
      <w:r>
        <w:rPr>
          <w:rFonts w:cstheme="minorHAnsi"/>
        </w:rPr>
        <w:t xml:space="preserve">ve </w:t>
      </w:r>
      <w:r w:rsidRPr="002E0211">
        <w:rPr>
          <w:rFonts w:cstheme="minorHAnsi"/>
        </w:rPr>
        <w:t xml:space="preserve">implications for </w:t>
      </w:r>
      <w:r>
        <w:rPr>
          <w:rFonts w:cstheme="minorHAnsi"/>
        </w:rPr>
        <w:t>Traditional Owners</w:t>
      </w:r>
      <w:r w:rsidRPr="002E0211">
        <w:rPr>
          <w:rFonts w:cstheme="minorHAnsi"/>
        </w:rPr>
        <w:t xml:space="preserve"> with a loss of values</w:t>
      </w:r>
      <w:r>
        <w:rPr>
          <w:rFonts w:cstheme="minorHAnsi"/>
        </w:rPr>
        <w:t xml:space="preserve"> associated with healthy waters and indigenous fisheries</w:t>
      </w:r>
      <w:r>
        <w:rPr>
          <w:rFonts w:cstheme="minorHAnsi"/>
          <w:i/>
          <w:iCs/>
        </w:rPr>
        <w:t>.</w:t>
      </w:r>
      <w:r>
        <w:rPr>
          <w:rFonts w:cstheme="minorHAnsi"/>
        </w:rPr>
        <w:t xml:space="preserve"> There would also be impacts to the social and economic activities that rely on healthy wetlands and rivers, impacting on tourism, recreation and community well-being.</w:t>
      </w:r>
    </w:p>
    <w:p w14:paraId="10B04724" w14:textId="088A958E" w:rsidR="00CE125A" w:rsidRPr="00BF15B1" w:rsidRDefault="00CE125A" w:rsidP="00CE125A">
      <w:pPr>
        <w:rPr>
          <w:rFonts w:cstheme="minorHAnsi"/>
        </w:rPr>
      </w:pPr>
    </w:p>
    <w:p w14:paraId="5751392E" w14:textId="77777777" w:rsidR="00CE125A" w:rsidRPr="00237510" w:rsidRDefault="00CE125A" w:rsidP="00CE125A">
      <w:pPr>
        <w:rPr>
          <w:lang w:eastAsia="en-US"/>
        </w:rPr>
      </w:pPr>
    </w:p>
    <w:p w14:paraId="2049FED3" w14:textId="55A5DE62" w:rsidR="00CE125A" w:rsidRPr="00237510" w:rsidRDefault="00CE125A" w:rsidP="00CE125A">
      <w:pPr>
        <w:rPr>
          <w:lang w:eastAsia="en-US"/>
        </w:rPr>
        <w:sectPr w:rsidR="00CE125A" w:rsidRPr="00237510" w:rsidSect="00CE125A">
          <w:pgSz w:w="11900" w:h="16840"/>
          <w:pgMar w:top="1272" w:right="1800" w:bottom="1440" w:left="1800" w:header="708" w:footer="708" w:gutter="0"/>
          <w:pgNumType w:fmt="lowerRoman" w:start="1"/>
          <w:cols w:space="708"/>
        </w:sectPr>
      </w:pPr>
    </w:p>
    <w:p w14:paraId="3C923D5C" w14:textId="4FAC4E70" w:rsidR="0047228D" w:rsidRPr="00237510" w:rsidRDefault="0047228D">
      <w:pPr>
        <w:spacing w:after="0"/>
        <w:rPr>
          <w:rFonts w:ascii="Georgia" w:hAnsi="Georgia"/>
          <w:b/>
          <w:color w:val="31849B" w:themeColor="accent5" w:themeShade="BF"/>
          <w:sz w:val="28"/>
          <w:szCs w:val="28"/>
        </w:rPr>
      </w:pPr>
      <w:r w:rsidRPr="00237510">
        <w:rPr>
          <w:rFonts w:ascii="Georgia" w:hAnsi="Georgia"/>
          <w:b/>
          <w:color w:val="31849B" w:themeColor="accent5" w:themeShade="BF"/>
          <w:sz w:val="28"/>
          <w:szCs w:val="28"/>
        </w:rPr>
        <w:t>Table of contents</w:t>
      </w:r>
    </w:p>
    <w:p w14:paraId="3F1539DD" w14:textId="3E5CE6B3" w:rsidR="001312B7" w:rsidRDefault="0047228D">
      <w:pPr>
        <w:pStyle w:val="TOC1"/>
        <w:rPr>
          <w:rFonts w:asciiTheme="minorHAnsi" w:hAnsiTheme="minorHAnsi" w:cstheme="minorBidi"/>
          <w:noProof/>
          <w:sz w:val="24"/>
          <w:szCs w:val="24"/>
          <w:lang w:eastAsia="en-GB"/>
        </w:rPr>
      </w:pPr>
      <w:r w:rsidRPr="00237510">
        <w:fldChar w:fldCharType="begin"/>
      </w:r>
      <w:r w:rsidRPr="00237510">
        <w:instrText xml:space="preserve"> TOC \o "1-3" \h \z </w:instrText>
      </w:r>
      <w:r w:rsidRPr="00237510">
        <w:fldChar w:fldCharType="separate"/>
      </w:r>
      <w:hyperlink w:anchor="_Toc42001364" w:history="1">
        <w:r w:rsidR="001312B7" w:rsidRPr="0085211E">
          <w:rPr>
            <w:rStyle w:val="Hyperlink"/>
            <w:noProof/>
          </w:rPr>
          <w:t>Executive summary</w:t>
        </w:r>
        <w:r w:rsidR="001312B7">
          <w:rPr>
            <w:noProof/>
            <w:webHidden/>
          </w:rPr>
          <w:tab/>
        </w:r>
        <w:r w:rsidR="001312B7">
          <w:rPr>
            <w:noProof/>
            <w:webHidden/>
          </w:rPr>
          <w:fldChar w:fldCharType="begin"/>
        </w:r>
        <w:r w:rsidR="001312B7">
          <w:rPr>
            <w:noProof/>
            <w:webHidden/>
          </w:rPr>
          <w:instrText xml:space="preserve"> PAGEREF _Toc42001364 \h </w:instrText>
        </w:r>
        <w:r w:rsidR="001312B7">
          <w:rPr>
            <w:noProof/>
            <w:webHidden/>
          </w:rPr>
        </w:r>
        <w:r w:rsidR="001312B7">
          <w:rPr>
            <w:noProof/>
            <w:webHidden/>
          </w:rPr>
          <w:fldChar w:fldCharType="separate"/>
        </w:r>
        <w:r w:rsidR="00BF15B1">
          <w:rPr>
            <w:noProof/>
            <w:webHidden/>
          </w:rPr>
          <w:t>i</w:t>
        </w:r>
        <w:r w:rsidR="001312B7">
          <w:rPr>
            <w:noProof/>
            <w:webHidden/>
          </w:rPr>
          <w:fldChar w:fldCharType="end"/>
        </w:r>
      </w:hyperlink>
    </w:p>
    <w:p w14:paraId="2C59A69B" w14:textId="19337057" w:rsidR="001312B7" w:rsidRDefault="00DF3496">
      <w:pPr>
        <w:pStyle w:val="TOC1"/>
        <w:rPr>
          <w:rFonts w:asciiTheme="minorHAnsi" w:hAnsiTheme="minorHAnsi" w:cstheme="minorBidi"/>
          <w:noProof/>
          <w:sz w:val="24"/>
          <w:szCs w:val="24"/>
          <w:lang w:eastAsia="en-GB"/>
        </w:rPr>
      </w:pPr>
      <w:hyperlink w:anchor="_Toc42001365" w:history="1">
        <w:r w:rsidR="001312B7" w:rsidRPr="0085211E">
          <w:rPr>
            <w:rStyle w:val="Hyperlink"/>
            <w:noProof/>
          </w:rPr>
          <w:t>1</w:t>
        </w:r>
        <w:r w:rsidR="001312B7">
          <w:rPr>
            <w:rFonts w:asciiTheme="minorHAnsi" w:hAnsiTheme="minorHAnsi" w:cstheme="minorBidi"/>
            <w:noProof/>
            <w:sz w:val="24"/>
            <w:szCs w:val="24"/>
            <w:lang w:eastAsia="en-GB"/>
          </w:rPr>
          <w:tab/>
        </w:r>
        <w:r w:rsidR="001312B7" w:rsidRPr="0085211E">
          <w:rPr>
            <w:rStyle w:val="Hyperlink"/>
            <w:noProof/>
          </w:rPr>
          <w:t>Introduction</w:t>
        </w:r>
        <w:r w:rsidR="001312B7">
          <w:rPr>
            <w:noProof/>
            <w:webHidden/>
          </w:rPr>
          <w:tab/>
        </w:r>
        <w:r w:rsidR="001312B7">
          <w:rPr>
            <w:noProof/>
            <w:webHidden/>
          </w:rPr>
          <w:fldChar w:fldCharType="begin"/>
        </w:r>
        <w:r w:rsidR="001312B7">
          <w:rPr>
            <w:noProof/>
            <w:webHidden/>
          </w:rPr>
          <w:instrText xml:space="preserve"> PAGEREF _Toc42001365 \h </w:instrText>
        </w:r>
        <w:r w:rsidR="001312B7">
          <w:rPr>
            <w:noProof/>
            <w:webHidden/>
          </w:rPr>
        </w:r>
        <w:r w:rsidR="001312B7">
          <w:rPr>
            <w:noProof/>
            <w:webHidden/>
          </w:rPr>
          <w:fldChar w:fldCharType="separate"/>
        </w:r>
        <w:r w:rsidR="00BF15B1">
          <w:rPr>
            <w:noProof/>
            <w:webHidden/>
          </w:rPr>
          <w:t>1</w:t>
        </w:r>
        <w:r w:rsidR="001312B7">
          <w:rPr>
            <w:noProof/>
            <w:webHidden/>
          </w:rPr>
          <w:fldChar w:fldCharType="end"/>
        </w:r>
      </w:hyperlink>
    </w:p>
    <w:p w14:paraId="0659618D" w14:textId="182E9471"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66" w:history="1">
        <w:r w:rsidR="001312B7" w:rsidRPr="0085211E">
          <w:rPr>
            <w:rStyle w:val="Hyperlink"/>
            <w:noProof/>
          </w:rPr>
          <w:t>1.1</w:t>
        </w:r>
        <w:r w:rsidR="001312B7">
          <w:rPr>
            <w:rFonts w:asciiTheme="minorHAnsi" w:hAnsiTheme="minorHAnsi" w:cstheme="minorBidi"/>
            <w:noProof/>
            <w:sz w:val="24"/>
            <w:szCs w:val="24"/>
            <w:lang w:eastAsia="en-GB"/>
          </w:rPr>
          <w:tab/>
        </w:r>
        <w:r w:rsidR="001312B7" w:rsidRPr="0085211E">
          <w:rPr>
            <w:rStyle w:val="Hyperlink"/>
            <w:noProof/>
          </w:rPr>
          <w:t>Context</w:t>
        </w:r>
        <w:r w:rsidR="001312B7">
          <w:rPr>
            <w:noProof/>
            <w:webHidden/>
          </w:rPr>
          <w:tab/>
        </w:r>
        <w:r w:rsidR="001312B7">
          <w:rPr>
            <w:noProof/>
            <w:webHidden/>
          </w:rPr>
          <w:fldChar w:fldCharType="begin"/>
        </w:r>
        <w:r w:rsidR="001312B7">
          <w:rPr>
            <w:noProof/>
            <w:webHidden/>
          </w:rPr>
          <w:instrText xml:space="preserve"> PAGEREF _Toc42001366 \h </w:instrText>
        </w:r>
        <w:r w:rsidR="001312B7">
          <w:rPr>
            <w:noProof/>
            <w:webHidden/>
          </w:rPr>
        </w:r>
        <w:r w:rsidR="001312B7">
          <w:rPr>
            <w:noProof/>
            <w:webHidden/>
          </w:rPr>
          <w:fldChar w:fldCharType="separate"/>
        </w:r>
        <w:r w:rsidR="00BF15B1">
          <w:rPr>
            <w:noProof/>
            <w:webHidden/>
          </w:rPr>
          <w:t>1</w:t>
        </w:r>
        <w:r w:rsidR="001312B7">
          <w:rPr>
            <w:noProof/>
            <w:webHidden/>
          </w:rPr>
          <w:fldChar w:fldCharType="end"/>
        </w:r>
      </w:hyperlink>
    </w:p>
    <w:p w14:paraId="2E001E83" w14:textId="2939BE86"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67" w:history="1">
        <w:r w:rsidR="001312B7" w:rsidRPr="0085211E">
          <w:rPr>
            <w:rStyle w:val="Hyperlink"/>
            <w:noProof/>
          </w:rPr>
          <w:t>1.2</w:t>
        </w:r>
        <w:r w:rsidR="001312B7">
          <w:rPr>
            <w:rFonts w:asciiTheme="minorHAnsi" w:hAnsiTheme="minorHAnsi" w:cstheme="minorBidi"/>
            <w:noProof/>
            <w:sz w:val="24"/>
            <w:szCs w:val="24"/>
            <w:lang w:eastAsia="en-GB"/>
          </w:rPr>
          <w:tab/>
        </w:r>
        <w:r w:rsidR="001312B7" w:rsidRPr="0085211E">
          <w:rPr>
            <w:rStyle w:val="Hyperlink"/>
            <w:noProof/>
          </w:rPr>
          <w:t>Objectives</w:t>
        </w:r>
        <w:r w:rsidR="001312B7">
          <w:rPr>
            <w:noProof/>
            <w:webHidden/>
          </w:rPr>
          <w:tab/>
        </w:r>
        <w:r w:rsidR="001312B7">
          <w:rPr>
            <w:noProof/>
            <w:webHidden/>
          </w:rPr>
          <w:fldChar w:fldCharType="begin"/>
        </w:r>
        <w:r w:rsidR="001312B7">
          <w:rPr>
            <w:noProof/>
            <w:webHidden/>
          </w:rPr>
          <w:instrText xml:space="preserve"> PAGEREF _Toc42001367 \h </w:instrText>
        </w:r>
        <w:r w:rsidR="001312B7">
          <w:rPr>
            <w:noProof/>
            <w:webHidden/>
          </w:rPr>
        </w:r>
        <w:r w:rsidR="001312B7">
          <w:rPr>
            <w:noProof/>
            <w:webHidden/>
          </w:rPr>
          <w:fldChar w:fldCharType="separate"/>
        </w:r>
        <w:r w:rsidR="00BF15B1">
          <w:rPr>
            <w:noProof/>
            <w:webHidden/>
          </w:rPr>
          <w:t>2</w:t>
        </w:r>
        <w:r w:rsidR="001312B7">
          <w:rPr>
            <w:noProof/>
            <w:webHidden/>
          </w:rPr>
          <w:fldChar w:fldCharType="end"/>
        </w:r>
      </w:hyperlink>
    </w:p>
    <w:p w14:paraId="559F5B95" w14:textId="188F0071"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68" w:history="1">
        <w:r w:rsidR="001312B7" w:rsidRPr="0085211E">
          <w:rPr>
            <w:rStyle w:val="Hyperlink"/>
            <w:noProof/>
          </w:rPr>
          <w:t>1.3</w:t>
        </w:r>
        <w:r w:rsidR="001312B7">
          <w:rPr>
            <w:rFonts w:asciiTheme="minorHAnsi" w:hAnsiTheme="minorHAnsi" w:cstheme="minorBidi"/>
            <w:noProof/>
            <w:sz w:val="24"/>
            <w:szCs w:val="24"/>
            <w:lang w:eastAsia="en-GB"/>
          </w:rPr>
          <w:tab/>
        </w:r>
        <w:r w:rsidR="001312B7" w:rsidRPr="0085211E">
          <w:rPr>
            <w:rStyle w:val="Hyperlink"/>
            <w:noProof/>
          </w:rPr>
          <w:t>Approach</w:t>
        </w:r>
        <w:r w:rsidR="001312B7">
          <w:rPr>
            <w:noProof/>
            <w:webHidden/>
          </w:rPr>
          <w:tab/>
        </w:r>
        <w:r w:rsidR="001312B7">
          <w:rPr>
            <w:noProof/>
            <w:webHidden/>
          </w:rPr>
          <w:fldChar w:fldCharType="begin"/>
        </w:r>
        <w:r w:rsidR="001312B7">
          <w:rPr>
            <w:noProof/>
            <w:webHidden/>
          </w:rPr>
          <w:instrText xml:space="preserve"> PAGEREF _Toc42001368 \h </w:instrText>
        </w:r>
        <w:r w:rsidR="001312B7">
          <w:rPr>
            <w:noProof/>
            <w:webHidden/>
          </w:rPr>
        </w:r>
        <w:r w:rsidR="001312B7">
          <w:rPr>
            <w:noProof/>
            <w:webHidden/>
          </w:rPr>
          <w:fldChar w:fldCharType="separate"/>
        </w:r>
        <w:r w:rsidR="00BF15B1">
          <w:rPr>
            <w:noProof/>
            <w:webHidden/>
          </w:rPr>
          <w:t>2</w:t>
        </w:r>
        <w:r w:rsidR="001312B7">
          <w:rPr>
            <w:noProof/>
            <w:webHidden/>
          </w:rPr>
          <w:fldChar w:fldCharType="end"/>
        </w:r>
      </w:hyperlink>
    </w:p>
    <w:p w14:paraId="5D8954B8" w14:textId="39C9FD97" w:rsidR="001312B7" w:rsidRDefault="00DF3496">
      <w:pPr>
        <w:pStyle w:val="TOC1"/>
        <w:rPr>
          <w:rFonts w:asciiTheme="minorHAnsi" w:hAnsiTheme="minorHAnsi" w:cstheme="minorBidi"/>
          <w:noProof/>
          <w:sz w:val="24"/>
          <w:szCs w:val="24"/>
          <w:lang w:eastAsia="en-GB"/>
        </w:rPr>
      </w:pPr>
      <w:hyperlink w:anchor="_Toc42001369" w:history="1">
        <w:r w:rsidR="001312B7" w:rsidRPr="0085211E">
          <w:rPr>
            <w:rStyle w:val="Hyperlink"/>
            <w:noProof/>
          </w:rPr>
          <w:t>2</w:t>
        </w:r>
        <w:r w:rsidR="001312B7">
          <w:rPr>
            <w:rFonts w:asciiTheme="minorHAnsi" w:hAnsiTheme="minorHAnsi" w:cstheme="minorBidi"/>
            <w:noProof/>
            <w:sz w:val="24"/>
            <w:szCs w:val="24"/>
            <w:lang w:eastAsia="en-GB"/>
          </w:rPr>
          <w:tab/>
        </w:r>
        <w:r w:rsidR="001312B7" w:rsidRPr="0085211E">
          <w:rPr>
            <w:rStyle w:val="Hyperlink"/>
            <w:noProof/>
          </w:rPr>
          <w:t>Values, current condition and trends</w:t>
        </w:r>
        <w:r w:rsidR="001312B7">
          <w:rPr>
            <w:noProof/>
            <w:webHidden/>
          </w:rPr>
          <w:tab/>
        </w:r>
        <w:r w:rsidR="001312B7">
          <w:rPr>
            <w:noProof/>
            <w:webHidden/>
          </w:rPr>
          <w:fldChar w:fldCharType="begin"/>
        </w:r>
        <w:r w:rsidR="001312B7">
          <w:rPr>
            <w:noProof/>
            <w:webHidden/>
          </w:rPr>
          <w:instrText xml:space="preserve"> PAGEREF _Toc42001369 \h </w:instrText>
        </w:r>
        <w:r w:rsidR="001312B7">
          <w:rPr>
            <w:noProof/>
            <w:webHidden/>
          </w:rPr>
        </w:r>
        <w:r w:rsidR="001312B7">
          <w:rPr>
            <w:noProof/>
            <w:webHidden/>
          </w:rPr>
          <w:fldChar w:fldCharType="separate"/>
        </w:r>
        <w:r w:rsidR="00BF15B1">
          <w:rPr>
            <w:noProof/>
            <w:webHidden/>
          </w:rPr>
          <w:t>3</w:t>
        </w:r>
        <w:r w:rsidR="001312B7">
          <w:rPr>
            <w:noProof/>
            <w:webHidden/>
          </w:rPr>
          <w:fldChar w:fldCharType="end"/>
        </w:r>
      </w:hyperlink>
    </w:p>
    <w:p w14:paraId="7883FEC4" w14:textId="7C8A80B7"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70" w:history="1">
        <w:r w:rsidR="001312B7" w:rsidRPr="0085211E">
          <w:rPr>
            <w:rStyle w:val="Hyperlink"/>
            <w:noProof/>
          </w:rPr>
          <w:t>2.1</w:t>
        </w:r>
        <w:r w:rsidR="001312B7">
          <w:rPr>
            <w:rFonts w:asciiTheme="minorHAnsi" w:hAnsiTheme="minorHAnsi" w:cstheme="minorBidi"/>
            <w:noProof/>
            <w:sz w:val="24"/>
            <w:szCs w:val="24"/>
            <w:lang w:eastAsia="en-GB"/>
          </w:rPr>
          <w:tab/>
        </w:r>
        <w:r w:rsidR="001312B7" w:rsidRPr="0085211E">
          <w:rPr>
            <w:rStyle w:val="Hyperlink"/>
            <w:noProof/>
          </w:rPr>
          <w:t>Which aquatic ecosystems could be affected?</w:t>
        </w:r>
        <w:r w:rsidR="001312B7">
          <w:rPr>
            <w:noProof/>
            <w:webHidden/>
          </w:rPr>
          <w:tab/>
        </w:r>
        <w:r w:rsidR="001312B7">
          <w:rPr>
            <w:noProof/>
            <w:webHidden/>
          </w:rPr>
          <w:fldChar w:fldCharType="begin"/>
        </w:r>
        <w:r w:rsidR="001312B7">
          <w:rPr>
            <w:noProof/>
            <w:webHidden/>
          </w:rPr>
          <w:instrText xml:space="preserve"> PAGEREF _Toc42001370 \h </w:instrText>
        </w:r>
        <w:r w:rsidR="001312B7">
          <w:rPr>
            <w:noProof/>
            <w:webHidden/>
          </w:rPr>
        </w:r>
        <w:r w:rsidR="001312B7">
          <w:rPr>
            <w:noProof/>
            <w:webHidden/>
          </w:rPr>
          <w:fldChar w:fldCharType="separate"/>
        </w:r>
        <w:r w:rsidR="00BF15B1">
          <w:rPr>
            <w:noProof/>
            <w:webHidden/>
          </w:rPr>
          <w:t>3</w:t>
        </w:r>
        <w:r w:rsidR="001312B7">
          <w:rPr>
            <w:noProof/>
            <w:webHidden/>
          </w:rPr>
          <w:fldChar w:fldCharType="end"/>
        </w:r>
      </w:hyperlink>
    </w:p>
    <w:p w14:paraId="7AD1A2EE" w14:textId="7EE6AC4E" w:rsidR="001312B7" w:rsidRDefault="00DF3496">
      <w:pPr>
        <w:pStyle w:val="TOC3"/>
        <w:tabs>
          <w:tab w:val="right" w:leader="dot" w:pos="8290"/>
        </w:tabs>
        <w:rPr>
          <w:rFonts w:asciiTheme="minorHAnsi" w:hAnsiTheme="minorHAnsi" w:cstheme="minorBidi"/>
          <w:noProof/>
          <w:sz w:val="24"/>
          <w:szCs w:val="24"/>
          <w:lang w:eastAsia="en-GB"/>
        </w:rPr>
      </w:pPr>
      <w:hyperlink r:id="rId9" w:anchor="_Toc42001371" w:history="1">
        <w:r w:rsidR="001312B7" w:rsidRPr="0085211E">
          <w:rPr>
            <w:rStyle w:val="Hyperlink"/>
            <w:noProof/>
          </w:rPr>
          <w:t>Why do the Gippsland Lakes need to be considered in the LVRWS?</w:t>
        </w:r>
        <w:r w:rsidR="001312B7">
          <w:rPr>
            <w:noProof/>
            <w:webHidden/>
          </w:rPr>
          <w:tab/>
        </w:r>
        <w:r w:rsidR="001312B7">
          <w:rPr>
            <w:noProof/>
            <w:webHidden/>
          </w:rPr>
          <w:fldChar w:fldCharType="begin"/>
        </w:r>
        <w:r w:rsidR="001312B7">
          <w:rPr>
            <w:noProof/>
            <w:webHidden/>
          </w:rPr>
          <w:instrText xml:space="preserve"> PAGEREF _Toc42001371 \h </w:instrText>
        </w:r>
        <w:r w:rsidR="001312B7">
          <w:rPr>
            <w:noProof/>
            <w:webHidden/>
          </w:rPr>
        </w:r>
        <w:r w:rsidR="001312B7">
          <w:rPr>
            <w:noProof/>
            <w:webHidden/>
          </w:rPr>
          <w:fldChar w:fldCharType="separate"/>
        </w:r>
        <w:r w:rsidR="00BF15B1">
          <w:rPr>
            <w:noProof/>
            <w:webHidden/>
          </w:rPr>
          <w:t>4</w:t>
        </w:r>
        <w:r w:rsidR="001312B7">
          <w:rPr>
            <w:noProof/>
            <w:webHidden/>
          </w:rPr>
          <w:fldChar w:fldCharType="end"/>
        </w:r>
      </w:hyperlink>
    </w:p>
    <w:p w14:paraId="57647CDF" w14:textId="60B462EA"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72" w:history="1">
        <w:r w:rsidR="001312B7" w:rsidRPr="0085211E">
          <w:rPr>
            <w:rStyle w:val="Hyperlink"/>
            <w:noProof/>
          </w:rPr>
          <w:t>2.2</w:t>
        </w:r>
        <w:r w:rsidR="001312B7">
          <w:rPr>
            <w:rFonts w:asciiTheme="minorHAnsi" w:hAnsiTheme="minorHAnsi" w:cstheme="minorBidi"/>
            <w:noProof/>
            <w:sz w:val="24"/>
            <w:szCs w:val="24"/>
            <w:lang w:eastAsia="en-GB"/>
          </w:rPr>
          <w:tab/>
        </w:r>
        <w:r w:rsidR="001312B7" w:rsidRPr="0085211E">
          <w:rPr>
            <w:rStyle w:val="Hyperlink"/>
            <w:noProof/>
          </w:rPr>
          <w:t>Hydrology</w:t>
        </w:r>
        <w:r w:rsidR="001312B7">
          <w:rPr>
            <w:noProof/>
            <w:webHidden/>
          </w:rPr>
          <w:tab/>
        </w:r>
        <w:r w:rsidR="001312B7">
          <w:rPr>
            <w:noProof/>
            <w:webHidden/>
          </w:rPr>
          <w:fldChar w:fldCharType="begin"/>
        </w:r>
        <w:r w:rsidR="001312B7">
          <w:rPr>
            <w:noProof/>
            <w:webHidden/>
          </w:rPr>
          <w:instrText xml:space="preserve"> PAGEREF _Toc42001372 \h </w:instrText>
        </w:r>
        <w:r w:rsidR="001312B7">
          <w:rPr>
            <w:noProof/>
            <w:webHidden/>
          </w:rPr>
        </w:r>
        <w:r w:rsidR="001312B7">
          <w:rPr>
            <w:noProof/>
            <w:webHidden/>
          </w:rPr>
          <w:fldChar w:fldCharType="separate"/>
        </w:r>
        <w:r w:rsidR="00BF15B1">
          <w:rPr>
            <w:noProof/>
            <w:webHidden/>
          </w:rPr>
          <w:t>5</w:t>
        </w:r>
        <w:r w:rsidR="001312B7">
          <w:rPr>
            <w:noProof/>
            <w:webHidden/>
          </w:rPr>
          <w:fldChar w:fldCharType="end"/>
        </w:r>
      </w:hyperlink>
    </w:p>
    <w:p w14:paraId="45174CF4" w14:textId="55768F03"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73" w:history="1">
        <w:r w:rsidR="001312B7" w:rsidRPr="0085211E">
          <w:rPr>
            <w:rStyle w:val="Hyperlink"/>
            <w:noProof/>
          </w:rPr>
          <w:t>2.2.1</w:t>
        </w:r>
        <w:r w:rsidR="001312B7">
          <w:rPr>
            <w:rFonts w:asciiTheme="minorHAnsi" w:hAnsiTheme="minorHAnsi" w:cstheme="minorBidi"/>
            <w:noProof/>
            <w:sz w:val="24"/>
            <w:szCs w:val="24"/>
            <w:lang w:eastAsia="en-GB"/>
          </w:rPr>
          <w:tab/>
        </w:r>
        <w:r w:rsidR="001312B7" w:rsidRPr="0085211E">
          <w:rPr>
            <w:rStyle w:val="Hyperlink"/>
            <w:noProof/>
          </w:rPr>
          <w:t>Riverine systems</w:t>
        </w:r>
        <w:r w:rsidR="001312B7">
          <w:rPr>
            <w:noProof/>
            <w:webHidden/>
          </w:rPr>
          <w:tab/>
        </w:r>
        <w:r w:rsidR="001312B7">
          <w:rPr>
            <w:noProof/>
            <w:webHidden/>
          </w:rPr>
          <w:fldChar w:fldCharType="begin"/>
        </w:r>
        <w:r w:rsidR="001312B7">
          <w:rPr>
            <w:noProof/>
            <w:webHidden/>
          </w:rPr>
          <w:instrText xml:space="preserve"> PAGEREF _Toc42001373 \h </w:instrText>
        </w:r>
        <w:r w:rsidR="001312B7">
          <w:rPr>
            <w:noProof/>
            <w:webHidden/>
          </w:rPr>
        </w:r>
        <w:r w:rsidR="001312B7">
          <w:rPr>
            <w:noProof/>
            <w:webHidden/>
          </w:rPr>
          <w:fldChar w:fldCharType="separate"/>
        </w:r>
        <w:r w:rsidR="00BF15B1">
          <w:rPr>
            <w:noProof/>
            <w:webHidden/>
          </w:rPr>
          <w:t>5</w:t>
        </w:r>
        <w:r w:rsidR="001312B7">
          <w:rPr>
            <w:noProof/>
            <w:webHidden/>
          </w:rPr>
          <w:fldChar w:fldCharType="end"/>
        </w:r>
      </w:hyperlink>
    </w:p>
    <w:p w14:paraId="29F01398" w14:textId="3E43901D"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74" w:history="1">
        <w:r w:rsidR="001312B7" w:rsidRPr="0085211E">
          <w:rPr>
            <w:rStyle w:val="Hyperlink"/>
            <w:noProof/>
          </w:rPr>
          <w:t>2.2.2</w:t>
        </w:r>
        <w:r w:rsidR="001312B7">
          <w:rPr>
            <w:rFonts w:asciiTheme="minorHAnsi" w:hAnsiTheme="minorHAnsi" w:cstheme="minorBidi"/>
            <w:noProof/>
            <w:sz w:val="24"/>
            <w:szCs w:val="24"/>
            <w:lang w:eastAsia="en-GB"/>
          </w:rPr>
          <w:tab/>
        </w:r>
        <w:r w:rsidR="001312B7" w:rsidRPr="0085211E">
          <w:rPr>
            <w:rStyle w:val="Hyperlink"/>
            <w:noProof/>
          </w:rPr>
          <w:t>Wetlands</w:t>
        </w:r>
        <w:r w:rsidR="001312B7">
          <w:rPr>
            <w:noProof/>
            <w:webHidden/>
          </w:rPr>
          <w:tab/>
        </w:r>
        <w:r w:rsidR="001312B7">
          <w:rPr>
            <w:noProof/>
            <w:webHidden/>
          </w:rPr>
          <w:fldChar w:fldCharType="begin"/>
        </w:r>
        <w:r w:rsidR="001312B7">
          <w:rPr>
            <w:noProof/>
            <w:webHidden/>
          </w:rPr>
          <w:instrText xml:space="preserve"> PAGEREF _Toc42001374 \h </w:instrText>
        </w:r>
        <w:r w:rsidR="001312B7">
          <w:rPr>
            <w:noProof/>
            <w:webHidden/>
          </w:rPr>
        </w:r>
        <w:r w:rsidR="001312B7">
          <w:rPr>
            <w:noProof/>
            <w:webHidden/>
          </w:rPr>
          <w:fldChar w:fldCharType="separate"/>
        </w:r>
        <w:r w:rsidR="00BF15B1">
          <w:rPr>
            <w:noProof/>
            <w:webHidden/>
          </w:rPr>
          <w:t>7</w:t>
        </w:r>
        <w:r w:rsidR="001312B7">
          <w:rPr>
            <w:noProof/>
            <w:webHidden/>
          </w:rPr>
          <w:fldChar w:fldCharType="end"/>
        </w:r>
      </w:hyperlink>
    </w:p>
    <w:p w14:paraId="7A2C77B8" w14:textId="331C834C"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75" w:history="1">
        <w:r w:rsidR="001312B7" w:rsidRPr="0085211E">
          <w:rPr>
            <w:rStyle w:val="Hyperlink"/>
            <w:noProof/>
          </w:rPr>
          <w:t>2.2.3</w:t>
        </w:r>
        <w:r w:rsidR="001312B7">
          <w:rPr>
            <w:rFonts w:asciiTheme="minorHAnsi" w:hAnsiTheme="minorHAnsi" w:cstheme="minorBidi"/>
            <w:noProof/>
            <w:sz w:val="24"/>
            <w:szCs w:val="24"/>
            <w:lang w:eastAsia="en-GB"/>
          </w:rPr>
          <w:tab/>
        </w:r>
        <w:r w:rsidR="001312B7" w:rsidRPr="0085211E">
          <w:rPr>
            <w:rStyle w:val="Hyperlink"/>
            <w:noProof/>
          </w:rPr>
          <w:t>Lake Wellington</w:t>
        </w:r>
        <w:r w:rsidR="001312B7">
          <w:rPr>
            <w:noProof/>
            <w:webHidden/>
          </w:rPr>
          <w:tab/>
        </w:r>
        <w:r w:rsidR="001312B7">
          <w:rPr>
            <w:noProof/>
            <w:webHidden/>
          </w:rPr>
          <w:fldChar w:fldCharType="begin"/>
        </w:r>
        <w:r w:rsidR="001312B7">
          <w:rPr>
            <w:noProof/>
            <w:webHidden/>
          </w:rPr>
          <w:instrText xml:space="preserve"> PAGEREF _Toc42001375 \h </w:instrText>
        </w:r>
        <w:r w:rsidR="001312B7">
          <w:rPr>
            <w:noProof/>
            <w:webHidden/>
          </w:rPr>
        </w:r>
        <w:r w:rsidR="001312B7">
          <w:rPr>
            <w:noProof/>
            <w:webHidden/>
          </w:rPr>
          <w:fldChar w:fldCharType="separate"/>
        </w:r>
        <w:r w:rsidR="00BF15B1">
          <w:rPr>
            <w:noProof/>
            <w:webHidden/>
          </w:rPr>
          <w:t>8</w:t>
        </w:r>
        <w:r w:rsidR="001312B7">
          <w:rPr>
            <w:noProof/>
            <w:webHidden/>
          </w:rPr>
          <w:fldChar w:fldCharType="end"/>
        </w:r>
      </w:hyperlink>
    </w:p>
    <w:p w14:paraId="16F9D551" w14:textId="7506091D"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76" w:history="1">
        <w:r w:rsidR="001312B7" w:rsidRPr="0085211E">
          <w:rPr>
            <w:rStyle w:val="Hyperlink"/>
            <w:noProof/>
          </w:rPr>
          <w:t>2.3</w:t>
        </w:r>
        <w:r w:rsidR="001312B7">
          <w:rPr>
            <w:rFonts w:asciiTheme="minorHAnsi" w:hAnsiTheme="minorHAnsi" w:cstheme="minorBidi"/>
            <w:noProof/>
            <w:sz w:val="24"/>
            <w:szCs w:val="24"/>
            <w:lang w:eastAsia="en-GB"/>
          </w:rPr>
          <w:tab/>
        </w:r>
        <w:r w:rsidR="001312B7" w:rsidRPr="0085211E">
          <w:rPr>
            <w:rStyle w:val="Hyperlink"/>
            <w:noProof/>
          </w:rPr>
          <w:t>Geomorphology</w:t>
        </w:r>
        <w:r w:rsidR="001312B7">
          <w:rPr>
            <w:noProof/>
            <w:webHidden/>
          </w:rPr>
          <w:tab/>
        </w:r>
        <w:r w:rsidR="001312B7">
          <w:rPr>
            <w:noProof/>
            <w:webHidden/>
          </w:rPr>
          <w:fldChar w:fldCharType="begin"/>
        </w:r>
        <w:r w:rsidR="001312B7">
          <w:rPr>
            <w:noProof/>
            <w:webHidden/>
          </w:rPr>
          <w:instrText xml:space="preserve"> PAGEREF _Toc42001376 \h </w:instrText>
        </w:r>
        <w:r w:rsidR="001312B7">
          <w:rPr>
            <w:noProof/>
            <w:webHidden/>
          </w:rPr>
        </w:r>
        <w:r w:rsidR="001312B7">
          <w:rPr>
            <w:noProof/>
            <w:webHidden/>
          </w:rPr>
          <w:fldChar w:fldCharType="separate"/>
        </w:r>
        <w:r w:rsidR="00BF15B1">
          <w:rPr>
            <w:noProof/>
            <w:webHidden/>
          </w:rPr>
          <w:t>9</w:t>
        </w:r>
        <w:r w:rsidR="001312B7">
          <w:rPr>
            <w:noProof/>
            <w:webHidden/>
          </w:rPr>
          <w:fldChar w:fldCharType="end"/>
        </w:r>
      </w:hyperlink>
    </w:p>
    <w:p w14:paraId="0979477E" w14:textId="0EDFE4E5"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77" w:history="1">
        <w:r w:rsidR="001312B7" w:rsidRPr="0085211E">
          <w:rPr>
            <w:rStyle w:val="Hyperlink"/>
            <w:noProof/>
          </w:rPr>
          <w:t>2.4</w:t>
        </w:r>
        <w:r w:rsidR="001312B7">
          <w:rPr>
            <w:rFonts w:asciiTheme="minorHAnsi" w:hAnsiTheme="minorHAnsi" w:cstheme="minorBidi"/>
            <w:noProof/>
            <w:sz w:val="24"/>
            <w:szCs w:val="24"/>
            <w:lang w:eastAsia="en-GB"/>
          </w:rPr>
          <w:tab/>
        </w:r>
        <w:r w:rsidR="001312B7" w:rsidRPr="0085211E">
          <w:rPr>
            <w:rStyle w:val="Hyperlink"/>
            <w:noProof/>
          </w:rPr>
          <w:t>Water quality</w:t>
        </w:r>
        <w:r w:rsidR="001312B7">
          <w:rPr>
            <w:noProof/>
            <w:webHidden/>
          </w:rPr>
          <w:tab/>
        </w:r>
        <w:r w:rsidR="001312B7">
          <w:rPr>
            <w:noProof/>
            <w:webHidden/>
          </w:rPr>
          <w:fldChar w:fldCharType="begin"/>
        </w:r>
        <w:r w:rsidR="001312B7">
          <w:rPr>
            <w:noProof/>
            <w:webHidden/>
          </w:rPr>
          <w:instrText xml:space="preserve"> PAGEREF _Toc42001377 \h </w:instrText>
        </w:r>
        <w:r w:rsidR="001312B7">
          <w:rPr>
            <w:noProof/>
            <w:webHidden/>
          </w:rPr>
        </w:r>
        <w:r w:rsidR="001312B7">
          <w:rPr>
            <w:noProof/>
            <w:webHidden/>
          </w:rPr>
          <w:fldChar w:fldCharType="separate"/>
        </w:r>
        <w:r w:rsidR="00BF15B1">
          <w:rPr>
            <w:noProof/>
            <w:webHidden/>
          </w:rPr>
          <w:t>11</w:t>
        </w:r>
        <w:r w:rsidR="001312B7">
          <w:rPr>
            <w:noProof/>
            <w:webHidden/>
          </w:rPr>
          <w:fldChar w:fldCharType="end"/>
        </w:r>
      </w:hyperlink>
    </w:p>
    <w:p w14:paraId="0CB84FB2" w14:textId="09C31760"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78" w:history="1">
        <w:r w:rsidR="001312B7" w:rsidRPr="0085211E">
          <w:rPr>
            <w:rStyle w:val="Hyperlink"/>
            <w:noProof/>
          </w:rPr>
          <w:t>2.4.1</w:t>
        </w:r>
        <w:r w:rsidR="001312B7">
          <w:rPr>
            <w:rFonts w:asciiTheme="minorHAnsi" w:hAnsiTheme="minorHAnsi" w:cstheme="minorBidi"/>
            <w:noProof/>
            <w:sz w:val="24"/>
            <w:szCs w:val="24"/>
            <w:lang w:eastAsia="en-GB"/>
          </w:rPr>
          <w:tab/>
        </w:r>
        <w:r w:rsidR="001312B7" w:rsidRPr="0085211E">
          <w:rPr>
            <w:rStyle w:val="Hyperlink"/>
            <w:noProof/>
          </w:rPr>
          <w:t>Riverine systems</w:t>
        </w:r>
        <w:r w:rsidR="001312B7">
          <w:rPr>
            <w:noProof/>
            <w:webHidden/>
          </w:rPr>
          <w:tab/>
        </w:r>
        <w:r w:rsidR="001312B7">
          <w:rPr>
            <w:noProof/>
            <w:webHidden/>
          </w:rPr>
          <w:fldChar w:fldCharType="begin"/>
        </w:r>
        <w:r w:rsidR="001312B7">
          <w:rPr>
            <w:noProof/>
            <w:webHidden/>
          </w:rPr>
          <w:instrText xml:space="preserve"> PAGEREF _Toc42001378 \h </w:instrText>
        </w:r>
        <w:r w:rsidR="001312B7">
          <w:rPr>
            <w:noProof/>
            <w:webHidden/>
          </w:rPr>
        </w:r>
        <w:r w:rsidR="001312B7">
          <w:rPr>
            <w:noProof/>
            <w:webHidden/>
          </w:rPr>
          <w:fldChar w:fldCharType="separate"/>
        </w:r>
        <w:r w:rsidR="00BF15B1">
          <w:rPr>
            <w:noProof/>
            <w:webHidden/>
          </w:rPr>
          <w:t>11</w:t>
        </w:r>
        <w:r w:rsidR="001312B7">
          <w:rPr>
            <w:noProof/>
            <w:webHidden/>
          </w:rPr>
          <w:fldChar w:fldCharType="end"/>
        </w:r>
      </w:hyperlink>
    </w:p>
    <w:p w14:paraId="15D60581" w14:textId="55E729A6"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79" w:history="1">
        <w:r w:rsidR="001312B7" w:rsidRPr="0085211E">
          <w:rPr>
            <w:rStyle w:val="Hyperlink"/>
            <w:noProof/>
          </w:rPr>
          <w:t>2.4.2</w:t>
        </w:r>
        <w:r w:rsidR="001312B7">
          <w:rPr>
            <w:rFonts w:asciiTheme="minorHAnsi" w:hAnsiTheme="minorHAnsi" w:cstheme="minorBidi"/>
            <w:noProof/>
            <w:sz w:val="24"/>
            <w:szCs w:val="24"/>
            <w:lang w:eastAsia="en-GB"/>
          </w:rPr>
          <w:tab/>
        </w:r>
        <w:r w:rsidR="001312B7" w:rsidRPr="0085211E">
          <w:rPr>
            <w:rStyle w:val="Hyperlink"/>
            <w:noProof/>
          </w:rPr>
          <w:t>Wetlands</w:t>
        </w:r>
        <w:r w:rsidR="001312B7">
          <w:rPr>
            <w:noProof/>
            <w:webHidden/>
          </w:rPr>
          <w:tab/>
        </w:r>
        <w:r w:rsidR="001312B7">
          <w:rPr>
            <w:noProof/>
            <w:webHidden/>
          </w:rPr>
          <w:fldChar w:fldCharType="begin"/>
        </w:r>
        <w:r w:rsidR="001312B7">
          <w:rPr>
            <w:noProof/>
            <w:webHidden/>
          </w:rPr>
          <w:instrText xml:space="preserve"> PAGEREF _Toc42001379 \h </w:instrText>
        </w:r>
        <w:r w:rsidR="001312B7">
          <w:rPr>
            <w:noProof/>
            <w:webHidden/>
          </w:rPr>
        </w:r>
        <w:r w:rsidR="001312B7">
          <w:rPr>
            <w:noProof/>
            <w:webHidden/>
          </w:rPr>
          <w:fldChar w:fldCharType="separate"/>
        </w:r>
        <w:r w:rsidR="00BF15B1">
          <w:rPr>
            <w:noProof/>
            <w:webHidden/>
          </w:rPr>
          <w:t>13</w:t>
        </w:r>
        <w:r w:rsidR="001312B7">
          <w:rPr>
            <w:noProof/>
            <w:webHidden/>
          </w:rPr>
          <w:fldChar w:fldCharType="end"/>
        </w:r>
      </w:hyperlink>
    </w:p>
    <w:p w14:paraId="4E9DF549" w14:textId="45B6AE23"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80" w:history="1">
        <w:r w:rsidR="001312B7" w:rsidRPr="0085211E">
          <w:rPr>
            <w:rStyle w:val="Hyperlink"/>
            <w:noProof/>
          </w:rPr>
          <w:t>2.4.3</w:t>
        </w:r>
        <w:r w:rsidR="001312B7">
          <w:rPr>
            <w:rFonts w:asciiTheme="minorHAnsi" w:hAnsiTheme="minorHAnsi" w:cstheme="minorBidi"/>
            <w:noProof/>
            <w:sz w:val="24"/>
            <w:szCs w:val="24"/>
            <w:lang w:eastAsia="en-GB"/>
          </w:rPr>
          <w:tab/>
        </w:r>
        <w:r w:rsidR="001312B7" w:rsidRPr="0085211E">
          <w:rPr>
            <w:rStyle w:val="Hyperlink"/>
            <w:noProof/>
          </w:rPr>
          <w:t>Lake Wellington</w:t>
        </w:r>
        <w:r w:rsidR="001312B7">
          <w:rPr>
            <w:noProof/>
            <w:webHidden/>
          </w:rPr>
          <w:tab/>
        </w:r>
        <w:r w:rsidR="001312B7">
          <w:rPr>
            <w:noProof/>
            <w:webHidden/>
          </w:rPr>
          <w:fldChar w:fldCharType="begin"/>
        </w:r>
        <w:r w:rsidR="001312B7">
          <w:rPr>
            <w:noProof/>
            <w:webHidden/>
          </w:rPr>
          <w:instrText xml:space="preserve"> PAGEREF _Toc42001380 \h </w:instrText>
        </w:r>
        <w:r w:rsidR="001312B7">
          <w:rPr>
            <w:noProof/>
            <w:webHidden/>
          </w:rPr>
        </w:r>
        <w:r w:rsidR="001312B7">
          <w:rPr>
            <w:noProof/>
            <w:webHidden/>
          </w:rPr>
          <w:fldChar w:fldCharType="separate"/>
        </w:r>
        <w:r w:rsidR="00BF15B1">
          <w:rPr>
            <w:noProof/>
            <w:webHidden/>
          </w:rPr>
          <w:t>13</w:t>
        </w:r>
        <w:r w:rsidR="001312B7">
          <w:rPr>
            <w:noProof/>
            <w:webHidden/>
          </w:rPr>
          <w:fldChar w:fldCharType="end"/>
        </w:r>
      </w:hyperlink>
    </w:p>
    <w:p w14:paraId="1CD7E00B" w14:textId="0D7CCB83"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81" w:history="1">
        <w:r w:rsidR="001312B7" w:rsidRPr="0085211E">
          <w:rPr>
            <w:rStyle w:val="Hyperlink"/>
            <w:noProof/>
          </w:rPr>
          <w:t>2.5</w:t>
        </w:r>
        <w:r w:rsidR="001312B7">
          <w:rPr>
            <w:rFonts w:asciiTheme="minorHAnsi" w:hAnsiTheme="minorHAnsi" w:cstheme="minorBidi"/>
            <w:noProof/>
            <w:sz w:val="24"/>
            <w:szCs w:val="24"/>
            <w:lang w:eastAsia="en-GB"/>
          </w:rPr>
          <w:tab/>
        </w:r>
        <w:r w:rsidR="001312B7" w:rsidRPr="0085211E">
          <w:rPr>
            <w:rStyle w:val="Hyperlink"/>
            <w:noProof/>
          </w:rPr>
          <w:t>Vegetation</w:t>
        </w:r>
        <w:r w:rsidR="001312B7">
          <w:rPr>
            <w:noProof/>
            <w:webHidden/>
          </w:rPr>
          <w:tab/>
        </w:r>
        <w:r w:rsidR="001312B7">
          <w:rPr>
            <w:noProof/>
            <w:webHidden/>
          </w:rPr>
          <w:fldChar w:fldCharType="begin"/>
        </w:r>
        <w:r w:rsidR="001312B7">
          <w:rPr>
            <w:noProof/>
            <w:webHidden/>
          </w:rPr>
          <w:instrText xml:space="preserve"> PAGEREF _Toc42001381 \h </w:instrText>
        </w:r>
        <w:r w:rsidR="001312B7">
          <w:rPr>
            <w:noProof/>
            <w:webHidden/>
          </w:rPr>
        </w:r>
        <w:r w:rsidR="001312B7">
          <w:rPr>
            <w:noProof/>
            <w:webHidden/>
          </w:rPr>
          <w:fldChar w:fldCharType="separate"/>
        </w:r>
        <w:r w:rsidR="00BF15B1">
          <w:rPr>
            <w:noProof/>
            <w:webHidden/>
          </w:rPr>
          <w:t>14</w:t>
        </w:r>
        <w:r w:rsidR="001312B7">
          <w:rPr>
            <w:noProof/>
            <w:webHidden/>
          </w:rPr>
          <w:fldChar w:fldCharType="end"/>
        </w:r>
      </w:hyperlink>
    </w:p>
    <w:p w14:paraId="20BAB667" w14:textId="6F8BCA40"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82" w:history="1">
        <w:r w:rsidR="001312B7" w:rsidRPr="0085211E">
          <w:rPr>
            <w:rStyle w:val="Hyperlink"/>
            <w:noProof/>
          </w:rPr>
          <w:t>2.5.1</w:t>
        </w:r>
        <w:r w:rsidR="001312B7">
          <w:rPr>
            <w:rFonts w:asciiTheme="minorHAnsi" w:hAnsiTheme="minorHAnsi" w:cstheme="minorBidi"/>
            <w:noProof/>
            <w:sz w:val="24"/>
            <w:szCs w:val="24"/>
            <w:lang w:eastAsia="en-GB"/>
          </w:rPr>
          <w:tab/>
        </w:r>
        <w:r w:rsidR="001312B7" w:rsidRPr="0085211E">
          <w:rPr>
            <w:rStyle w:val="Hyperlink"/>
            <w:noProof/>
          </w:rPr>
          <w:t>Riverine vegetation</w:t>
        </w:r>
        <w:r w:rsidR="001312B7">
          <w:rPr>
            <w:noProof/>
            <w:webHidden/>
          </w:rPr>
          <w:tab/>
        </w:r>
        <w:r w:rsidR="001312B7">
          <w:rPr>
            <w:noProof/>
            <w:webHidden/>
          </w:rPr>
          <w:fldChar w:fldCharType="begin"/>
        </w:r>
        <w:r w:rsidR="001312B7">
          <w:rPr>
            <w:noProof/>
            <w:webHidden/>
          </w:rPr>
          <w:instrText xml:space="preserve"> PAGEREF _Toc42001382 \h </w:instrText>
        </w:r>
        <w:r w:rsidR="001312B7">
          <w:rPr>
            <w:noProof/>
            <w:webHidden/>
          </w:rPr>
        </w:r>
        <w:r w:rsidR="001312B7">
          <w:rPr>
            <w:noProof/>
            <w:webHidden/>
          </w:rPr>
          <w:fldChar w:fldCharType="separate"/>
        </w:r>
        <w:r w:rsidR="00BF15B1">
          <w:rPr>
            <w:noProof/>
            <w:webHidden/>
          </w:rPr>
          <w:t>15</w:t>
        </w:r>
        <w:r w:rsidR="001312B7">
          <w:rPr>
            <w:noProof/>
            <w:webHidden/>
          </w:rPr>
          <w:fldChar w:fldCharType="end"/>
        </w:r>
      </w:hyperlink>
    </w:p>
    <w:p w14:paraId="35F44DEF" w14:textId="4B758AC1"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83" w:history="1">
        <w:r w:rsidR="001312B7" w:rsidRPr="0085211E">
          <w:rPr>
            <w:rStyle w:val="Hyperlink"/>
            <w:noProof/>
          </w:rPr>
          <w:t>2.5.2</w:t>
        </w:r>
        <w:r w:rsidR="001312B7">
          <w:rPr>
            <w:rFonts w:asciiTheme="minorHAnsi" w:hAnsiTheme="minorHAnsi" w:cstheme="minorBidi"/>
            <w:noProof/>
            <w:sz w:val="24"/>
            <w:szCs w:val="24"/>
            <w:lang w:eastAsia="en-GB"/>
          </w:rPr>
          <w:tab/>
        </w:r>
        <w:r w:rsidR="001312B7" w:rsidRPr="0085211E">
          <w:rPr>
            <w:rStyle w:val="Hyperlink"/>
            <w:noProof/>
          </w:rPr>
          <w:t>Wetland vegetation</w:t>
        </w:r>
        <w:r w:rsidR="001312B7">
          <w:rPr>
            <w:noProof/>
            <w:webHidden/>
          </w:rPr>
          <w:tab/>
        </w:r>
        <w:r w:rsidR="001312B7">
          <w:rPr>
            <w:noProof/>
            <w:webHidden/>
          </w:rPr>
          <w:fldChar w:fldCharType="begin"/>
        </w:r>
        <w:r w:rsidR="001312B7">
          <w:rPr>
            <w:noProof/>
            <w:webHidden/>
          </w:rPr>
          <w:instrText xml:space="preserve"> PAGEREF _Toc42001383 \h </w:instrText>
        </w:r>
        <w:r w:rsidR="001312B7">
          <w:rPr>
            <w:noProof/>
            <w:webHidden/>
          </w:rPr>
        </w:r>
        <w:r w:rsidR="001312B7">
          <w:rPr>
            <w:noProof/>
            <w:webHidden/>
          </w:rPr>
          <w:fldChar w:fldCharType="separate"/>
        </w:r>
        <w:r w:rsidR="00BF15B1">
          <w:rPr>
            <w:noProof/>
            <w:webHidden/>
          </w:rPr>
          <w:t>16</w:t>
        </w:r>
        <w:r w:rsidR="001312B7">
          <w:rPr>
            <w:noProof/>
            <w:webHidden/>
          </w:rPr>
          <w:fldChar w:fldCharType="end"/>
        </w:r>
      </w:hyperlink>
    </w:p>
    <w:p w14:paraId="785E8C5C" w14:textId="267A07D3"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84" w:history="1">
        <w:r w:rsidR="001312B7" w:rsidRPr="0085211E">
          <w:rPr>
            <w:rStyle w:val="Hyperlink"/>
            <w:noProof/>
          </w:rPr>
          <w:t>2.5.3</w:t>
        </w:r>
        <w:r w:rsidR="001312B7">
          <w:rPr>
            <w:rFonts w:asciiTheme="minorHAnsi" w:hAnsiTheme="minorHAnsi" w:cstheme="minorBidi"/>
            <w:noProof/>
            <w:sz w:val="24"/>
            <w:szCs w:val="24"/>
            <w:lang w:eastAsia="en-GB"/>
          </w:rPr>
          <w:tab/>
        </w:r>
        <w:r w:rsidR="001312B7" w:rsidRPr="0085211E">
          <w:rPr>
            <w:rStyle w:val="Hyperlink"/>
            <w:noProof/>
          </w:rPr>
          <w:t>Littoral vegetation at Lake Wellington</w:t>
        </w:r>
        <w:r w:rsidR="001312B7">
          <w:rPr>
            <w:noProof/>
            <w:webHidden/>
          </w:rPr>
          <w:tab/>
        </w:r>
        <w:r w:rsidR="001312B7">
          <w:rPr>
            <w:noProof/>
            <w:webHidden/>
          </w:rPr>
          <w:fldChar w:fldCharType="begin"/>
        </w:r>
        <w:r w:rsidR="001312B7">
          <w:rPr>
            <w:noProof/>
            <w:webHidden/>
          </w:rPr>
          <w:instrText xml:space="preserve"> PAGEREF _Toc42001384 \h </w:instrText>
        </w:r>
        <w:r w:rsidR="001312B7">
          <w:rPr>
            <w:noProof/>
            <w:webHidden/>
          </w:rPr>
        </w:r>
        <w:r w:rsidR="001312B7">
          <w:rPr>
            <w:noProof/>
            <w:webHidden/>
          </w:rPr>
          <w:fldChar w:fldCharType="separate"/>
        </w:r>
        <w:r w:rsidR="00BF15B1">
          <w:rPr>
            <w:noProof/>
            <w:webHidden/>
          </w:rPr>
          <w:t>18</w:t>
        </w:r>
        <w:r w:rsidR="001312B7">
          <w:rPr>
            <w:noProof/>
            <w:webHidden/>
          </w:rPr>
          <w:fldChar w:fldCharType="end"/>
        </w:r>
      </w:hyperlink>
    </w:p>
    <w:p w14:paraId="5E3B8AA6" w14:textId="1A2309AC"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85" w:history="1">
        <w:r w:rsidR="001312B7" w:rsidRPr="0085211E">
          <w:rPr>
            <w:rStyle w:val="Hyperlink"/>
            <w:noProof/>
          </w:rPr>
          <w:t>2.6</w:t>
        </w:r>
        <w:r w:rsidR="001312B7">
          <w:rPr>
            <w:rFonts w:asciiTheme="minorHAnsi" w:hAnsiTheme="minorHAnsi" w:cstheme="minorBidi"/>
            <w:noProof/>
            <w:sz w:val="24"/>
            <w:szCs w:val="24"/>
            <w:lang w:eastAsia="en-GB"/>
          </w:rPr>
          <w:tab/>
        </w:r>
        <w:r w:rsidR="001312B7" w:rsidRPr="0085211E">
          <w:rPr>
            <w:rStyle w:val="Hyperlink"/>
            <w:noProof/>
          </w:rPr>
          <w:t>Fauna</w:t>
        </w:r>
        <w:r w:rsidR="001312B7">
          <w:rPr>
            <w:noProof/>
            <w:webHidden/>
          </w:rPr>
          <w:tab/>
        </w:r>
        <w:r w:rsidR="001312B7">
          <w:rPr>
            <w:noProof/>
            <w:webHidden/>
          </w:rPr>
          <w:fldChar w:fldCharType="begin"/>
        </w:r>
        <w:r w:rsidR="001312B7">
          <w:rPr>
            <w:noProof/>
            <w:webHidden/>
          </w:rPr>
          <w:instrText xml:space="preserve"> PAGEREF _Toc42001385 \h </w:instrText>
        </w:r>
        <w:r w:rsidR="001312B7">
          <w:rPr>
            <w:noProof/>
            <w:webHidden/>
          </w:rPr>
        </w:r>
        <w:r w:rsidR="001312B7">
          <w:rPr>
            <w:noProof/>
            <w:webHidden/>
          </w:rPr>
          <w:fldChar w:fldCharType="separate"/>
        </w:r>
        <w:r w:rsidR="00BF15B1">
          <w:rPr>
            <w:noProof/>
            <w:webHidden/>
          </w:rPr>
          <w:t>19</w:t>
        </w:r>
        <w:r w:rsidR="001312B7">
          <w:rPr>
            <w:noProof/>
            <w:webHidden/>
          </w:rPr>
          <w:fldChar w:fldCharType="end"/>
        </w:r>
      </w:hyperlink>
    </w:p>
    <w:p w14:paraId="2D42EB6E" w14:textId="4A429E47"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86" w:history="1">
        <w:r w:rsidR="001312B7" w:rsidRPr="0085211E">
          <w:rPr>
            <w:rStyle w:val="Hyperlink"/>
            <w:noProof/>
          </w:rPr>
          <w:t>2.6.1</w:t>
        </w:r>
        <w:r w:rsidR="001312B7">
          <w:rPr>
            <w:rFonts w:asciiTheme="minorHAnsi" w:hAnsiTheme="minorHAnsi" w:cstheme="minorBidi"/>
            <w:noProof/>
            <w:sz w:val="24"/>
            <w:szCs w:val="24"/>
            <w:lang w:eastAsia="en-GB"/>
          </w:rPr>
          <w:tab/>
        </w:r>
        <w:r w:rsidR="001312B7" w:rsidRPr="0085211E">
          <w:rPr>
            <w:rStyle w:val="Hyperlink"/>
            <w:noProof/>
          </w:rPr>
          <w:t>Fish</w:t>
        </w:r>
        <w:r w:rsidR="001312B7">
          <w:rPr>
            <w:noProof/>
            <w:webHidden/>
          </w:rPr>
          <w:tab/>
        </w:r>
        <w:r w:rsidR="001312B7">
          <w:rPr>
            <w:noProof/>
            <w:webHidden/>
          </w:rPr>
          <w:fldChar w:fldCharType="begin"/>
        </w:r>
        <w:r w:rsidR="001312B7">
          <w:rPr>
            <w:noProof/>
            <w:webHidden/>
          </w:rPr>
          <w:instrText xml:space="preserve"> PAGEREF _Toc42001386 \h </w:instrText>
        </w:r>
        <w:r w:rsidR="001312B7">
          <w:rPr>
            <w:noProof/>
            <w:webHidden/>
          </w:rPr>
        </w:r>
        <w:r w:rsidR="001312B7">
          <w:rPr>
            <w:noProof/>
            <w:webHidden/>
          </w:rPr>
          <w:fldChar w:fldCharType="separate"/>
        </w:r>
        <w:r w:rsidR="00BF15B1">
          <w:rPr>
            <w:noProof/>
            <w:webHidden/>
          </w:rPr>
          <w:t>19</w:t>
        </w:r>
        <w:r w:rsidR="001312B7">
          <w:rPr>
            <w:noProof/>
            <w:webHidden/>
          </w:rPr>
          <w:fldChar w:fldCharType="end"/>
        </w:r>
      </w:hyperlink>
    </w:p>
    <w:p w14:paraId="7B4EAEBA" w14:textId="4EA84A17"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87" w:history="1">
        <w:r w:rsidR="001312B7" w:rsidRPr="0085211E">
          <w:rPr>
            <w:rStyle w:val="Hyperlink"/>
            <w:noProof/>
          </w:rPr>
          <w:t>2.6.2</w:t>
        </w:r>
        <w:r w:rsidR="001312B7">
          <w:rPr>
            <w:rFonts w:asciiTheme="minorHAnsi" w:hAnsiTheme="minorHAnsi" w:cstheme="minorBidi"/>
            <w:noProof/>
            <w:sz w:val="24"/>
            <w:szCs w:val="24"/>
            <w:lang w:eastAsia="en-GB"/>
          </w:rPr>
          <w:tab/>
        </w:r>
        <w:r w:rsidR="001312B7" w:rsidRPr="0085211E">
          <w:rPr>
            <w:rStyle w:val="Hyperlink"/>
            <w:noProof/>
          </w:rPr>
          <w:t>Waterbirds</w:t>
        </w:r>
        <w:r w:rsidR="001312B7">
          <w:rPr>
            <w:noProof/>
            <w:webHidden/>
          </w:rPr>
          <w:tab/>
        </w:r>
        <w:r w:rsidR="001312B7">
          <w:rPr>
            <w:noProof/>
            <w:webHidden/>
          </w:rPr>
          <w:fldChar w:fldCharType="begin"/>
        </w:r>
        <w:r w:rsidR="001312B7">
          <w:rPr>
            <w:noProof/>
            <w:webHidden/>
          </w:rPr>
          <w:instrText xml:space="preserve"> PAGEREF _Toc42001387 \h </w:instrText>
        </w:r>
        <w:r w:rsidR="001312B7">
          <w:rPr>
            <w:noProof/>
            <w:webHidden/>
          </w:rPr>
        </w:r>
        <w:r w:rsidR="001312B7">
          <w:rPr>
            <w:noProof/>
            <w:webHidden/>
          </w:rPr>
          <w:fldChar w:fldCharType="separate"/>
        </w:r>
        <w:r w:rsidR="00BF15B1">
          <w:rPr>
            <w:noProof/>
            <w:webHidden/>
          </w:rPr>
          <w:t>21</w:t>
        </w:r>
        <w:r w:rsidR="001312B7">
          <w:rPr>
            <w:noProof/>
            <w:webHidden/>
          </w:rPr>
          <w:fldChar w:fldCharType="end"/>
        </w:r>
      </w:hyperlink>
    </w:p>
    <w:p w14:paraId="1492189F" w14:textId="14C96649"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88" w:history="1">
        <w:r w:rsidR="001312B7" w:rsidRPr="0085211E">
          <w:rPr>
            <w:rStyle w:val="Hyperlink"/>
            <w:noProof/>
          </w:rPr>
          <w:t>2.6.3</w:t>
        </w:r>
        <w:r w:rsidR="001312B7">
          <w:rPr>
            <w:rFonts w:asciiTheme="minorHAnsi" w:hAnsiTheme="minorHAnsi" w:cstheme="minorBidi"/>
            <w:noProof/>
            <w:sz w:val="24"/>
            <w:szCs w:val="24"/>
            <w:lang w:eastAsia="en-GB"/>
          </w:rPr>
          <w:tab/>
        </w:r>
        <w:r w:rsidR="001312B7" w:rsidRPr="0085211E">
          <w:rPr>
            <w:rStyle w:val="Hyperlink"/>
            <w:noProof/>
          </w:rPr>
          <w:t>Other aquatic fauna</w:t>
        </w:r>
        <w:r w:rsidR="001312B7">
          <w:rPr>
            <w:noProof/>
            <w:webHidden/>
          </w:rPr>
          <w:tab/>
        </w:r>
        <w:r w:rsidR="001312B7">
          <w:rPr>
            <w:noProof/>
            <w:webHidden/>
          </w:rPr>
          <w:fldChar w:fldCharType="begin"/>
        </w:r>
        <w:r w:rsidR="001312B7">
          <w:rPr>
            <w:noProof/>
            <w:webHidden/>
          </w:rPr>
          <w:instrText xml:space="preserve"> PAGEREF _Toc42001388 \h </w:instrText>
        </w:r>
        <w:r w:rsidR="001312B7">
          <w:rPr>
            <w:noProof/>
            <w:webHidden/>
          </w:rPr>
        </w:r>
        <w:r w:rsidR="001312B7">
          <w:rPr>
            <w:noProof/>
            <w:webHidden/>
          </w:rPr>
          <w:fldChar w:fldCharType="separate"/>
        </w:r>
        <w:r w:rsidR="00BF15B1">
          <w:rPr>
            <w:noProof/>
            <w:webHidden/>
          </w:rPr>
          <w:t>23</w:t>
        </w:r>
        <w:r w:rsidR="001312B7">
          <w:rPr>
            <w:noProof/>
            <w:webHidden/>
          </w:rPr>
          <w:fldChar w:fldCharType="end"/>
        </w:r>
      </w:hyperlink>
    </w:p>
    <w:p w14:paraId="43C759C3" w14:textId="1022A40E"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89" w:history="1">
        <w:r w:rsidR="001312B7" w:rsidRPr="0085211E">
          <w:rPr>
            <w:rStyle w:val="Hyperlink"/>
            <w:noProof/>
          </w:rPr>
          <w:t>2.7</w:t>
        </w:r>
        <w:r w:rsidR="001312B7">
          <w:rPr>
            <w:rFonts w:asciiTheme="minorHAnsi" w:hAnsiTheme="minorHAnsi" w:cstheme="minorBidi"/>
            <w:noProof/>
            <w:sz w:val="24"/>
            <w:szCs w:val="24"/>
            <w:lang w:eastAsia="en-GB"/>
          </w:rPr>
          <w:tab/>
        </w:r>
        <w:r w:rsidR="001312B7" w:rsidRPr="0085211E">
          <w:rPr>
            <w:rStyle w:val="Hyperlink"/>
            <w:noProof/>
          </w:rPr>
          <w:t>Water related requirements of ecological values</w:t>
        </w:r>
        <w:r w:rsidR="001312B7">
          <w:rPr>
            <w:noProof/>
            <w:webHidden/>
          </w:rPr>
          <w:tab/>
        </w:r>
        <w:r w:rsidR="001312B7">
          <w:rPr>
            <w:noProof/>
            <w:webHidden/>
          </w:rPr>
          <w:fldChar w:fldCharType="begin"/>
        </w:r>
        <w:r w:rsidR="001312B7">
          <w:rPr>
            <w:noProof/>
            <w:webHidden/>
          </w:rPr>
          <w:instrText xml:space="preserve"> PAGEREF _Toc42001389 \h </w:instrText>
        </w:r>
        <w:r w:rsidR="001312B7">
          <w:rPr>
            <w:noProof/>
            <w:webHidden/>
          </w:rPr>
        </w:r>
        <w:r w:rsidR="001312B7">
          <w:rPr>
            <w:noProof/>
            <w:webHidden/>
          </w:rPr>
          <w:fldChar w:fldCharType="separate"/>
        </w:r>
        <w:r w:rsidR="00BF15B1">
          <w:rPr>
            <w:noProof/>
            <w:webHidden/>
          </w:rPr>
          <w:t>24</w:t>
        </w:r>
        <w:r w:rsidR="001312B7">
          <w:rPr>
            <w:noProof/>
            <w:webHidden/>
          </w:rPr>
          <w:fldChar w:fldCharType="end"/>
        </w:r>
      </w:hyperlink>
    </w:p>
    <w:p w14:paraId="51CB6B0D" w14:textId="3D6A3677" w:rsidR="001312B7" w:rsidRDefault="00DF3496">
      <w:pPr>
        <w:pStyle w:val="TOC1"/>
        <w:rPr>
          <w:rFonts w:asciiTheme="minorHAnsi" w:hAnsiTheme="minorHAnsi" w:cstheme="minorBidi"/>
          <w:noProof/>
          <w:sz w:val="24"/>
          <w:szCs w:val="24"/>
          <w:lang w:eastAsia="en-GB"/>
        </w:rPr>
      </w:pPr>
      <w:hyperlink w:anchor="_Toc42001390" w:history="1">
        <w:r w:rsidR="001312B7" w:rsidRPr="0085211E">
          <w:rPr>
            <w:rStyle w:val="Hyperlink"/>
            <w:noProof/>
          </w:rPr>
          <w:t>3</w:t>
        </w:r>
        <w:r w:rsidR="001312B7">
          <w:rPr>
            <w:rFonts w:asciiTheme="minorHAnsi" w:hAnsiTheme="minorHAnsi" w:cstheme="minorBidi"/>
            <w:noProof/>
            <w:sz w:val="24"/>
            <w:szCs w:val="24"/>
            <w:lang w:eastAsia="en-GB"/>
          </w:rPr>
          <w:tab/>
        </w:r>
        <w:r w:rsidR="001312B7" w:rsidRPr="0085211E">
          <w:rPr>
            <w:rStyle w:val="Hyperlink"/>
            <w:noProof/>
          </w:rPr>
          <w:t>Environmental effects assessment</w:t>
        </w:r>
        <w:r w:rsidR="001312B7">
          <w:rPr>
            <w:noProof/>
            <w:webHidden/>
          </w:rPr>
          <w:tab/>
        </w:r>
        <w:r w:rsidR="001312B7">
          <w:rPr>
            <w:noProof/>
            <w:webHidden/>
          </w:rPr>
          <w:fldChar w:fldCharType="begin"/>
        </w:r>
        <w:r w:rsidR="001312B7">
          <w:rPr>
            <w:noProof/>
            <w:webHidden/>
          </w:rPr>
          <w:instrText xml:space="preserve"> PAGEREF _Toc42001390 \h </w:instrText>
        </w:r>
        <w:r w:rsidR="001312B7">
          <w:rPr>
            <w:noProof/>
            <w:webHidden/>
          </w:rPr>
        </w:r>
        <w:r w:rsidR="001312B7">
          <w:rPr>
            <w:noProof/>
            <w:webHidden/>
          </w:rPr>
          <w:fldChar w:fldCharType="separate"/>
        </w:r>
        <w:r w:rsidR="00BF15B1">
          <w:rPr>
            <w:noProof/>
            <w:webHidden/>
          </w:rPr>
          <w:t>26</w:t>
        </w:r>
        <w:r w:rsidR="001312B7">
          <w:rPr>
            <w:noProof/>
            <w:webHidden/>
          </w:rPr>
          <w:fldChar w:fldCharType="end"/>
        </w:r>
      </w:hyperlink>
    </w:p>
    <w:p w14:paraId="03D6AA11" w14:textId="700136BE"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91" w:history="1">
        <w:r w:rsidR="001312B7" w:rsidRPr="0085211E">
          <w:rPr>
            <w:rStyle w:val="Hyperlink"/>
            <w:noProof/>
          </w:rPr>
          <w:t>3.1</w:t>
        </w:r>
        <w:r w:rsidR="001312B7">
          <w:rPr>
            <w:rFonts w:asciiTheme="minorHAnsi" w:hAnsiTheme="minorHAnsi" w:cstheme="minorBidi"/>
            <w:noProof/>
            <w:sz w:val="24"/>
            <w:szCs w:val="24"/>
            <w:lang w:eastAsia="en-GB"/>
          </w:rPr>
          <w:tab/>
        </w:r>
        <w:r w:rsidR="001312B7" w:rsidRPr="0085211E">
          <w:rPr>
            <w:rStyle w:val="Hyperlink"/>
            <w:noProof/>
          </w:rPr>
          <w:t>Current operations</w:t>
        </w:r>
        <w:r w:rsidR="001312B7">
          <w:rPr>
            <w:noProof/>
            <w:webHidden/>
          </w:rPr>
          <w:tab/>
        </w:r>
        <w:r w:rsidR="001312B7">
          <w:rPr>
            <w:noProof/>
            <w:webHidden/>
          </w:rPr>
          <w:fldChar w:fldCharType="begin"/>
        </w:r>
        <w:r w:rsidR="001312B7">
          <w:rPr>
            <w:noProof/>
            <w:webHidden/>
          </w:rPr>
          <w:instrText xml:space="preserve"> PAGEREF _Toc42001391 \h </w:instrText>
        </w:r>
        <w:r w:rsidR="001312B7">
          <w:rPr>
            <w:noProof/>
            <w:webHidden/>
          </w:rPr>
        </w:r>
        <w:r w:rsidR="001312B7">
          <w:rPr>
            <w:noProof/>
            <w:webHidden/>
          </w:rPr>
          <w:fldChar w:fldCharType="separate"/>
        </w:r>
        <w:r w:rsidR="00BF15B1">
          <w:rPr>
            <w:noProof/>
            <w:webHidden/>
          </w:rPr>
          <w:t>26</w:t>
        </w:r>
        <w:r w:rsidR="001312B7">
          <w:rPr>
            <w:noProof/>
            <w:webHidden/>
          </w:rPr>
          <w:fldChar w:fldCharType="end"/>
        </w:r>
      </w:hyperlink>
    </w:p>
    <w:p w14:paraId="5D470792" w14:textId="3EBA772A"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92" w:history="1">
        <w:r w:rsidR="001312B7" w:rsidRPr="0085211E">
          <w:rPr>
            <w:rStyle w:val="Hyperlink"/>
            <w:noProof/>
          </w:rPr>
          <w:t>3.2</w:t>
        </w:r>
        <w:r w:rsidR="001312B7">
          <w:rPr>
            <w:rFonts w:asciiTheme="minorHAnsi" w:hAnsiTheme="minorHAnsi" w:cstheme="minorBidi"/>
            <w:noProof/>
            <w:sz w:val="24"/>
            <w:szCs w:val="24"/>
            <w:lang w:eastAsia="en-GB"/>
          </w:rPr>
          <w:tab/>
        </w:r>
        <w:r w:rsidR="001312B7" w:rsidRPr="0085211E">
          <w:rPr>
            <w:rStyle w:val="Hyperlink"/>
            <w:noProof/>
          </w:rPr>
          <w:t>Large scale drivers of change</w:t>
        </w:r>
        <w:r w:rsidR="001312B7">
          <w:rPr>
            <w:noProof/>
            <w:webHidden/>
          </w:rPr>
          <w:tab/>
        </w:r>
        <w:r w:rsidR="001312B7">
          <w:rPr>
            <w:noProof/>
            <w:webHidden/>
          </w:rPr>
          <w:fldChar w:fldCharType="begin"/>
        </w:r>
        <w:r w:rsidR="001312B7">
          <w:rPr>
            <w:noProof/>
            <w:webHidden/>
          </w:rPr>
          <w:instrText xml:space="preserve"> PAGEREF _Toc42001392 \h </w:instrText>
        </w:r>
        <w:r w:rsidR="001312B7">
          <w:rPr>
            <w:noProof/>
            <w:webHidden/>
          </w:rPr>
        </w:r>
        <w:r w:rsidR="001312B7">
          <w:rPr>
            <w:noProof/>
            <w:webHidden/>
          </w:rPr>
          <w:fldChar w:fldCharType="separate"/>
        </w:r>
        <w:r w:rsidR="00BF15B1">
          <w:rPr>
            <w:noProof/>
            <w:webHidden/>
          </w:rPr>
          <w:t>27</w:t>
        </w:r>
        <w:r w:rsidR="001312B7">
          <w:rPr>
            <w:noProof/>
            <w:webHidden/>
          </w:rPr>
          <w:fldChar w:fldCharType="end"/>
        </w:r>
      </w:hyperlink>
    </w:p>
    <w:p w14:paraId="08FA4B20" w14:textId="7D12E1C0"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93" w:history="1">
        <w:r w:rsidR="001312B7" w:rsidRPr="0085211E">
          <w:rPr>
            <w:rStyle w:val="Hyperlink"/>
            <w:noProof/>
          </w:rPr>
          <w:t>3.2.1</w:t>
        </w:r>
        <w:r w:rsidR="001312B7">
          <w:rPr>
            <w:rFonts w:asciiTheme="minorHAnsi" w:hAnsiTheme="minorHAnsi" w:cstheme="minorBidi"/>
            <w:noProof/>
            <w:sz w:val="24"/>
            <w:szCs w:val="24"/>
            <w:lang w:eastAsia="en-GB"/>
          </w:rPr>
          <w:tab/>
        </w:r>
        <w:r w:rsidR="001312B7" w:rsidRPr="0085211E">
          <w:rPr>
            <w:rStyle w:val="Hyperlink"/>
            <w:noProof/>
          </w:rPr>
          <w:t>Population growth and water resource use</w:t>
        </w:r>
        <w:r w:rsidR="001312B7">
          <w:rPr>
            <w:noProof/>
            <w:webHidden/>
          </w:rPr>
          <w:tab/>
        </w:r>
        <w:r w:rsidR="001312B7">
          <w:rPr>
            <w:noProof/>
            <w:webHidden/>
          </w:rPr>
          <w:fldChar w:fldCharType="begin"/>
        </w:r>
        <w:r w:rsidR="001312B7">
          <w:rPr>
            <w:noProof/>
            <w:webHidden/>
          </w:rPr>
          <w:instrText xml:space="preserve"> PAGEREF _Toc42001393 \h </w:instrText>
        </w:r>
        <w:r w:rsidR="001312B7">
          <w:rPr>
            <w:noProof/>
            <w:webHidden/>
          </w:rPr>
        </w:r>
        <w:r w:rsidR="001312B7">
          <w:rPr>
            <w:noProof/>
            <w:webHidden/>
          </w:rPr>
          <w:fldChar w:fldCharType="separate"/>
        </w:r>
        <w:r w:rsidR="00BF15B1">
          <w:rPr>
            <w:noProof/>
            <w:webHidden/>
          </w:rPr>
          <w:t>27</w:t>
        </w:r>
        <w:r w:rsidR="001312B7">
          <w:rPr>
            <w:noProof/>
            <w:webHidden/>
          </w:rPr>
          <w:fldChar w:fldCharType="end"/>
        </w:r>
      </w:hyperlink>
    </w:p>
    <w:p w14:paraId="0520D15C" w14:textId="2CD3FBB0"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94" w:history="1">
        <w:r w:rsidR="001312B7" w:rsidRPr="0085211E">
          <w:rPr>
            <w:rStyle w:val="Hyperlink"/>
            <w:noProof/>
          </w:rPr>
          <w:t>3.2.2</w:t>
        </w:r>
        <w:r w:rsidR="001312B7">
          <w:rPr>
            <w:rFonts w:asciiTheme="minorHAnsi" w:hAnsiTheme="minorHAnsi" w:cstheme="minorBidi"/>
            <w:noProof/>
            <w:sz w:val="24"/>
            <w:szCs w:val="24"/>
            <w:lang w:eastAsia="en-GB"/>
          </w:rPr>
          <w:tab/>
        </w:r>
        <w:r w:rsidR="001312B7" w:rsidRPr="0085211E">
          <w:rPr>
            <w:rStyle w:val="Hyperlink"/>
            <w:noProof/>
          </w:rPr>
          <w:t>Climate change</w:t>
        </w:r>
        <w:r w:rsidR="001312B7">
          <w:rPr>
            <w:noProof/>
            <w:webHidden/>
          </w:rPr>
          <w:tab/>
        </w:r>
        <w:r w:rsidR="001312B7">
          <w:rPr>
            <w:noProof/>
            <w:webHidden/>
          </w:rPr>
          <w:fldChar w:fldCharType="begin"/>
        </w:r>
        <w:r w:rsidR="001312B7">
          <w:rPr>
            <w:noProof/>
            <w:webHidden/>
          </w:rPr>
          <w:instrText xml:space="preserve"> PAGEREF _Toc42001394 \h </w:instrText>
        </w:r>
        <w:r w:rsidR="001312B7">
          <w:rPr>
            <w:noProof/>
            <w:webHidden/>
          </w:rPr>
        </w:r>
        <w:r w:rsidR="001312B7">
          <w:rPr>
            <w:noProof/>
            <w:webHidden/>
          </w:rPr>
          <w:fldChar w:fldCharType="separate"/>
        </w:r>
        <w:r w:rsidR="00BF15B1">
          <w:rPr>
            <w:noProof/>
            <w:webHidden/>
          </w:rPr>
          <w:t>29</w:t>
        </w:r>
        <w:r w:rsidR="001312B7">
          <w:rPr>
            <w:noProof/>
            <w:webHidden/>
          </w:rPr>
          <w:fldChar w:fldCharType="end"/>
        </w:r>
      </w:hyperlink>
    </w:p>
    <w:p w14:paraId="570C7BE1" w14:textId="3DD40330" w:rsidR="001312B7" w:rsidRDefault="00DF3496">
      <w:pPr>
        <w:pStyle w:val="TOC2"/>
        <w:tabs>
          <w:tab w:val="left" w:pos="800"/>
          <w:tab w:val="right" w:leader="dot" w:pos="8290"/>
        </w:tabs>
        <w:rPr>
          <w:rFonts w:asciiTheme="minorHAnsi" w:hAnsiTheme="minorHAnsi" w:cstheme="minorBidi"/>
          <w:noProof/>
          <w:sz w:val="24"/>
          <w:szCs w:val="24"/>
          <w:lang w:eastAsia="en-GB"/>
        </w:rPr>
      </w:pPr>
      <w:hyperlink w:anchor="_Toc42001395" w:history="1">
        <w:r w:rsidR="001312B7" w:rsidRPr="0085211E">
          <w:rPr>
            <w:rStyle w:val="Hyperlink"/>
            <w:noProof/>
          </w:rPr>
          <w:t>3.3</w:t>
        </w:r>
        <w:r w:rsidR="001312B7">
          <w:rPr>
            <w:rFonts w:asciiTheme="minorHAnsi" w:hAnsiTheme="minorHAnsi" w:cstheme="minorBidi"/>
            <w:noProof/>
            <w:sz w:val="24"/>
            <w:szCs w:val="24"/>
            <w:lang w:eastAsia="en-GB"/>
          </w:rPr>
          <w:tab/>
        </w:r>
        <w:r w:rsidR="001312B7" w:rsidRPr="0085211E">
          <w:rPr>
            <w:rStyle w:val="Hyperlink"/>
            <w:noProof/>
          </w:rPr>
          <w:t>Potential effects on values and condition</w:t>
        </w:r>
        <w:r w:rsidR="001312B7">
          <w:rPr>
            <w:noProof/>
            <w:webHidden/>
          </w:rPr>
          <w:tab/>
        </w:r>
        <w:r w:rsidR="001312B7">
          <w:rPr>
            <w:noProof/>
            <w:webHidden/>
          </w:rPr>
          <w:fldChar w:fldCharType="begin"/>
        </w:r>
        <w:r w:rsidR="001312B7">
          <w:rPr>
            <w:noProof/>
            <w:webHidden/>
          </w:rPr>
          <w:instrText xml:space="preserve"> PAGEREF _Toc42001395 \h </w:instrText>
        </w:r>
        <w:r w:rsidR="001312B7">
          <w:rPr>
            <w:noProof/>
            <w:webHidden/>
          </w:rPr>
        </w:r>
        <w:r w:rsidR="001312B7">
          <w:rPr>
            <w:noProof/>
            <w:webHidden/>
          </w:rPr>
          <w:fldChar w:fldCharType="separate"/>
        </w:r>
        <w:r w:rsidR="00BF15B1">
          <w:rPr>
            <w:noProof/>
            <w:webHidden/>
          </w:rPr>
          <w:t>30</w:t>
        </w:r>
        <w:r w:rsidR="001312B7">
          <w:rPr>
            <w:noProof/>
            <w:webHidden/>
          </w:rPr>
          <w:fldChar w:fldCharType="end"/>
        </w:r>
      </w:hyperlink>
    </w:p>
    <w:p w14:paraId="14F94F31" w14:textId="38DCF8E8"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396" w:history="1">
        <w:r w:rsidR="001312B7" w:rsidRPr="0085211E">
          <w:rPr>
            <w:rStyle w:val="Hyperlink"/>
            <w:noProof/>
          </w:rPr>
          <w:t>3.3.1</w:t>
        </w:r>
        <w:r w:rsidR="001312B7">
          <w:rPr>
            <w:rFonts w:asciiTheme="minorHAnsi" w:hAnsiTheme="minorHAnsi" w:cstheme="minorBidi"/>
            <w:noProof/>
            <w:sz w:val="24"/>
            <w:szCs w:val="24"/>
            <w:lang w:eastAsia="en-GB"/>
          </w:rPr>
          <w:tab/>
        </w:r>
        <w:r w:rsidR="001312B7" w:rsidRPr="0085211E">
          <w:rPr>
            <w:rStyle w:val="Hyperlink"/>
            <w:noProof/>
          </w:rPr>
          <w:t>Hydrological analysis</w:t>
        </w:r>
        <w:r w:rsidR="001312B7">
          <w:rPr>
            <w:noProof/>
            <w:webHidden/>
          </w:rPr>
          <w:tab/>
        </w:r>
        <w:r w:rsidR="001312B7">
          <w:rPr>
            <w:noProof/>
            <w:webHidden/>
          </w:rPr>
          <w:fldChar w:fldCharType="begin"/>
        </w:r>
        <w:r w:rsidR="001312B7">
          <w:rPr>
            <w:noProof/>
            <w:webHidden/>
          </w:rPr>
          <w:instrText xml:space="preserve"> PAGEREF _Toc42001396 \h </w:instrText>
        </w:r>
        <w:r w:rsidR="001312B7">
          <w:rPr>
            <w:noProof/>
            <w:webHidden/>
          </w:rPr>
        </w:r>
        <w:r w:rsidR="001312B7">
          <w:rPr>
            <w:noProof/>
            <w:webHidden/>
          </w:rPr>
          <w:fldChar w:fldCharType="separate"/>
        </w:r>
        <w:r w:rsidR="00BF15B1">
          <w:rPr>
            <w:noProof/>
            <w:webHidden/>
          </w:rPr>
          <w:t>30</w:t>
        </w:r>
        <w:r w:rsidR="001312B7">
          <w:rPr>
            <w:noProof/>
            <w:webHidden/>
          </w:rPr>
          <w:fldChar w:fldCharType="end"/>
        </w:r>
      </w:hyperlink>
    </w:p>
    <w:p w14:paraId="3B5FC638" w14:textId="5C6E802F" w:rsidR="001312B7" w:rsidRDefault="00DF3496">
      <w:pPr>
        <w:pStyle w:val="TOC3"/>
        <w:tabs>
          <w:tab w:val="right" w:leader="dot" w:pos="8290"/>
        </w:tabs>
        <w:rPr>
          <w:rFonts w:asciiTheme="minorHAnsi" w:hAnsiTheme="minorHAnsi" w:cstheme="minorBidi"/>
          <w:noProof/>
          <w:sz w:val="24"/>
          <w:szCs w:val="24"/>
          <w:lang w:eastAsia="en-GB"/>
        </w:rPr>
      </w:pPr>
      <w:hyperlink w:anchor="_Toc42001397" w:history="1">
        <w:r w:rsidR="001312B7" w:rsidRPr="0085211E">
          <w:rPr>
            <w:rStyle w:val="Hyperlink"/>
            <w:noProof/>
          </w:rPr>
          <w:t>Effects on baseflows</w:t>
        </w:r>
        <w:r w:rsidR="001312B7">
          <w:rPr>
            <w:noProof/>
            <w:webHidden/>
          </w:rPr>
          <w:tab/>
        </w:r>
        <w:r w:rsidR="001312B7">
          <w:rPr>
            <w:noProof/>
            <w:webHidden/>
          </w:rPr>
          <w:fldChar w:fldCharType="begin"/>
        </w:r>
        <w:r w:rsidR="001312B7">
          <w:rPr>
            <w:noProof/>
            <w:webHidden/>
          </w:rPr>
          <w:instrText xml:space="preserve"> PAGEREF _Toc42001397 \h </w:instrText>
        </w:r>
        <w:r w:rsidR="001312B7">
          <w:rPr>
            <w:noProof/>
            <w:webHidden/>
          </w:rPr>
        </w:r>
        <w:r w:rsidR="001312B7">
          <w:rPr>
            <w:noProof/>
            <w:webHidden/>
          </w:rPr>
          <w:fldChar w:fldCharType="separate"/>
        </w:r>
        <w:r w:rsidR="00BF15B1">
          <w:rPr>
            <w:noProof/>
            <w:webHidden/>
          </w:rPr>
          <w:t>31</w:t>
        </w:r>
        <w:r w:rsidR="001312B7">
          <w:rPr>
            <w:noProof/>
            <w:webHidden/>
          </w:rPr>
          <w:fldChar w:fldCharType="end"/>
        </w:r>
      </w:hyperlink>
    </w:p>
    <w:p w14:paraId="64442DC1" w14:textId="0E6FC091" w:rsidR="001312B7" w:rsidRDefault="00DF3496">
      <w:pPr>
        <w:pStyle w:val="TOC3"/>
        <w:tabs>
          <w:tab w:val="right" w:leader="dot" w:pos="8290"/>
        </w:tabs>
        <w:rPr>
          <w:rFonts w:asciiTheme="minorHAnsi" w:hAnsiTheme="minorHAnsi" w:cstheme="minorBidi"/>
          <w:noProof/>
          <w:sz w:val="24"/>
          <w:szCs w:val="24"/>
          <w:lang w:eastAsia="en-GB"/>
        </w:rPr>
      </w:pPr>
      <w:hyperlink w:anchor="_Toc42001398" w:history="1">
        <w:r w:rsidR="001312B7" w:rsidRPr="0085211E">
          <w:rPr>
            <w:rStyle w:val="Hyperlink"/>
            <w:noProof/>
          </w:rPr>
          <w:t>Effects on freshes</w:t>
        </w:r>
        <w:r w:rsidR="001312B7">
          <w:rPr>
            <w:noProof/>
            <w:webHidden/>
          </w:rPr>
          <w:tab/>
        </w:r>
        <w:r w:rsidR="001312B7">
          <w:rPr>
            <w:noProof/>
            <w:webHidden/>
          </w:rPr>
          <w:fldChar w:fldCharType="begin"/>
        </w:r>
        <w:r w:rsidR="001312B7">
          <w:rPr>
            <w:noProof/>
            <w:webHidden/>
          </w:rPr>
          <w:instrText xml:space="preserve"> PAGEREF _Toc42001398 \h </w:instrText>
        </w:r>
        <w:r w:rsidR="001312B7">
          <w:rPr>
            <w:noProof/>
            <w:webHidden/>
          </w:rPr>
        </w:r>
        <w:r w:rsidR="001312B7">
          <w:rPr>
            <w:noProof/>
            <w:webHidden/>
          </w:rPr>
          <w:fldChar w:fldCharType="separate"/>
        </w:r>
        <w:r w:rsidR="00BF15B1">
          <w:rPr>
            <w:noProof/>
            <w:webHidden/>
          </w:rPr>
          <w:t>31</w:t>
        </w:r>
        <w:r w:rsidR="001312B7">
          <w:rPr>
            <w:noProof/>
            <w:webHidden/>
          </w:rPr>
          <w:fldChar w:fldCharType="end"/>
        </w:r>
      </w:hyperlink>
    </w:p>
    <w:p w14:paraId="269C3608" w14:textId="2CF596D8" w:rsidR="001312B7" w:rsidRDefault="00DF3496">
      <w:pPr>
        <w:pStyle w:val="TOC3"/>
        <w:tabs>
          <w:tab w:val="right" w:leader="dot" w:pos="8290"/>
        </w:tabs>
        <w:rPr>
          <w:rFonts w:asciiTheme="minorHAnsi" w:hAnsiTheme="minorHAnsi" w:cstheme="minorBidi"/>
          <w:noProof/>
          <w:sz w:val="24"/>
          <w:szCs w:val="24"/>
          <w:lang w:eastAsia="en-GB"/>
        </w:rPr>
      </w:pPr>
      <w:hyperlink w:anchor="_Toc42001399" w:history="1">
        <w:r w:rsidR="001312B7" w:rsidRPr="0085211E">
          <w:rPr>
            <w:rStyle w:val="Hyperlink"/>
            <w:noProof/>
          </w:rPr>
          <w:t>Effects on bankfull</w:t>
        </w:r>
        <w:r w:rsidR="001312B7">
          <w:rPr>
            <w:noProof/>
            <w:webHidden/>
          </w:rPr>
          <w:tab/>
        </w:r>
        <w:r w:rsidR="001312B7">
          <w:rPr>
            <w:noProof/>
            <w:webHidden/>
          </w:rPr>
          <w:fldChar w:fldCharType="begin"/>
        </w:r>
        <w:r w:rsidR="001312B7">
          <w:rPr>
            <w:noProof/>
            <w:webHidden/>
          </w:rPr>
          <w:instrText xml:space="preserve"> PAGEREF _Toc42001399 \h </w:instrText>
        </w:r>
        <w:r w:rsidR="001312B7">
          <w:rPr>
            <w:noProof/>
            <w:webHidden/>
          </w:rPr>
        </w:r>
        <w:r w:rsidR="001312B7">
          <w:rPr>
            <w:noProof/>
            <w:webHidden/>
          </w:rPr>
          <w:fldChar w:fldCharType="separate"/>
        </w:r>
        <w:r w:rsidR="00BF15B1">
          <w:rPr>
            <w:noProof/>
            <w:webHidden/>
          </w:rPr>
          <w:t>32</w:t>
        </w:r>
        <w:r w:rsidR="001312B7">
          <w:rPr>
            <w:noProof/>
            <w:webHidden/>
          </w:rPr>
          <w:fldChar w:fldCharType="end"/>
        </w:r>
      </w:hyperlink>
    </w:p>
    <w:p w14:paraId="51D1A07B" w14:textId="370ACA83" w:rsidR="001312B7" w:rsidRDefault="00DF3496">
      <w:pPr>
        <w:pStyle w:val="TOC3"/>
        <w:tabs>
          <w:tab w:val="right" w:leader="dot" w:pos="8290"/>
        </w:tabs>
        <w:rPr>
          <w:rFonts w:asciiTheme="minorHAnsi" w:hAnsiTheme="minorHAnsi" w:cstheme="minorBidi"/>
          <w:noProof/>
          <w:sz w:val="24"/>
          <w:szCs w:val="24"/>
          <w:lang w:eastAsia="en-GB"/>
        </w:rPr>
      </w:pPr>
      <w:hyperlink w:anchor="_Toc42001400" w:history="1">
        <w:r w:rsidR="001312B7" w:rsidRPr="0085211E">
          <w:rPr>
            <w:rStyle w:val="Hyperlink"/>
            <w:noProof/>
          </w:rPr>
          <w:t>Effects on overbank flows</w:t>
        </w:r>
        <w:r w:rsidR="001312B7">
          <w:rPr>
            <w:noProof/>
            <w:webHidden/>
          </w:rPr>
          <w:tab/>
        </w:r>
        <w:r w:rsidR="001312B7">
          <w:rPr>
            <w:noProof/>
            <w:webHidden/>
          </w:rPr>
          <w:fldChar w:fldCharType="begin"/>
        </w:r>
        <w:r w:rsidR="001312B7">
          <w:rPr>
            <w:noProof/>
            <w:webHidden/>
          </w:rPr>
          <w:instrText xml:space="preserve"> PAGEREF _Toc42001400 \h </w:instrText>
        </w:r>
        <w:r w:rsidR="001312B7">
          <w:rPr>
            <w:noProof/>
            <w:webHidden/>
          </w:rPr>
        </w:r>
        <w:r w:rsidR="001312B7">
          <w:rPr>
            <w:noProof/>
            <w:webHidden/>
          </w:rPr>
          <w:fldChar w:fldCharType="separate"/>
        </w:r>
        <w:r w:rsidR="00BF15B1">
          <w:rPr>
            <w:noProof/>
            <w:webHidden/>
          </w:rPr>
          <w:t>33</w:t>
        </w:r>
        <w:r w:rsidR="001312B7">
          <w:rPr>
            <w:noProof/>
            <w:webHidden/>
          </w:rPr>
          <w:fldChar w:fldCharType="end"/>
        </w:r>
      </w:hyperlink>
    </w:p>
    <w:p w14:paraId="720664C6" w14:textId="29797CA8" w:rsidR="001312B7" w:rsidRDefault="00DF3496">
      <w:pPr>
        <w:pStyle w:val="TOC3"/>
        <w:tabs>
          <w:tab w:val="right" w:leader="dot" w:pos="8290"/>
        </w:tabs>
        <w:rPr>
          <w:rFonts w:asciiTheme="minorHAnsi" w:hAnsiTheme="minorHAnsi" w:cstheme="minorBidi"/>
          <w:noProof/>
          <w:sz w:val="24"/>
          <w:szCs w:val="24"/>
          <w:lang w:eastAsia="en-GB"/>
        </w:rPr>
      </w:pPr>
      <w:hyperlink w:anchor="_Toc42001401" w:history="1">
        <w:r w:rsidR="001312B7" w:rsidRPr="0085211E">
          <w:rPr>
            <w:rStyle w:val="Hyperlink"/>
            <w:noProof/>
          </w:rPr>
          <w:t>Effects on wetlands and lakes</w:t>
        </w:r>
        <w:r w:rsidR="001312B7">
          <w:rPr>
            <w:noProof/>
            <w:webHidden/>
          </w:rPr>
          <w:tab/>
        </w:r>
        <w:r w:rsidR="001312B7">
          <w:rPr>
            <w:noProof/>
            <w:webHidden/>
          </w:rPr>
          <w:fldChar w:fldCharType="begin"/>
        </w:r>
        <w:r w:rsidR="001312B7">
          <w:rPr>
            <w:noProof/>
            <w:webHidden/>
          </w:rPr>
          <w:instrText xml:space="preserve"> PAGEREF _Toc42001401 \h </w:instrText>
        </w:r>
        <w:r w:rsidR="001312B7">
          <w:rPr>
            <w:noProof/>
            <w:webHidden/>
          </w:rPr>
        </w:r>
        <w:r w:rsidR="001312B7">
          <w:rPr>
            <w:noProof/>
            <w:webHidden/>
          </w:rPr>
          <w:fldChar w:fldCharType="separate"/>
        </w:r>
        <w:r w:rsidR="00BF15B1">
          <w:rPr>
            <w:noProof/>
            <w:webHidden/>
          </w:rPr>
          <w:t>33</w:t>
        </w:r>
        <w:r w:rsidR="001312B7">
          <w:rPr>
            <w:noProof/>
            <w:webHidden/>
          </w:rPr>
          <w:fldChar w:fldCharType="end"/>
        </w:r>
      </w:hyperlink>
    </w:p>
    <w:p w14:paraId="7A54F4D1" w14:textId="5F586322" w:rsidR="001312B7" w:rsidRDefault="00DF3496">
      <w:pPr>
        <w:pStyle w:val="TOC3"/>
        <w:tabs>
          <w:tab w:val="right" w:leader="dot" w:pos="8290"/>
        </w:tabs>
        <w:rPr>
          <w:rFonts w:asciiTheme="minorHAnsi" w:hAnsiTheme="minorHAnsi" w:cstheme="minorBidi"/>
          <w:noProof/>
          <w:sz w:val="24"/>
          <w:szCs w:val="24"/>
          <w:lang w:eastAsia="en-GB"/>
        </w:rPr>
      </w:pPr>
      <w:hyperlink w:anchor="_Toc42001402" w:history="1">
        <w:r w:rsidR="001312B7" w:rsidRPr="0085211E">
          <w:rPr>
            <w:rStyle w:val="Hyperlink"/>
            <w:noProof/>
          </w:rPr>
          <w:t>Other hydrological changes</w:t>
        </w:r>
        <w:r w:rsidR="001312B7">
          <w:rPr>
            <w:noProof/>
            <w:webHidden/>
          </w:rPr>
          <w:tab/>
        </w:r>
        <w:r w:rsidR="001312B7">
          <w:rPr>
            <w:noProof/>
            <w:webHidden/>
          </w:rPr>
          <w:fldChar w:fldCharType="begin"/>
        </w:r>
        <w:r w:rsidR="001312B7">
          <w:rPr>
            <w:noProof/>
            <w:webHidden/>
          </w:rPr>
          <w:instrText xml:space="preserve"> PAGEREF _Toc42001402 \h </w:instrText>
        </w:r>
        <w:r w:rsidR="001312B7">
          <w:rPr>
            <w:noProof/>
            <w:webHidden/>
          </w:rPr>
        </w:r>
        <w:r w:rsidR="001312B7">
          <w:rPr>
            <w:noProof/>
            <w:webHidden/>
          </w:rPr>
          <w:fldChar w:fldCharType="separate"/>
        </w:r>
        <w:r w:rsidR="00BF15B1">
          <w:rPr>
            <w:noProof/>
            <w:webHidden/>
          </w:rPr>
          <w:t>34</w:t>
        </w:r>
        <w:r w:rsidR="001312B7">
          <w:rPr>
            <w:noProof/>
            <w:webHidden/>
          </w:rPr>
          <w:fldChar w:fldCharType="end"/>
        </w:r>
      </w:hyperlink>
    </w:p>
    <w:p w14:paraId="2840DD8E" w14:textId="1893E55A" w:rsidR="001312B7" w:rsidRDefault="00DF3496">
      <w:pPr>
        <w:pStyle w:val="TOC3"/>
        <w:tabs>
          <w:tab w:val="left" w:pos="1200"/>
          <w:tab w:val="right" w:leader="dot" w:pos="8290"/>
        </w:tabs>
        <w:rPr>
          <w:rFonts w:asciiTheme="minorHAnsi" w:hAnsiTheme="minorHAnsi" w:cstheme="minorBidi"/>
          <w:noProof/>
          <w:sz w:val="24"/>
          <w:szCs w:val="24"/>
          <w:lang w:eastAsia="en-GB"/>
        </w:rPr>
      </w:pPr>
      <w:hyperlink w:anchor="_Toc42001403" w:history="1">
        <w:r w:rsidR="001312B7" w:rsidRPr="0085211E">
          <w:rPr>
            <w:rStyle w:val="Hyperlink"/>
            <w:noProof/>
          </w:rPr>
          <w:t>3.3.2</w:t>
        </w:r>
        <w:r w:rsidR="001312B7">
          <w:rPr>
            <w:rFonts w:asciiTheme="minorHAnsi" w:hAnsiTheme="minorHAnsi" w:cstheme="minorBidi"/>
            <w:noProof/>
            <w:sz w:val="24"/>
            <w:szCs w:val="24"/>
            <w:lang w:eastAsia="en-GB"/>
          </w:rPr>
          <w:tab/>
        </w:r>
        <w:r w:rsidR="001312B7" w:rsidRPr="0085211E">
          <w:rPr>
            <w:rStyle w:val="Hyperlink"/>
            <w:noProof/>
          </w:rPr>
          <w:t>Ecological effects</w:t>
        </w:r>
        <w:r w:rsidR="001312B7">
          <w:rPr>
            <w:noProof/>
            <w:webHidden/>
          </w:rPr>
          <w:tab/>
        </w:r>
        <w:r w:rsidR="001312B7">
          <w:rPr>
            <w:noProof/>
            <w:webHidden/>
          </w:rPr>
          <w:fldChar w:fldCharType="begin"/>
        </w:r>
        <w:r w:rsidR="001312B7">
          <w:rPr>
            <w:noProof/>
            <w:webHidden/>
          </w:rPr>
          <w:instrText xml:space="preserve"> PAGEREF _Toc42001403 \h </w:instrText>
        </w:r>
        <w:r w:rsidR="001312B7">
          <w:rPr>
            <w:noProof/>
            <w:webHidden/>
          </w:rPr>
        </w:r>
        <w:r w:rsidR="001312B7">
          <w:rPr>
            <w:noProof/>
            <w:webHidden/>
          </w:rPr>
          <w:fldChar w:fldCharType="separate"/>
        </w:r>
        <w:r w:rsidR="00BF15B1">
          <w:rPr>
            <w:noProof/>
            <w:webHidden/>
          </w:rPr>
          <w:t>34</w:t>
        </w:r>
        <w:r w:rsidR="001312B7">
          <w:rPr>
            <w:noProof/>
            <w:webHidden/>
          </w:rPr>
          <w:fldChar w:fldCharType="end"/>
        </w:r>
      </w:hyperlink>
    </w:p>
    <w:p w14:paraId="5B804C27" w14:textId="2CE9B20A" w:rsidR="001312B7" w:rsidRDefault="00DF3496">
      <w:pPr>
        <w:pStyle w:val="TOC3"/>
        <w:tabs>
          <w:tab w:val="right" w:leader="dot" w:pos="8290"/>
        </w:tabs>
        <w:rPr>
          <w:rFonts w:asciiTheme="minorHAnsi" w:hAnsiTheme="minorHAnsi" w:cstheme="minorBidi"/>
          <w:noProof/>
          <w:sz w:val="24"/>
          <w:szCs w:val="24"/>
          <w:lang w:eastAsia="en-GB"/>
        </w:rPr>
      </w:pPr>
      <w:hyperlink w:anchor="_Toc42001404" w:history="1">
        <w:r w:rsidR="001312B7" w:rsidRPr="0085211E">
          <w:rPr>
            <w:rStyle w:val="Hyperlink"/>
            <w:noProof/>
          </w:rPr>
          <w:t>Effects on water quality</w:t>
        </w:r>
        <w:r w:rsidR="001312B7">
          <w:rPr>
            <w:noProof/>
            <w:webHidden/>
          </w:rPr>
          <w:tab/>
        </w:r>
        <w:r w:rsidR="001312B7">
          <w:rPr>
            <w:noProof/>
            <w:webHidden/>
          </w:rPr>
          <w:fldChar w:fldCharType="begin"/>
        </w:r>
        <w:r w:rsidR="001312B7">
          <w:rPr>
            <w:noProof/>
            <w:webHidden/>
          </w:rPr>
          <w:instrText xml:space="preserve"> PAGEREF _Toc42001404 \h </w:instrText>
        </w:r>
        <w:r w:rsidR="001312B7">
          <w:rPr>
            <w:noProof/>
            <w:webHidden/>
          </w:rPr>
        </w:r>
        <w:r w:rsidR="001312B7">
          <w:rPr>
            <w:noProof/>
            <w:webHidden/>
          </w:rPr>
          <w:fldChar w:fldCharType="separate"/>
        </w:r>
        <w:r w:rsidR="00BF15B1">
          <w:rPr>
            <w:noProof/>
            <w:webHidden/>
          </w:rPr>
          <w:t>36</w:t>
        </w:r>
        <w:r w:rsidR="001312B7">
          <w:rPr>
            <w:noProof/>
            <w:webHidden/>
          </w:rPr>
          <w:fldChar w:fldCharType="end"/>
        </w:r>
      </w:hyperlink>
    </w:p>
    <w:p w14:paraId="63F65D84" w14:textId="2741AF5C" w:rsidR="001312B7" w:rsidRDefault="00DF3496">
      <w:pPr>
        <w:pStyle w:val="TOC3"/>
        <w:tabs>
          <w:tab w:val="right" w:leader="dot" w:pos="8290"/>
        </w:tabs>
        <w:rPr>
          <w:rFonts w:asciiTheme="minorHAnsi" w:hAnsiTheme="minorHAnsi" w:cstheme="minorBidi"/>
          <w:noProof/>
          <w:sz w:val="24"/>
          <w:szCs w:val="24"/>
          <w:lang w:eastAsia="en-GB"/>
        </w:rPr>
      </w:pPr>
      <w:hyperlink w:anchor="_Toc42001405" w:history="1">
        <w:r w:rsidR="001312B7" w:rsidRPr="0085211E">
          <w:rPr>
            <w:rStyle w:val="Hyperlink"/>
            <w:noProof/>
          </w:rPr>
          <w:t>Effects on physical form and habitat (geomorphology)</w:t>
        </w:r>
        <w:r w:rsidR="001312B7">
          <w:rPr>
            <w:noProof/>
            <w:webHidden/>
          </w:rPr>
          <w:tab/>
        </w:r>
        <w:r w:rsidR="001312B7">
          <w:rPr>
            <w:noProof/>
            <w:webHidden/>
          </w:rPr>
          <w:fldChar w:fldCharType="begin"/>
        </w:r>
        <w:r w:rsidR="001312B7">
          <w:rPr>
            <w:noProof/>
            <w:webHidden/>
          </w:rPr>
          <w:instrText xml:space="preserve"> PAGEREF _Toc42001405 \h </w:instrText>
        </w:r>
        <w:r w:rsidR="001312B7">
          <w:rPr>
            <w:noProof/>
            <w:webHidden/>
          </w:rPr>
        </w:r>
        <w:r w:rsidR="001312B7">
          <w:rPr>
            <w:noProof/>
            <w:webHidden/>
          </w:rPr>
          <w:fldChar w:fldCharType="separate"/>
        </w:r>
        <w:r w:rsidR="00BF15B1">
          <w:rPr>
            <w:noProof/>
            <w:webHidden/>
          </w:rPr>
          <w:t>37</w:t>
        </w:r>
        <w:r w:rsidR="001312B7">
          <w:rPr>
            <w:noProof/>
            <w:webHidden/>
          </w:rPr>
          <w:fldChar w:fldCharType="end"/>
        </w:r>
      </w:hyperlink>
    </w:p>
    <w:p w14:paraId="7D6E79A0" w14:textId="46D5DB61" w:rsidR="001312B7" w:rsidRDefault="00DF3496">
      <w:pPr>
        <w:pStyle w:val="TOC3"/>
        <w:tabs>
          <w:tab w:val="right" w:leader="dot" w:pos="8290"/>
        </w:tabs>
        <w:rPr>
          <w:rFonts w:asciiTheme="minorHAnsi" w:hAnsiTheme="minorHAnsi" w:cstheme="minorBidi"/>
          <w:noProof/>
          <w:sz w:val="24"/>
          <w:szCs w:val="24"/>
          <w:lang w:eastAsia="en-GB"/>
        </w:rPr>
      </w:pPr>
      <w:hyperlink w:anchor="_Toc42001406" w:history="1">
        <w:r w:rsidR="001312B7" w:rsidRPr="0085211E">
          <w:rPr>
            <w:rStyle w:val="Hyperlink"/>
            <w:noProof/>
          </w:rPr>
          <w:t>Effects on vegetation</w:t>
        </w:r>
        <w:r w:rsidR="001312B7">
          <w:rPr>
            <w:noProof/>
            <w:webHidden/>
          </w:rPr>
          <w:tab/>
        </w:r>
        <w:r w:rsidR="001312B7">
          <w:rPr>
            <w:noProof/>
            <w:webHidden/>
          </w:rPr>
          <w:fldChar w:fldCharType="begin"/>
        </w:r>
        <w:r w:rsidR="001312B7">
          <w:rPr>
            <w:noProof/>
            <w:webHidden/>
          </w:rPr>
          <w:instrText xml:space="preserve"> PAGEREF _Toc42001406 \h </w:instrText>
        </w:r>
        <w:r w:rsidR="001312B7">
          <w:rPr>
            <w:noProof/>
            <w:webHidden/>
          </w:rPr>
        </w:r>
        <w:r w:rsidR="001312B7">
          <w:rPr>
            <w:noProof/>
            <w:webHidden/>
          </w:rPr>
          <w:fldChar w:fldCharType="separate"/>
        </w:r>
        <w:r w:rsidR="00BF15B1">
          <w:rPr>
            <w:noProof/>
            <w:webHidden/>
          </w:rPr>
          <w:t>38</w:t>
        </w:r>
        <w:r w:rsidR="001312B7">
          <w:rPr>
            <w:noProof/>
            <w:webHidden/>
          </w:rPr>
          <w:fldChar w:fldCharType="end"/>
        </w:r>
      </w:hyperlink>
    </w:p>
    <w:p w14:paraId="123CE5D1" w14:textId="6897CE98" w:rsidR="001312B7" w:rsidRDefault="00DF3496">
      <w:pPr>
        <w:pStyle w:val="TOC3"/>
        <w:tabs>
          <w:tab w:val="right" w:leader="dot" w:pos="8290"/>
        </w:tabs>
        <w:rPr>
          <w:rFonts w:asciiTheme="minorHAnsi" w:hAnsiTheme="minorHAnsi" w:cstheme="minorBidi"/>
          <w:noProof/>
          <w:sz w:val="24"/>
          <w:szCs w:val="24"/>
          <w:lang w:eastAsia="en-GB"/>
        </w:rPr>
      </w:pPr>
      <w:hyperlink w:anchor="_Toc42001407" w:history="1">
        <w:r w:rsidR="001312B7" w:rsidRPr="0085211E">
          <w:rPr>
            <w:rStyle w:val="Hyperlink"/>
            <w:noProof/>
          </w:rPr>
          <w:t>Effects on native fish</w:t>
        </w:r>
        <w:r w:rsidR="001312B7">
          <w:rPr>
            <w:noProof/>
            <w:webHidden/>
          </w:rPr>
          <w:tab/>
        </w:r>
        <w:r w:rsidR="001312B7">
          <w:rPr>
            <w:noProof/>
            <w:webHidden/>
          </w:rPr>
          <w:fldChar w:fldCharType="begin"/>
        </w:r>
        <w:r w:rsidR="001312B7">
          <w:rPr>
            <w:noProof/>
            <w:webHidden/>
          </w:rPr>
          <w:instrText xml:space="preserve"> PAGEREF _Toc42001407 \h </w:instrText>
        </w:r>
        <w:r w:rsidR="001312B7">
          <w:rPr>
            <w:noProof/>
            <w:webHidden/>
          </w:rPr>
        </w:r>
        <w:r w:rsidR="001312B7">
          <w:rPr>
            <w:noProof/>
            <w:webHidden/>
          </w:rPr>
          <w:fldChar w:fldCharType="separate"/>
        </w:r>
        <w:r w:rsidR="00BF15B1">
          <w:rPr>
            <w:noProof/>
            <w:webHidden/>
          </w:rPr>
          <w:t>39</w:t>
        </w:r>
        <w:r w:rsidR="001312B7">
          <w:rPr>
            <w:noProof/>
            <w:webHidden/>
          </w:rPr>
          <w:fldChar w:fldCharType="end"/>
        </w:r>
      </w:hyperlink>
    </w:p>
    <w:p w14:paraId="45492B9D" w14:textId="26FEF72C" w:rsidR="001312B7" w:rsidRDefault="00DF3496">
      <w:pPr>
        <w:pStyle w:val="TOC3"/>
        <w:tabs>
          <w:tab w:val="right" w:leader="dot" w:pos="8290"/>
        </w:tabs>
        <w:rPr>
          <w:rFonts w:asciiTheme="minorHAnsi" w:hAnsiTheme="minorHAnsi" w:cstheme="minorBidi"/>
          <w:noProof/>
          <w:sz w:val="24"/>
          <w:szCs w:val="24"/>
          <w:lang w:eastAsia="en-GB"/>
        </w:rPr>
      </w:pPr>
      <w:hyperlink w:anchor="_Toc42001408" w:history="1">
        <w:r w:rsidR="001312B7" w:rsidRPr="0085211E">
          <w:rPr>
            <w:rStyle w:val="Hyperlink"/>
            <w:noProof/>
          </w:rPr>
          <w:t>Effects on waterbirds</w:t>
        </w:r>
        <w:r w:rsidR="001312B7">
          <w:rPr>
            <w:noProof/>
            <w:webHidden/>
          </w:rPr>
          <w:tab/>
        </w:r>
        <w:r w:rsidR="001312B7">
          <w:rPr>
            <w:noProof/>
            <w:webHidden/>
          </w:rPr>
          <w:fldChar w:fldCharType="begin"/>
        </w:r>
        <w:r w:rsidR="001312B7">
          <w:rPr>
            <w:noProof/>
            <w:webHidden/>
          </w:rPr>
          <w:instrText xml:space="preserve"> PAGEREF _Toc42001408 \h </w:instrText>
        </w:r>
        <w:r w:rsidR="001312B7">
          <w:rPr>
            <w:noProof/>
            <w:webHidden/>
          </w:rPr>
        </w:r>
        <w:r w:rsidR="001312B7">
          <w:rPr>
            <w:noProof/>
            <w:webHidden/>
          </w:rPr>
          <w:fldChar w:fldCharType="separate"/>
        </w:r>
        <w:r w:rsidR="00BF15B1">
          <w:rPr>
            <w:noProof/>
            <w:webHidden/>
          </w:rPr>
          <w:t>39</w:t>
        </w:r>
        <w:r w:rsidR="001312B7">
          <w:rPr>
            <w:noProof/>
            <w:webHidden/>
          </w:rPr>
          <w:fldChar w:fldCharType="end"/>
        </w:r>
      </w:hyperlink>
    </w:p>
    <w:p w14:paraId="231AF1B7" w14:textId="752C07BD" w:rsidR="001312B7" w:rsidRDefault="00DF3496">
      <w:pPr>
        <w:pStyle w:val="TOC3"/>
        <w:tabs>
          <w:tab w:val="right" w:leader="dot" w:pos="8290"/>
        </w:tabs>
        <w:rPr>
          <w:rFonts w:asciiTheme="minorHAnsi" w:hAnsiTheme="minorHAnsi" w:cstheme="minorBidi"/>
          <w:noProof/>
          <w:sz w:val="24"/>
          <w:szCs w:val="24"/>
          <w:lang w:eastAsia="en-GB"/>
        </w:rPr>
      </w:pPr>
      <w:hyperlink w:anchor="_Toc42001409" w:history="1">
        <w:r w:rsidR="001312B7" w:rsidRPr="0085211E">
          <w:rPr>
            <w:rStyle w:val="Hyperlink"/>
            <w:noProof/>
          </w:rPr>
          <w:t>Effects on other wetland biota</w:t>
        </w:r>
        <w:r w:rsidR="001312B7">
          <w:rPr>
            <w:noProof/>
            <w:webHidden/>
          </w:rPr>
          <w:tab/>
        </w:r>
        <w:r w:rsidR="001312B7">
          <w:rPr>
            <w:noProof/>
            <w:webHidden/>
          </w:rPr>
          <w:fldChar w:fldCharType="begin"/>
        </w:r>
        <w:r w:rsidR="001312B7">
          <w:rPr>
            <w:noProof/>
            <w:webHidden/>
          </w:rPr>
          <w:instrText xml:space="preserve"> PAGEREF _Toc42001409 \h </w:instrText>
        </w:r>
        <w:r w:rsidR="001312B7">
          <w:rPr>
            <w:noProof/>
            <w:webHidden/>
          </w:rPr>
        </w:r>
        <w:r w:rsidR="001312B7">
          <w:rPr>
            <w:noProof/>
            <w:webHidden/>
          </w:rPr>
          <w:fldChar w:fldCharType="separate"/>
        </w:r>
        <w:r w:rsidR="00BF15B1">
          <w:rPr>
            <w:noProof/>
            <w:webHidden/>
          </w:rPr>
          <w:t>40</w:t>
        </w:r>
        <w:r w:rsidR="001312B7">
          <w:rPr>
            <w:noProof/>
            <w:webHidden/>
          </w:rPr>
          <w:fldChar w:fldCharType="end"/>
        </w:r>
      </w:hyperlink>
    </w:p>
    <w:p w14:paraId="5BB7BE7D" w14:textId="53BA88CF" w:rsidR="001312B7" w:rsidRDefault="00DF3496">
      <w:pPr>
        <w:pStyle w:val="TOC1"/>
        <w:rPr>
          <w:rFonts w:asciiTheme="minorHAnsi" w:hAnsiTheme="minorHAnsi" w:cstheme="minorBidi"/>
          <w:noProof/>
          <w:sz w:val="24"/>
          <w:szCs w:val="24"/>
          <w:lang w:eastAsia="en-GB"/>
        </w:rPr>
      </w:pPr>
      <w:hyperlink w:anchor="_Toc42001410" w:history="1">
        <w:r w:rsidR="001312B7" w:rsidRPr="0085211E">
          <w:rPr>
            <w:rStyle w:val="Hyperlink"/>
            <w:noProof/>
          </w:rPr>
          <w:t>4</w:t>
        </w:r>
        <w:r w:rsidR="001312B7">
          <w:rPr>
            <w:rFonts w:asciiTheme="minorHAnsi" w:hAnsiTheme="minorHAnsi" w:cstheme="minorBidi"/>
            <w:noProof/>
            <w:sz w:val="24"/>
            <w:szCs w:val="24"/>
            <w:lang w:eastAsia="en-GB"/>
          </w:rPr>
          <w:tab/>
        </w:r>
        <w:r w:rsidR="001312B7" w:rsidRPr="0085211E">
          <w:rPr>
            <w:rStyle w:val="Hyperlink"/>
            <w:noProof/>
          </w:rPr>
          <w:t>Conclusions and recommendations</w:t>
        </w:r>
        <w:r w:rsidR="001312B7">
          <w:rPr>
            <w:noProof/>
            <w:webHidden/>
          </w:rPr>
          <w:tab/>
        </w:r>
        <w:r w:rsidR="001312B7">
          <w:rPr>
            <w:noProof/>
            <w:webHidden/>
          </w:rPr>
          <w:fldChar w:fldCharType="begin"/>
        </w:r>
        <w:r w:rsidR="001312B7">
          <w:rPr>
            <w:noProof/>
            <w:webHidden/>
          </w:rPr>
          <w:instrText xml:space="preserve"> PAGEREF _Toc42001410 \h </w:instrText>
        </w:r>
        <w:r w:rsidR="001312B7">
          <w:rPr>
            <w:noProof/>
            <w:webHidden/>
          </w:rPr>
        </w:r>
        <w:r w:rsidR="001312B7">
          <w:rPr>
            <w:noProof/>
            <w:webHidden/>
          </w:rPr>
          <w:fldChar w:fldCharType="separate"/>
        </w:r>
        <w:r w:rsidR="00BF15B1">
          <w:rPr>
            <w:noProof/>
            <w:webHidden/>
          </w:rPr>
          <w:t>42</w:t>
        </w:r>
        <w:r w:rsidR="001312B7">
          <w:rPr>
            <w:noProof/>
            <w:webHidden/>
          </w:rPr>
          <w:fldChar w:fldCharType="end"/>
        </w:r>
      </w:hyperlink>
    </w:p>
    <w:p w14:paraId="3313A66A" w14:textId="6A8A6A11" w:rsidR="001312B7" w:rsidRDefault="00DF3496">
      <w:pPr>
        <w:pStyle w:val="TOC1"/>
        <w:rPr>
          <w:rFonts w:asciiTheme="minorHAnsi" w:hAnsiTheme="minorHAnsi" w:cstheme="minorBidi"/>
          <w:noProof/>
          <w:sz w:val="24"/>
          <w:szCs w:val="24"/>
          <w:lang w:eastAsia="en-GB"/>
        </w:rPr>
      </w:pPr>
      <w:hyperlink w:anchor="_Toc42001411" w:history="1">
        <w:r w:rsidR="001312B7" w:rsidRPr="0085211E">
          <w:rPr>
            <w:rStyle w:val="Hyperlink"/>
            <w:noProof/>
          </w:rPr>
          <w:t>5</w:t>
        </w:r>
        <w:r w:rsidR="001312B7">
          <w:rPr>
            <w:rFonts w:asciiTheme="minorHAnsi" w:hAnsiTheme="minorHAnsi" w:cstheme="minorBidi"/>
            <w:noProof/>
            <w:sz w:val="24"/>
            <w:szCs w:val="24"/>
            <w:lang w:eastAsia="en-GB"/>
          </w:rPr>
          <w:tab/>
        </w:r>
        <w:r w:rsidR="001312B7" w:rsidRPr="0085211E">
          <w:rPr>
            <w:rStyle w:val="Hyperlink"/>
            <w:noProof/>
          </w:rPr>
          <w:t>References</w:t>
        </w:r>
        <w:r w:rsidR="001312B7">
          <w:rPr>
            <w:noProof/>
            <w:webHidden/>
          </w:rPr>
          <w:tab/>
        </w:r>
        <w:r w:rsidR="001312B7">
          <w:rPr>
            <w:noProof/>
            <w:webHidden/>
          </w:rPr>
          <w:fldChar w:fldCharType="begin"/>
        </w:r>
        <w:r w:rsidR="001312B7">
          <w:rPr>
            <w:noProof/>
            <w:webHidden/>
          </w:rPr>
          <w:instrText xml:space="preserve"> PAGEREF _Toc42001411 \h </w:instrText>
        </w:r>
        <w:r w:rsidR="001312B7">
          <w:rPr>
            <w:noProof/>
            <w:webHidden/>
          </w:rPr>
        </w:r>
        <w:r w:rsidR="001312B7">
          <w:rPr>
            <w:noProof/>
            <w:webHidden/>
          </w:rPr>
          <w:fldChar w:fldCharType="separate"/>
        </w:r>
        <w:r w:rsidR="00BF15B1">
          <w:rPr>
            <w:noProof/>
            <w:webHidden/>
          </w:rPr>
          <w:t>43</w:t>
        </w:r>
        <w:r w:rsidR="001312B7">
          <w:rPr>
            <w:noProof/>
            <w:webHidden/>
          </w:rPr>
          <w:fldChar w:fldCharType="end"/>
        </w:r>
      </w:hyperlink>
    </w:p>
    <w:p w14:paraId="13E404A8" w14:textId="2A8F9B63" w:rsidR="001312B7" w:rsidRDefault="00DF3496">
      <w:pPr>
        <w:pStyle w:val="TOC1"/>
        <w:rPr>
          <w:rFonts w:asciiTheme="minorHAnsi" w:hAnsiTheme="minorHAnsi" w:cstheme="minorBidi"/>
          <w:noProof/>
          <w:sz w:val="24"/>
          <w:szCs w:val="24"/>
          <w:lang w:eastAsia="en-GB"/>
        </w:rPr>
      </w:pPr>
      <w:hyperlink w:anchor="_Toc42001412" w:history="1">
        <w:r w:rsidR="001312B7" w:rsidRPr="0085211E">
          <w:rPr>
            <w:rStyle w:val="Hyperlink"/>
            <w:noProof/>
          </w:rPr>
          <w:t>Appendix A: Species lists</w:t>
        </w:r>
        <w:r w:rsidR="001312B7">
          <w:rPr>
            <w:noProof/>
            <w:webHidden/>
          </w:rPr>
          <w:tab/>
        </w:r>
        <w:r w:rsidR="001312B7">
          <w:rPr>
            <w:noProof/>
            <w:webHidden/>
          </w:rPr>
          <w:fldChar w:fldCharType="begin"/>
        </w:r>
        <w:r w:rsidR="001312B7">
          <w:rPr>
            <w:noProof/>
            <w:webHidden/>
          </w:rPr>
          <w:instrText xml:space="preserve"> PAGEREF _Toc42001412 \h </w:instrText>
        </w:r>
        <w:r w:rsidR="001312B7">
          <w:rPr>
            <w:noProof/>
            <w:webHidden/>
          </w:rPr>
        </w:r>
        <w:r w:rsidR="001312B7">
          <w:rPr>
            <w:noProof/>
            <w:webHidden/>
          </w:rPr>
          <w:fldChar w:fldCharType="separate"/>
        </w:r>
        <w:r w:rsidR="00BF15B1">
          <w:rPr>
            <w:noProof/>
            <w:webHidden/>
          </w:rPr>
          <w:t>47</w:t>
        </w:r>
        <w:r w:rsidR="001312B7">
          <w:rPr>
            <w:noProof/>
            <w:webHidden/>
          </w:rPr>
          <w:fldChar w:fldCharType="end"/>
        </w:r>
      </w:hyperlink>
    </w:p>
    <w:p w14:paraId="512AEA87" w14:textId="2D9353D6" w:rsidR="00286644" w:rsidRPr="00237510" w:rsidRDefault="0047228D">
      <w:pPr>
        <w:spacing w:after="0"/>
        <w:sectPr w:rsidR="00286644" w:rsidRPr="00237510" w:rsidSect="00CE125A">
          <w:pgSz w:w="11900" w:h="16840"/>
          <w:pgMar w:top="1272" w:right="1800" w:bottom="1440" w:left="1800" w:header="708" w:footer="708" w:gutter="0"/>
          <w:pgNumType w:fmt="lowerRoman"/>
          <w:cols w:space="708"/>
        </w:sectPr>
      </w:pPr>
      <w:r w:rsidRPr="00237510">
        <w:fldChar w:fldCharType="end"/>
      </w:r>
    </w:p>
    <w:p w14:paraId="6E386D06" w14:textId="77777777" w:rsidR="00C84B75" w:rsidRPr="00237510" w:rsidRDefault="00C84B75" w:rsidP="001E4D85">
      <w:pPr>
        <w:pStyle w:val="Heading1"/>
      </w:pPr>
      <w:bookmarkStart w:id="3" w:name="_Toc42001365"/>
      <w:r w:rsidRPr="00237510">
        <w:t>Introduction</w:t>
      </w:r>
      <w:bookmarkEnd w:id="3"/>
    </w:p>
    <w:p w14:paraId="44B74CC3" w14:textId="77777777" w:rsidR="001E4D85" w:rsidRPr="00237510" w:rsidRDefault="001E4D85" w:rsidP="001E4D85">
      <w:pPr>
        <w:pStyle w:val="Heading2"/>
      </w:pPr>
      <w:bookmarkStart w:id="4" w:name="_Toc42001366"/>
      <w:r w:rsidRPr="00237510">
        <w:t>Context</w:t>
      </w:r>
      <w:bookmarkEnd w:id="4"/>
    </w:p>
    <w:p w14:paraId="7510BBC5" w14:textId="775D59C8" w:rsidR="00F70615" w:rsidRPr="00237510" w:rsidRDefault="00622FB9" w:rsidP="00176D81">
      <w:r w:rsidRPr="00237510">
        <w:t>The Latrobe Valley</w:t>
      </w:r>
      <w:r w:rsidR="00956837" w:rsidRPr="00237510">
        <w:t xml:space="preserve"> is an inland portion of the Latrobe River Basin, between the Strzelecki and Baw Baw Ranges in West Gippsland, Victoria.</w:t>
      </w:r>
      <w:r w:rsidRPr="00237510">
        <w:t xml:space="preserve"> The Valley holds large r</w:t>
      </w:r>
      <w:r w:rsidR="00212783" w:rsidRPr="00237510">
        <w:t>eserves</w:t>
      </w:r>
      <w:r w:rsidRPr="00237510">
        <w:t xml:space="preserve"> of brown coal, with an estimated resource of 65 billion tonnes, half of which is considered economically viable to extract. The brown coal reserves of the Latrobe Valley are found near the surface and there are three open-cut mines in the region at Hazelwood, Loy Yang and Yallourn</w:t>
      </w:r>
      <w:r w:rsidR="00284219" w:rsidRPr="00237510">
        <w:t xml:space="preserve"> (</w:t>
      </w:r>
      <w:r w:rsidR="00284219" w:rsidRPr="00237510">
        <w:fldChar w:fldCharType="begin"/>
      </w:r>
      <w:r w:rsidR="00284219" w:rsidRPr="00237510">
        <w:instrText xml:space="preserve"> REF _Ref536537969 \h </w:instrText>
      </w:r>
      <w:r w:rsidR="00284219" w:rsidRPr="00237510">
        <w:fldChar w:fldCharType="separate"/>
      </w:r>
      <w:r w:rsidR="008C72C8" w:rsidRPr="00237510">
        <w:t>Figure 1</w:t>
      </w:r>
      <w:r w:rsidR="00284219" w:rsidRPr="00237510">
        <w:fldChar w:fldCharType="end"/>
      </w:r>
      <w:r w:rsidR="00284219" w:rsidRPr="00237510">
        <w:t>)</w:t>
      </w:r>
      <w:r w:rsidRPr="00237510">
        <w:t xml:space="preserve">. </w:t>
      </w:r>
      <w:r w:rsidR="004721AE" w:rsidRPr="00237510">
        <w:t>These mines are all large</w:t>
      </w:r>
      <w:r w:rsidR="00A57F6C" w:rsidRPr="00237510">
        <w:t xml:space="preserve">, each extending over 12 </w:t>
      </w:r>
      <w:r w:rsidR="00F36E6B" w:rsidRPr="00237510">
        <w:t>square kilometres</w:t>
      </w:r>
      <w:r w:rsidR="00A57F6C" w:rsidRPr="00237510">
        <w:t xml:space="preserve"> and with a </w:t>
      </w:r>
      <w:r w:rsidR="00212783" w:rsidRPr="00237510">
        <w:t>combined void space</w:t>
      </w:r>
      <w:r w:rsidR="00A57F6C" w:rsidRPr="00237510">
        <w:t xml:space="preserve"> of </w:t>
      </w:r>
      <w:r w:rsidR="00716D5D" w:rsidRPr="00237510">
        <w:t>28</w:t>
      </w:r>
      <w:r w:rsidR="00A57F6C" w:rsidRPr="00237510">
        <w:t>00</w:t>
      </w:r>
      <w:r w:rsidR="001A0F67" w:rsidRPr="00237510">
        <w:t> </w:t>
      </w:r>
      <w:r w:rsidR="00F36E6B" w:rsidRPr="00237510">
        <w:t>gigalitres</w:t>
      </w:r>
      <w:r w:rsidR="00A57F6C" w:rsidRPr="00237510">
        <w:t xml:space="preserve"> (</w:t>
      </w:r>
      <w:r w:rsidR="007E6BAB" w:rsidRPr="00237510">
        <w:t xml:space="preserve">GL; </w:t>
      </w:r>
      <w:r w:rsidR="00A57F6C" w:rsidRPr="00237510">
        <w:t>million cubic metres)</w:t>
      </w:r>
      <w:r w:rsidR="00284219" w:rsidRPr="00237510">
        <w:t xml:space="preserve">. </w:t>
      </w:r>
      <w:r w:rsidR="00832B47" w:rsidRPr="00237510">
        <w:t xml:space="preserve"> </w:t>
      </w:r>
      <w:r w:rsidR="00716D5D" w:rsidRPr="00237510">
        <w:t>The Hazelwood mine closed in March 2017, and the Yallourn and Loy Yang mines are scheduled for closure in 2032 and 2048 respectively</w:t>
      </w:r>
      <w:r w:rsidR="00212783" w:rsidRPr="00237510">
        <w:t xml:space="preserve"> </w:t>
      </w:r>
      <w:r w:rsidR="000439FA" w:rsidRPr="00237510">
        <w:fldChar w:fldCharType="begin"/>
      </w:r>
      <w:r w:rsidR="00A762BE" w:rsidRPr="00237510">
        <w:instrText xml:space="preserve"> ADDIN ZOTERO_ITEM CSL_CITATION {"citationID":"UR6DAPYF","properties":{"formattedCitation":"(Latrobe Valley Mine Rehabilitation Commissioner 2018)","plainCitation":"(Latrobe Valley Mine Rehabilitation Commissioner 2018)","noteIndex":0},"citationItems":[{"id":4447,"uris":["http://zotero.org/users/2336876/items/4LXTF25D"],"uri":["http://zotero.org/users/2336876/items/4LXTF25D"],"itemData":{"id":4447,"type":"book","event-place":"Traralgon, Victoria","publisher":"State Government of Victoria","publisher-place":"Traralgon, Victoria","title":"Latrobe Valley Rehabilitation Monitoring and Evaluation Framework","author":[{"family":"Latrobe Valley Mine Rehabilitation Commissioner","given":""}],"issued":{"date-parts":[["2018"]]}}}],"schema":"https://github.com/citation-style-language/schema/raw/master/csl-citation.json"} </w:instrText>
      </w:r>
      <w:r w:rsidR="000439FA" w:rsidRPr="00237510">
        <w:fldChar w:fldCharType="separate"/>
      </w:r>
      <w:r w:rsidR="000439FA" w:rsidRPr="00237510">
        <w:t>(Latrobe Valley Mine Rehabilitation Commissioner 2018)</w:t>
      </w:r>
      <w:r w:rsidR="000439FA" w:rsidRPr="00237510">
        <w:fldChar w:fldCharType="end"/>
      </w:r>
      <w:r w:rsidR="000439FA" w:rsidRPr="00237510">
        <w:t xml:space="preserve">. </w:t>
      </w:r>
    </w:p>
    <w:p w14:paraId="11E5C2D1" w14:textId="014FF25B" w:rsidR="00F70615" w:rsidRPr="00237510" w:rsidRDefault="00CE0073" w:rsidP="00176D81">
      <w:r>
        <w:rPr>
          <w:noProof/>
        </w:rPr>
        <w:drawing>
          <wp:inline distT="0" distB="0" distL="0" distR="0" wp14:anchorId="731134C5" wp14:editId="13BADB2A">
            <wp:extent cx="5270501" cy="3976370"/>
            <wp:effectExtent l="0" t="0" r="0" b="0"/>
            <wp:docPr id="55" name="Picture 55" descr="A map showing the locations and extent of the Latrobe Valley mine pits and mining license areas at Yallourn, Hazelwood and Loy Yang. These areas are shown in proximity to water sources such as the Latrobe River and Lake Narra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pic:nvPicPr>
                  <pic:blipFill>
                    <a:blip r:embed="rId10" cstate="email">
                      <a:extLst>
                        <a:ext uri="{28A0092B-C50C-407E-A947-70E740481C1C}">
                          <a14:useLocalDpi xmlns:a14="http://schemas.microsoft.com/office/drawing/2010/main"/>
                        </a:ext>
                      </a:extLst>
                    </a:blip>
                    <a:stretch>
                      <a:fillRect/>
                    </a:stretch>
                  </pic:blipFill>
                  <pic:spPr>
                    <a:xfrm>
                      <a:off x="0" y="0"/>
                      <a:ext cx="5270501" cy="3976370"/>
                    </a:xfrm>
                    <a:prstGeom prst="rect">
                      <a:avLst/>
                    </a:prstGeom>
                  </pic:spPr>
                </pic:pic>
              </a:graphicData>
            </a:graphic>
          </wp:inline>
        </w:drawing>
      </w:r>
    </w:p>
    <w:p w14:paraId="0FD7E007" w14:textId="3AE1D9DE" w:rsidR="00A57F6C" w:rsidRPr="00237510" w:rsidRDefault="00A57F6C" w:rsidP="00A57F6C">
      <w:pPr>
        <w:pStyle w:val="Caption"/>
        <w:rPr>
          <w:vertAlign w:val="subscript"/>
        </w:rPr>
      </w:pPr>
      <w:bookmarkStart w:id="5" w:name="_Ref536537969"/>
      <w:r w:rsidRPr="00237510">
        <w:t xml:space="preserve">Figure </w:t>
      </w:r>
      <w:r>
        <w:fldChar w:fldCharType="begin"/>
      </w:r>
      <w:r>
        <w:instrText>SEQ Figure \* ARABIC</w:instrText>
      </w:r>
      <w:r>
        <w:fldChar w:fldCharType="separate"/>
      </w:r>
      <w:r w:rsidR="00DE4513">
        <w:rPr>
          <w:noProof/>
        </w:rPr>
        <w:t>1</w:t>
      </w:r>
      <w:r>
        <w:fldChar w:fldCharType="end"/>
      </w:r>
      <w:bookmarkEnd w:id="5"/>
      <w:r w:rsidR="00284219" w:rsidRPr="00237510">
        <w:t xml:space="preserve">: Latrobe Valley mine locations </w:t>
      </w:r>
      <w:r w:rsidR="00284219" w:rsidRPr="00237510">
        <w:fldChar w:fldCharType="begin"/>
      </w:r>
      <w:r w:rsidR="00A762BE" w:rsidRPr="00237510">
        <w:instrText xml:space="preserve"> ADDIN ZOTERO_ITEM CSL_CITATION {"citationID":"3nOI2xkC","properties":{"formattedCitation":"(adapted from Department of Economic Development, Jobs, Transport and Resources and Victoria 2018)","plainCitation":"(adapted from Department of Economic Development, Jobs, Transport and Resources and Victoria 2018)","noteIndex":0},"citationItems":[{"id":4446,"uris":["http://zotero.org/users/2336876/items/IZZ4UEA6"],"uri":["http://zotero.org/users/2336876/items/IZZ4UEA6"],"itemData":{"id":4446,"type":"book","event-place":"Melbourne, Australia","ISBN":"978-1-925733-63-1","language":"English","note":"OCLC: 1057410303","publisher":"State Government of Victoria","publisher-place":"Melbourne, Australia","source":"Open WorldCat","title":"Latrobe Valley Regional Rehabilitation Strategy: Program summary.","title-short":"Latrobe valley regional rehabilitation strategy","author":[{"literal":"Department of Economic Development, Jobs, Transport and Resources"},{"literal":"Victoria"}],"issued":{"date-parts":[["2018"]]}},"prefix":"adapted from "}],"schema":"https://github.com/citation-style-language/schema/raw/master/csl-citation.json"} </w:instrText>
      </w:r>
      <w:r w:rsidR="00284219" w:rsidRPr="00237510">
        <w:fldChar w:fldCharType="separate"/>
      </w:r>
      <w:r w:rsidR="00284219" w:rsidRPr="00237510">
        <w:t>(adapted from Department of Economic Development, Jobs, Transport and Resources and Victoria 2018)</w:t>
      </w:r>
      <w:r w:rsidR="00284219" w:rsidRPr="00237510">
        <w:fldChar w:fldCharType="end"/>
      </w:r>
      <w:r w:rsidR="00284219" w:rsidRPr="00237510">
        <w:t>.</w:t>
      </w:r>
    </w:p>
    <w:p w14:paraId="3CF91340" w14:textId="4667E6E1" w:rsidR="007030BA" w:rsidRPr="00237510" w:rsidRDefault="00622FB9" w:rsidP="003F03C1">
      <w:r w:rsidRPr="00237510">
        <w:t xml:space="preserve">A fire at the Hazelwood mine in 2014, which </w:t>
      </w:r>
      <w:r w:rsidR="00D97FA9" w:rsidRPr="00237510">
        <w:t>had many adverse impacts on</w:t>
      </w:r>
      <w:r w:rsidRPr="00237510">
        <w:t xml:space="preserve"> local communities, was the subject of </w:t>
      </w:r>
      <w:r w:rsidR="00212783" w:rsidRPr="00237510">
        <w:t>the Hazelwood Mine Fire Inquiry</w:t>
      </w:r>
      <w:r w:rsidR="00212783" w:rsidRPr="00237510">
        <w:rPr>
          <w:rStyle w:val="FootnoteReference"/>
        </w:rPr>
        <w:footnoteReference w:id="4"/>
      </w:r>
      <w:r w:rsidR="00CB7676" w:rsidRPr="00237510">
        <w:t>.</w:t>
      </w:r>
      <w:r w:rsidR="00EB3114" w:rsidRPr="00237510">
        <w:t xml:space="preserve"> </w:t>
      </w:r>
      <w:r w:rsidR="004721AE" w:rsidRPr="00237510">
        <w:t xml:space="preserve">The </w:t>
      </w:r>
      <w:r w:rsidR="00212783" w:rsidRPr="00237510">
        <w:t>inquiry</w:t>
      </w:r>
      <w:r w:rsidR="004721AE" w:rsidRPr="00237510">
        <w:t xml:space="preserve"> found significant knowledge gaps </w:t>
      </w:r>
      <w:r w:rsidR="003F03C1" w:rsidRPr="00237510">
        <w:t xml:space="preserve">and uncertainties surrounding the closure and rehabilitation of the Latrobe Valley’s three brown coal mines. </w:t>
      </w:r>
      <w:r w:rsidR="00D97FA9" w:rsidRPr="00237510">
        <w:t xml:space="preserve">Of most relevance to this report, </w:t>
      </w:r>
      <w:r w:rsidR="003F03C1" w:rsidRPr="00237510">
        <w:t>the inquiry found that, with the current knowledge available, some form of pit lake was the most viable rehabilitation option for the coal mine voids, but that there remain many unanswered questions concerning the feasibility of pit lakes</w:t>
      </w:r>
      <w:r w:rsidR="00212783" w:rsidRPr="00237510">
        <w:t xml:space="preserve"> as a rehabilitation option</w:t>
      </w:r>
      <w:r w:rsidR="003F03C1" w:rsidRPr="00237510">
        <w:t xml:space="preserve">. </w:t>
      </w:r>
    </w:p>
    <w:p w14:paraId="784FDCDB" w14:textId="5A2B8141" w:rsidR="001E1C48" w:rsidRPr="00237510" w:rsidRDefault="000439FA" w:rsidP="000439FA">
      <w:r w:rsidRPr="00237510">
        <w:t xml:space="preserve">In response to the findings of the Hazelwood Mine Fire Inquiry, The Victorian Government initiated the Latrobe Valley Regional Rehabilitation Strategy (LVRRS), </w:t>
      </w:r>
      <w:r w:rsidR="008A0647">
        <w:t xml:space="preserve">which aims </w:t>
      </w:r>
      <w:r w:rsidRPr="00237510">
        <w:t xml:space="preserve">to address some of the identified knowledge gaps and specifically investigate the feasibility of pit lake rehabilitation for the Latrobe Valley coal mines. </w:t>
      </w:r>
    </w:p>
    <w:p w14:paraId="424EBA50" w14:textId="476A1B2B" w:rsidR="001E1C48" w:rsidRPr="00237510" w:rsidRDefault="000439FA" w:rsidP="001E1C48">
      <w:r w:rsidRPr="00237510">
        <w:t xml:space="preserve">The LVRRS is to be delivered by June 2020, and its preparation will involve a suite of technical studies covering hydrology, hydrogeology, geotechnical aspects, water quality, geochemistry, statutory/regulatory and environmental, socioeconomic and cultural impacts. </w:t>
      </w:r>
      <w:r w:rsidR="001E1C48" w:rsidRPr="00237510">
        <w:t xml:space="preserve">In essence, the objective of the LVRRS technical investigation program is to </w:t>
      </w:r>
      <w:r w:rsidR="001E1C48" w:rsidRPr="00237510">
        <w:fldChar w:fldCharType="begin"/>
      </w:r>
      <w:r w:rsidR="00A762BE" w:rsidRPr="00237510">
        <w:instrText xml:space="preserve"> ADDIN ZOTERO_ITEM CSL_CITATION {"citationID":"WtlD3UrJ","properties":{"formattedCitation":"(Department of Economic Development, Jobs, Transport and Resources and Victoria 2018)","plainCitation":"(Department of Economic Development, Jobs, Transport and Resources and Victoria 2018)","noteIndex":0},"citationItems":[{"id":4446,"uris":["http://zotero.org/users/2336876/items/IZZ4UEA6"],"uri":["http://zotero.org/users/2336876/items/IZZ4UEA6"],"itemData":{"id":4446,"type":"book","event-place":"Melbourne, Australia","ISBN":"978-1-925733-63-1","language":"English","note":"OCLC: 1057410303","publisher":"State Government of Victoria","publisher-place":"Melbourne, Australia","source":"Open WorldCat","title":"Latrobe Valley Regional Rehabilitation Strategy: Program summary.","title-short":"Latrobe valley regional rehabilitation strategy","author":[{"literal":"Department of Economic Development, Jobs, Transport and Resources"},{"literal":"Victoria"}],"issued":{"date-parts":[["2018"]]}}}],"schema":"https://github.com/citation-style-language/schema/raw/master/csl-citation.json"} </w:instrText>
      </w:r>
      <w:r w:rsidR="001E1C48" w:rsidRPr="00237510">
        <w:fldChar w:fldCharType="separate"/>
      </w:r>
      <w:r w:rsidR="001E1C48" w:rsidRPr="00237510">
        <w:t>(Department of Economic Development, Jobs, Transport and Resources and Victoria 2018)</w:t>
      </w:r>
      <w:r w:rsidR="001E1C48" w:rsidRPr="00237510">
        <w:fldChar w:fldCharType="end"/>
      </w:r>
      <w:r w:rsidR="001E1C48" w:rsidRPr="00237510">
        <w:t>:</w:t>
      </w:r>
    </w:p>
    <w:p w14:paraId="4091DCFD" w14:textId="16039123" w:rsidR="001E1C48" w:rsidRPr="00237510" w:rsidRDefault="001E1C48" w:rsidP="001E1C48">
      <w:r w:rsidRPr="00237510">
        <w:t>“</w:t>
      </w:r>
      <w:r w:rsidRPr="00237510">
        <w:rPr>
          <w:i/>
        </w:rPr>
        <w:t>determine if the pit lakes option can deliver a safe, stable and sustainable rehabilitation solution for the Latrobe Valley in the context of limited water availability, a sensitive downstream environment, climate change, aboriginal and non-aboriginal heritage values, and strong community interest in achieving a final landform that can support beneficial land uses</w:t>
      </w:r>
      <w:r w:rsidRPr="00237510">
        <w:t>.”</w:t>
      </w:r>
    </w:p>
    <w:p w14:paraId="5397E1B9" w14:textId="09E7CF16" w:rsidR="000439FA" w:rsidRPr="00237510" w:rsidRDefault="003B1BB6" w:rsidP="000439FA">
      <w:r w:rsidRPr="00237510">
        <w:t>As part of this technical investigation, this project - the Latrobe Valley Regional Water Study - Ecological Effects Assessment - seeks to assess the potential environmental effects arising for altered hydrology of the pit lake option for mine rehabilitation on the aquatic ecosystems of the region</w:t>
      </w:r>
      <w:r w:rsidR="001E1C48" w:rsidRPr="00237510">
        <w:t>.</w:t>
      </w:r>
    </w:p>
    <w:p w14:paraId="495F08CD" w14:textId="7AFCA147" w:rsidR="007030BA" w:rsidRPr="00237510" w:rsidRDefault="001E4D85" w:rsidP="007030BA">
      <w:pPr>
        <w:pStyle w:val="Heading2"/>
      </w:pPr>
      <w:bookmarkStart w:id="6" w:name="_Toc42001367"/>
      <w:r w:rsidRPr="00237510">
        <w:t>Objectives</w:t>
      </w:r>
      <w:bookmarkEnd w:id="6"/>
    </w:p>
    <w:p w14:paraId="50661A3C" w14:textId="262B079D" w:rsidR="00CE2FB3" w:rsidRPr="00237510" w:rsidRDefault="00D97FA9" w:rsidP="00CE2FB3">
      <w:r w:rsidRPr="00237510">
        <w:t>T</w:t>
      </w:r>
      <w:r w:rsidR="007030BA" w:rsidRPr="00237510">
        <w:t xml:space="preserve">he objectives </w:t>
      </w:r>
      <w:r w:rsidR="001E1C48" w:rsidRPr="00237510">
        <w:t>of the Latrobe Valley Regional Water Study</w:t>
      </w:r>
      <w:r w:rsidRPr="00237510">
        <w:t xml:space="preserve"> -</w:t>
      </w:r>
      <w:r w:rsidR="001E1C48" w:rsidRPr="00237510">
        <w:t xml:space="preserve"> Ecological Effects Assessment </w:t>
      </w:r>
      <w:r w:rsidRPr="00237510">
        <w:t xml:space="preserve">(EEA) </w:t>
      </w:r>
      <w:r w:rsidR="001E1C48" w:rsidRPr="00237510">
        <w:t>are to</w:t>
      </w:r>
      <w:r w:rsidR="00CE2FB3" w:rsidRPr="00237510">
        <w:t>:</w:t>
      </w:r>
    </w:p>
    <w:p w14:paraId="78094D14" w14:textId="090D1CCF" w:rsidR="00CE2FB3" w:rsidRPr="00237510" w:rsidRDefault="001E1C48" w:rsidP="007F4023">
      <w:pPr>
        <w:pStyle w:val="ListParagraph"/>
        <w:numPr>
          <w:ilvl w:val="0"/>
          <w:numId w:val="4"/>
        </w:numPr>
      </w:pPr>
      <w:r>
        <w:t xml:space="preserve">identify the values of the aquatic ecosystems that could be affected </w:t>
      </w:r>
      <w:proofErr w:type="gramStart"/>
      <w:r>
        <w:t xml:space="preserve">by </w:t>
      </w:r>
      <w:r w:rsidR="6957318F">
        <w:t>the use of</w:t>
      </w:r>
      <w:proofErr w:type="gramEnd"/>
      <w:r w:rsidR="6957318F">
        <w:t xml:space="preserve"> water from the Latro</w:t>
      </w:r>
      <w:r w:rsidR="00AF2597">
        <w:t>b</w:t>
      </w:r>
      <w:r w:rsidR="6957318F">
        <w:t xml:space="preserve">e River system for </w:t>
      </w:r>
      <w:r>
        <w:t>mine rehabilitation,</w:t>
      </w:r>
    </w:p>
    <w:p w14:paraId="17DEFDF1" w14:textId="38C72DB0" w:rsidR="00CE2FB3" w:rsidRPr="00237510" w:rsidRDefault="001E1C48" w:rsidP="007F4023">
      <w:pPr>
        <w:pStyle w:val="ListParagraph"/>
        <w:numPr>
          <w:ilvl w:val="0"/>
          <w:numId w:val="4"/>
        </w:numPr>
      </w:pPr>
      <w:r w:rsidRPr="00237510">
        <w:t>describe current condition and existing trajectories of change, with respect to those values,</w:t>
      </w:r>
    </w:p>
    <w:p w14:paraId="39842B4B" w14:textId="4D532C12" w:rsidR="001E1C48" w:rsidRPr="00237510" w:rsidRDefault="001E1C48" w:rsidP="007F4023">
      <w:pPr>
        <w:pStyle w:val="ListParagraph"/>
        <w:numPr>
          <w:ilvl w:val="0"/>
          <w:numId w:val="4"/>
        </w:numPr>
      </w:pPr>
      <w:r>
        <w:t>determine the potential effects of mine rehabilitation on aquatic ecosystems, and</w:t>
      </w:r>
    </w:p>
    <w:p w14:paraId="040030E0" w14:textId="4CD00B04" w:rsidR="00D16EEB" w:rsidRPr="00237510" w:rsidRDefault="001E1C48" w:rsidP="007F4023">
      <w:pPr>
        <w:pStyle w:val="ListParagraph"/>
        <w:numPr>
          <w:ilvl w:val="0"/>
          <w:numId w:val="4"/>
        </w:numPr>
      </w:pPr>
      <w:r w:rsidRPr="00237510">
        <w:t xml:space="preserve">recommend </w:t>
      </w:r>
      <w:r w:rsidR="00A65160" w:rsidRPr="00237510">
        <w:t xml:space="preserve">mechanisms for potentially improving the condition of the </w:t>
      </w:r>
      <w:r w:rsidR="00600FFE" w:rsidRPr="00237510">
        <w:t>region’s</w:t>
      </w:r>
      <w:r w:rsidR="00A65160" w:rsidRPr="00237510">
        <w:t xml:space="preserve"> aquatic ecosystems</w:t>
      </w:r>
      <w:r w:rsidR="003F2094" w:rsidRPr="00237510">
        <w:t>.</w:t>
      </w:r>
      <w:r w:rsidR="00CE2FB3" w:rsidRPr="00237510">
        <w:t xml:space="preserve"> </w:t>
      </w:r>
    </w:p>
    <w:p w14:paraId="040D100C" w14:textId="6F8FFA64" w:rsidR="00C84B75" w:rsidRPr="00237510" w:rsidRDefault="00095739" w:rsidP="00095739">
      <w:pPr>
        <w:pStyle w:val="Heading2"/>
      </w:pPr>
      <w:bookmarkStart w:id="7" w:name="_Toc42001368"/>
      <w:r w:rsidRPr="00237510">
        <w:t>Approach</w:t>
      </w:r>
      <w:bookmarkEnd w:id="7"/>
    </w:p>
    <w:p w14:paraId="098353CC" w14:textId="03569AD8" w:rsidR="00D26AB2" w:rsidRPr="00237510" w:rsidRDefault="005A175E" w:rsidP="005A175E">
      <w:pPr>
        <w:widowControl w:val="0"/>
        <w:autoSpaceDE w:val="0"/>
        <w:autoSpaceDN w:val="0"/>
        <w:adjustRightInd w:val="0"/>
      </w:pPr>
      <w:r w:rsidRPr="00237510">
        <w:t>The</w:t>
      </w:r>
      <w:r w:rsidR="00212783" w:rsidRPr="00237510">
        <w:t xml:space="preserve"> </w:t>
      </w:r>
      <w:r w:rsidR="001A0F67" w:rsidRPr="00237510">
        <w:t>Ecological</w:t>
      </w:r>
      <w:r w:rsidR="00A96EAD" w:rsidRPr="00237510">
        <w:t xml:space="preserve"> Effects Assessment</w:t>
      </w:r>
      <w:r w:rsidRPr="00237510">
        <w:t xml:space="preserve"> was based on information from multiple lines of evidence. The identification of values and their current ecological condition was compiled from a thorough review of the grey and scientific literature.  </w:t>
      </w:r>
      <w:r w:rsidR="003B1BB6" w:rsidRPr="00237510">
        <w:t>The environmental water requirements to maintain those values in the Latrobe River, Latrobe Estuary and the Lower Latrobe Wetlands was</w:t>
      </w:r>
      <w:r w:rsidRPr="00237510">
        <w:t xml:space="preserve"> provide</w:t>
      </w:r>
      <w:r w:rsidR="00E11576" w:rsidRPr="00237510">
        <w:t>d</w:t>
      </w:r>
      <w:r w:rsidRPr="00237510">
        <w:t xml:space="preserve"> by the recent update to the Latrobe Environmental Flows Assessment (Alluvium 2020).</w:t>
      </w:r>
      <w:r w:rsidR="00D26AB2" w:rsidRPr="00237510">
        <w:t xml:space="preserve"> The Flows Assessment identifies the important components of the river flow and wetland water regimes, and provides quantitative recommendations with respect to volumes, duration, frequency and timing of flows to maintain the ecological and cultural values of the Latrobe River </w:t>
      </w:r>
      <w:r w:rsidR="001A0F67" w:rsidRPr="00237510">
        <w:t>s</w:t>
      </w:r>
      <w:r w:rsidR="00D26AB2" w:rsidRPr="00237510">
        <w:t xml:space="preserve">ystem, including the </w:t>
      </w:r>
      <w:r w:rsidR="001A0F67" w:rsidRPr="00237510">
        <w:t>Latrobe E</w:t>
      </w:r>
      <w:r w:rsidR="00D26AB2" w:rsidRPr="00237510">
        <w:t>stuary and Lower Latrobe Wetlands.</w:t>
      </w:r>
    </w:p>
    <w:p w14:paraId="5BE748DA" w14:textId="6C114B6E" w:rsidR="00600FFE" w:rsidRPr="00237510" w:rsidRDefault="009E38ED" w:rsidP="00600FFE">
      <w:pPr>
        <w:widowControl w:val="0"/>
        <w:autoSpaceDE w:val="0"/>
        <w:autoSpaceDN w:val="0"/>
        <w:adjustRightInd w:val="0"/>
      </w:pPr>
      <w:r>
        <w:t>The EEA</w:t>
      </w:r>
      <w:r w:rsidR="00D26AB2">
        <w:t xml:space="preserve"> has used the outputs of the Latrobe Environmental Flows Assessment</w:t>
      </w:r>
      <w:r w:rsidR="00A87E52">
        <w:rPr>
          <w:rStyle w:val="FootnoteReference"/>
        </w:rPr>
        <w:footnoteReference w:id="5"/>
      </w:r>
      <w:r w:rsidR="00D26AB2">
        <w:t xml:space="preserve"> (Alluvium 2020) as the basis for evaluating the potential impacts of pit lakes as an option for mine rehabilitation in the context of water resource use and climate change.</w:t>
      </w:r>
      <w:r>
        <w:t xml:space="preserve"> It was informed with the input of a steering committee comprising representatives of the Department of Environment, Land Water and Planning (DELWP)</w:t>
      </w:r>
      <w:r w:rsidR="00160CBA">
        <w:t xml:space="preserve"> and</w:t>
      </w:r>
      <w:r>
        <w:t xml:space="preserve"> West Gippsland Catchment Management Authority (CMA)</w:t>
      </w:r>
      <w:r w:rsidR="00160CBA">
        <w:t xml:space="preserve">.  </w:t>
      </w:r>
    </w:p>
    <w:p w14:paraId="7912FCB2" w14:textId="6DFBD9C6" w:rsidR="00316A1E" w:rsidRPr="00237510" w:rsidRDefault="00D97FA9" w:rsidP="003B1BB6">
      <w:pPr>
        <w:widowControl w:val="0"/>
        <w:autoSpaceDE w:val="0"/>
        <w:autoSpaceDN w:val="0"/>
        <w:adjustRightInd w:val="0"/>
      </w:pPr>
      <w:r w:rsidRPr="00237510">
        <w:t xml:space="preserve">It should be noted that this is not a formal Environmental Effects Statement, developed in accordance with the </w:t>
      </w:r>
      <w:r w:rsidRPr="00237510">
        <w:rPr>
          <w:i/>
          <w:iCs/>
        </w:rPr>
        <w:t>Environment Effects Act 1978</w:t>
      </w:r>
      <w:r w:rsidRPr="00237510">
        <w:t xml:space="preserve">. </w:t>
      </w:r>
      <w:r w:rsidR="009E38ED" w:rsidRPr="00237510">
        <w:t xml:space="preserve">That process requires a detailed design of the action, in this case mine rehabilitation, to be defined in terms of construction and operational procedures. This level of detail has not yet been defined, and in some respects will be informed by the LVRRS. </w:t>
      </w:r>
      <w:r w:rsidR="00316A1E" w:rsidRPr="00237510">
        <w:br w:type="page"/>
      </w:r>
    </w:p>
    <w:p w14:paraId="53333E13" w14:textId="011A6CEE" w:rsidR="008852CF" w:rsidRPr="00237510" w:rsidRDefault="00FF3AAD" w:rsidP="00AD149E">
      <w:pPr>
        <w:pStyle w:val="Heading1"/>
      </w:pPr>
      <w:bookmarkStart w:id="8" w:name="_Toc42001369"/>
      <w:r w:rsidRPr="00237510">
        <w:t>Values</w:t>
      </w:r>
      <w:r w:rsidR="00F82B7C" w:rsidRPr="00237510">
        <w:t xml:space="preserve">, current </w:t>
      </w:r>
      <w:r w:rsidRPr="00237510">
        <w:t>condition</w:t>
      </w:r>
      <w:r w:rsidR="00F82B7C" w:rsidRPr="00237510">
        <w:t xml:space="preserve"> and trends</w:t>
      </w:r>
      <w:bookmarkEnd w:id="8"/>
    </w:p>
    <w:p w14:paraId="6C6B664B" w14:textId="353E9BF2" w:rsidR="004C2F8D" w:rsidRPr="00237510" w:rsidRDefault="003234B4" w:rsidP="004C2F8D">
      <w:pPr>
        <w:pStyle w:val="Heading2"/>
      </w:pPr>
      <w:bookmarkStart w:id="9" w:name="_Toc42001370"/>
      <w:r w:rsidRPr="00237510">
        <w:t>Which aquatic ecosystems could be affected?</w:t>
      </w:r>
      <w:bookmarkEnd w:id="9"/>
    </w:p>
    <w:p w14:paraId="0ED74411" w14:textId="040ECED9" w:rsidR="00BD09EB" w:rsidRPr="00237510" w:rsidRDefault="0035216A" w:rsidP="006E1100">
      <w:r w:rsidRPr="00237510">
        <w:t xml:space="preserve">The aquatic ecosystems that could be affected </w:t>
      </w:r>
      <w:r w:rsidR="00BD09EB" w:rsidRPr="00237510">
        <w:t>extend from the Tanjil and Tyers Rivers downstream of Blue Rock and Moondarra Reservoirs</w:t>
      </w:r>
      <w:r w:rsidR="009E38ED" w:rsidRPr="00237510">
        <w:t>,</w:t>
      </w:r>
      <w:r w:rsidR="00BD09EB" w:rsidRPr="00237510">
        <w:t xml:space="preserve"> respectively</w:t>
      </w:r>
      <w:r w:rsidR="009E38ED" w:rsidRPr="00237510">
        <w:t>,</w:t>
      </w:r>
      <w:r w:rsidR="00BD09EB" w:rsidRPr="00237510">
        <w:t xml:space="preserve"> to Lake Wellington in the Gippsland Lakes and </w:t>
      </w:r>
      <w:r w:rsidR="009E38ED" w:rsidRPr="00237510">
        <w:t xml:space="preserve">also </w:t>
      </w:r>
      <w:r w:rsidR="00BD09EB" w:rsidRPr="00237510">
        <w:t xml:space="preserve">include the </w:t>
      </w:r>
      <w:r w:rsidR="009E38ED" w:rsidRPr="00237510">
        <w:t xml:space="preserve">tributary streams the </w:t>
      </w:r>
      <w:r w:rsidR="00BD09EB" w:rsidRPr="00237510">
        <w:t>Morwell River and Traralgon Creek</w:t>
      </w:r>
      <w:r w:rsidR="009E38ED" w:rsidRPr="00237510">
        <w:t>,</w:t>
      </w:r>
      <w:r w:rsidR="00BD09EB" w:rsidRPr="00237510">
        <w:t xml:space="preserve"> which currently receive water discharges from power station operations. The study area is large and </w:t>
      </w:r>
      <w:r w:rsidR="00212783" w:rsidRPr="00237510">
        <w:t>includes</w:t>
      </w:r>
      <w:r w:rsidR="00BD09EB" w:rsidRPr="00237510">
        <w:t xml:space="preserve"> a variety of aquatic ecosystems types (</w:t>
      </w:r>
      <w:r w:rsidR="007A7919" w:rsidRPr="00237510">
        <w:fldChar w:fldCharType="begin"/>
      </w:r>
      <w:r w:rsidR="007A7919" w:rsidRPr="00237510">
        <w:instrText xml:space="preserve"> REF _Ref534210366 \h </w:instrText>
      </w:r>
      <w:r w:rsidR="007A7919" w:rsidRPr="00237510">
        <w:fldChar w:fldCharType="separate"/>
      </w:r>
      <w:r w:rsidR="008C72C8" w:rsidRPr="00237510">
        <w:t>Figure 2</w:t>
      </w:r>
      <w:r w:rsidR="007A7919" w:rsidRPr="00237510">
        <w:fldChar w:fldCharType="end"/>
      </w:r>
      <w:r w:rsidR="003036A5" w:rsidRPr="00237510">
        <w:t>).</w:t>
      </w:r>
    </w:p>
    <w:p w14:paraId="724B0F2F" w14:textId="77777777" w:rsidR="003036A5" w:rsidRPr="00237510" w:rsidRDefault="003036A5" w:rsidP="003036A5">
      <w:r>
        <w:rPr>
          <w:noProof/>
        </w:rPr>
        <w:drawing>
          <wp:inline distT="0" distB="0" distL="0" distR="0" wp14:anchorId="44003DCC" wp14:editId="484509EE">
            <wp:extent cx="5581013" cy="2670175"/>
            <wp:effectExtent l="0" t="0" r="0" b="0"/>
            <wp:docPr id="58" name="Picture 58" descr="A map of aquatic ecosystem mega-habitats considered by this ecological effects assessment. The habitats include Lake Wellington, Sale Common, Heart and Dowd Morass, Latrobe Estuary and the Latrob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1" cstate="email">
                      <a:extLst>
                        <a:ext uri="{28A0092B-C50C-407E-A947-70E740481C1C}">
                          <a14:useLocalDpi xmlns:a14="http://schemas.microsoft.com/office/drawing/2010/main"/>
                        </a:ext>
                      </a:extLst>
                    </a:blip>
                    <a:stretch>
                      <a:fillRect/>
                    </a:stretch>
                  </pic:blipFill>
                  <pic:spPr>
                    <a:xfrm>
                      <a:off x="0" y="0"/>
                      <a:ext cx="5581013" cy="2670175"/>
                    </a:xfrm>
                    <a:prstGeom prst="rect">
                      <a:avLst/>
                    </a:prstGeom>
                  </pic:spPr>
                </pic:pic>
              </a:graphicData>
            </a:graphic>
          </wp:inline>
        </w:drawing>
      </w:r>
    </w:p>
    <w:p w14:paraId="449284DF" w14:textId="26183228" w:rsidR="003036A5" w:rsidRPr="00237510" w:rsidRDefault="003036A5" w:rsidP="003036A5">
      <w:pPr>
        <w:pStyle w:val="Caption"/>
      </w:pPr>
      <w:bookmarkStart w:id="10" w:name="_Ref534210366"/>
      <w:r w:rsidRPr="00237510">
        <w:t xml:space="preserve">Figure </w:t>
      </w:r>
      <w:r>
        <w:fldChar w:fldCharType="begin"/>
      </w:r>
      <w:r>
        <w:instrText>SEQ Figure \* ARABIC</w:instrText>
      </w:r>
      <w:r>
        <w:fldChar w:fldCharType="separate"/>
      </w:r>
      <w:r w:rsidR="00DE4513">
        <w:rPr>
          <w:noProof/>
        </w:rPr>
        <w:t>2</w:t>
      </w:r>
      <w:r>
        <w:fldChar w:fldCharType="end"/>
      </w:r>
      <w:bookmarkEnd w:id="10"/>
      <w:r w:rsidRPr="00237510">
        <w:t xml:space="preserve">: Aquatic ecosystem mega-habitats considered in this ecological effects assessment </w:t>
      </w:r>
      <w:r w:rsidRPr="00237510">
        <w:fldChar w:fldCharType="begin"/>
      </w:r>
      <w:r w:rsidR="00A762BE" w:rsidRPr="00237510">
        <w:instrText xml:space="preserve"> ADDIN ZOTERO_ITEM CSL_CITATION {"citationID":"Y2agftI2","properties":{"formattedCitation":"(adapted from Tilleard et al. 2009)","plainCitation":"(adapted from Tilleard et al. 2009)","noteIndex":0},"citationItems":[{"id":2080,"uris":["http://zotero.org/users/2336876/items/4P8NW2SP"],"uri":["http://zotero.org/users/2336876/items/4P8NW2SP"],"itemData":{"id":2080,"type":"book","publisher":"East and West Gippsland Catchment Management Authorities","title":"Understanding the environmental water requirements of the Gippsland Lakes system","author":[{"family":"Tilleard","given":"J."},{"family":"O'Connor","given":"N."},{"family":"Boon","given":"P. J."}],"issued":{"date-parts":[["2009"]]}},"prefix":"adapted from "}],"schema":"https://github.com/citation-style-language/schema/raw/master/csl-citation.json"} </w:instrText>
      </w:r>
      <w:r w:rsidRPr="00237510">
        <w:fldChar w:fldCharType="separate"/>
      </w:r>
      <w:r w:rsidRPr="00237510">
        <w:t>(adapted from Tilleard et al. 2009)</w:t>
      </w:r>
      <w:r w:rsidRPr="00237510">
        <w:fldChar w:fldCharType="end"/>
      </w:r>
      <w:r w:rsidRPr="00237510">
        <w:t>.</w:t>
      </w:r>
    </w:p>
    <w:p w14:paraId="00164B15" w14:textId="72C0AE08" w:rsidR="003036A5" w:rsidRPr="00237510" w:rsidRDefault="000C656A" w:rsidP="006E1100">
      <w:r w:rsidRPr="00237510">
        <w:t xml:space="preserve">The aquatic ecosystems considered in this </w:t>
      </w:r>
      <w:r w:rsidR="007C71A5" w:rsidRPr="00237510">
        <w:t>EEA</w:t>
      </w:r>
      <w:r w:rsidRPr="00237510">
        <w:t xml:space="preserve"> </w:t>
      </w:r>
      <w:r w:rsidR="007C71A5" w:rsidRPr="00237510">
        <w:t>consist of</w:t>
      </w:r>
      <w:r w:rsidRPr="00237510">
        <w:t>:</w:t>
      </w:r>
    </w:p>
    <w:p w14:paraId="471E18F8" w14:textId="2732DB4B" w:rsidR="000C656A" w:rsidRPr="00237510" w:rsidRDefault="000C656A" w:rsidP="007C71A5">
      <w:r w:rsidRPr="00237510">
        <w:t xml:space="preserve">Mainstem of the </w:t>
      </w:r>
      <w:r w:rsidRPr="00237510">
        <w:rPr>
          <w:b/>
          <w:bCs/>
        </w:rPr>
        <w:t>Latrobe River</w:t>
      </w:r>
      <w:r w:rsidRPr="00237510">
        <w:t xml:space="preserve"> downstream of Lake Narracan – a large alluvial river that has been highly modified in the past by straightening, clearing of large woody debris and water resource use. It supports a variety of native fish</w:t>
      </w:r>
      <w:r w:rsidR="001A0F67" w:rsidRPr="00237510">
        <w:t>, macroinvertebrates</w:t>
      </w:r>
      <w:r w:rsidRPr="00237510">
        <w:t xml:space="preserve"> and riparian vegetation communities.</w:t>
      </w:r>
    </w:p>
    <w:p w14:paraId="0BA5A721" w14:textId="66079276" w:rsidR="000C656A" w:rsidRPr="00237510" w:rsidRDefault="000C656A" w:rsidP="007C71A5">
      <w:r w:rsidRPr="00237510">
        <w:rPr>
          <w:b/>
          <w:bCs/>
        </w:rPr>
        <w:t>Latrobe Estuary</w:t>
      </w:r>
      <w:r w:rsidRPr="00237510">
        <w:t xml:space="preserve"> – </w:t>
      </w:r>
      <w:r w:rsidR="007C71A5" w:rsidRPr="00237510">
        <w:rPr>
          <w:lang w:eastAsia="en-US"/>
        </w:rPr>
        <w:t>defined here as the reach that extends from the Swing Bridge to the delta at Lake Wellington. This is a permanently open, salt-wedge estuary that supports a range of freshwater and estuarine fish, salt-tolerant vegetation communities, and is important for the passage of native diadromous fish</w:t>
      </w:r>
      <w:r w:rsidR="003B1BB6" w:rsidRPr="00237510">
        <w:rPr>
          <w:lang w:eastAsia="en-US"/>
        </w:rPr>
        <w:t xml:space="preserve"> (species that migrate between habitats for part of their lifecycle)</w:t>
      </w:r>
      <w:r w:rsidR="007C71A5" w:rsidRPr="00237510">
        <w:rPr>
          <w:lang w:eastAsia="en-US"/>
        </w:rPr>
        <w:t>.</w:t>
      </w:r>
    </w:p>
    <w:p w14:paraId="6D09429A" w14:textId="77777777" w:rsidR="000C656A" w:rsidRPr="00237510" w:rsidRDefault="000C656A" w:rsidP="007C71A5">
      <w:r w:rsidRPr="00237510">
        <w:t xml:space="preserve">Tributaries of the Latrobe River: </w:t>
      </w:r>
    </w:p>
    <w:p w14:paraId="174CEED5" w14:textId="48052DD8" w:rsidR="000C656A" w:rsidRPr="00237510" w:rsidRDefault="000C656A" w:rsidP="007C71A5">
      <w:pPr>
        <w:ind w:left="720"/>
      </w:pPr>
      <w:r w:rsidRPr="00237510">
        <w:rPr>
          <w:b/>
          <w:bCs/>
        </w:rPr>
        <w:t>Tanjil and Tyers Rivers</w:t>
      </w:r>
      <w:r w:rsidRPr="00237510">
        <w:t xml:space="preserve"> downstream of Blue Rock and Moondarra </w:t>
      </w:r>
      <w:r w:rsidR="003B1BB6" w:rsidRPr="00237510">
        <w:t>Reservoirs</w:t>
      </w:r>
      <w:r w:rsidRPr="00237510">
        <w:t xml:space="preserve">, respectively – the confined reaches of </w:t>
      </w:r>
      <w:r w:rsidR="003B1BB6" w:rsidRPr="00237510">
        <w:t>the Tyers</w:t>
      </w:r>
      <w:r w:rsidRPr="00237510">
        <w:t xml:space="preserve"> </w:t>
      </w:r>
      <w:r w:rsidR="00900BA7" w:rsidRPr="00237510">
        <w:t>are</w:t>
      </w:r>
      <w:r w:rsidRPr="00237510">
        <w:t xml:space="preserve"> in </w:t>
      </w:r>
      <w:r w:rsidR="003B1BB6" w:rsidRPr="00237510">
        <w:t xml:space="preserve">relatively </w:t>
      </w:r>
      <w:r w:rsidR="00A52496" w:rsidRPr="00237510">
        <w:t>good</w:t>
      </w:r>
      <w:r w:rsidRPr="00237510">
        <w:t xml:space="preserve"> condition and support significant </w:t>
      </w:r>
      <w:r w:rsidR="007C71A5" w:rsidRPr="00237510">
        <w:t xml:space="preserve">in-stream and </w:t>
      </w:r>
      <w:r w:rsidRPr="00237510">
        <w:t>streamside biodiversity.</w:t>
      </w:r>
    </w:p>
    <w:p w14:paraId="5329F4EA" w14:textId="7C25C376" w:rsidR="000C656A" w:rsidRPr="00237510" w:rsidRDefault="000C656A" w:rsidP="007C71A5">
      <w:pPr>
        <w:ind w:left="720"/>
      </w:pPr>
      <w:r w:rsidRPr="00237510">
        <w:rPr>
          <w:b/>
          <w:bCs/>
        </w:rPr>
        <w:t>Morwell River and Traralgon Creek</w:t>
      </w:r>
      <w:r w:rsidRPr="00237510">
        <w:t xml:space="preserve"> downstream of Yallourn and Loy Yang Power Stations respectively – modified rivers in generally poor condition.</w:t>
      </w:r>
    </w:p>
    <w:p w14:paraId="1FE3DECE" w14:textId="3A94AC99" w:rsidR="00B40A23" w:rsidRPr="00237510" w:rsidRDefault="00DF1106" w:rsidP="007C71A5">
      <w:r w:rsidRPr="00237510">
        <w:rPr>
          <w:b/>
          <w:bCs/>
        </w:rPr>
        <w:t>Lake Wellington</w:t>
      </w:r>
      <w:r w:rsidR="003B1BB6" w:rsidRPr="00237510">
        <w:rPr>
          <w:rStyle w:val="FootnoteReference"/>
          <w:b/>
          <w:bCs/>
        </w:rPr>
        <w:footnoteReference w:id="6"/>
      </w:r>
      <w:r w:rsidRPr="00237510">
        <w:t xml:space="preserve"> </w:t>
      </w:r>
      <w:r w:rsidR="007C71A5" w:rsidRPr="00237510">
        <w:t>–</w:t>
      </w:r>
      <w:r w:rsidRPr="00237510">
        <w:t xml:space="preserve"> </w:t>
      </w:r>
      <w:r w:rsidRPr="00237510">
        <w:rPr>
          <w:lang w:eastAsia="en-US"/>
        </w:rPr>
        <w:t xml:space="preserve">a large (13,800 hectare) shallow, brackish-water lagoon that accounts for a significant component of the </w:t>
      </w:r>
      <w:proofErr w:type="gramStart"/>
      <w:r w:rsidRPr="00237510">
        <w:rPr>
          <w:lang w:eastAsia="en-US"/>
        </w:rPr>
        <w:t>61,150 h</w:t>
      </w:r>
      <w:r w:rsidR="00A52496" w:rsidRPr="00237510">
        <w:rPr>
          <w:lang w:eastAsia="en-US"/>
        </w:rPr>
        <w:t>ectare</w:t>
      </w:r>
      <w:proofErr w:type="gramEnd"/>
      <w:r w:rsidRPr="00237510">
        <w:rPr>
          <w:lang w:eastAsia="en-US"/>
        </w:rPr>
        <w:t xml:space="preserve"> Gippsland Lakes Ramsar Site. The lake itself supports a variety of waterfowl and other waterbirds and several fish species including black bream. Lake Wellington, however, is perhaps more significant for the role it plays in influencing the condition and values of the large expanses of diverse wetlands that fringe it</w:t>
      </w:r>
      <w:r w:rsidR="00E533F4" w:rsidRPr="00237510">
        <w:rPr>
          <w:lang w:eastAsia="en-US"/>
        </w:rPr>
        <w:t xml:space="preserve"> and the Latrobe Estuary</w:t>
      </w:r>
      <w:r w:rsidRPr="00237510">
        <w:rPr>
          <w:lang w:eastAsia="en-US"/>
        </w:rPr>
        <w:t>.</w:t>
      </w:r>
    </w:p>
    <w:p w14:paraId="6133D167" w14:textId="2879199E" w:rsidR="00BD09EB" w:rsidRPr="00237510" w:rsidRDefault="00DF1106" w:rsidP="007C71A5">
      <w:r w:rsidRPr="5DF9B386">
        <w:rPr>
          <w:b/>
          <w:bCs/>
        </w:rPr>
        <w:t>Sale Common</w:t>
      </w:r>
      <w:r>
        <w:t xml:space="preserve"> – </w:t>
      </w:r>
      <w:r w:rsidRPr="5DF9B386">
        <w:rPr>
          <w:lang w:eastAsia="en-US"/>
        </w:rPr>
        <w:t xml:space="preserve">the only remaining freshwater wetland in the Lower Latrobe Wetland complex and one </w:t>
      </w:r>
      <w:r w:rsidR="00A52496" w:rsidRPr="5DF9B386">
        <w:rPr>
          <w:lang w:eastAsia="en-US"/>
        </w:rPr>
        <w:t xml:space="preserve">of </w:t>
      </w:r>
      <w:r w:rsidRPr="5DF9B386">
        <w:rPr>
          <w:lang w:eastAsia="en-US"/>
        </w:rPr>
        <w:t>a few freshwater wetlands in the region. It is approximately 300</w:t>
      </w:r>
      <w:r w:rsidR="00A52496" w:rsidRPr="5DF9B386">
        <w:rPr>
          <w:lang w:eastAsia="en-US"/>
        </w:rPr>
        <w:t> </w:t>
      </w:r>
      <w:r w:rsidRPr="5DF9B386">
        <w:rPr>
          <w:lang w:eastAsia="en-US"/>
        </w:rPr>
        <w:t>hectares and part of the Gippsland Lakes Ramsar Site. It supports significant biodiversity values</w:t>
      </w:r>
      <w:r w:rsidR="0D7080A8" w:rsidRPr="5DF9B386">
        <w:rPr>
          <w:lang w:eastAsia="en-US"/>
        </w:rPr>
        <w:t>.</w:t>
      </w:r>
      <w:r w:rsidRPr="5DF9B386">
        <w:rPr>
          <w:lang w:eastAsia="en-US"/>
        </w:rPr>
        <w:t xml:space="preserve"> </w:t>
      </w:r>
    </w:p>
    <w:p w14:paraId="2145B877" w14:textId="09BCA29F" w:rsidR="00BD09EB" w:rsidRPr="00237510" w:rsidRDefault="00BD09EB" w:rsidP="007C71A5">
      <w:r w:rsidRPr="00237510">
        <w:rPr>
          <w:b/>
          <w:bCs/>
        </w:rPr>
        <w:t>Heart Morass and Dowd Morass</w:t>
      </w:r>
      <w:r w:rsidR="00DF1106" w:rsidRPr="00237510">
        <w:t xml:space="preserve"> – representing two of the many </w:t>
      </w:r>
      <w:r w:rsidR="007C71A5" w:rsidRPr="00237510">
        <w:t>brackish-water</w:t>
      </w:r>
      <w:r w:rsidR="00DF1106" w:rsidRPr="00237510">
        <w:t xml:space="preserve"> wetlands that </w:t>
      </w:r>
      <w:r w:rsidR="00DF1106" w:rsidRPr="00237510">
        <w:rPr>
          <w:lang w:eastAsia="en-US"/>
        </w:rPr>
        <w:t xml:space="preserve">fluctuate between fresh and saline conditions that fringe Lake Wellington. Both wetlands are located on the Lower Latrobe River, the Heart Morass on the northern </w:t>
      </w:r>
      <w:r w:rsidR="00C9357C">
        <w:rPr>
          <w:lang w:eastAsia="en-US"/>
        </w:rPr>
        <w:t>b</w:t>
      </w:r>
      <w:r w:rsidR="00DF1106" w:rsidRPr="00237510">
        <w:rPr>
          <w:lang w:eastAsia="en-US"/>
        </w:rPr>
        <w:t xml:space="preserve">ank and Dowd Morass on the southern side. Parts of both wetlands are within the Gippsland Lakes Ramsar site. </w:t>
      </w:r>
    </w:p>
    <w:p w14:paraId="56D5DF61" w14:textId="7B68E63C" w:rsidR="005A175E" w:rsidRPr="00237510" w:rsidRDefault="005A175E" w:rsidP="005A175E">
      <w:r w:rsidRPr="00237510">
        <w:rPr>
          <w:noProof/>
        </w:rPr>
        <mc:AlternateContent>
          <mc:Choice Requires="wps">
            <w:drawing>
              <wp:inline distT="0" distB="0" distL="0" distR="0" wp14:anchorId="025577B3" wp14:editId="6A18F35A">
                <wp:extent cx="5581015" cy="8219974"/>
                <wp:effectExtent l="0" t="0" r="6985" b="10160"/>
                <wp:docPr id="35" name="Text Box 35"/>
                <wp:cNvGraphicFramePr/>
                <a:graphic xmlns:a="http://schemas.openxmlformats.org/drawingml/2006/main">
                  <a:graphicData uri="http://schemas.microsoft.com/office/word/2010/wordprocessingShape">
                    <wps:wsp>
                      <wps:cNvSpPr txBox="1"/>
                      <wps:spPr>
                        <a:xfrm>
                          <a:off x="0" y="0"/>
                          <a:ext cx="5581015" cy="8219974"/>
                        </a:xfrm>
                        <a:prstGeom prst="rect">
                          <a:avLst/>
                        </a:prstGeom>
                        <a:solidFill>
                          <a:schemeClr val="accent5">
                            <a:lumMod val="20000"/>
                            <a:lumOff val="80000"/>
                          </a:schemeClr>
                        </a:solidFill>
                        <a:ln w="6350">
                          <a:solidFill>
                            <a:prstClr val="black"/>
                          </a:solidFill>
                        </a:ln>
                      </wps:spPr>
                      <wps:txbx>
                        <w:txbxContent>
                          <w:p w14:paraId="7523B488" w14:textId="77777777" w:rsidR="00AF508C" w:rsidRPr="002C7944" w:rsidRDefault="00AF508C" w:rsidP="003036A5">
                            <w:pPr>
                              <w:pStyle w:val="Heading4nonumbers"/>
                            </w:pPr>
                            <w:bookmarkStart w:id="11" w:name="_Toc42001371"/>
                            <w:r w:rsidRPr="002C7944">
                              <w:t>Why do the Gippsland Lakes need to be considered in the LVRWS?</w:t>
                            </w:r>
                            <w:bookmarkEnd w:id="11"/>
                          </w:p>
                          <w:p w14:paraId="72AE15FF" w14:textId="46B0BC59" w:rsidR="00AF508C" w:rsidRPr="001C0B84" w:rsidRDefault="00AF508C" w:rsidP="003036A5">
                            <w:pPr>
                              <w:rPr>
                                <w:sz w:val="18"/>
                                <w:szCs w:val="18"/>
                              </w:rPr>
                            </w:pPr>
                            <w:r w:rsidRPr="001C0B84">
                              <w:rPr>
                                <w:sz w:val="18"/>
                                <w:szCs w:val="18"/>
                              </w:rPr>
                              <w:t xml:space="preserve">There are international, national and State based obligations </w:t>
                            </w:r>
                            <w:r>
                              <w:rPr>
                                <w:sz w:val="18"/>
                                <w:szCs w:val="18"/>
                              </w:rPr>
                              <w:t>maintain</w:t>
                            </w:r>
                            <w:r w:rsidRPr="001C0B84">
                              <w:rPr>
                                <w:sz w:val="18"/>
                                <w:szCs w:val="18"/>
                              </w:rPr>
                              <w:t xml:space="preserve"> the ecological character of the Gippsland Lakes. The Gippsland Lakes, including </w:t>
                            </w:r>
                            <w:r>
                              <w:rPr>
                                <w:sz w:val="18"/>
                                <w:szCs w:val="18"/>
                              </w:rPr>
                              <w:t xml:space="preserve">Lake Wellington, </w:t>
                            </w:r>
                            <w:r w:rsidRPr="001C0B84">
                              <w:rPr>
                                <w:sz w:val="18"/>
                                <w:szCs w:val="18"/>
                              </w:rPr>
                              <w:t>Sale Common, parts of Dowd and Heart Morass and a short section of the lower Latrobe Estuary are a designated wetland of international importance under the Ramsar Convention and support many nationally listed threatened species and ecological communities including: Australasian bittern (</w:t>
                            </w:r>
                            <w:r w:rsidRPr="001C0B84">
                              <w:rPr>
                                <w:i/>
                                <w:iCs/>
                                <w:sz w:val="18"/>
                                <w:szCs w:val="18"/>
                              </w:rPr>
                              <w:t>Botaurus poiciloptilus</w:t>
                            </w:r>
                            <w:r w:rsidRPr="001C0B84">
                              <w:rPr>
                                <w:sz w:val="18"/>
                                <w:szCs w:val="18"/>
                              </w:rPr>
                              <w:t>), green and golden bell frog (</w:t>
                            </w:r>
                            <w:r w:rsidRPr="001C0B84">
                              <w:rPr>
                                <w:i/>
                                <w:iCs/>
                                <w:sz w:val="18"/>
                                <w:szCs w:val="18"/>
                              </w:rPr>
                              <w:t>Litoria aurea</w:t>
                            </w:r>
                            <w:r w:rsidRPr="001C0B84">
                              <w:rPr>
                                <w:sz w:val="18"/>
                                <w:szCs w:val="18"/>
                              </w:rPr>
                              <w:t>), growling grass frog (</w:t>
                            </w:r>
                            <w:r w:rsidRPr="001C0B84">
                              <w:rPr>
                                <w:i/>
                                <w:iCs/>
                                <w:sz w:val="18"/>
                                <w:szCs w:val="18"/>
                              </w:rPr>
                              <w:t>Litoria raniformis</w:t>
                            </w:r>
                            <w:r w:rsidRPr="001C0B84">
                              <w:rPr>
                                <w:sz w:val="18"/>
                                <w:szCs w:val="18"/>
                              </w:rPr>
                              <w:t>) and Australian grayling (</w:t>
                            </w:r>
                            <w:r w:rsidRPr="001C0B84">
                              <w:rPr>
                                <w:i/>
                                <w:iCs/>
                                <w:sz w:val="18"/>
                                <w:szCs w:val="18"/>
                              </w:rPr>
                              <w:t>Prototroctes maraena</w:t>
                            </w:r>
                            <w:r w:rsidRPr="001C0B84">
                              <w:rPr>
                                <w:sz w:val="18"/>
                                <w:szCs w:val="18"/>
                              </w:rPr>
                              <w:t>).</w:t>
                            </w:r>
                          </w:p>
                          <w:p w14:paraId="6FD44A5A" w14:textId="75E44C14" w:rsidR="00AF508C" w:rsidRPr="001C0B84" w:rsidRDefault="00AF508C" w:rsidP="003036A5">
                            <w:pPr>
                              <w:rPr>
                                <w:sz w:val="18"/>
                                <w:szCs w:val="18"/>
                              </w:rPr>
                            </w:pPr>
                            <w:r w:rsidRPr="001C0B84">
                              <w:rPr>
                                <w:sz w:val="18"/>
                                <w:szCs w:val="18"/>
                              </w:rPr>
                              <w:t xml:space="preserve">As a signatory to the Convention, Australia has an obligation to maintain the ecological character of the site. This is recognised under the </w:t>
                            </w:r>
                            <w:r w:rsidRPr="001C0B84">
                              <w:rPr>
                                <w:i/>
                                <w:iCs/>
                                <w:sz w:val="18"/>
                                <w:szCs w:val="18"/>
                              </w:rPr>
                              <w:t>Environment Protection and Biodiversity Conservation Act 1999</w:t>
                            </w:r>
                            <w:r w:rsidRPr="001C0B84">
                              <w:rPr>
                                <w:sz w:val="18"/>
                                <w:szCs w:val="18"/>
                              </w:rPr>
                              <w:t xml:space="preserve"> (EPBC Act), which regulates actions that will have or are likely to have a significant impact on any matter of national environmental significance (MNES) The ecological character of a Ramsar wetland and nationally listed threatened species and ecological communities are all identified MNES.</w:t>
                            </w:r>
                          </w:p>
                          <w:p w14:paraId="1DABB8CB" w14:textId="6F7D2242" w:rsidR="00AF508C" w:rsidRPr="001C0B84" w:rsidRDefault="00AF508C" w:rsidP="003036A5">
                            <w:pPr>
                              <w:rPr>
                                <w:sz w:val="18"/>
                                <w:szCs w:val="18"/>
                              </w:rPr>
                            </w:pPr>
                            <w:r w:rsidRPr="001C0B84">
                              <w:rPr>
                                <w:sz w:val="18"/>
                                <w:szCs w:val="18"/>
                              </w:rPr>
                              <w:t xml:space="preserve">In addition, the </w:t>
                            </w:r>
                            <w:r w:rsidRPr="00BA4DA8">
                              <w:rPr>
                                <w:i/>
                                <w:sz w:val="18"/>
                                <w:szCs w:val="18"/>
                              </w:rPr>
                              <w:t>Flora and Fauna Guarantee Act</w:t>
                            </w:r>
                            <w:r>
                              <w:rPr>
                                <w:i/>
                                <w:sz w:val="18"/>
                                <w:szCs w:val="18"/>
                              </w:rPr>
                              <w:t xml:space="preserve"> 1988</w:t>
                            </w:r>
                            <w:r>
                              <w:rPr>
                                <w:sz w:val="18"/>
                                <w:szCs w:val="18"/>
                              </w:rPr>
                              <w:t xml:space="preserve"> (FFG Act)</w:t>
                            </w:r>
                            <w:r w:rsidRPr="001C0B84">
                              <w:rPr>
                                <w:sz w:val="18"/>
                                <w:szCs w:val="18"/>
                              </w:rPr>
                              <w:t xml:space="preserve"> lists several potentially threatening processes that are relevant to mine rehabilitation such as alteration to the natural flow regimes of rivers and streams and the input of toxic substances to Victorian rivers and streams. The EPBC Act, FFG Act, the </w:t>
                            </w:r>
                            <w:r w:rsidRPr="00E533F4">
                              <w:rPr>
                                <w:i/>
                                <w:iCs/>
                                <w:sz w:val="18"/>
                                <w:szCs w:val="18"/>
                              </w:rPr>
                              <w:t>Environment Effects Act 1978</w:t>
                            </w:r>
                            <w:r w:rsidRPr="001C0B84">
                              <w:rPr>
                                <w:sz w:val="18"/>
                                <w:szCs w:val="18"/>
                              </w:rPr>
                              <w:t xml:space="preserve"> and the recently passed </w:t>
                            </w:r>
                            <w:r w:rsidRPr="000C656A">
                              <w:rPr>
                                <w:sz w:val="18"/>
                                <w:szCs w:val="18"/>
                              </w:rPr>
                              <w:t>Flora and Fauna Guarantee Amendment Bill 2019</w:t>
                            </w:r>
                            <w:r w:rsidRPr="001C0B84">
                              <w:rPr>
                                <w:sz w:val="18"/>
                                <w:szCs w:val="18"/>
                              </w:rPr>
                              <w:t xml:space="preserve"> provide protection for the conservation of biodiversity. These pieces of legislation establish assessment processes for activities that are capable of having a significant effect on the environment, which would include mine rehabilitation. There are also requirements for the consideration of biodiversity across government to ensure decisions and policies are made with proper consideration of the potential impacts on biodiversity. </w:t>
                            </w:r>
                          </w:p>
                          <w:p w14:paraId="52478AFC" w14:textId="4B67B75D" w:rsidR="00AF508C" w:rsidRPr="001C0B84" w:rsidRDefault="00AF508C" w:rsidP="003036A5">
                            <w:pPr>
                              <w:rPr>
                                <w:sz w:val="18"/>
                                <w:szCs w:val="18"/>
                              </w:rPr>
                            </w:pPr>
                            <w:r w:rsidRPr="001C0B84">
                              <w:rPr>
                                <w:sz w:val="18"/>
                                <w:szCs w:val="18"/>
                              </w:rPr>
                              <w:t xml:space="preserve">The ecological character of the Gippsland Lakes and the species and communities that are supported by the system, particularly Lake Wellington and the Lower Latrobe Wetlands are reliant on receiving </w:t>
                            </w:r>
                            <w:r>
                              <w:rPr>
                                <w:sz w:val="18"/>
                                <w:szCs w:val="18"/>
                              </w:rPr>
                              <w:t xml:space="preserve">adequate </w:t>
                            </w:r>
                            <w:r w:rsidRPr="001C0B84">
                              <w:rPr>
                                <w:sz w:val="18"/>
                                <w:szCs w:val="18"/>
                              </w:rPr>
                              <w:t>freshwater from river inflows. The Latrobe River plays a significant role in providing freshwater to the Gippsland Lakes. Over the past two decades, the Latrobe River has contributed between 13 and 46</w:t>
                            </w:r>
                            <w:r>
                              <w:rPr>
                                <w:sz w:val="18"/>
                                <w:szCs w:val="18"/>
                              </w:rPr>
                              <w:t xml:space="preserve"> </w:t>
                            </w:r>
                            <w:r w:rsidRPr="001C0B84">
                              <w:rPr>
                                <w:sz w:val="18"/>
                                <w:szCs w:val="18"/>
                              </w:rPr>
                              <w:t>% of the total riverine inflow to the Gippsland Lakes as a whole, and on average provides nearly 60</w:t>
                            </w:r>
                            <w:r>
                              <w:rPr>
                                <w:sz w:val="18"/>
                                <w:szCs w:val="18"/>
                              </w:rPr>
                              <w:t xml:space="preserve"> </w:t>
                            </w:r>
                            <w:r w:rsidRPr="001C0B84">
                              <w:rPr>
                                <w:sz w:val="18"/>
                                <w:szCs w:val="18"/>
                              </w:rPr>
                              <w:t>% of the freshwater inflows to Lake Wellington (</w:t>
                            </w:r>
                            <w:r>
                              <w:rPr>
                                <w:sz w:val="18"/>
                                <w:szCs w:val="18"/>
                              </w:rPr>
                              <w:t>Figure 3</w:t>
                            </w:r>
                            <w:r w:rsidRPr="001C0B84">
                              <w:rPr>
                                <w:sz w:val="18"/>
                                <w:szCs w:val="18"/>
                              </w:rPr>
                              <w:t>).</w:t>
                            </w:r>
                          </w:p>
                          <w:p w14:paraId="26DAC7B7" w14:textId="7B7616B8" w:rsidR="00AF508C" w:rsidRDefault="00AF508C" w:rsidP="003036A5">
                            <w:r>
                              <w:rPr>
                                <w:noProof/>
                              </w:rPr>
                              <w:drawing>
                                <wp:inline distT="0" distB="0" distL="0" distR="0" wp14:anchorId="23C261F1" wp14:editId="21056C54">
                                  <wp:extent cx="4889634" cy="2132657"/>
                                  <wp:effectExtent l="0" t="0" r="0" b="1270"/>
                                  <wp:docPr id="42" name="Picture 42" descr="A column chart showing the percentage of measured Latrobe riverine flow contributed to the Gippsland Lakes and Lake Wellington by the Latrobe River. Since 1997, the Latrobe River has contributed between 13 and 46 % of the total riverine inflow to the Gippsland Lakes, and on average provides nearly 60 % of the freshwater inflows to Lake Welling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11950" cy="2142390"/>
                                          </a:xfrm>
                                          <a:prstGeom prst="rect">
                                            <a:avLst/>
                                          </a:prstGeom>
                                        </pic:spPr>
                                      </pic:pic>
                                    </a:graphicData>
                                  </a:graphic>
                                </wp:inline>
                              </w:drawing>
                            </w:r>
                          </w:p>
                          <w:p w14:paraId="7C5288F3" w14:textId="1EDF91AC" w:rsidR="00AF508C" w:rsidRDefault="00AF508C" w:rsidP="001C0B84">
                            <w:pPr>
                              <w:pStyle w:val="Caption"/>
                            </w:pPr>
                            <w:bookmarkStart w:id="12" w:name="_Ref32668645"/>
                            <w:r>
                              <w:t xml:space="preserve">Figure </w:t>
                            </w:r>
                            <w:r>
                              <w:fldChar w:fldCharType="begin"/>
                            </w:r>
                            <w:r>
                              <w:instrText>SEQ Figure \* ARABIC</w:instrText>
                            </w:r>
                            <w:r>
                              <w:fldChar w:fldCharType="separate"/>
                            </w:r>
                            <w:r w:rsidR="00DE4513">
                              <w:rPr>
                                <w:noProof/>
                              </w:rPr>
                              <w:t>3</w:t>
                            </w:r>
                            <w:r>
                              <w:fldChar w:fldCharType="end"/>
                            </w:r>
                            <w:bookmarkEnd w:id="12"/>
                            <w:r>
                              <w:t>: Percentage of measured Latrobe riverine flow contributed to the Gippsland Lakes and Lake Wellington by the Latrobe River (Water Measurement Information System).</w:t>
                            </w:r>
                          </w:p>
                          <w:p w14:paraId="1993A7BE" w14:textId="3F9C3B3B" w:rsidR="00AF508C" w:rsidRPr="00E533F4" w:rsidRDefault="00AF508C" w:rsidP="001C0B84">
                            <w:r>
                              <w:rPr>
                                <w:noProof/>
                              </w:rPr>
                              <w:drawing>
                                <wp:inline distT="0" distB="0" distL="0" distR="0" wp14:anchorId="329DEE48" wp14:editId="1AABAFF7">
                                  <wp:extent cx="5391785" cy="1474470"/>
                                  <wp:effectExtent l="0" t="0" r="5715" b="0"/>
                                  <wp:docPr id="39" name="Picture 39" descr="An aerial view of the Dowd Morass Wetlands. The Latrobe River is flowing through the centre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owd Panosphere.png"/>
                                          <pic:cNvPicPr/>
                                        </pic:nvPicPr>
                                        <pic:blipFill>
                                          <a:blip r:embed="rId13"/>
                                          <a:stretch>
                                            <a:fillRect/>
                                          </a:stretch>
                                        </pic:blipFill>
                                        <pic:spPr>
                                          <a:xfrm>
                                            <a:off x="0" y="0"/>
                                            <a:ext cx="5391785" cy="1474470"/>
                                          </a:xfrm>
                                          <a:prstGeom prst="rect">
                                            <a:avLst/>
                                          </a:prstGeom>
                                        </pic:spPr>
                                      </pic:pic>
                                    </a:graphicData>
                                  </a:graphic>
                                </wp:inline>
                              </w:drawing>
                            </w:r>
                            <w:r w:rsidRPr="000C656A">
                              <w:rPr>
                                <w:b/>
                                <w:bCs/>
                                <w:i/>
                                <w:iCs/>
                                <w:sz w:val="16"/>
                                <w:szCs w:val="16"/>
                              </w:rPr>
                              <w:t>Dowd Morass December 2017, Australian UAV</w:t>
                            </w:r>
                            <w:r>
                              <w:rPr>
                                <w:b/>
                                <w:bCs/>
                                <w:i/>
                                <w:iCs/>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arto="http://schemas.microsoft.com/office/word/2006/arto" xmlns:w16="http://schemas.microsoft.com/office/word/2018/wordml" xmlns:w16cex="http://schemas.microsoft.com/office/word/2018/wordml/cex">
            <w:pict>
              <v:shapetype w14:anchorId="025577B3" id="_x0000_t202" coordsize="21600,21600" o:spt="202" path="m,l,21600r21600,l21600,xe">
                <v:stroke joinstyle="miter"/>
                <v:path gradientshapeok="t" o:connecttype="rect"/>
              </v:shapetype>
              <v:shape id="Text Box 35" o:spid="_x0000_s1026" type="#_x0000_t202" style="width:439.45pt;height:64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" fillcolor="#daeef3 [664]" strokeweight=".5pt">
                <v:textbox>
                  <w:txbxContent>
                    <w:p w14:paraId="7523B488" w14:textId="77777777" w:rsidR="00AF508C" w:rsidRPr="002C7944" w:rsidRDefault="00AF508C" w:rsidP="003036A5">
                      <w:pPr>
                        <w:pStyle w:val="Heading4nonumbers"/>
                      </w:pPr>
                      <w:bookmarkStart w:id="13" w:name="_Toc42001371"/>
                      <w:r w:rsidRPr="002C7944">
                        <w:t>Why do the Gippsland Lakes need to be considered in the LVRWS?</w:t>
                      </w:r>
                      <w:bookmarkEnd w:id="13"/>
                    </w:p>
                    <w:p w14:paraId="72AE15FF" w14:textId="46B0BC59" w:rsidR="00AF508C" w:rsidRPr="001C0B84" w:rsidRDefault="00AF508C" w:rsidP="003036A5">
                      <w:pPr>
                        <w:rPr>
                          <w:sz w:val="18"/>
                          <w:szCs w:val="18"/>
                        </w:rPr>
                      </w:pPr>
                      <w:r w:rsidRPr="001C0B84">
                        <w:rPr>
                          <w:sz w:val="18"/>
                          <w:szCs w:val="18"/>
                        </w:rPr>
                        <w:t xml:space="preserve">There are international, national and State based obligations </w:t>
                      </w:r>
                      <w:r>
                        <w:rPr>
                          <w:sz w:val="18"/>
                          <w:szCs w:val="18"/>
                        </w:rPr>
                        <w:t>maintain</w:t>
                      </w:r>
                      <w:r w:rsidRPr="001C0B84">
                        <w:rPr>
                          <w:sz w:val="18"/>
                          <w:szCs w:val="18"/>
                        </w:rPr>
                        <w:t xml:space="preserve"> the ecological character of the Gippsland Lakes. The Gippsland Lakes, including </w:t>
                      </w:r>
                      <w:r>
                        <w:rPr>
                          <w:sz w:val="18"/>
                          <w:szCs w:val="18"/>
                        </w:rPr>
                        <w:t xml:space="preserve">Lake Wellington, </w:t>
                      </w:r>
                      <w:r w:rsidRPr="001C0B84">
                        <w:rPr>
                          <w:sz w:val="18"/>
                          <w:szCs w:val="18"/>
                        </w:rPr>
                        <w:t>Sale Common, parts of Dowd and Heart Morass and a short section of the lower Latrobe Estuary are a designated wetland of international importance under the Ramsar Convention and support many nationally listed threatened species and ecological communities including: Australasian bittern (</w:t>
                      </w:r>
                      <w:r w:rsidRPr="001C0B84">
                        <w:rPr>
                          <w:i/>
                          <w:iCs/>
                          <w:sz w:val="18"/>
                          <w:szCs w:val="18"/>
                        </w:rPr>
                        <w:t>Botaurus poiciloptilus</w:t>
                      </w:r>
                      <w:r w:rsidRPr="001C0B84">
                        <w:rPr>
                          <w:sz w:val="18"/>
                          <w:szCs w:val="18"/>
                        </w:rPr>
                        <w:t>), green and golden bell frog (</w:t>
                      </w:r>
                      <w:r w:rsidRPr="001C0B84">
                        <w:rPr>
                          <w:i/>
                          <w:iCs/>
                          <w:sz w:val="18"/>
                          <w:szCs w:val="18"/>
                        </w:rPr>
                        <w:t>Litoria aurea</w:t>
                      </w:r>
                      <w:r w:rsidRPr="001C0B84">
                        <w:rPr>
                          <w:sz w:val="18"/>
                          <w:szCs w:val="18"/>
                        </w:rPr>
                        <w:t>), growling grass frog (</w:t>
                      </w:r>
                      <w:r w:rsidRPr="001C0B84">
                        <w:rPr>
                          <w:i/>
                          <w:iCs/>
                          <w:sz w:val="18"/>
                          <w:szCs w:val="18"/>
                        </w:rPr>
                        <w:t>Litoria raniformis</w:t>
                      </w:r>
                      <w:r w:rsidRPr="001C0B84">
                        <w:rPr>
                          <w:sz w:val="18"/>
                          <w:szCs w:val="18"/>
                        </w:rPr>
                        <w:t>) and Australian grayling (</w:t>
                      </w:r>
                      <w:r w:rsidRPr="001C0B84">
                        <w:rPr>
                          <w:i/>
                          <w:iCs/>
                          <w:sz w:val="18"/>
                          <w:szCs w:val="18"/>
                        </w:rPr>
                        <w:t>Prototroctes maraena</w:t>
                      </w:r>
                      <w:r w:rsidRPr="001C0B84">
                        <w:rPr>
                          <w:sz w:val="18"/>
                          <w:szCs w:val="18"/>
                        </w:rPr>
                        <w:t>).</w:t>
                      </w:r>
                    </w:p>
                    <w:p w14:paraId="6FD44A5A" w14:textId="75E44C14" w:rsidR="00AF508C" w:rsidRPr="001C0B84" w:rsidRDefault="00AF508C" w:rsidP="003036A5">
                      <w:pPr>
                        <w:rPr>
                          <w:sz w:val="18"/>
                          <w:szCs w:val="18"/>
                        </w:rPr>
                      </w:pPr>
                      <w:r w:rsidRPr="001C0B84">
                        <w:rPr>
                          <w:sz w:val="18"/>
                          <w:szCs w:val="18"/>
                        </w:rPr>
                        <w:t xml:space="preserve">As a signatory to the Convention, Australia has an obligation to maintain the ecological character of the site. This is recognised under the </w:t>
                      </w:r>
                      <w:r w:rsidRPr="001C0B84">
                        <w:rPr>
                          <w:i/>
                          <w:iCs/>
                          <w:sz w:val="18"/>
                          <w:szCs w:val="18"/>
                        </w:rPr>
                        <w:t>Environment Protection and Biodiversity Conservation Act 1999</w:t>
                      </w:r>
                      <w:r w:rsidRPr="001C0B84">
                        <w:rPr>
                          <w:sz w:val="18"/>
                          <w:szCs w:val="18"/>
                        </w:rPr>
                        <w:t xml:space="preserve"> (EPBC Act), which regulates actions that will have or are likely to have a significant impact on any matter of national environmental significance (MNES) The ecological character of a Ramsar wetland and nationally listed threatened species and ecological communities are all identified MNES.</w:t>
                      </w:r>
                    </w:p>
                    <w:p w14:paraId="1DABB8CB" w14:textId="6F7D2242" w:rsidR="00AF508C" w:rsidRPr="001C0B84" w:rsidRDefault="00AF508C" w:rsidP="003036A5">
                      <w:pPr>
                        <w:rPr>
                          <w:sz w:val="18"/>
                          <w:szCs w:val="18"/>
                        </w:rPr>
                      </w:pPr>
                      <w:r w:rsidRPr="001C0B84">
                        <w:rPr>
                          <w:sz w:val="18"/>
                          <w:szCs w:val="18"/>
                        </w:rPr>
                        <w:t xml:space="preserve">In addition, the </w:t>
                      </w:r>
                      <w:r w:rsidRPr="00BA4DA8">
                        <w:rPr>
                          <w:i/>
                          <w:sz w:val="18"/>
                          <w:szCs w:val="18"/>
                        </w:rPr>
                        <w:t>Flora and Fauna Guarantee Act</w:t>
                      </w:r>
                      <w:r>
                        <w:rPr>
                          <w:i/>
                          <w:sz w:val="18"/>
                          <w:szCs w:val="18"/>
                        </w:rPr>
                        <w:t xml:space="preserve"> 1988</w:t>
                      </w:r>
                      <w:r>
                        <w:rPr>
                          <w:sz w:val="18"/>
                          <w:szCs w:val="18"/>
                        </w:rPr>
                        <w:t xml:space="preserve"> (FFG Act)</w:t>
                      </w:r>
                      <w:r w:rsidRPr="001C0B84">
                        <w:rPr>
                          <w:sz w:val="18"/>
                          <w:szCs w:val="18"/>
                        </w:rPr>
                        <w:t xml:space="preserve"> lists several potentially threatening processes that are relevant to mine rehabilitation such as alteration to the natural flow regimes of rivers and streams and the input of toxic substances to Victorian rivers and streams. The EPBC Act, FFG Act, the </w:t>
                      </w:r>
                      <w:r w:rsidRPr="00E533F4">
                        <w:rPr>
                          <w:i/>
                          <w:iCs/>
                          <w:sz w:val="18"/>
                          <w:szCs w:val="18"/>
                        </w:rPr>
                        <w:t>Environment Effects Act 1978</w:t>
                      </w:r>
                      <w:r w:rsidRPr="001C0B84">
                        <w:rPr>
                          <w:sz w:val="18"/>
                          <w:szCs w:val="18"/>
                        </w:rPr>
                        <w:t xml:space="preserve"> and the recently passed </w:t>
                      </w:r>
                      <w:r w:rsidRPr="000C656A">
                        <w:rPr>
                          <w:sz w:val="18"/>
                          <w:szCs w:val="18"/>
                        </w:rPr>
                        <w:t>Flora and Fauna Guarantee Amendment Bill 2019</w:t>
                      </w:r>
                      <w:r w:rsidRPr="001C0B84">
                        <w:rPr>
                          <w:sz w:val="18"/>
                          <w:szCs w:val="18"/>
                        </w:rPr>
                        <w:t xml:space="preserve"> provide protection for the conservation of biodiversity. These pieces of legislation establish assessment processes for activities that are capable of having a significant effect on the environment, which would include mine rehabilitation. There are also requirements for the consideration of biodiversity across government to ensure decisions and policies are made with proper consideration of the potential impacts on biodiversity. </w:t>
                      </w:r>
                    </w:p>
                    <w:p w14:paraId="52478AFC" w14:textId="4B67B75D" w:rsidR="00AF508C" w:rsidRPr="001C0B84" w:rsidRDefault="00AF508C" w:rsidP="003036A5">
                      <w:pPr>
                        <w:rPr>
                          <w:sz w:val="18"/>
                          <w:szCs w:val="18"/>
                        </w:rPr>
                      </w:pPr>
                      <w:r w:rsidRPr="001C0B84">
                        <w:rPr>
                          <w:sz w:val="18"/>
                          <w:szCs w:val="18"/>
                        </w:rPr>
                        <w:t xml:space="preserve">The ecological character of the Gippsland Lakes and the species and communities that are supported by the system, particularly Lake Wellington and the Lower Latrobe Wetlands are reliant on receiving </w:t>
                      </w:r>
                      <w:r>
                        <w:rPr>
                          <w:sz w:val="18"/>
                          <w:szCs w:val="18"/>
                        </w:rPr>
                        <w:t xml:space="preserve">adequate </w:t>
                      </w:r>
                      <w:r w:rsidRPr="001C0B84">
                        <w:rPr>
                          <w:sz w:val="18"/>
                          <w:szCs w:val="18"/>
                        </w:rPr>
                        <w:t>freshwater from river inflows. The Latrobe River plays a significant role in providing freshwater to the Gippsland Lakes. Over the past two decades, the Latrobe River has contributed between 13 and 46</w:t>
                      </w:r>
                      <w:r>
                        <w:rPr>
                          <w:sz w:val="18"/>
                          <w:szCs w:val="18"/>
                        </w:rPr>
                        <w:t xml:space="preserve"> </w:t>
                      </w:r>
                      <w:r w:rsidRPr="001C0B84">
                        <w:rPr>
                          <w:sz w:val="18"/>
                          <w:szCs w:val="18"/>
                        </w:rPr>
                        <w:t>% of the total riverine inflow to the Gippsland Lakes as a whole, and on average provides nearly 60</w:t>
                      </w:r>
                      <w:r>
                        <w:rPr>
                          <w:sz w:val="18"/>
                          <w:szCs w:val="18"/>
                        </w:rPr>
                        <w:t xml:space="preserve"> </w:t>
                      </w:r>
                      <w:r w:rsidRPr="001C0B84">
                        <w:rPr>
                          <w:sz w:val="18"/>
                          <w:szCs w:val="18"/>
                        </w:rPr>
                        <w:t>% of the freshwater inflows to Lake Wellington (</w:t>
                      </w:r>
                      <w:r>
                        <w:rPr>
                          <w:sz w:val="18"/>
                          <w:szCs w:val="18"/>
                        </w:rPr>
                        <w:t>Figure 3</w:t>
                      </w:r>
                      <w:r w:rsidRPr="001C0B84">
                        <w:rPr>
                          <w:sz w:val="18"/>
                          <w:szCs w:val="18"/>
                        </w:rPr>
                        <w:t>).</w:t>
                      </w:r>
                    </w:p>
                    <w:p w14:paraId="26DAC7B7" w14:textId="7B7616B8" w:rsidR="00AF508C" w:rsidRDefault="00AF508C" w:rsidP="003036A5">
                      <w:r>
                        <w:rPr>
                          <w:noProof/>
                        </w:rPr>
                        <w:drawing>
                          <wp:inline distT="0" distB="0" distL="0" distR="0" wp14:anchorId="23C261F1" wp14:editId="21056C54">
                            <wp:extent cx="4889634" cy="2132657"/>
                            <wp:effectExtent l="0" t="0" r="0" b="1270"/>
                            <wp:docPr id="42" name="Picture 42" descr="A column chart showing the percentage of measured Latrobe riverine flow contributed to the Gippsland Lakes and Lake Wellington by the Latrobe River. Since 1997, the Latrobe River has contributed between 13 and 46 % of the total riverine inflow to the Gippsland Lakes, and on average provides nearly 60 % of the freshwater inflows to Lake Welling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911950" cy="2142390"/>
                                    </a:xfrm>
                                    <a:prstGeom prst="rect">
                                      <a:avLst/>
                                    </a:prstGeom>
                                  </pic:spPr>
                                </pic:pic>
                              </a:graphicData>
                            </a:graphic>
                          </wp:inline>
                        </w:drawing>
                      </w:r>
                    </w:p>
                    <w:p w14:paraId="7C5288F3" w14:textId="1EDF91AC" w:rsidR="00AF508C" w:rsidRDefault="00AF508C" w:rsidP="001C0B84">
                      <w:pPr>
                        <w:pStyle w:val="Caption"/>
                      </w:pPr>
                      <w:bookmarkStart w:id="14" w:name="_Ref32668645"/>
                      <w:r>
                        <w:t xml:space="preserve">Figure </w:t>
                      </w:r>
                      <w:r>
                        <w:fldChar w:fldCharType="begin"/>
                      </w:r>
                      <w:r>
                        <w:instrText>SEQ Figure \* ARABIC</w:instrText>
                      </w:r>
                      <w:r>
                        <w:fldChar w:fldCharType="separate"/>
                      </w:r>
                      <w:r w:rsidR="00DE4513">
                        <w:rPr>
                          <w:noProof/>
                        </w:rPr>
                        <w:t>3</w:t>
                      </w:r>
                      <w:r>
                        <w:fldChar w:fldCharType="end"/>
                      </w:r>
                      <w:bookmarkEnd w:id="14"/>
                      <w:r>
                        <w:t>: Percentage of measured Latrobe riverine flow contributed to the Gippsland Lakes and Lake Wellington by the Latrobe River (Water Measurement Information System).</w:t>
                      </w:r>
                    </w:p>
                    <w:p w14:paraId="1993A7BE" w14:textId="3F9C3B3B" w:rsidR="00AF508C" w:rsidRPr="00E533F4" w:rsidRDefault="00AF508C" w:rsidP="001C0B84">
                      <w:r>
                        <w:rPr>
                          <w:noProof/>
                        </w:rPr>
                        <w:drawing>
                          <wp:inline distT="0" distB="0" distL="0" distR="0" wp14:anchorId="329DEE48" wp14:editId="1AABAFF7">
                            <wp:extent cx="5391785" cy="1474470"/>
                            <wp:effectExtent l="0" t="0" r="5715" b="0"/>
                            <wp:docPr id="39" name="Picture 39" descr="An aerial view of the Dowd Morass Wetlands. The Latrobe River is flowing through the centre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owd Panosphere.png"/>
                                    <pic:cNvPicPr/>
                                  </pic:nvPicPr>
                                  <pic:blipFill>
                                    <a:blip r:embed="rId26"/>
                                    <a:stretch>
                                      <a:fillRect/>
                                    </a:stretch>
                                  </pic:blipFill>
                                  <pic:spPr>
                                    <a:xfrm>
                                      <a:off x="0" y="0"/>
                                      <a:ext cx="5391785" cy="1474470"/>
                                    </a:xfrm>
                                    <a:prstGeom prst="rect">
                                      <a:avLst/>
                                    </a:prstGeom>
                                  </pic:spPr>
                                </pic:pic>
                              </a:graphicData>
                            </a:graphic>
                          </wp:inline>
                        </w:drawing>
                      </w:r>
                      <w:r w:rsidRPr="000C656A">
                        <w:rPr>
                          <w:b/>
                          <w:bCs/>
                          <w:i/>
                          <w:iCs/>
                          <w:sz w:val="16"/>
                          <w:szCs w:val="16"/>
                        </w:rPr>
                        <w:t>Dowd Morass December 2017, Australian UAV</w:t>
                      </w:r>
                      <w:r>
                        <w:rPr>
                          <w:b/>
                          <w:bCs/>
                          <w:i/>
                          <w:iCs/>
                          <w:sz w:val="16"/>
                          <w:szCs w:val="16"/>
                        </w:rPr>
                        <w:t>.</w:t>
                      </w:r>
                    </w:p>
                  </w:txbxContent>
                </v:textbox>
                <w10:anchorlock/>
              </v:shape>
            </w:pict>
          </mc:Fallback>
        </mc:AlternateContent>
      </w:r>
    </w:p>
    <w:p w14:paraId="486AFE3F" w14:textId="5E07DDAB" w:rsidR="002E606B" w:rsidRPr="00237510" w:rsidRDefault="00592BEC" w:rsidP="00FF3AAD">
      <w:pPr>
        <w:pStyle w:val="Heading2"/>
      </w:pPr>
      <w:bookmarkStart w:id="13" w:name="_Toc42001372"/>
      <w:r w:rsidRPr="00237510">
        <w:t>Hydrology</w:t>
      </w:r>
      <w:bookmarkEnd w:id="13"/>
    </w:p>
    <w:p w14:paraId="6ECFD610" w14:textId="71ABA3A2" w:rsidR="00592BEC" w:rsidRPr="00237510" w:rsidRDefault="00592BEC" w:rsidP="00592BEC">
      <w:pPr>
        <w:rPr>
          <w:lang w:eastAsia="en-US"/>
        </w:rPr>
      </w:pPr>
      <w:r w:rsidRPr="00237510">
        <w:rPr>
          <w:lang w:eastAsia="en-US"/>
        </w:rPr>
        <w:t xml:space="preserve">The Latrobe </w:t>
      </w:r>
      <w:r w:rsidR="00D76705" w:rsidRPr="00237510">
        <w:rPr>
          <w:lang w:eastAsia="en-US"/>
        </w:rPr>
        <w:t>River B</w:t>
      </w:r>
      <w:r w:rsidRPr="00237510">
        <w:rPr>
          <w:lang w:eastAsia="en-US"/>
        </w:rPr>
        <w:t>asin, in West Gippsland, covers an area of approximately 4,700 square kilometres stretching from the southern slopes of the Yarra Ranges to Lake Wellington, representing around 23</w:t>
      </w:r>
      <w:r w:rsidR="001776A0" w:rsidRPr="00237510">
        <w:rPr>
          <w:lang w:eastAsia="en-US"/>
        </w:rPr>
        <w:t xml:space="preserve"> </w:t>
      </w:r>
      <w:r w:rsidRPr="00237510">
        <w:rPr>
          <w:lang w:eastAsia="en-US"/>
        </w:rPr>
        <w:t>% of the total catchment of the Gippsland Lakes. The upper part of the catchment is largely forested through the Strzelecki Ranges and the Great Dividing Range where major tributaries such as the Tanjil and Tyers Rivers rise and flow into the Latrobe River. Approximately 70 kilometres from its source, the Latrobe River emerges from the foothills onto the broad floodplai</w:t>
      </w:r>
      <w:r w:rsidR="008671E8" w:rsidRPr="00237510">
        <w:rPr>
          <w:lang w:eastAsia="en-US"/>
        </w:rPr>
        <w:t xml:space="preserve">n before discharging </w:t>
      </w:r>
      <w:r w:rsidR="001776A0" w:rsidRPr="00237510">
        <w:rPr>
          <w:lang w:eastAsia="en-US"/>
        </w:rPr>
        <w:t>through the Latrobe Estuary to Lake Wellington</w:t>
      </w:r>
      <w:r w:rsidR="008671E8" w:rsidRPr="00237510">
        <w:rPr>
          <w:lang w:eastAsia="en-US"/>
        </w:rPr>
        <w:t>.</w:t>
      </w:r>
    </w:p>
    <w:p w14:paraId="014382F2" w14:textId="51767C5B" w:rsidR="00B51DE9" w:rsidRPr="00237510" w:rsidRDefault="00B51DE9" w:rsidP="008B39C3">
      <w:pPr>
        <w:pStyle w:val="Heading3"/>
        <w:ind w:left="709"/>
      </w:pPr>
      <w:bookmarkStart w:id="14" w:name="_Toc42001373"/>
      <w:r w:rsidRPr="00237510">
        <w:t>Riverine systems</w:t>
      </w:r>
      <w:bookmarkEnd w:id="14"/>
    </w:p>
    <w:p w14:paraId="0B099882" w14:textId="15B5D0EC" w:rsidR="00605BB9" w:rsidRPr="00237510" w:rsidRDefault="00D76705" w:rsidP="008671E8">
      <w:pPr>
        <w:rPr>
          <w:lang w:eastAsia="en-US"/>
        </w:rPr>
      </w:pPr>
      <w:r w:rsidRPr="00237510">
        <w:rPr>
          <w:lang w:eastAsia="en-US"/>
        </w:rPr>
        <w:t>The a</w:t>
      </w:r>
      <w:r w:rsidR="008671E8" w:rsidRPr="00237510">
        <w:rPr>
          <w:lang w:eastAsia="en-US"/>
        </w:rPr>
        <w:t xml:space="preserve">verage annual flow </w:t>
      </w:r>
      <w:r w:rsidRPr="00237510">
        <w:rPr>
          <w:lang w:eastAsia="en-US"/>
        </w:rPr>
        <w:t xml:space="preserve">of the Latrobe River system </w:t>
      </w:r>
      <w:r w:rsidR="008671E8" w:rsidRPr="00237510">
        <w:rPr>
          <w:lang w:eastAsia="en-US"/>
        </w:rPr>
        <w:t xml:space="preserve">is highly variable and </w:t>
      </w:r>
      <w:r w:rsidR="00980D94" w:rsidRPr="00237510">
        <w:rPr>
          <w:lang w:eastAsia="en-US"/>
        </w:rPr>
        <w:t>ranges from more than</w:t>
      </w:r>
      <w:r w:rsidR="008671E8" w:rsidRPr="00237510">
        <w:rPr>
          <w:lang w:eastAsia="en-US"/>
        </w:rPr>
        <w:t xml:space="preserve"> 1000 GL/year in wet years to </w:t>
      </w:r>
      <w:r w:rsidR="00980D94" w:rsidRPr="00237510">
        <w:rPr>
          <w:lang w:eastAsia="en-US"/>
        </w:rPr>
        <w:t>less than</w:t>
      </w:r>
      <w:r w:rsidR="008671E8" w:rsidRPr="00237510">
        <w:rPr>
          <w:lang w:eastAsia="en-US"/>
        </w:rPr>
        <w:t xml:space="preserve"> 350 GL/year in dry years. Seasonality is typical of rivers in south-eastern Australia, with peak volumes in winter and spring </w:t>
      </w:r>
      <w:r w:rsidRPr="00237510">
        <w:rPr>
          <w:lang w:eastAsia="en-US"/>
        </w:rPr>
        <w:t xml:space="preserve">(due to seasonal rainfall and snow melt) </w:t>
      </w:r>
      <w:r w:rsidR="008671E8" w:rsidRPr="00237510">
        <w:rPr>
          <w:lang w:eastAsia="en-US"/>
        </w:rPr>
        <w:t xml:space="preserve">and low flows in late summer and early autumn. </w:t>
      </w:r>
      <w:r w:rsidRPr="00237510">
        <w:rPr>
          <w:lang w:eastAsia="en-US"/>
        </w:rPr>
        <w:t>Although</w:t>
      </w:r>
      <w:r w:rsidR="008671E8" w:rsidRPr="00237510">
        <w:rPr>
          <w:lang w:eastAsia="en-US"/>
        </w:rPr>
        <w:t xml:space="preserve"> there has been a decline in total annual flow in the Latrobe River (</w:t>
      </w:r>
      <w:r w:rsidR="008671E8" w:rsidRPr="00237510">
        <w:rPr>
          <w:lang w:eastAsia="en-US"/>
        </w:rPr>
        <w:fldChar w:fldCharType="begin"/>
      </w:r>
      <w:r w:rsidR="008671E8" w:rsidRPr="00237510">
        <w:rPr>
          <w:lang w:eastAsia="en-US"/>
        </w:rPr>
        <w:instrText xml:space="preserve"> REF _Ref516903 \h </w:instrText>
      </w:r>
      <w:r w:rsidR="008671E8" w:rsidRPr="00237510">
        <w:rPr>
          <w:lang w:eastAsia="en-US"/>
        </w:rPr>
      </w:r>
      <w:r w:rsidR="008671E8" w:rsidRPr="00237510">
        <w:rPr>
          <w:lang w:eastAsia="en-US"/>
        </w:rPr>
        <w:fldChar w:fldCharType="separate"/>
      </w:r>
      <w:r w:rsidR="008C72C8" w:rsidRPr="00237510">
        <w:t>Figure 4</w:t>
      </w:r>
      <w:r w:rsidR="008671E8" w:rsidRPr="00237510">
        <w:rPr>
          <w:lang w:eastAsia="en-US"/>
        </w:rPr>
        <w:fldChar w:fldCharType="end"/>
      </w:r>
      <w:r w:rsidR="008671E8" w:rsidRPr="00237510">
        <w:rPr>
          <w:lang w:eastAsia="en-US"/>
        </w:rPr>
        <w:t xml:space="preserve">), </w:t>
      </w:r>
      <w:r w:rsidRPr="00237510">
        <w:rPr>
          <w:lang w:eastAsia="en-US"/>
        </w:rPr>
        <w:t xml:space="preserve">particularly since 1997, </w:t>
      </w:r>
      <w:r w:rsidR="008671E8" w:rsidRPr="00237510">
        <w:rPr>
          <w:lang w:eastAsia="en-US"/>
        </w:rPr>
        <w:t xml:space="preserve">seasonality of flow remains unaltered </w:t>
      </w:r>
      <w:r w:rsidR="00605BB9" w:rsidRPr="00237510">
        <w:rPr>
          <w:lang w:eastAsia="en-US"/>
        </w:rPr>
        <w:t>in both the main stem of the river and the estuary (</w:t>
      </w:r>
      <w:r w:rsidR="00605BB9" w:rsidRPr="00237510">
        <w:rPr>
          <w:lang w:eastAsia="en-US"/>
        </w:rPr>
        <w:fldChar w:fldCharType="begin"/>
      </w:r>
      <w:r w:rsidR="00605BB9" w:rsidRPr="00237510">
        <w:rPr>
          <w:lang w:eastAsia="en-US"/>
        </w:rPr>
        <w:instrText xml:space="preserve"> REF _Ref40967624 \h </w:instrText>
      </w:r>
      <w:r w:rsidR="00605BB9" w:rsidRPr="00237510">
        <w:rPr>
          <w:lang w:eastAsia="en-US"/>
        </w:rPr>
      </w:r>
      <w:r w:rsidR="00605BB9" w:rsidRPr="00237510">
        <w:rPr>
          <w:lang w:eastAsia="en-US"/>
        </w:rPr>
        <w:fldChar w:fldCharType="separate"/>
      </w:r>
      <w:r w:rsidR="008C72C8" w:rsidRPr="00237510">
        <w:t>Figure 5</w:t>
      </w:r>
      <w:r w:rsidR="00605BB9" w:rsidRPr="00237510">
        <w:rPr>
          <w:lang w:eastAsia="en-US"/>
        </w:rPr>
        <w:fldChar w:fldCharType="end"/>
      </w:r>
      <w:r w:rsidR="00605BB9" w:rsidRPr="00237510">
        <w:rPr>
          <w:lang w:eastAsia="en-US"/>
        </w:rPr>
        <w:t xml:space="preserve">). </w:t>
      </w:r>
      <w:r w:rsidR="009B20DE" w:rsidRPr="00237510">
        <w:rPr>
          <w:lang w:eastAsia="en-US"/>
        </w:rPr>
        <w:t>The difference between natural and current flows is evident in both reaches, but the difference is considerably larger in the Latrobe Estuary. This is because the Latrobe River at Kilmany shows the effects, of extraction from the Latrobe system, while the estuarine reach is downstream of the Thomson confluence and so includes the effects of extraction from both the Latrobe and Thomson Basins.</w:t>
      </w:r>
    </w:p>
    <w:p w14:paraId="52E73A2F" w14:textId="21482B94" w:rsidR="008671E8" w:rsidRPr="00237510" w:rsidRDefault="00FE034F" w:rsidP="008671E8">
      <w:pPr>
        <w:rPr>
          <w:lang w:eastAsia="en-US"/>
        </w:rPr>
      </w:pPr>
      <w:r w:rsidRPr="00237510">
        <w:rPr>
          <w:noProof/>
        </w:rPr>
        <w:drawing>
          <wp:inline distT="0" distB="0" distL="0" distR="0" wp14:anchorId="68BC8017" wp14:editId="188845C4">
            <wp:extent cx="5581015" cy="2319020"/>
            <wp:effectExtent l="0" t="0" r="0" b="5080"/>
            <wp:docPr id="1" name="Picture 1" descr="A column chart showing annual flow in the lower Latrobe River at Rosedale. The chart shows a general decline over time in annual f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5581015" cy="2319020"/>
                    </a:xfrm>
                    <a:prstGeom prst="rect">
                      <a:avLst/>
                    </a:prstGeom>
                  </pic:spPr>
                </pic:pic>
              </a:graphicData>
            </a:graphic>
          </wp:inline>
        </w:drawing>
      </w:r>
    </w:p>
    <w:p w14:paraId="3E2B74F7" w14:textId="2A5D8E98" w:rsidR="008671E8" w:rsidRPr="00237510" w:rsidRDefault="008671E8" w:rsidP="004648FA">
      <w:pPr>
        <w:pStyle w:val="Caption"/>
      </w:pPr>
      <w:bookmarkStart w:id="15" w:name="_Ref516903"/>
      <w:r w:rsidRPr="00237510">
        <w:t xml:space="preserve">Figure </w:t>
      </w:r>
      <w:r>
        <w:fldChar w:fldCharType="begin"/>
      </w:r>
      <w:r>
        <w:instrText>SEQ Figure \* ARABIC</w:instrText>
      </w:r>
      <w:r>
        <w:fldChar w:fldCharType="separate"/>
      </w:r>
      <w:r w:rsidR="00DE4513">
        <w:rPr>
          <w:noProof/>
        </w:rPr>
        <w:t>4</w:t>
      </w:r>
      <w:r>
        <w:fldChar w:fldCharType="end"/>
      </w:r>
      <w:bookmarkEnd w:id="15"/>
      <w:r w:rsidRPr="00237510">
        <w:t>: Annual flow</w:t>
      </w:r>
      <w:r w:rsidR="00FE034F" w:rsidRPr="00237510">
        <w:t xml:space="preserve"> </w:t>
      </w:r>
      <w:r w:rsidRPr="00237510">
        <w:t xml:space="preserve">in the lower Latrobe River </w:t>
      </w:r>
      <w:r w:rsidR="00FE034F" w:rsidRPr="00237510">
        <w:t xml:space="preserve">at Rosedale (data from </w:t>
      </w:r>
      <w:hyperlink r:id="rId28" w:history="1">
        <w:r w:rsidR="00FE034F" w:rsidRPr="00237510">
          <w:rPr>
            <w:rStyle w:val="Hyperlink"/>
          </w:rPr>
          <w:t>http://data.water.vic.gov.au</w:t>
        </w:r>
      </w:hyperlink>
      <w:r w:rsidR="00FE034F" w:rsidRPr="00237510">
        <w:t>)</w:t>
      </w:r>
      <w:r w:rsidR="004648FA" w:rsidRPr="00237510">
        <w:t>.</w:t>
      </w:r>
    </w:p>
    <w:p w14:paraId="796B3991" w14:textId="1FE03F24" w:rsidR="00605BB9" w:rsidRPr="00237510" w:rsidRDefault="009B20DE" w:rsidP="00605BB9">
      <w:r w:rsidRPr="00237510">
        <w:rPr>
          <w:noProof/>
        </w:rPr>
        <w:drawing>
          <wp:inline distT="0" distB="0" distL="0" distR="0" wp14:anchorId="78E309F0" wp14:editId="051DF294">
            <wp:extent cx="5581015" cy="2002155"/>
            <wp:effectExtent l="0" t="0" r="0" b="4445"/>
            <wp:docPr id="11" name="Picture 11" descr="Two column charts side by side showing the mean daily flow for natural and current flow in megalitres per day from January to December. The chart on the left is for the Latrobe River downstream of Kilmany, while the chart on the right is for Latrobe Estuary at Swing Bridge. Both charts show that current flows are consistently less, month to month, than natural 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5581015" cy="2002155"/>
                    </a:xfrm>
                    <a:prstGeom prst="rect">
                      <a:avLst/>
                    </a:prstGeom>
                  </pic:spPr>
                </pic:pic>
              </a:graphicData>
            </a:graphic>
          </wp:inline>
        </w:drawing>
      </w:r>
    </w:p>
    <w:p w14:paraId="38390FEE" w14:textId="1B55CB13" w:rsidR="00605BB9" w:rsidRPr="00237510" w:rsidRDefault="00605BB9" w:rsidP="00605BB9">
      <w:pPr>
        <w:pStyle w:val="Caption"/>
      </w:pPr>
      <w:bookmarkStart w:id="16" w:name="_Ref40967624"/>
      <w:r w:rsidRPr="00237510">
        <w:t xml:space="preserve">Figure </w:t>
      </w:r>
      <w:r>
        <w:fldChar w:fldCharType="begin"/>
      </w:r>
      <w:r>
        <w:instrText>SEQ Figure \* ARABIC</w:instrText>
      </w:r>
      <w:r>
        <w:fldChar w:fldCharType="separate"/>
      </w:r>
      <w:r w:rsidR="00DE4513">
        <w:rPr>
          <w:noProof/>
        </w:rPr>
        <w:t>5</w:t>
      </w:r>
      <w:r>
        <w:fldChar w:fldCharType="end"/>
      </w:r>
      <w:bookmarkEnd w:id="16"/>
      <w:r w:rsidRPr="00237510">
        <w:t>: Mean daily flow (ML/day) in the Latrobe River between Kilmany and the confluence with the Thomson (left) and the Latrobe Estuary (right) under natural and current extraction conditions (</w:t>
      </w:r>
      <w:r w:rsidR="009B20DE" w:rsidRPr="00237510">
        <w:t>Alluvium 2020</w:t>
      </w:r>
      <w:r w:rsidRPr="00237510">
        <w:t>).</w:t>
      </w:r>
    </w:p>
    <w:p w14:paraId="618E2D89" w14:textId="77777777" w:rsidR="009B20DE" w:rsidRPr="00237510" w:rsidRDefault="009B20DE" w:rsidP="00FE034F">
      <w:pPr>
        <w:rPr>
          <w:lang w:eastAsia="en-US"/>
        </w:rPr>
      </w:pPr>
    </w:p>
    <w:p w14:paraId="61D0D605" w14:textId="57EFF75C" w:rsidR="00FE034F" w:rsidRPr="00237510" w:rsidRDefault="00FE034F" w:rsidP="00FE034F">
      <w:pPr>
        <w:rPr>
          <w:lang w:eastAsia="en-US"/>
        </w:rPr>
      </w:pPr>
      <w:r w:rsidRPr="00237510">
        <w:rPr>
          <w:lang w:eastAsia="en-US"/>
        </w:rPr>
        <w:t xml:space="preserve">Approximately a quarter of the total annual volume of flow in the Latrobe River is extracted for consumptive use, for which power generation is the single biggest use </w:t>
      </w:r>
      <w:r w:rsidRPr="00237510">
        <w:rPr>
          <w:lang w:eastAsia="en-US"/>
        </w:rPr>
        <w:fldChar w:fldCharType="begin"/>
      </w:r>
      <w:r w:rsidRPr="00237510">
        <w:rPr>
          <w:lang w:eastAsia="en-US"/>
        </w:rPr>
        <w:instrText xml:space="preserve"> ADDIN ZOTERO_ITEM CSL_CITATION {"citationID":"DK1XWnNU","properties":{"formattedCitation":"(Department of Sustainability and Environment 2011)","plainCitation":"(Department of Sustainability and Environment 2011)","noteIndex":0},"citationItems":[{"id":4459,"uris":["http://zotero.org/users/2336876/items/SYNYZW5H"],"uri":["http://zotero.org/users/2336876/items/SYNYZW5H"],"itemData":{"id":4459,"type":"book","event-place":"Melbourne, Vic.","ISBN":"978-1-74287-315-2","language":"English","note":"OCLC: 773838822","publisher":"Dept. Of Sustainability and Environment","publisher-place":"Melbourne, Vic.","source":"Open WorldCat","title":"Gippsland region sustainable water strategy","author":[{"literal":"Department of Sustainability and Environment"}],"issued":{"date-parts":[["2011"]]}}}],"schema":"https://github.com/citation-style-language/schema/raw/master/csl-citation.json"} </w:instrText>
      </w:r>
      <w:r w:rsidRPr="00237510">
        <w:rPr>
          <w:lang w:eastAsia="en-US"/>
        </w:rPr>
        <w:fldChar w:fldCharType="separate"/>
      </w:r>
      <w:r w:rsidRPr="00237510">
        <w:rPr>
          <w:lang w:eastAsia="en-US"/>
        </w:rPr>
        <w:t>(Department of Sustainability and Environment 2011)</w:t>
      </w:r>
      <w:r w:rsidRPr="00237510">
        <w:rPr>
          <w:lang w:eastAsia="en-US"/>
        </w:rPr>
        <w:fldChar w:fldCharType="end"/>
      </w:r>
      <w:r w:rsidRPr="00237510">
        <w:rPr>
          <w:lang w:eastAsia="en-US"/>
        </w:rPr>
        <w:t>. This varies annually and can be high in drought years, for example almost half the total flow was extracted in 2006/</w:t>
      </w:r>
      <w:r w:rsidR="00583502">
        <w:rPr>
          <w:lang w:eastAsia="en-US"/>
        </w:rPr>
        <w:t>0</w:t>
      </w:r>
      <w:r w:rsidRPr="00237510">
        <w:rPr>
          <w:lang w:eastAsia="en-US"/>
        </w:rPr>
        <w:t>7, but is a smaller proportion in wet years (e.g. 10% of the total flow in 2011/12) (</w:t>
      </w:r>
      <w:r w:rsidRPr="00237510">
        <w:rPr>
          <w:lang w:eastAsia="en-US"/>
        </w:rPr>
        <w:fldChar w:fldCharType="begin"/>
      </w:r>
      <w:r w:rsidRPr="00237510">
        <w:rPr>
          <w:lang w:eastAsia="en-US"/>
        </w:rPr>
        <w:instrText xml:space="preserve"> REF _Ref15735168 \h </w:instrText>
      </w:r>
      <w:r w:rsidRPr="00237510">
        <w:rPr>
          <w:lang w:eastAsia="en-US"/>
        </w:rPr>
      </w:r>
      <w:r w:rsidRPr="00237510">
        <w:rPr>
          <w:lang w:eastAsia="en-US"/>
        </w:rPr>
        <w:fldChar w:fldCharType="separate"/>
      </w:r>
      <w:r w:rsidR="008C72C8" w:rsidRPr="00237510">
        <w:rPr>
          <w:lang w:eastAsia="en-US"/>
        </w:rPr>
        <w:t>Figure 6</w:t>
      </w:r>
      <w:r w:rsidRPr="00237510">
        <w:rPr>
          <w:lang w:eastAsia="en-US"/>
        </w:rPr>
        <w:fldChar w:fldCharType="end"/>
      </w:r>
      <w:r w:rsidRPr="00237510">
        <w:rPr>
          <w:lang w:eastAsia="en-US"/>
        </w:rPr>
        <w:t>).</w:t>
      </w:r>
    </w:p>
    <w:p w14:paraId="0DAD6C5C" w14:textId="72057C8B" w:rsidR="00FE034F" w:rsidRPr="00237510" w:rsidRDefault="00FE034F" w:rsidP="008852CF">
      <w:pPr>
        <w:rPr>
          <w:lang w:eastAsia="en-US"/>
        </w:rPr>
      </w:pPr>
      <w:r w:rsidRPr="00237510">
        <w:rPr>
          <w:noProof/>
        </w:rPr>
        <w:drawing>
          <wp:inline distT="0" distB="0" distL="0" distR="0" wp14:anchorId="4A11EE2D" wp14:editId="3D97AA24">
            <wp:extent cx="5243208" cy="2429808"/>
            <wp:effectExtent l="0" t="0" r="1905" b="0"/>
            <wp:docPr id="22" name="Picture 22" descr="A stacked column chart showing the annual volume of Latrobe Extractions and discharge to Lake Wellington between 2003 and 2018. Extractions do not vary greatly year to year, while discharges to the lake are more highly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253858" cy="2434744"/>
                    </a:xfrm>
                    <a:prstGeom prst="rect">
                      <a:avLst/>
                    </a:prstGeom>
                  </pic:spPr>
                </pic:pic>
              </a:graphicData>
            </a:graphic>
          </wp:inline>
        </w:drawing>
      </w:r>
    </w:p>
    <w:p w14:paraId="2B4B83B3" w14:textId="72F6090C" w:rsidR="00FE034F" w:rsidRPr="00237510" w:rsidRDefault="00FE034F" w:rsidP="00FE034F">
      <w:pPr>
        <w:pStyle w:val="Caption"/>
        <w:rPr>
          <w:lang w:eastAsia="en-US"/>
        </w:rPr>
      </w:pPr>
      <w:bookmarkStart w:id="17" w:name="_Ref15735168"/>
      <w:r w:rsidRPr="00237510">
        <w:rPr>
          <w:lang w:eastAsia="en-US"/>
        </w:rPr>
        <w:t xml:space="preserve">Figure </w:t>
      </w:r>
      <w:r w:rsidRPr="00237510">
        <w:rPr>
          <w:lang w:eastAsia="en-US"/>
        </w:rPr>
        <w:fldChar w:fldCharType="begin"/>
      </w:r>
      <w:r w:rsidRPr="00237510">
        <w:rPr>
          <w:lang w:eastAsia="en-US"/>
        </w:rPr>
        <w:instrText xml:space="preserve"> SEQ Figure \* ARABIC </w:instrText>
      </w:r>
      <w:r w:rsidRPr="00237510">
        <w:rPr>
          <w:lang w:eastAsia="en-US"/>
        </w:rPr>
        <w:fldChar w:fldCharType="separate"/>
      </w:r>
      <w:r w:rsidR="00DE4513">
        <w:rPr>
          <w:noProof/>
          <w:lang w:eastAsia="en-US"/>
        </w:rPr>
        <w:t>6</w:t>
      </w:r>
      <w:r w:rsidRPr="00237510">
        <w:rPr>
          <w:lang w:eastAsia="en-US"/>
        </w:rPr>
        <w:fldChar w:fldCharType="end"/>
      </w:r>
      <w:bookmarkEnd w:id="17"/>
      <w:r w:rsidRPr="00237510">
        <w:rPr>
          <w:lang w:eastAsia="en-US"/>
        </w:rPr>
        <w:t>: Water extraction and end of system flows to Lake Wellington in the Latrobe Basin</w:t>
      </w:r>
      <w:r w:rsidR="009A1047">
        <w:rPr>
          <w:lang w:eastAsia="en-US"/>
        </w:rPr>
        <w:t>, upstream of confluence with the Thomson River</w:t>
      </w:r>
      <w:r w:rsidR="001B0B6B">
        <w:rPr>
          <w:lang w:eastAsia="en-US"/>
        </w:rPr>
        <w:t xml:space="preserve"> </w:t>
      </w:r>
      <w:r w:rsidR="001B0B6B" w:rsidRPr="00B87457">
        <w:fldChar w:fldCharType="begin"/>
      </w:r>
      <w:r w:rsidR="00844AFC">
        <w:instrText xml:space="preserve"> ADDIN ZOTERO_ITEM CSL_CITATION {"citationID":"iCujLNaO","properties":{"formattedCitation":"(DELWP 2005, 2007, 2009, 2014, 2015, 2016)","plainCitation":"(DELWP 2005, 2007, 2009, 2014, 2015, 2016)","noteIndex":0},"citationItems":[{"id":4790,"uris":["http://zotero.org/users/2336876/items/PEHLDDLA"],"uri":["http://zotero.org/users/2336876/items/PEHLDDLA"],"itemData":{"id":4790,"type":"book","event-place":"Melbourne, Victoria","publisher":"State Government of Victoria","publisher-place":"Melbourne, Victoria","title":"State Water Report 2003-2004: A Statementt of Victorian water resources","author":[{"family":"DELWP","given":""}],"issued":{"date-parts":[["2005"]]}}},{"id":4789,"uris":["http://zotero.org/users/2336876/items/2JDBYZE5"],"uri":["http://zotero.org/users/2336876/items/2JDBYZE5"],"itemData":{"id":4789,"type":"book","event-place":"Melbourne, Victoria","publisher":"State Government of Victoria","publisher-place":"Melbourne, Victoria","title":"Victorian Water Accounts 2005–2006: A statement of Victorian water resources","author":[{"family":"DELWP","given":""}],"issued":{"date-parts":[["2007"]]}}},{"id":4788,"uris":["http://zotero.org/users/2336876/items/QU79D7J4"],"uri":["http://zotero.org/users/2336876/items/QU79D7J4"],"itemData":{"id":4788,"type":"book","event-place":"Melbourne, Victoria","publisher":"State Government of Victoria","publisher-place":"Melbourne, Victoria","title":"Victorian Water Accounts 2007–2008: A statement of Victorian water resources","author":[{"family":"DELWP","given":""}],"issued":{"date-parts":[["2009"]]}}},{"id":4787,"uris":["http://zotero.org/users/2336876/items/NFGBCDYI"],"uri":["http://zotero.org/users/2336876/items/NFGBCDYI"],"itemData":{"id":4787,"type":"book","event-place":"Melbourne, Victoria","publisher":"State Government of Victoria","publisher-place":"Melbourne, Victoria","title":"Victorian Water Accounts 2012–2013: A statement of Victorian water resources","author":[{"family":"DELWP","given":""}],"issued":{"date-parts":[["2014"]]}}},{"id":4786,"uris":["http://zotero.org/users/2336876/items/Z96H5SJJ"],"uri":["http://zotero.org/users/2336876/items/Z96H5SJJ"],"itemData":{"id":4786,"type":"book","event-place":"Melbourne, Victoria","publisher":"State Government of Victoria","publisher-place":"Melbourne, Victoria","title":"Victorian Water Accounts 2013–2014: A statement of Victorian water resources","author":[{"family":"DELWP","given":""}],"issued":{"date-parts":[["2015"]]}}},{"id":4785,"uris":["http://zotero.org/users/2336876/items/VUCA4LRF"],"uri":["http://zotero.org/users/2336876/items/VUCA4LRF"],"itemData":{"id":4785,"type":"book","event-place":"Melbourne, Victoria","publisher":"State Government of Victoria","publisher-place":"Melbourne, Victoria","title":"Victorian Water Accounts 2014–2015: A statement of Victorian water resources","author":[{"family":"DELWP","given":""}],"issued":{"date-parts":[["2016"]]}}}],"schema":"https://github.com/citation-style-language/schema/raw/master/csl-citation.json"} </w:instrText>
      </w:r>
      <w:r w:rsidR="001B0B6B" w:rsidRPr="00B87457">
        <w:fldChar w:fldCharType="separate"/>
      </w:r>
      <w:r w:rsidR="00844AFC">
        <w:t>(DELWP 2005, 2007, 2009, 2014, 2015, 2016)</w:t>
      </w:r>
      <w:r w:rsidR="001B0B6B" w:rsidRPr="00B87457">
        <w:fldChar w:fldCharType="end"/>
      </w:r>
      <w:r w:rsidRPr="00237510">
        <w:rPr>
          <w:lang w:eastAsia="en-US"/>
        </w:rPr>
        <w:t>.</w:t>
      </w:r>
    </w:p>
    <w:p w14:paraId="1DAA02B5" w14:textId="409D3900" w:rsidR="00B51DE9" w:rsidRPr="00237510" w:rsidRDefault="00605BB9" w:rsidP="008852CF">
      <w:pPr>
        <w:rPr>
          <w:lang w:eastAsia="en-US"/>
        </w:rPr>
      </w:pPr>
      <w:r w:rsidRPr="00237510">
        <w:rPr>
          <w:lang w:eastAsia="en-US"/>
        </w:rPr>
        <w:t xml:space="preserve">The Tyers and Tanjil Rivers have altered flow regimes due to water storages in their upper reaches (Moondarra Reservoir and Blue Rock Reservoir, respectively). </w:t>
      </w:r>
      <w:r w:rsidR="00FE034F" w:rsidRPr="00237510">
        <w:rPr>
          <w:lang w:eastAsia="en-US"/>
        </w:rPr>
        <w:t xml:space="preserve">The capture of streamflow in the two water storages has resulted in a reduction of over 50 % in the average flow in the Tyers River and 20 % in the Tanjil </w:t>
      </w:r>
      <w:r w:rsidRPr="00237510">
        <w:rPr>
          <w:lang w:eastAsia="en-US"/>
        </w:rPr>
        <w:t>(</w:t>
      </w:r>
      <w:r w:rsidR="000C656A" w:rsidRPr="00237510">
        <w:rPr>
          <w:lang w:eastAsia="en-US"/>
        </w:rPr>
        <w:fldChar w:fldCharType="begin"/>
      </w:r>
      <w:r w:rsidR="000C656A" w:rsidRPr="00237510">
        <w:rPr>
          <w:lang w:eastAsia="en-US"/>
        </w:rPr>
        <w:instrText xml:space="preserve"> REF _Ref41036667 \h </w:instrText>
      </w:r>
      <w:r w:rsidR="000C656A" w:rsidRPr="00237510">
        <w:rPr>
          <w:lang w:eastAsia="en-US"/>
        </w:rPr>
      </w:r>
      <w:r w:rsidR="000C656A" w:rsidRPr="00237510">
        <w:rPr>
          <w:lang w:eastAsia="en-US"/>
        </w:rPr>
        <w:fldChar w:fldCharType="separate"/>
      </w:r>
      <w:r w:rsidR="008C72C8" w:rsidRPr="00237510">
        <w:t>Figure 7</w:t>
      </w:r>
      <w:r w:rsidR="000C656A" w:rsidRPr="00237510">
        <w:rPr>
          <w:lang w:eastAsia="en-US"/>
        </w:rPr>
        <w:fldChar w:fldCharType="end"/>
      </w:r>
      <w:r w:rsidRPr="00237510">
        <w:rPr>
          <w:lang w:eastAsia="en-US"/>
        </w:rPr>
        <w:t>). Of note is the alteration to the seasonal pattern in the Tanjil River, with increased flows in summer as a result of dam releases to meet consumptive demands</w:t>
      </w:r>
      <w:r w:rsidR="00B51DE9" w:rsidRPr="00237510">
        <w:rPr>
          <w:lang w:eastAsia="en-US"/>
        </w:rPr>
        <w:t xml:space="preserve">. </w:t>
      </w:r>
    </w:p>
    <w:p w14:paraId="531E6E5B" w14:textId="29C053BA" w:rsidR="007D279F" w:rsidRPr="00237510" w:rsidRDefault="00605BB9" w:rsidP="008852CF">
      <w:pPr>
        <w:rPr>
          <w:lang w:eastAsia="en-US"/>
        </w:rPr>
      </w:pPr>
      <w:r w:rsidRPr="00237510">
        <w:rPr>
          <w:lang w:eastAsia="en-US"/>
        </w:rPr>
        <w:t xml:space="preserve">The Morwell River and Traralgon Creek both receive discharge water from power stations and </w:t>
      </w:r>
      <w:proofErr w:type="gramStart"/>
      <w:r w:rsidRPr="00237510">
        <w:rPr>
          <w:lang w:eastAsia="en-US"/>
        </w:rPr>
        <w:t>as a consequence</w:t>
      </w:r>
      <w:proofErr w:type="gramEnd"/>
      <w:r w:rsidRPr="00237510">
        <w:rPr>
          <w:lang w:eastAsia="en-US"/>
        </w:rPr>
        <w:t>, average flow in these rivers is higher than would be under natural conditions</w:t>
      </w:r>
      <w:r w:rsidR="00B51DE9" w:rsidRPr="00237510">
        <w:rPr>
          <w:lang w:eastAsia="en-US"/>
        </w:rPr>
        <w:t xml:space="preserve"> (18</w:t>
      </w:r>
      <w:r w:rsidR="001E003A" w:rsidRPr="00237510">
        <w:rPr>
          <w:lang w:eastAsia="en-US"/>
        </w:rPr>
        <w:t xml:space="preserve"> </w:t>
      </w:r>
      <w:r w:rsidR="00B51DE9" w:rsidRPr="00237510">
        <w:rPr>
          <w:lang w:eastAsia="en-US"/>
        </w:rPr>
        <w:t>% more in Traralgon Creek and 11</w:t>
      </w:r>
      <w:r w:rsidR="001E003A" w:rsidRPr="00237510">
        <w:rPr>
          <w:lang w:eastAsia="en-US"/>
        </w:rPr>
        <w:t xml:space="preserve"> </w:t>
      </w:r>
      <w:r w:rsidR="00B51DE9" w:rsidRPr="00237510">
        <w:rPr>
          <w:lang w:eastAsia="en-US"/>
        </w:rPr>
        <w:t xml:space="preserve">% more in the Morwell River). </w:t>
      </w:r>
      <w:r w:rsidR="007367A6" w:rsidRPr="007367A6">
        <w:rPr>
          <w:lang w:eastAsia="en-US"/>
        </w:rPr>
        <w:t>The return flows from power generation and mine operations follow seasonal patterns of increased availability in winter/spring and lower availability in summer/autumn, as such</w:t>
      </w:r>
      <w:r w:rsidR="007367A6">
        <w:rPr>
          <w:lang w:eastAsia="en-US"/>
        </w:rPr>
        <w:t xml:space="preserve"> </w:t>
      </w:r>
      <w:r w:rsidR="007367A6" w:rsidRPr="007367A6">
        <w:rPr>
          <w:lang w:eastAsia="en-US"/>
        </w:rPr>
        <w:t>seasonality of flow in these two rivers remains unchanged</w:t>
      </w:r>
      <w:r w:rsidR="00B51DE9" w:rsidRPr="00237510">
        <w:rPr>
          <w:lang w:eastAsia="en-US"/>
        </w:rPr>
        <w:t xml:space="preserve"> (</w:t>
      </w:r>
      <w:r w:rsidR="000C656A" w:rsidRPr="00237510">
        <w:rPr>
          <w:lang w:eastAsia="en-US"/>
        </w:rPr>
        <w:fldChar w:fldCharType="begin"/>
      </w:r>
      <w:r w:rsidR="000C656A" w:rsidRPr="00237510">
        <w:rPr>
          <w:lang w:eastAsia="en-US"/>
        </w:rPr>
        <w:instrText xml:space="preserve"> REF _Ref41036667 \h </w:instrText>
      </w:r>
      <w:r w:rsidR="000C656A" w:rsidRPr="00237510">
        <w:rPr>
          <w:lang w:eastAsia="en-US"/>
        </w:rPr>
      </w:r>
      <w:r w:rsidR="000C656A" w:rsidRPr="00237510">
        <w:rPr>
          <w:lang w:eastAsia="en-US"/>
        </w:rPr>
        <w:fldChar w:fldCharType="separate"/>
      </w:r>
      <w:r w:rsidR="008C72C8" w:rsidRPr="00237510">
        <w:t>Figure 7</w:t>
      </w:r>
      <w:r w:rsidR="000C656A" w:rsidRPr="00237510">
        <w:rPr>
          <w:lang w:eastAsia="en-US"/>
        </w:rPr>
        <w:fldChar w:fldCharType="end"/>
      </w:r>
      <w:r w:rsidR="00B51DE9" w:rsidRPr="00237510">
        <w:rPr>
          <w:lang w:eastAsia="en-US"/>
        </w:rPr>
        <w:t>).</w:t>
      </w:r>
      <w:r w:rsidRPr="00237510">
        <w:rPr>
          <w:lang w:eastAsia="en-US"/>
        </w:rPr>
        <w:t xml:space="preserve">  </w:t>
      </w:r>
    </w:p>
    <w:p w14:paraId="6FB8C628" w14:textId="502C4D28" w:rsidR="00041296" w:rsidRPr="00237510" w:rsidRDefault="00B51DE9" w:rsidP="008852CF">
      <w:pPr>
        <w:rPr>
          <w:lang w:eastAsia="en-US"/>
        </w:rPr>
      </w:pPr>
      <w:r w:rsidRPr="00237510">
        <w:rPr>
          <w:noProof/>
        </w:rPr>
        <w:drawing>
          <wp:inline distT="0" distB="0" distL="0" distR="0" wp14:anchorId="3254C875" wp14:editId="0A7D1D29">
            <wp:extent cx="5464158" cy="3910519"/>
            <wp:effectExtent l="0" t="0" r="0" b="1270"/>
            <wp:docPr id="38" name="Picture 38" descr="Four column charts showing the modelled mean daily flow for natural and current flow in megalitres per day from January to December. The charts show the Tanjil, Tyers, and Morewell Rivers as well as Traralgon Creek. While the charts show that current flows are often less, month to month, than natural flows, there are some exceptions in some months for all but the Tyers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480878" cy="3922485"/>
                    </a:xfrm>
                    <a:prstGeom prst="rect">
                      <a:avLst/>
                    </a:prstGeom>
                  </pic:spPr>
                </pic:pic>
              </a:graphicData>
            </a:graphic>
          </wp:inline>
        </w:drawing>
      </w:r>
    </w:p>
    <w:p w14:paraId="4E98CE73" w14:textId="170A870F" w:rsidR="00B51DE9" w:rsidRPr="00237510" w:rsidRDefault="00B51DE9" w:rsidP="00B51DE9">
      <w:pPr>
        <w:pStyle w:val="Caption"/>
        <w:rPr>
          <w:lang w:eastAsia="en-US"/>
        </w:rPr>
      </w:pPr>
      <w:bookmarkStart w:id="18" w:name="_Ref41036667"/>
      <w:r w:rsidRPr="00237510">
        <w:t xml:space="preserve">Figure </w:t>
      </w:r>
      <w:r>
        <w:fldChar w:fldCharType="begin"/>
      </w:r>
      <w:r>
        <w:instrText>SEQ Figure \* ARABIC</w:instrText>
      </w:r>
      <w:r>
        <w:fldChar w:fldCharType="separate"/>
      </w:r>
      <w:r w:rsidR="00DE4513">
        <w:rPr>
          <w:noProof/>
        </w:rPr>
        <w:t>7</w:t>
      </w:r>
      <w:r>
        <w:fldChar w:fldCharType="end"/>
      </w:r>
      <w:bookmarkEnd w:id="18"/>
      <w:r w:rsidRPr="00237510">
        <w:t>: Mean daily flow (ML/day) in the Tanjil, Tyers and Morwell Rivers and Traralgon Creek under natural and current extraction conditions (modelled over 60 year period; data provided by Alluvium).</w:t>
      </w:r>
    </w:p>
    <w:p w14:paraId="5388E1A3" w14:textId="4CA47CDF" w:rsidR="005743FF" w:rsidRPr="00237510" w:rsidRDefault="00B51DE9" w:rsidP="008B39C3">
      <w:pPr>
        <w:pStyle w:val="Heading3"/>
        <w:ind w:left="709"/>
      </w:pPr>
      <w:bookmarkStart w:id="19" w:name="_Toc42001374"/>
      <w:r w:rsidRPr="00237510">
        <w:t>Wetlands</w:t>
      </w:r>
      <w:bookmarkEnd w:id="19"/>
    </w:p>
    <w:p w14:paraId="2E90951C" w14:textId="6A83436F" w:rsidR="00D842CE" w:rsidRPr="00237510" w:rsidRDefault="00D842CE" w:rsidP="00D842CE">
      <w:pPr>
        <w:rPr>
          <w:lang w:eastAsia="en-US"/>
        </w:rPr>
      </w:pPr>
      <w:r w:rsidRPr="00237510">
        <w:rPr>
          <w:lang w:eastAsia="en-US"/>
        </w:rPr>
        <w:t xml:space="preserve">The water regimes of Sale Common, Heart and Dowd Morass have similarities and differences. Sources of freshwater are largely from direct rainfall and the Latrobe River, and </w:t>
      </w:r>
      <w:proofErr w:type="gramStart"/>
      <w:r w:rsidRPr="00237510">
        <w:rPr>
          <w:lang w:eastAsia="en-US"/>
        </w:rPr>
        <w:t xml:space="preserve">all </w:t>
      </w:r>
      <w:r w:rsidR="009B20DE" w:rsidRPr="00237510">
        <w:rPr>
          <w:lang w:eastAsia="en-US"/>
        </w:rPr>
        <w:t>of</w:t>
      </w:r>
      <w:proofErr w:type="gramEnd"/>
      <w:r w:rsidR="009B20DE" w:rsidRPr="00237510">
        <w:rPr>
          <w:lang w:eastAsia="en-US"/>
        </w:rPr>
        <w:t xml:space="preserve"> these wetlands </w:t>
      </w:r>
      <w:r w:rsidRPr="00237510">
        <w:rPr>
          <w:lang w:eastAsia="en-US"/>
        </w:rPr>
        <w:t xml:space="preserve">have regulating structures in place to enable water regime management and the delivery of environmental water. Delivering water to these wetlands can be complicated by the salt wedge in the Latrobe Estuary, which if it extends too far up the Latrobe River, past the structures connecting the river to the wetlands, can prevent </w:t>
      </w:r>
      <w:r w:rsidR="00747B1D" w:rsidRPr="00237510">
        <w:rPr>
          <w:lang w:eastAsia="en-US"/>
        </w:rPr>
        <w:t xml:space="preserve">managed </w:t>
      </w:r>
      <w:r w:rsidRPr="00237510">
        <w:rPr>
          <w:lang w:eastAsia="en-US"/>
        </w:rPr>
        <w:t>inundation with freshwater.</w:t>
      </w:r>
    </w:p>
    <w:p w14:paraId="61EBF93B" w14:textId="2B5B1F59" w:rsidR="00D842CE" w:rsidRPr="00237510" w:rsidRDefault="00D842CE" w:rsidP="00D842CE">
      <w:pPr>
        <w:rPr>
          <w:lang w:eastAsia="en-US"/>
        </w:rPr>
      </w:pPr>
      <w:r w:rsidRPr="00237510">
        <w:rPr>
          <w:lang w:eastAsia="en-US"/>
        </w:rPr>
        <w:t xml:space="preserve">Inundation of Sale Common is affected by flows in the Thomson and Latrobe Rivers as well as water levels in Lake Wellington. With respect to the Latrobe River, water moves into Sale Common overbank when flows in the lower Latrobe River exceed 15,000 ML/day. There </w:t>
      </w:r>
      <w:r w:rsidR="009B20DE" w:rsidRPr="00237510">
        <w:rPr>
          <w:lang w:eastAsia="en-US"/>
        </w:rPr>
        <w:t>is</w:t>
      </w:r>
      <w:r w:rsidRPr="00237510">
        <w:rPr>
          <w:lang w:eastAsia="en-US"/>
        </w:rPr>
        <w:t xml:space="preserve"> a gated structure between the lower Latrobe River and Sale Common which allows for the active management of water regimes in the wetland </w:t>
      </w:r>
      <w:r w:rsidRPr="00237510">
        <w:rPr>
          <w:lang w:eastAsia="en-US"/>
        </w:rPr>
        <w:fldChar w:fldCharType="begin"/>
      </w:r>
      <w:r w:rsidR="00A762BE" w:rsidRPr="00237510">
        <w:rPr>
          <w:lang w:eastAsia="en-US"/>
        </w:rPr>
        <w:instrText xml:space="preserve"> ADDIN ZOTERO_ITEM CSL_CITATION {"citationID":"qYwnmv4u","properties":{"formattedCitation":"(Arrowsmith et al. 2011)","plainCitation":"(Arrowsmith et al. 2011)","noteIndex":0},"citationItems":[{"id":4457,"uris":["http://zotero.org/users/2336876/items/D7JHCW84"],"uri":["http://zotero.org/users/2336876/items/D7JHCW84"],"itemData":{"id":4457,"type":"book","event-place":"Notting Hill, Victoria","publisher":"Water Technology","publisher-place":"Notting Hill, Victoria","title":"Sale Common Hydrological Investigation","author":[{"family":"Arrowsmith","given":"C."},{"family":"Duggan","given":"S."},{"family":"Rennie","given":"J."}],"issued":{"date-parts":[["2011"]]}}}],"schema":"https://github.com/citation-style-language/schema/raw/master/csl-citation.json"} </w:instrText>
      </w:r>
      <w:r w:rsidRPr="00237510">
        <w:rPr>
          <w:lang w:eastAsia="en-US"/>
        </w:rPr>
        <w:fldChar w:fldCharType="separate"/>
      </w:r>
      <w:r w:rsidRPr="00237510">
        <w:rPr>
          <w:lang w:eastAsia="en-US"/>
        </w:rPr>
        <w:t>(Arrowsmith et al. 2011)</w:t>
      </w:r>
      <w:r w:rsidRPr="00237510">
        <w:rPr>
          <w:lang w:eastAsia="en-US"/>
        </w:rPr>
        <w:fldChar w:fldCharType="end"/>
      </w:r>
      <w:r w:rsidRPr="00237510">
        <w:rPr>
          <w:lang w:eastAsia="en-US"/>
        </w:rPr>
        <w:t>.</w:t>
      </w:r>
    </w:p>
    <w:p w14:paraId="365F70E8" w14:textId="6932D753" w:rsidR="00F30986" w:rsidRPr="00237510" w:rsidRDefault="00F30986" w:rsidP="00D842CE">
      <w:pPr>
        <w:rPr>
          <w:lang w:eastAsia="en-US"/>
        </w:rPr>
      </w:pPr>
      <w:r w:rsidRPr="00237510">
        <w:rPr>
          <w:lang w:eastAsia="en-US"/>
        </w:rPr>
        <w:t>The water regime of Sale Common could be described as “commonly wet” although the system does have intermittent periods of drawdown (</w:t>
      </w:r>
      <w:r w:rsidR="00933030" w:rsidRPr="00237510">
        <w:rPr>
          <w:lang w:eastAsia="en-US"/>
        </w:rPr>
        <w:fldChar w:fldCharType="begin"/>
      </w:r>
      <w:r w:rsidR="00933030" w:rsidRPr="00237510">
        <w:rPr>
          <w:lang w:eastAsia="en-US"/>
        </w:rPr>
        <w:instrText xml:space="preserve"> REF _Ref41042642 \h </w:instrText>
      </w:r>
      <w:r w:rsidR="00933030" w:rsidRPr="00237510">
        <w:rPr>
          <w:lang w:eastAsia="en-US"/>
        </w:rPr>
      </w:r>
      <w:r w:rsidR="00933030" w:rsidRPr="00237510">
        <w:rPr>
          <w:lang w:eastAsia="en-US"/>
        </w:rPr>
        <w:fldChar w:fldCharType="separate"/>
      </w:r>
      <w:r w:rsidR="008C72C8" w:rsidRPr="00237510">
        <w:t>Figure 8</w:t>
      </w:r>
      <w:r w:rsidR="00933030" w:rsidRPr="00237510">
        <w:rPr>
          <w:lang w:eastAsia="en-US"/>
        </w:rPr>
        <w:fldChar w:fldCharType="end"/>
      </w:r>
      <w:r w:rsidRPr="00237510">
        <w:rPr>
          <w:lang w:eastAsia="en-US"/>
        </w:rPr>
        <w:t xml:space="preserve">). </w:t>
      </w:r>
      <w:r w:rsidR="00933030" w:rsidRPr="00237510">
        <w:rPr>
          <w:lang w:eastAsia="en-US"/>
        </w:rPr>
        <w:t>There is not a strong seasonal pattern to inundation, but water levels are generally lower in autumn and highest in spring.</w:t>
      </w:r>
      <w:r w:rsidR="001E003A" w:rsidRPr="00237510">
        <w:rPr>
          <w:lang w:eastAsia="en-US"/>
        </w:rPr>
        <w:t xml:space="preserve"> </w:t>
      </w:r>
      <w:r w:rsidR="00B55CC3" w:rsidRPr="00237510">
        <w:rPr>
          <w:lang w:eastAsia="en-US"/>
        </w:rPr>
        <w:t>The wetland is reliant on large natural floods for flushing</w:t>
      </w:r>
      <w:r w:rsidR="00817A33">
        <w:rPr>
          <w:lang w:eastAsia="en-US"/>
        </w:rPr>
        <w:t xml:space="preserve"> (Alluviu</w:t>
      </w:r>
      <w:r w:rsidR="007B0F76">
        <w:rPr>
          <w:lang w:eastAsia="en-US"/>
        </w:rPr>
        <w:t>m 2020)</w:t>
      </w:r>
      <w:r w:rsidR="00B55CC3" w:rsidRPr="00237510">
        <w:rPr>
          <w:lang w:eastAsia="en-US"/>
        </w:rPr>
        <w:t>, which has not occurred since 2011/12.</w:t>
      </w:r>
    </w:p>
    <w:p w14:paraId="5D574682" w14:textId="45E3F0D5" w:rsidR="00B51DE9" w:rsidRPr="00237510" w:rsidRDefault="00F30986" w:rsidP="00B51DE9">
      <w:pPr>
        <w:rPr>
          <w:lang w:eastAsia="en-US"/>
        </w:rPr>
      </w:pPr>
      <w:r w:rsidRPr="00237510">
        <w:rPr>
          <w:noProof/>
        </w:rPr>
        <w:drawing>
          <wp:inline distT="0" distB="0" distL="0" distR="0" wp14:anchorId="549B039A" wp14:editId="3676EB26">
            <wp:extent cx="5372100" cy="2356291"/>
            <wp:effectExtent l="0" t="0" r="0" b="6350"/>
            <wp:docPr id="41" name="Picture 41" descr="A monthly stacked column chart from 1987 to 2019 showing the percentage of open water and inundated vegetation at Sale Common. The percentages fluctuate according to season, but open water is generally more preval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388051" cy="2363287"/>
                    </a:xfrm>
                    <a:prstGeom prst="rect">
                      <a:avLst/>
                    </a:prstGeom>
                  </pic:spPr>
                </pic:pic>
              </a:graphicData>
            </a:graphic>
          </wp:inline>
        </w:drawing>
      </w:r>
    </w:p>
    <w:p w14:paraId="02933024" w14:textId="626CE3F7" w:rsidR="00F30986" w:rsidRPr="00237510" w:rsidRDefault="00F30986" w:rsidP="00F30986">
      <w:pPr>
        <w:pStyle w:val="Caption"/>
      </w:pPr>
      <w:bookmarkStart w:id="20" w:name="_Ref41042642"/>
      <w:r w:rsidRPr="00237510">
        <w:t xml:space="preserve">Figure </w:t>
      </w:r>
      <w:r>
        <w:fldChar w:fldCharType="begin"/>
      </w:r>
      <w:r>
        <w:instrText>SEQ Figure \* ARABIC</w:instrText>
      </w:r>
      <w:r>
        <w:fldChar w:fldCharType="separate"/>
      </w:r>
      <w:r w:rsidR="00DE4513">
        <w:rPr>
          <w:noProof/>
        </w:rPr>
        <w:t>8</w:t>
      </w:r>
      <w:r>
        <w:fldChar w:fldCharType="end"/>
      </w:r>
      <w:bookmarkEnd w:id="20"/>
      <w:r w:rsidRPr="00237510">
        <w:t>: Inundation of Sale Common 1987 to 2019 (derived from Water Observations from Space; GeoScience Australia).</w:t>
      </w:r>
    </w:p>
    <w:p w14:paraId="48D5FE93" w14:textId="2C7D39CE" w:rsidR="00445CC8" w:rsidRPr="00237510" w:rsidRDefault="00445CC8" w:rsidP="00445CC8">
      <w:r w:rsidRPr="00237510">
        <w:t xml:space="preserve">The water regimes of Heart and Dowd Morass are influenced by two water sources: freshwater moving from the Latrobe River and inflows of variably saline </w:t>
      </w:r>
      <w:r w:rsidR="009B20DE" w:rsidRPr="00237510">
        <w:t xml:space="preserve">water </w:t>
      </w:r>
      <w:r w:rsidRPr="00237510">
        <w:t>from Lake Wellington. Both wetlands have historically altered water regimes due to a variety of factors related to both altered river flows and internal levee structures, plus changes in the overall level of water in the Gippsland Lakes (Boon et al. 2018).</w:t>
      </w:r>
    </w:p>
    <w:p w14:paraId="20ADDB19" w14:textId="77777777" w:rsidR="009B20DE" w:rsidRPr="00237510" w:rsidRDefault="009B20DE" w:rsidP="009B20DE">
      <w:r w:rsidRPr="00237510">
        <w:t xml:space="preserve">Heart Morass can receive surface water overbank from the Latrobe River under flood conditions. The more common surface water inflows are, however, through several culvert structures from the Latrobe River which were originally installed to drain the wetland when it was managed for farming and are therefore not optimal for filling it. There are 10 structures on the Latrobe River connecting it to Heart Morass, plus several culverts through internal levees. </w:t>
      </w:r>
    </w:p>
    <w:p w14:paraId="48BAFF62" w14:textId="77777777" w:rsidR="009B20DE" w:rsidRPr="00237510" w:rsidRDefault="009B20DE" w:rsidP="009B20DE">
      <w:pPr>
        <w:rPr>
          <w:lang w:eastAsia="en-US"/>
        </w:rPr>
      </w:pPr>
      <w:r w:rsidRPr="00237510">
        <w:rPr>
          <w:lang w:eastAsia="en-US"/>
        </w:rPr>
        <w:t xml:space="preserve">The water regime of Dowd Morass is complex and water (of various salinities) can enter the wetland via several sources </w:t>
      </w:r>
      <w:r w:rsidRPr="00237510">
        <w:rPr>
          <w:lang w:eastAsia="en-US"/>
        </w:rPr>
        <w:fldChar w:fldCharType="begin"/>
      </w:r>
      <w:r w:rsidRPr="00237510">
        <w:rPr>
          <w:lang w:eastAsia="en-US"/>
        </w:rPr>
        <w:instrText xml:space="preserve"> ADDIN ZOTERO_ITEM CSL_CITATION {"citationID":"Y2AWonIR","properties":{"formattedCitation":"(SKM 2001, Boon et al. 2008, Arrowsmith and Dermek 2014)","plainCitation":"(SKM 2001, Boon et al. 2008, Arrowsmith and Dermek 2014)","noteIndex":0},"citationItems":[{"id":2319,"uris":["http://zotero.org/users/2336876/items/Z5JBI97I"],"uri":["http://zotero.org/users/2336876/items/Z5JBI97I"],"itemData":{"id":2319,"type":"book","event-place":"Melbourne, Australia","publisher":"Department of Natural Resources and Environment","publisher-place":"Melbourne, Australia","title":"Lake Wellington Catchment Salinity Management Plan Wetlands Monitoring Project. Part A: Analysis and interpretation of wetland monitoring data","author":[{"family":"SKM","given":""}],"issued":{"date-parts":[["2001"]]}}},{"id":2016,"uris":["http://zotero.org/users/2336876/items/H6XT6Q8J"],"uri":["http://zotero.org/users/2336876/items/H6XT6Q8J"],"itemData":{"id":2016,"type":"article-journal","container-title":"Proceedings of the Royal Society of Victoria","issue":"2","page":"403–418","source":"Google Scholar","title":"Vegetation Changes Over a Four Decade Period in Dowd Morass, a Brackish-Water Wetland of the Gippsland Lakes, South-Eastern Australia","volume":"120","author":[{"family":"Boon","given":"Paul I."},{"family":"Raulings","given":"Elisa"},{"family":"Roach","given":"Michael"},{"family":"Morris","given":"Kay"}],"issued":{"date-parts":[["2008"]]}}},{"id":3896,"uris":["http://zotero.org/users/2336876/items/2RK3U2GK"],"uri":["http://zotero.org/users/2336876/items/2RK3U2GK"],"itemData":{"id":3896,"type":"book","event-place":"Notting Hill, Victoria","publisher":"Water Technology","publisher-place":"Notting Hill, Victoria","title":"Heart Morass and Dowd Morass Physical Characterisation","author":[{"family":"Arrowsmith","given":"C."},{"family":"Dermek","given":"R."}],"issued":{"date-parts":[["2014"]]}}}],"schema":"https://github.com/citation-style-language/schema/raw/master/csl-citation.json"} </w:instrText>
      </w:r>
      <w:r w:rsidRPr="00237510">
        <w:rPr>
          <w:lang w:eastAsia="en-US"/>
        </w:rPr>
        <w:fldChar w:fldCharType="separate"/>
      </w:r>
      <w:r w:rsidRPr="00237510">
        <w:rPr>
          <w:lang w:eastAsia="en-US"/>
        </w:rPr>
        <w:t>(SKM 2001, Boon et al. 2008, Arrowsmith and Dermek 2014)</w:t>
      </w:r>
      <w:r w:rsidRPr="00237510">
        <w:rPr>
          <w:lang w:eastAsia="en-US"/>
        </w:rPr>
        <w:fldChar w:fldCharType="end"/>
      </w:r>
      <w:r w:rsidRPr="00237510">
        <w:rPr>
          <w:lang w:eastAsia="en-US"/>
        </w:rPr>
        <w:t>:</w:t>
      </w:r>
    </w:p>
    <w:p w14:paraId="48E4405F" w14:textId="77777777" w:rsidR="009B20DE" w:rsidRPr="00237510" w:rsidRDefault="009B20DE" w:rsidP="009B20DE">
      <w:pPr>
        <w:pStyle w:val="ListParagraph"/>
        <w:numPr>
          <w:ilvl w:val="0"/>
          <w:numId w:val="7"/>
        </w:numPr>
        <w:rPr>
          <w:lang w:eastAsia="en-US"/>
        </w:rPr>
      </w:pPr>
      <w:r w:rsidRPr="00237510">
        <w:rPr>
          <w:lang w:eastAsia="en-US"/>
        </w:rPr>
        <w:t>Inflows from the Latrobe River through Long Waterhole, an anabranch of the Latrobe River located about 5 kilometres upstream of the western end of morass.</w:t>
      </w:r>
    </w:p>
    <w:p w14:paraId="77865A52" w14:textId="77777777" w:rsidR="009B20DE" w:rsidRPr="00237510" w:rsidRDefault="009B20DE" w:rsidP="009B20DE">
      <w:pPr>
        <w:pStyle w:val="ListParagraph"/>
        <w:numPr>
          <w:ilvl w:val="0"/>
          <w:numId w:val="7"/>
        </w:numPr>
        <w:rPr>
          <w:lang w:eastAsia="en-US"/>
        </w:rPr>
      </w:pPr>
      <w:r w:rsidRPr="00237510">
        <w:rPr>
          <w:lang w:eastAsia="en-US"/>
        </w:rPr>
        <w:t>Overbank flows from the Latrobe River along a section of low-lying bank near the mouth of the river.</w:t>
      </w:r>
    </w:p>
    <w:p w14:paraId="7843E583" w14:textId="77777777" w:rsidR="009B20DE" w:rsidRPr="00237510" w:rsidRDefault="009B20DE" w:rsidP="009B20DE">
      <w:pPr>
        <w:pStyle w:val="ListParagraph"/>
        <w:numPr>
          <w:ilvl w:val="0"/>
          <w:numId w:val="7"/>
        </w:numPr>
        <w:rPr>
          <w:lang w:eastAsia="en-US"/>
        </w:rPr>
      </w:pPr>
      <w:r w:rsidRPr="00237510">
        <w:rPr>
          <w:lang w:eastAsia="en-US"/>
        </w:rPr>
        <w:t xml:space="preserve">Overflows from Lake Wellington through the Dardenelles, a fringing but hydrologically permeable border vegetated with reeds and paperbarks. </w:t>
      </w:r>
    </w:p>
    <w:p w14:paraId="1D9259D7" w14:textId="5FC8B7D1" w:rsidR="00445CC8" w:rsidRPr="00237510" w:rsidRDefault="009B20DE" w:rsidP="009B20DE">
      <w:pPr>
        <w:pStyle w:val="ListParagraph"/>
        <w:numPr>
          <w:ilvl w:val="0"/>
          <w:numId w:val="7"/>
        </w:numPr>
        <w:rPr>
          <w:lang w:eastAsia="en-US"/>
        </w:rPr>
      </w:pPr>
      <w:r w:rsidRPr="00237510">
        <w:rPr>
          <w:lang w:eastAsia="en-US"/>
        </w:rPr>
        <w:t>Through two culverts that have been cut between the Latrobe River and the wetland with flow-control devices for filling and draining.</w:t>
      </w:r>
    </w:p>
    <w:p w14:paraId="2EAD5CDB" w14:textId="5D08359E" w:rsidR="00445CC8" w:rsidRPr="00237510" w:rsidRDefault="00445CC8" w:rsidP="00445CC8">
      <w:pPr>
        <w:rPr>
          <w:lang w:eastAsia="en-US"/>
        </w:rPr>
      </w:pPr>
      <w:r w:rsidRPr="00237510">
        <w:rPr>
          <w:lang w:eastAsia="en-US"/>
        </w:rPr>
        <w:t xml:space="preserve">The lowest </w:t>
      </w:r>
      <w:r w:rsidR="00747B1D" w:rsidRPr="00237510">
        <w:rPr>
          <w:lang w:eastAsia="en-US"/>
        </w:rPr>
        <w:t>parts</w:t>
      </w:r>
      <w:r w:rsidRPr="00237510">
        <w:rPr>
          <w:lang w:eastAsia="en-US"/>
        </w:rPr>
        <w:t xml:space="preserve"> of both </w:t>
      </w:r>
      <w:r w:rsidR="00B55CC3" w:rsidRPr="00237510">
        <w:rPr>
          <w:lang w:eastAsia="en-US"/>
        </w:rPr>
        <w:t>Heart and Dowd Morass</w:t>
      </w:r>
      <w:r w:rsidRPr="00237510">
        <w:rPr>
          <w:lang w:eastAsia="en-US"/>
        </w:rPr>
        <w:t xml:space="preserve"> are lower than </w:t>
      </w:r>
      <w:r w:rsidR="009B20DE" w:rsidRPr="00237510">
        <w:rPr>
          <w:lang w:eastAsia="en-US"/>
        </w:rPr>
        <w:t>sea level</w:t>
      </w:r>
      <w:r w:rsidRPr="00237510">
        <w:rPr>
          <w:lang w:eastAsia="en-US"/>
        </w:rPr>
        <w:t xml:space="preserve"> and so complete flushing does not occur readily</w:t>
      </w:r>
      <w:r w:rsidR="00747B1D" w:rsidRPr="00237510">
        <w:rPr>
          <w:lang w:eastAsia="en-US"/>
        </w:rPr>
        <w:t>.</w:t>
      </w:r>
      <w:r w:rsidRPr="00237510">
        <w:rPr>
          <w:lang w:eastAsia="en-US"/>
        </w:rPr>
        <w:t xml:space="preserve"> </w:t>
      </w:r>
      <w:r w:rsidR="00747B1D" w:rsidRPr="00237510">
        <w:rPr>
          <w:lang w:eastAsia="en-US"/>
        </w:rPr>
        <w:t>Instead,</w:t>
      </w:r>
      <w:r w:rsidRPr="00237510">
        <w:rPr>
          <w:lang w:eastAsia="en-US"/>
        </w:rPr>
        <w:t xml:space="preserve"> the </w:t>
      </w:r>
      <w:r w:rsidR="00747B1D" w:rsidRPr="00237510">
        <w:rPr>
          <w:lang w:eastAsia="en-US"/>
        </w:rPr>
        <w:t xml:space="preserve">two </w:t>
      </w:r>
      <w:r w:rsidRPr="00237510">
        <w:rPr>
          <w:lang w:eastAsia="en-US"/>
        </w:rPr>
        <w:t xml:space="preserve">wetlands fill during high flow periods (or when managed through infrastructure) and drain largely via evaporation </w:t>
      </w:r>
      <w:r w:rsidRPr="00237510">
        <w:rPr>
          <w:lang w:eastAsia="en-US"/>
        </w:rPr>
        <w:fldChar w:fldCharType="begin"/>
      </w:r>
      <w:r w:rsidR="00A762BE" w:rsidRPr="00237510">
        <w:rPr>
          <w:lang w:eastAsia="en-US"/>
        </w:rPr>
        <w:instrText xml:space="preserve"> ADDIN ZOTERO_ITEM CSL_CITATION {"citationID":"BV0kOV4W","properties":{"formattedCitation":"(Arrowsmith and Dermek 2014)","plainCitation":"(Arrowsmith and Dermek 2014)","noteIndex":0},"citationItems":[{"id":3896,"uris":["http://zotero.org/users/2336876/items/2RK3U2GK"],"uri":["http://zotero.org/users/2336876/items/2RK3U2GK"],"itemData":{"id":3896,"type":"book","event-place":"Notting Hill, Victoria","publisher":"Water Technology","publisher-place":"Notting Hill, Victoria","title":"Heart Morass and Dowd Morass Physical Characterisation","author":[{"family":"Arrowsmith","given":"C."},{"family":"Dermek","given":"R."}],"issued":{"date-parts":[["2014"]]}}}],"schema":"https://github.com/citation-style-language/schema/raw/master/csl-citation.json"} </w:instrText>
      </w:r>
      <w:r w:rsidRPr="00237510">
        <w:rPr>
          <w:lang w:eastAsia="en-US"/>
        </w:rPr>
        <w:fldChar w:fldCharType="separate"/>
      </w:r>
      <w:r w:rsidRPr="00237510">
        <w:rPr>
          <w:lang w:eastAsia="en-US"/>
        </w:rPr>
        <w:t>(Arrowsmith and Dermek 2014)</w:t>
      </w:r>
      <w:r w:rsidRPr="00237510">
        <w:rPr>
          <w:lang w:eastAsia="en-US"/>
        </w:rPr>
        <w:fldChar w:fldCharType="end"/>
      </w:r>
      <w:r w:rsidRPr="00237510">
        <w:rPr>
          <w:lang w:eastAsia="en-US"/>
        </w:rPr>
        <w:t>.</w:t>
      </w:r>
      <w:r w:rsidR="00FD2C08" w:rsidRPr="00237510">
        <w:rPr>
          <w:lang w:eastAsia="en-US"/>
        </w:rPr>
        <w:t xml:space="preserve"> Water level data has been regularly collected for the past three years and clearly shows filling and then a drying cycle in March 2019 (</w:t>
      </w:r>
      <w:r w:rsidR="00FD2C08" w:rsidRPr="00237510">
        <w:rPr>
          <w:lang w:eastAsia="en-US"/>
        </w:rPr>
        <w:fldChar w:fldCharType="begin"/>
      </w:r>
      <w:r w:rsidR="00FD2C08" w:rsidRPr="00237510">
        <w:rPr>
          <w:lang w:eastAsia="en-US"/>
        </w:rPr>
        <w:instrText xml:space="preserve"> REF _Ref536701166 \h </w:instrText>
      </w:r>
      <w:r w:rsidR="00FD2C08" w:rsidRPr="00237510">
        <w:rPr>
          <w:lang w:eastAsia="en-US"/>
        </w:rPr>
      </w:r>
      <w:r w:rsidR="00FD2C08" w:rsidRPr="00237510">
        <w:rPr>
          <w:lang w:eastAsia="en-US"/>
        </w:rPr>
        <w:fldChar w:fldCharType="separate"/>
      </w:r>
      <w:r w:rsidR="008C72C8" w:rsidRPr="00237510">
        <w:t>Figure 9</w:t>
      </w:r>
      <w:r w:rsidR="00FD2C08" w:rsidRPr="00237510">
        <w:rPr>
          <w:lang w:eastAsia="en-US"/>
        </w:rPr>
        <w:fldChar w:fldCharType="end"/>
      </w:r>
      <w:r w:rsidR="00FD2C08" w:rsidRPr="00237510">
        <w:rPr>
          <w:lang w:eastAsia="en-US"/>
        </w:rPr>
        <w:t>)</w:t>
      </w:r>
    </w:p>
    <w:p w14:paraId="38C4E521" w14:textId="29536B02" w:rsidR="00B51DE9" w:rsidRPr="00237510" w:rsidRDefault="00445CC8" w:rsidP="00B51DE9">
      <w:pPr>
        <w:rPr>
          <w:lang w:eastAsia="en-US"/>
        </w:rPr>
      </w:pPr>
      <w:r w:rsidRPr="00237510">
        <w:rPr>
          <w:noProof/>
        </w:rPr>
        <w:drawing>
          <wp:inline distT="0" distB="0" distL="0" distR="0" wp14:anchorId="37A08126" wp14:editId="571435CE">
            <wp:extent cx="5169877" cy="2042893"/>
            <wp:effectExtent l="0" t="0" r="0" b="1905"/>
            <wp:docPr id="43" name="Picture 43" descr="A line chart from June 2017 to June 2020 showing surface water level at both Heart Morass and Dowd Mo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5184151" cy="2048533"/>
                    </a:xfrm>
                    <a:prstGeom prst="rect">
                      <a:avLst/>
                    </a:prstGeom>
                  </pic:spPr>
                </pic:pic>
              </a:graphicData>
            </a:graphic>
          </wp:inline>
        </w:drawing>
      </w:r>
    </w:p>
    <w:p w14:paraId="003CE56D" w14:textId="78950FA1" w:rsidR="00FD2C08" w:rsidRPr="00237510" w:rsidRDefault="00FD2C08" w:rsidP="00FD2C08">
      <w:pPr>
        <w:pStyle w:val="Caption"/>
      </w:pPr>
      <w:bookmarkStart w:id="21" w:name="_Ref536701166"/>
      <w:r w:rsidRPr="00237510">
        <w:t xml:space="preserve">Figure </w:t>
      </w:r>
      <w:r>
        <w:fldChar w:fldCharType="begin"/>
      </w:r>
      <w:r>
        <w:instrText>SEQ Figure \* ARABIC</w:instrText>
      </w:r>
      <w:r>
        <w:fldChar w:fldCharType="separate"/>
      </w:r>
      <w:r w:rsidR="00DE4513">
        <w:rPr>
          <w:noProof/>
        </w:rPr>
        <w:t>9</w:t>
      </w:r>
      <w:r>
        <w:fldChar w:fldCharType="end"/>
      </w:r>
      <w:bookmarkEnd w:id="21"/>
      <w:r w:rsidRPr="00237510">
        <w:t xml:space="preserve">: Surface water level at Dowd and Heart Morass (data from </w:t>
      </w:r>
      <w:hyperlink r:id="rId34" w:history="1">
        <w:r w:rsidRPr="00237510">
          <w:t>http://data.water.vic.gov.au/</w:t>
        </w:r>
      </w:hyperlink>
      <w:r w:rsidRPr="00237510">
        <w:t>).</w:t>
      </w:r>
    </w:p>
    <w:p w14:paraId="181CD35D" w14:textId="1DF6773F" w:rsidR="00FD2C08" w:rsidRPr="00237510" w:rsidRDefault="00FD2C08" w:rsidP="00FD2C08">
      <w:pPr>
        <w:rPr>
          <w:lang w:eastAsia="en-US"/>
        </w:rPr>
      </w:pPr>
      <w:r w:rsidRPr="00237510">
        <w:rPr>
          <w:lang w:eastAsia="en-US"/>
        </w:rPr>
        <w:t xml:space="preserve">There is some evidence of increased water movement from Lake Wellington into Dowd Morass due to decreased freshwater inflows and increases in sea level </w:t>
      </w:r>
      <w:r w:rsidRPr="00237510">
        <w:rPr>
          <w:lang w:eastAsia="en-US"/>
        </w:rPr>
        <w:fldChar w:fldCharType="begin"/>
      </w:r>
      <w:r w:rsidR="00A762BE" w:rsidRPr="00237510">
        <w:rPr>
          <w:lang w:eastAsia="en-US"/>
        </w:rPr>
        <w:instrText xml:space="preserve"> ADDIN ZOTERO_ITEM CSL_CITATION {"citationID":"qynXz3F9","properties":{"formattedCitation":"(Hale et al. 2018)","plainCitation":"(Hale et al. 2018)","noteIndex":0},"citationItems":[{"id":4454,"uris":["http://zotero.org/users/2336876/items/M7AVLX9Q"],"uri":["http://zotero.org/users/2336876/items/M7AVLX9Q"],"itemData":{"id":4454,"type":"book","event-place":"Traralgon, Victoria","publisher":"West Gippsland CMA","publisher-place":"Traralgon, Victoria","title":"Dowd Morass Salinity Risk Assessment and Management Options","author":[{"family":"Hale","given":"J."},{"family":"Boon","given":"P."},{"family":"Jempson","given":"M."}],"issued":{"date-parts":[["2018"]]}}}],"schema":"https://github.com/citation-style-language/schema/raw/master/csl-citation.json"} </w:instrText>
      </w:r>
      <w:r w:rsidRPr="00237510">
        <w:rPr>
          <w:lang w:eastAsia="en-US"/>
        </w:rPr>
        <w:fldChar w:fldCharType="separate"/>
      </w:r>
      <w:r w:rsidRPr="00237510">
        <w:rPr>
          <w:lang w:eastAsia="en-US"/>
        </w:rPr>
        <w:t>(Hale et al. 2018)</w:t>
      </w:r>
      <w:r w:rsidRPr="00237510">
        <w:rPr>
          <w:lang w:eastAsia="en-US"/>
        </w:rPr>
        <w:fldChar w:fldCharType="end"/>
      </w:r>
      <w:r w:rsidRPr="00237510">
        <w:rPr>
          <w:lang w:eastAsia="en-US"/>
        </w:rPr>
        <w:t xml:space="preserve">.  There is predicted further increases in movement of saline water into both these wetlands under future climate conditions </w:t>
      </w:r>
      <w:r w:rsidRPr="00237510">
        <w:rPr>
          <w:lang w:eastAsia="en-US"/>
        </w:rPr>
        <w:fldChar w:fldCharType="begin"/>
      </w:r>
      <w:r w:rsidR="00A762BE" w:rsidRPr="00237510">
        <w:rPr>
          <w:lang w:eastAsia="en-US"/>
        </w:rPr>
        <w:instrText xml:space="preserve"> ADDIN ZOTERO_ITEM CSL_CITATION {"citationID":"Fq5tvhE8","properties":{"formattedCitation":"(Arrowsmith and Dermek 2014, Hale et al. 2018)","plainCitation":"(Arrowsmith and Dermek 2014, Hale et al. 2018)","noteIndex":0},"citationItems":[{"id":3896,"uris":["http://zotero.org/users/2336876/items/2RK3U2GK"],"uri":["http://zotero.org/users/2336876/items/2RK3U2GK"],"itemData":{"id":3896,"type":"book","event-place":"Notting Hill, Victoria","publisher":"Water Technology","publisher-place":"Notting Hill, Victoria","title":"Heart Morass and Dowd Morass Physical Characterisation","author":[{"family":"Arrowsmith","given":"C."},{"family":"Dermek","given":"R."}],"issued":{"date-parts":[["2014"]]}}},{"id":4454,"uris":["http://zotero.org/users/2336876/items/M7AVLX9Q"],"uri":["http://zotero.org/users/2336876/items/M7AVLX9Q"],"itemData":{"id":4454,"type":"book","event-place":"Traralgon, Victoria","publisher":"West Gippsland CMA","publisher-place":"Traralgon, Victoria","title":"Dowd Morass Salinity Risk Assessment and Management Options","author":[{"family":"Hale","given":"J."},{"family":"Boon","given":"P."},{"family":"Jempson","given":"M."}],"issued":{"date-parts":[["2018"]]}}}],"schema":"https://github.com/citation-style-language/schema/raw/master/csl-citation.json"} </w:instrText>
      </w:r>
      <w:r w:rsidRPr="00237510">
        <w:rPr>
          <w:lang w:eastAsia="en-US"/>
        </w:rPr>
        <w:fldChar w:fldCharType="separate"/>
      </w:r>
      <w:r w:rsidRPr="00237510">
        <w:rPr>
          <w:lang w:eastAsia="en-US"/>
        </w:rPr>
        <w:t>(Arrowsmith and Dermek 2014, Hale et al. 2018)</w:t>
      </w:r>
      <w:r w:rsidRPr="00237510">
        <w:rPr>
          <w:lang w:eastAsia="en-US"/>
        </w:rPr>
        <w:fldChar w:fldCharType="end"/>
      </w:r>
      <w:r w:rsidRPr="00237510">
        <w:rPr>
          <w:lang w:eastAsia="en-US"/>
        </w:rPr>
        <w:t>.</w:t>
      </w:r>
    </w:p>
    <w:p w14:paraId="5BB3CD9F" w14:textId="24FB9605" w:rsidR="00B51DE9" w:rsidRPr="00237510" w:rsidRDefault="00B51DE9" w:rsidP="008B39C3">
      <w:pPr>
        <w:pStyle w:val="Heading3"/>
        <w:ind w:left="709"/>
      </w:pPr>
      <w:bookmarkStart w:id="22" w:name="_Toc42001375"/>
      <w:r w:rsidRPr="00237510">
        <w:t>Lake Wellington</w:t>
      </w:r>
      <w:bookmarkEnd w:id="22"/>
    </w:p>
    <w:p w14:paraId="745B882D" w14:textId="5E34631A" w:rsidR="00B51DE9" w:rsidRPr="00237510" w:rsidRDefault="00B51DE9" w:rsidP="00B51DE9">
      <w:pPr>
        <w:rPr>
          <w:lang w:eastAsia="en-US"/>
        </w:rPr>
      </w:pPr>
      <w:r w:rsidRPr="00237510">
        <w:rPr>
          <w:lang w:eastAsia="en-US"/>
        </w:rPr>
        <w:t xml:space="preserve">The hydrodynamics of Lake Wellington are a complex interaction between inflowing freshwater from the Thomson and Latrobe Rivers (through the Latrobe Estuary) and marine origin water through McLennan Strait </w:t>
      </w:r>
      <w:r w:rsidRPr="00237510">
        <w:rPr>
          <w:lang w:eastAsia="en-US"/>
        </w:rPr>
        <w:fldChar w:fldCharType="begin"/>
      </w:r>
      <w:r w:rsidR="000571BF" w:rsidRPr="00237510">
        <w:rPr>
          <w:lang w:eastAsia="en-US"/>
        </w:rPr>
        <w:instrText xml:space="preserve"> ADDIN ZOTERO_ITEM CSL_CITATION {"citationID":"TLWkekxW","properties":{"formattedCitation":"(Brizga et al. 2013)","plainCitation":"(Brizga et al. 2013)","noteIndex":0},"citationItems":[{"id":4374,"uris":["http://zotero.org/users/2336876/items/CUYZQV8Y"],"uri":["http://zotero.org/users/2336876/items/CUYZQV8Y"],"itemData":{"id":4374,"type":"book","publisher":"Water Technology Pty Ltd","title":"Latrobe Estuary: Environmental Water Requirements Report","author":[{"family":"Brizga","given":"S."},{"family":"Arrowsmith","given":"C."},{"family":"Tilleard","given":"J."},{"family":"Boon","given":"P."},{"family":"McMahon","given":"A."},{"family":"O'Connor","given":"N."},{"family":"Pope","given":"A."}],"issued":{"date-parts":[["2013"]]}}}],"schema":"https://github.com/citation-style-language/schema/raw/master/csl-citation.json"} </w:instrText>
      </w:r>
      <w:r w:rsidRPr="00237510">
        <w:rPr>
          <w:lang w:eastAsia="en-US"/>
        </w:rPr>
        <w:fldChar w:fldCharType="separate"/>
      </w:r>
      <w:r w:rsidR="000571BF" w:rsidRPr="00237510">
        <w:rPr>
          <w:lang w:eastAsia="en-US"/>
        </w:rPr>
        <w:t>(Brizga et al. 2013)</w:t>
      </w:r>
      <w:r w:rsidRPr="00237510">
        <w:rPr>
          <w:lang w:eastAsia="en-US"/>
        </w:rPr>
        <w:fldChar w:fldCharType="end"/>
      </w:r>
      <w:r w:rsidRPr="00237510">
        <w:rPr>
          <w:lang w:eastAsia="en-US"/>
        </w:rPr>
        <w:t xml:space="preserve">. The lake level is affected on a day to day basis primarily by marine conditions and inflows of saline water from the eastern lagoons of the Gippsland Lakes, and over episodic time periods by floodwaters coming down the Latrobe River. In relation to marine conditions tides have a minor influence but </w:t>
      </w:r>
      <w:r w:rsidR="009B20DE" w:rsidRPr="00237510">
        <w:rPr>
          <w:lang w:eastAsia="en-US"/>
        </w:rPr>
        <w:t xml:space="preserve">with </w:t>
      </w:r>
      <w:r w:rsidRPr="00237510">
        <w:rPr>
          <w:lang w:eastAsia="en-US"/>
        </w:rPr>
        <w:t xml:space="preserve">the dominant forces atmospheric pressure variations (e.g. storm surge in Bass Strait associated with low pressure systems) and wind (which includes wave effects in Lake Wellington). The effect of storm surge </w:t>
      </w:r>
      <w:r w:rsidR="00B55CC3" w:rsidRPr="00237510">
        <w:rPr>
          <w:lang w:eastAsia="en-US"/>
        </w:rPr>
        <w:t>and</w:t>
      </w:r>
      <w:r w:rsidRPr="00237510">
        <w:rPr>
          <w:lang w:eastAsia="en-US"/>
        </w:rPr>
        <w:t xml:space="preserve"> atmospheric pressure on water levels in Lake Wellington is illustrated in </w:t>
      </w:r>
      <w:r w:rsidRPr="00237510">
        <w:rPr>
          <w:lang w:eastAsia="en-US"/>
        </w:rPr>
        <w:fldChar w:fldCharType="begin"/>
      </w:r>
      <w:r w:rsidRPr="00237510">
        <w:rPr>
          <w:lang w:eastAsia="en-US"/>
        </w:rPr>
        <w:instrText xml:space="preserve"> REF _Ref510705624 \h  \* MERGEFORMAT </w:instrText>
      </w:r>
      <w:r w:rsidRPr="00237510">
        <w:rPr>
          <w:lang w:eastAsia="en-US"/>
        </w:rPr>
      </w:r>
      <w:r w:rsidRPr="00237510">
        <w:rPr>
          <w:lang w:eastAsia="en-US"/>
        </w:rPr>
        <w:fldChar w:fldCharType="separate"/>
      </w:r>
      <w:r w:rsidR="008C72C8" w:rsidRPr="00237510">
        <w:rPr>
          <w:lang w:eastAsia="en-US"/>
        </w:rPr>
        <w:t>Figure 10</w:t>
      </w:r>
      <w:r w:rsidRPr="00237510">
        <w:rPr>
          <w:lang w:eastAsia="en-US"/>
        </w:rPr>
        <w:fldChar w:fldCharType="end"/>
      </w:r>
      <w:r w:rsidRPr="00237510">
        <w:rPr>
          <w:lang w:eastAsia="en-US"/>
        </w:rPr>
        <w:t>, with the water level in the lake closely mimicking that in Bass Strait. Under moderate to high river flow conditions, freshwater enters the Lake and exerts hydrodynamic pressure on the connection through McLennan Strait, limiting intrusion of marine origin waters and raising water levels with freshwater. Under low flow conditions, increased water flows through McLennan Strait into Lake Wellington (Tilleard et al. 2009).</w:t>
      </w:r>
    </w:p>
    <w:p w14:paraId="768410BE" w14:textId="77777777" w:rsidR="00B51DE9" w:rsidRPr="00237510" w:rsidRDefault="00B51DE9" w:rsidP="00B51DE9">
      <w:pPr>
        <w:rPr>
          <w:lang w:eastAsia="en-US"/>
        </w:rPr>
      </w:pPr>
      <w:r>
        <w:rPr>
          <w:noProof/>
        </w:rPr>
        <w:drawing>
          <wp:inline distT="0" distB="0" distL="0" distR="0" wp14:anchorId="075AD939" wp14:editId="4A21B507">
            <wp:extent cx="5849618" cy="2830195"/>
            <wp:effectExtent l="0" t="0" r="5080" b="1905"/>
            <wp:docPr id="2" name="Picture 2" descr="A set of four line graphs from different data sources showing water levels in Lake Well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35" cstate="email">
                      <a:extLst>
                        <a:ext uri="{28A0092B-C50C-407E-A947-70E740481C1C}">
                          <a14:useLocalDpi xmlns:a14="http://schemas.microsoft.com/office/drawing/2010/main"/>
                        </a:ext>
                      </a:extLst>
                    </a:blip>
                    <a:stretch>
                      <a:fillRect/>
                    </a:stretch>
                  </pic:blipFill>
                  <pic:spPr>
                    <a:xfrm>
                      <a:off x="0" y="0"/>
                      <a:ext cx="5849618" cy="2830195"/>
                    </a:xfrm>
                    <a:prstGeom prst="rect">
                      <a:avLst/>
                    </a:prstGeom>
                  </pic:spPr>
                </pic:pic>
              </a:graphicData>
            </a:graphic>
          </wp:inline>
        </w:drawing>
      </w:r>
    </w:p>
    <w:p w14:paraId="43834687" w14:textId="63E08C25" w:rsidR="00B51DE9" w:rsidRPr="00237510" w:rsidRDefault="00B51DE9" w:rsidP="00B51DE9">
      <w:pPr>
        <w:pStyle w:val="Caption"/>
      </w:pPr>
      <w:bookmarkStart w:id="23" w:name="_Ref510705624"/>
      <w:r w:rsidRPr="00237510">
        <w:t xml:space="preserve">Figure </w:t>
      </w:r>
      <w:r>
        <w:fldChar w:fldCharType="begin"/>
      </w:r>
      <w:r>
        <w:instrText>SEQ Figure \* ARABIC</w:instrText>
      </w:r>
      <w:r>
        <w:fldChar w:fldCharType="separate"/>
      </w:r>
      <w:r w:rsidR="00DE4513">
        <w:rPr>
          <w:noProof/>
        </w:rPr>
        <w:t>10</w:t>
      </w:r>
      <w:r>
        <w:fldChar w:fldCharType="end"/>
      </w:r>
      <w:bookmarkEnd w:id="23"/>
      <w:r w:rsidRPr="00237510">
        <w:t>: Lake Wellington water levels, August 2010 to February 2011 (Brizga et al. 2013).</w:t>
      </w:r>
    </w:p>
    <w:p w14:paraId="2FC1AD13" w14:textId="77777777" w:rsidR="009B20DE" w:rsidRPr="00237510" w:rsidRDefault="009B20DE" w:rsidP="00B51DE9">
      <w:pPr>
        <w:rPr>
          <w:lang w:eastAsia="en-US"/>
        </w:rPr>
      </w:pPr>
    </w:p>
    <w:p w14:paraId="1E358C7A" w14:textId="4FB963B4" w:rsidR="00B51DE9" w:rsidRPr="00237510" w:rsidRDefault="00747B1D" w:rsidP="00B51DE9">
      <w:pPr>
        <w:rPr>
          <w:lang w:eastAsia="en-US"/>
        </w:rPr>
      </w:pPr>
      <w:r w:rsidRPr="5DF9B386">
        <w:rPr>
          <w:lang w:eastAsia="en-US"/>
        </w:rPr>
        <w:t>There has been a marked decline in freshwater inflows to Lake Wellington since the commissioning of the Thomson Dam (on the Thomson River, which joins the Latrobe River near Sale</w:t>
      </w:r>
      <w:r w:rsidR="6994DF23" w:rsidRPr="5DF9B386">
        <w:rPr>
          <w:lang w:eastAsia="en-US"/>
        </w:rPr>
        <w:t>)</w:t>
      </w:r>
      <w:r w:rsidR="009B20DE" w:rsidRPr="5DF9B386">
        <w:rPr>
          <w:lang w:eastAsia="en-US"/>
        </w:rPr>
        <w:t xml:space="preserve"> </w:t>
      </w:r>
      <w:r w:rsidRPr="5DF9B386">
        <w:rPr>
          <w:lang w:eastAsia="en-US"/>
        </w:rPr>
        <w:t xml:space="preserve">and Blue Rock Reservoir </w:t>
      </w:r>
      <w:r w:rsidR="54A325A6" w:rsidRPr="5DF9B386">
        <w:rPr>
          <w:lang w:eastAsia="en-US"/>
        </w:rPr>
        <w:t xml:space="preserve">(on the Tanjil River) </w:t>
      </w:r>
      <w:r w:rsidRPr="5DF9B386">
        <w:rPr>
          <w:lang w:eastAsia="en-US"/>
        </w:rPr>
        <w:t>in the mid 1980s. This, coupled with rising sea levels, has led to an increase</w:t>
      </w:r>
      <w:r w:rsidR="009B20DE" w:rsidRPr="5DF9B386">
        <w:rPr>
          <w:lang w:eastAsia="en-US"/>
        </w:rPr>
        <w:t>d</w:t>
      </w:r>
      <w:r w:rsidRPr="5DF9B386">
        <w:rPr>
          <w:lang w:eastAsia="en-US"/>
        </w:rPr>
        <w:t xml:space="preserve"> movement of marine water into Lake Wellington (Boon et al. 2016; DELWP unpublished). This has major consequences for lake water salinity and thus for the environmental values of Lake Wellington and its fringing wetlands (see section 2.4)</w:t>
      </w:r>
      <w:r w:rsidR="00B51DE9" w:rsidRPr="5DF9B386">
        <w:rPr>
          <w:lang w:eastAsia="en-US"/>
        </w:rPr>
        <w:t>.</w:t>
      </w:r>
    </w:p>
    <w:p w14:paraId="5B6C6A7D" w14:textId="69DFDA8D" w:rsidR="00FD2C08" w:rsidRPr="00237510" w:rsidRDefault="00FD2C08" w:rsidP="00FD2C08">
      <w:pPr>
        <w:pStyle w:val="Heading2"/>
      </w:pPr>
      <w:bookmarkStart w:id="24" w:name="_Toc42001376"/>
      <w:r w:rsidRPr="00237510">
        <w:t>Geomorphology</w:t>
      </w:r>
      <w:bookmarkEnd w:id="24"/>
    </w:p>
    <w:p w14:paraId="62B71089" w14:textId="0ED295B7" w:rsidR="00B51DE9" w:rsidRPr="00237510" w:rsidRDefault="00FD2C08" w:rsidP="00FD2C08">
      <w:pPr>
        <w:rPr>
          <w:lang w:eastAsia="en-US"/>
        </w:rPr>
      </w:pPr>
      <w:r w:rsidRPr="00237510">
        <w:rPr>
          <w:lang w:eastAsia="en-US"/>
        </w:rPr>
        <w:t xml:space="preserve">Geomorphology is the study of landforms and processes that influence landforms. With </w:t>
      </w:r>
      <w:r w:rsidR="00A762BE" w:rsidRPr="00237510">
        <w:rPr>
          <w:lang w:eastAsia="en-US"/>
        </w:rPr>
        <w:t>respect</w:t>
      </w:r>
      <w:r w:rsidRPr="00237510">
        <w:rPr>
          <w:lang w:eastAsia="en-US"/>
        </w:rPr>
        <w:t xml:space="preserve"> to aquatic ecosystems</w:t>
      </w:r>
      <w:r w:rsidR="00B55CC3" w:rsidRPr="00237510">
        <w:rPr>
          <w:lang w:eastAsia="en-US"/>
        </w:rPr>
        <w:t>,</w:t>
      </w:r>
      <w:r w:rsidRPr="00237510">
        <w:rPr>
          <w:lang w:eastAsia="en-US"/>
        </w:rPr>
        <w:t xml:space="preserve"> fluvial geomorphology describes the </w:t>
      </w:r>
      <w:r w:rsidR="00A762BE" w:rsidRPr="00237510">
        <w:rPr>
          <w:lang w:eastAsia="en-US"/>
        </w:rPr>
        <w:t xml:space="preserve">size, shape and physical characteristics of rivers, lakes and wetlands. Geomorphology is a driver of wetland and river ecology and is important in determining habitat availability and diversity </w:t>
      </w:r>
      <w:r w:rsidR="00A762BE" w:rsidRPr="00237510">
        <w:rPr>
          <w:lang w:eastAsia="en-US"/>
        </w:rPr>
        <w:fldChar w:fldCharType="begin"/>
      </w:r>
      <w:r w:rsidR="00A762BE" w:rsidRPr="00237510">
        <w:rPr>
          <w:lang w:eastAsia="en-US"/>
        </w:rPr>
        <w:instrText xml:space="preserve"> ADDIN ZOTERO_ITEM CSL_CITATION {"citationID":"5BDpdNAN","properties":{"formattedCitation":"(Mitsch and Gosselink 2007)","plainCitation":"(Mitsch and Gosselink 2007)","noteIndex":0},"citationItems":[{"id":1344,"uris":["http://zotero.org/users/2336876/items/QPMV3CUS"],"uri":["http://zotero.org/users/2336876/items/QPMV3CUS"],"itemData":{"id":1344,"type":"book","abstract":"Praise for the previous editions of Wetlands\"Wetlands, the field of study, would not be what it is without Wetlands, the book.\"——Bill Streever, Wetlands, 2001\"The Third Edition of this highly successful book manages to set new standards in presentation and content to confirm its place as the first point of reference for those working or studying wetlands.\"——Chris Bradley, University of Birmingham, UK, Regulated Rivers: Research and Management\"This book is the wetlands bible...the most wide-ranging [book] on the subject.\"——Carl Folke, Royal Swedish Academy of Sciences, Land Use Policy\"The single best combination text and reference book on wetland ecology.\"——Joseph S. Larson, University of Massachusetts, Journal of Environmental Quality\"First on my list of references to recommend to someone new to wetland policy management or science.\"——Jay A. Leitch, North Dakota State University, Water Resources BulletinFor more than two decades, William Mitsch and James Gosselink's Wetlands has been the premier reference on wetlands for ecologists, land use planners, and water resource managers worldwide—a comprehensive compendium of the state of knowledge in wetland science, management, and restoration.Now Mitsch and Gosselink bring their classic book up to date with substantial new information and a streamlined text supplemented with a support Web site. This new Fourth Edition maintains the authoritative quality of its predecessors while offering such revisions as: Refocused coverage on the three main parts of the book: 1. An introduction to the extent, definitions, and general features of wetlands of the world; 2. Wetland science; and 3. Wetland management. New chapter on climate change and wetlands that introduces the student to the roles that wetlands have in climate change and impact that climate change has on wetlands. Increased international coverage, including wetlands of Mexico and Central America, the Congolian Swamp and Sine Saloum Delta of Africa, the Western Siberian Lowlands, the Mesopotamian Marshland restoration in Iraq, and the wetland parks of Asia such as Xixi National Wetland Park in eastern China and Gandau Nature Park in Taipei, Taiwan. This expanded coverage is illustrated with over 50 wetland photographs from around the world. Several hundred new refer?ences for further reading, up-to-date data, and the latest research findings. Over 35 new info boxes and sidebars provide essential background information to concepts being presented and case studies of wetland restoration and treatment in practice.","ISBN":"978-0-471-69967-5","language":"en","number-of-pages":"602","publisher":"John Wiley &amp; Sons","source":"Google Books","title":"Wetlands","author":[{"family":"Mitsch","given":"William J."},{"family":"Gosselink","given":"James G."}],"issued":{"date-parts":[["2007",8,24]]}}}],"schema":"https://github.com/citation-style-language/schema/raw/master/csl-citation.json"} </w:instrText>
      </w:r>
      <w:r w:rsidR="00A762BE" w:rsidRPr="00237510">
        <w:rPr>
          <w:lang w:eastAsia="en-US"/>
        </w:rPr>
        <w:fldChar w:fldCharType="separate"/>
      </w:r>
      <w:r w:rsidR="00A762BE" w:rsidRPr="00237510">
        <w:rPr>
          <w:lang w:eastAsia="en-US"/>
        </w:rPr>
        <w:t>(Mitsch and Gosselink 2007)</w:t>
      </w:r>
      <w:r w:rsidR="00A762BE" w:rsidRPr="00237510">
        <w:rPr>
          <w:lang w:eastAsia="en-US"/>
        </w:rPr>
        <w:fldChar w:fldCharType="end"/>
      </w:r>
      <w:r w:rsidR="00A762BE" w:rsidRPr="00237510">
        <w:rPr>
          <w:lang w:eastAsia="en-US"/>
        </w:rPr>
        <w:t>.</w:t>
      </w:r>
    </w:p>
    <w:p w14:paraId="71CE93F3" w14:textId="1276FAF0" w:rsidR="00A762BE" w:rsidRPr="00237510" w:rsidRDefault="00747B1D" w:rsidP="00FD2C08">
      <w:pPr>
        <w:rPr>
          <w:lang w:eastAsia="en-US"/>
        </w:rPr>
      </w:pPr>
      <w:r w:rsidRPr="00237510">
        <w:rPr>
          <w:lang w:eastAsia="en-US"/>
        </w:rPr>
        <w:t xml:space="preserve">The Latrobe River is a large alluvial river with channel substrate grading from silt-clay (downstream of Lake Narracan) to sands and gravels (Alluvium 2020). Sandy deposits are evident in the upper sections </w:t>
      </w:r>
      <w:r w:rsidR="009B20DE" w:rsidRPr="00237510">
        <w:rPr>
          <w:lang w:eastAsia="en-US"/>
        </w:rPr>
        <w:t>near Lake Narracan</w:t>
      </w:r>
      <w:r w:rsidRPr="00237510">
        <w:rPr>
          <w:lang w:eastAsia="en-US"/>
        </w:rPr>
        <w:t>. The river has been highly modified, with an estimated 77 meander cut-offs in the mid to lower reaches between Yallourn and Lake Wellington, over 80% of which were since 1924 (Alluvium 2020). This has reduced channel length by up to 25%</w:t>
      </w:r>
      <w:r w:rsidR="009B20DE" w:rsidRPr="00237510">
        <w:rPr>
          <w:lang w:eastAsia="en-US"/>
        </w:rPr>
        <w:t xml:space="preserve"> </w:t>
      </w:r>
      <w:r w:rsidR="009B20DE" w:rsidRPr="00237510">
        <w:rPr>
          <w:lang w:eastAsia="en-US"/>
        </w:rPr>
        <w:fldChar w:fldCharType="begin"/>
      </w:r>
      <w:r w:rsidR="009B20DE" w:rsidRPr="00237510">
        <w:rPr>
          <w:lang w:eastAsia="en-US"/>
        </w:rPr>
        <w:instrText xml:space="preserve"> ADDIN ZOTERO_ITEM CSL_CITATION {"citationID":"5UKoSfuD","properties":{"formattedCitation":"(Reinfelds et al. 1995)","plainCitation":"(Reinfelds et al. 1995)","noteIndex":0},"citationItems":[{"id":3315,"uris":["http://zotero.org/users/2336876/items/STVD73XW"],"uri":["http://zotero.org/users/2336876/items/STVD73XW"],"itemData":{"id":3315,"type":"article-journal","container-title":"Australian Geographical Studies","issue":"1","page":"60–76","source":"Google Scholar","title":"History and effects of channelisation on the Latrobe River, Victoria","volume":"33","author":[{"family":"Reinfelds","given":"Ivars"},{"family":"Rutherfurd","given":"I."},{"family":"Bishop","given":"P."}],"issued":{"date-parts":[["1995"]]}}}],"schema":"https://github.com/citation-style-language/schema/raw/master/csl-citation.json"} </w:instrText>
      </w:r>
      <w:r w:rsidR="009B20DE" w:rsidRPr="00237510">
        <w:rPr>
          <w:lang w:eastAsia="en-US"/>
        </w:rPr>
        <w:fldChar w:fldCharType="separate"/>
      </w:r>
      <w:r w:rsidR="009B20DE" w:rsidRPr="00237510">
        <w:rPr>
          <w:lang w:eastAsia="en-US"/>
        </w:rPr>
        <w:t>(Reinfelds et al. 1995)</w:t>
      </w:r>
      <w:r w:rsidR="009B20DE" w:rsidRPr="00237510">
        <w:rPr>
          <w:lang w:eastAsia="en-US"/>
        </w:rPr>
        <w:fldChar w:fldCharType="end"/>
      </w:r>
      <w:r w:rsidRPr="00237510">
        <w:rPr>
          <w:lang w:eastAsia="en-US"/>
        </w:rPr>
        <w:t xml:space="preserve">, and subsequently will have increased slope and stream energy. It has also undergone major ‘desnagging’ or wood removal since the 1930s, resulting in up to 2 m of bed lowering </w:t>
      </w:r>
      <w:r w:rsidR="000571BF" w:rsidRPr="00237510">
        <w:rPr>
          <w:lang w:eastAsia="en-US"/>
        </w:rPr>
        <w:fldChar w:fldCharType="begin"/>
      </w:r>
      <w:r w:rsidR="000571BF" w:rsidRPr="00237510">
        <w:rPr>
          <w:lang w:eastAsia="en-US"/>
        </w:rPr>
        <w:instrText xml:space="preserve"> ADDIN ZOTERO_ITEM CSL_CITATION {"citationID":"mdwUYE4O","properties":{"formattedCitation":"(Reinfelds et al. 1995)","plainCitation":"(Reinfelds et al. 1995)","noteIndex":0},"citationItems":[{"id":3315,"uris":["http://zotero.org/users/2336876/items/STVD73XW"],"uri":["http://zotero.org/users/2336876/items/STVD73XW"],"itemData":{"id":3315,"type":"article-journal","container-title":"Australian Geographical Studies","issue":"1","page":"60–76","source":"Google Scholar","title":"History and effects of channelisation on the Latrobe River, Victoria","volume":"33","author":[{"family":"Reinfelds","given":"Ivars"},{"family":"Rutherfurd","given":"I."},{"family":"Bishop","given":"P."}],"issued":{"date-parts":[["1995"]]}}}],"schema":"https://github.com/citation-style-language/schema/raw/master/csl-citation.json"} </w:instrText>
      </w:r>
      <w:r w:rsidR="000571BF" w:rsidRPr="00237510">
        <w:rPr>
          <w:lang w:eastAsia="en-US"/>
        </w:rPr>
        <w:fldChar w:fldCharType="separate"/>
      </w:r>
      <w:r w:rsidR="000571BF" w:rsidRPr="00237510">
        <w:rPr>
          <w:lang w:eastAsia="en-US"/>
        </w:rPr>
        <w:t>(Reinfelds et al. 1995)</w:t>
      </w:r>
      <w:r w:rsidR="000571BF" w:rsidRPr="00237510">
        <w:rPr>
          <w:lang w:eastAsia="en-US"/>
        </w:rPr>
        <w:fldChar w:fldCharType="end"/>
      </w:r>
      <w:r w:rsidRPr="00237510">
        <w:rPr>
          <w:lang w:eastAsia="en-US"/>
        </w:rPr>
        <w:t xml:space="preserve">. The channel is said to have undergone channel incision (deepening and widening) with subsequent reductions in overbank flows, and loss of channel complexity, e.g. in-channel benches (Alluvium 2009). </w:t>
      </w:r>
      <w:r w:rsidR="000571BF" w:rsidRPr="00237510">
        <w:rPr>
          <w:lang w:eastAsia="en-US"/>
        </w:rPr>
        <w:t>This has</w:t>
      </w:r>
      <w:r w:rsidRPr="00237510">
        <w:rPr>
          <w:lang w:eastAsia="en-US"/>
        </w:rPr>
        <w:t xml:space="preserve"> </w:t>
      </w:r>
      <w:r w:rsidR="000571BF" w:rsidRPr="00237510">
        <w:rPr>
          <w:lang w:eastAsia="en-US"/>
        </w:rPr>
        <w:t xml:space="preserve">also </w:t>
      </w:r>
      <w:r w:rsidRPr="00237510">
        <w:rPr>
          <w:lang w:eastAsia="en-US"/>
        </w:rPr>
        <w:t>increased sediment loads</w:t>
      </w:r>
      <w:r w:rsidR="00A762BE" w:rsidRPr="00237510">
        <w:rPr>
          <w:lang w:eastAsia="en-US"/>
        </w:rPr>
        <w:t>.</w:t>
      </w:r>
    </w:p>
    <w:p w14:paraId="3584EA75" w14:textId="77777777" w:rsidR="00747B1D" w:rsidRPr="00237510" w:rsidRDefault="00747B1D" w:rsidP="00747B1D">
      <w:pPr>
        <w:rPr>
          <w:lang w:eastAsia="en-US"/>
        </w:rPr>
      </w:pPr>
      <w:r w:rsidRPr="00237510">
        <w:rPr>
          <w:lang w:eastAsia="en-US"/>
        </w:rPr>
        <w:t>The physical condition of the tributaries is highly dependent on catchment context, both in terms of land use and flow regime. The geomorphology of each of the tributaries was summarised by Earth Tech (2007) as follows:</w:t>
      </w:r>
    </w:p>
    <w:p w14:paraId="47234BD7" w14:textId="77777777" w:rsidR="00747B1D" w:rsidRPr="00237510" w:rsidRDefault="00747B1D" w:rsidP="00747B1D">
      <w:pPr>
        <w:pStyle w:val="ListParagraph"/>
        <w:numPr>
          <w:ilvl w:val="0"/>
          <w:numId w:val="9"/>
        </w:numPr>
        <w:rPr>
          <w:lang w:eastAsia="en-US"/>
        </w:rPr>
      </w:pPr>
      <w:r w:rsidRPr="00237510">
        <w:rPr>
          <w:lang w:eastAsia="en-US"/>
        </w:rPr>
        <w:t>The Tanjil River, downstream of Blue Rock, flows through a short, confined reach before emerging onto a broader floodplain. There has been widespread clearing of vegetation leading to erosion.</w:t>
      </w:r>
    </w:p>
    <w:p w14:paraId="30215FEE" w14:textId="77777777" w:rsidR="00747B1D" w:rsidRPr="00237510" w:rsidRDefault="00747B1D" w:rsidP="00747B1D">
      <w:pPr>
        <w:pStyle w:val="ListParagraph"/>
        <w:numPr>
          <w:ilvl w:val="0"/>
          <w:numId w:val="9"/>
        </w:numPr>
        <w:rPr>
          <w:lang w:eastAsia="en-US"/>
        </w:rPr>
      </w:pPr>
      <w:r w:rsidRPr="00237510">
        <w:rPr>
          <w:lang w:eastAsia="en-US"/>
        </w:rPr>
        <w:t>The Tyers River downstream of Moondarra Reservoir flows through steep, inaccessible terrain and is in excellent condition with intact pool-riffle morphology.</w:t>
      </w:r>
    </w:p>
    <w:p w14:paraId="0B6A0BB9" w14:textId="77777777" w:rsidR="00747B1D" w:rsidRPr="00237510" w:rsidRDefault="00747B1D" w:rsidP="00747B1D">
      <w:pPr>
        <w:pStyle w:val="ListParagraph"/>
        <w:numPr>
          <w:ilvl w:val="0"/>
          <w:numId w:val="9"/>
        </w:numPr>
        <w:rPr>
          <w:lang w:eastAsia="en-US"/>
        </w:rPr>
      </w:pPr>
      <w:r w:rsidRPr="00237510">
        <w:rPr>
          <w:lang w:eastAsia="en-US"/>
        </w:rPr>
        <w:t xml:space="preserve">The geomorphology of the Morwell River is highly modified as it has been diverted on numerous occasions to allow for coal mining expansions. </w:t>
      </w:r>
    </w:p>
    <w:p w14:paraId="2AC1433A" w14:textId="1B8646DD" w:rsidR="00A762BE" w:rsidRPr="00237510" w:rsidRDefault="00747B1D" w:rsidP="00747B1D">
      <w:pPr>
        <w:pStyle w:val="ListParagraph"/>
        <w:numPr>
          <w:ilvl w:val="0"/>
          <w:numId w:val="9"/>
        </w:numPr>
        <w:rPr>
          <w:lang w:eastAsia="en-US"/>
        </w:rPr>
      </w:pPr>
      <w:r w:rsidRPr="00237510">
        <w:rPr>
          <w:lang w:eastAsia="en-US"/>
        </w:rPr>
        <w:t>Traralgon Creek has both meander and straight sections with several artificial rock riffles</w:t>
      </w:r>
      <w:r w:rsidR="00A762BE" w:rsidRPr="00237510">
        <w:rPr>
          <w:lang w:eastAsia="en-US"/>
        </w:rPr>
        <w:t>.</w:t>
      </w:r>
    </w:p>
    <w:p w14:paraId="257EE5AD" w14:textId="70988820" w:rsidR="00A762BE" w:rsidRPr="00237510" w:rsidRDefault="00A762BE" w:rsidP="00FD2C08">
      <w:pPr>
        <w:rPr>
          <w:lang w:eastAsia="en-US"/>
        </w:rPr>
      </w:pPr>
      <w:r w:rsidRPr="00237510">
        <w:rPr>
          <w:lang w:eastAsia="en-US"/>
        </w:rPr>
        <w:t xml:space="preserve">The Latrobe Estuary is characterised by a levee-back swamp configuration, with the Latrobe River perched between natural levees above Heart and Dowd Morasses. The river channel is wide and deep with a silty substratum, though sands are also likely. There is more extensive bank erosion along northern bank of the river, which is associated with differences in historical land use, particularly the impact of grazing and fire on reed beds. Phragmites plays a significant role in bank stability in this part of the estuary. Bank erosion occurs as a result of wind induced wave action and boat wake under low flow conditions, as well as by scour by flow currents during river floods </w:t>
      </w:r>
      <w:r w:rsidRPr="00237510">
        <w:rPr>
          <w:lang w:eastAsia="en-US"/>
        </w:rPr>
        <w:fldChar w:fldCharType="begin"/>
      </w:r>
      <w:r w:rsidR="00FF3887" w:rsidRPr="00237510">
        <w:rPr>
          <w:lang w:eastAsia="en-US"/>
        </w:rPr>
        <w:instrText xml:space="preserve"> ADDIN ZOTERO_ITEM CSL_CITATION {"citationID":"R8cVTacU","properties":{"formattedCitation":"(Boon et al. 2015, 2018)","plainCitation":"(Boon et al. 2015, 2018)","noteIndex":0},"citationItems":[{"id":2659,"uris":["http://zotero.org/users/2336876/items/TVJESEEQ"],"uri":["http://zotero.org/users/2336876/items/TVJESEEQ"],"itemData":{"id":2659,"type":"book","event-place":"Melbourne, Australia","publisher":"Institute for Sustainability &amp; Innovation Victoria University","publisher-place":"Melbourne, Australia","title":"Shoreline Geomorphology and Fringing Vegetation of the Gippsland Lakes","author":[{"family":"Boon","given":"P. J."},{"family":"Rosengren","given":"N. J"},{"family":"Frood","given":"D."},{"family":"Oates","given":"A."},{"family":"Reside","given":"J."}],"issued":{"date-parts":[["2015"]]}}},{"id":4402,"uris":["http://zotero.org/users/2336876/items/HQD95GTR"],"uri":["http://zotero.org/users/2336876/items/HQD95GTR"],"itemData":{"id":4402,"type":"article-journal","abstract":"Common reed Phragmites australis is the dominant vascular plant species of the shorelines of the Gippsland Lakes, south-eastern Australia. Although substantial declines have been reported for over 50 years, with increasing salinity posited as the cause, P. australis still occurs around the Gippsland Lakes, including in environments with near-oceanic salinities. The occurrence of P. australis in highly saline environments cannot be explained in terms of either seasonal variations in surface water salinity or a freshwater subsidy provided by intrusions of non-saline groundwater into the root zone. An experimental growth trial with plants of different provenance showed that P. australis grew vigorously even at 8–16PSU (with maximum aboveground biomass at 2–4PSU). There was some evidence that specimens from saltier sites were more salt tolerant than those from fresher sites. The selection of salt-tolerant strains is the most likely explanation for the occurrence of P. australis in saline sites. However, anthropogenic salinisation is unlikely to be the only factor involved in the historical loss of reed beds, and lower and more stable water levels following the permanent opening of the Gippsland Lakes to the ocean in 1889 are probably also contributing factors.","container-title":"Marine and Freshwater Research","DOI":"10.1071/MF18145","ISSN":"1448-6059","journalAbbreviation":"Mar. Freshwater Res.","language":"en","source":"www.publish.csiro.au","title":"Why has Phragmites australis persisted in the increasingly saline Gippsland Lakes? A test of three competing hypotheses","title-short":"Why has Phragmites australis persisted in the increasingly saline Gippsland Lakes?","URL":"http://www.publish.csiro.au/mf/MF18145","author":[{"family":"Boon","given":"Paul I."},{"family":"Frood","given":"Doug"},{"family":"Oates","given":"Alison"},{"family":"Reside","given":"Jim"},{"family":"Rosengren","given":"Neville"}],"accessed":{"date-parts":[["2019",1,9]]},"issued":{"date-parts":[["2018",11,9]]}}}],"schema":"https://github.com/citation-style-language/schema/raw/master/csl-citation.json"} </w:instrText>
      </w:r>
      <w:r w:rsidRPr="00237510">
        <w:rPr>
          <w:lang w:eastAsia="en-US"/>
        </w:rPr>
        <w:fldChar w:fldCharType="separate"/>
      </w:r>
      <w:r w:rsidRPr="00237510">
        <w:rPr>
          <w:lang w:eastAsia="en-US"/>
        </w:rPr>
        <w:t>(Boon et al. 2015, 2018)</w:t>
      </w:r>
      <w:r w:rsidRPr="00237510">
        <w:rPr>
          <w:lang w:eastAsia="en-US"/>
        </w:rPr>
        <w:fldChar w:fldCharType="end"/>
      </w:r>
      <w:r w:rsidRPr="00237510">
        <w:rPr>
          <w:lang w:eastAsia="en-US"/>
        </w:rPr>
        <w:t xml:space="preserve">. The channel in this reach has been modified by dredging, straightening and de-snagging (Water Tech 2013). </w:t>
      </w:r>
    </w:p>
    <w:p w14:paraId="12B03B62" w14:textId="43517648" w:rsidR="00A762BE" w:rsidRPr="00237510" w:rsidRDefault="00A762BE" w:rsidP="00A762BE">
      <w:pPr>
        <w:rPr>
          <w:lang w:eastAsia="en-US"/>
        </w:rPr>
      </w:pPr>
      <w:r w:rsidRPr="00237510">
        <w:rPr>
          <w:lang w:eastAsia="en-US"/>
        </w:rPr>
        <w:t>The Latrobe River silt jetties (prograding cuspate delta) that protrude 2</w:t>
      </w:r>
      <w:r w:rsidR="000571BF" w:rsidRPr="00237510">
        <w:rPr>
          <w:lang w:eastAsia="en-US"/>
        </w:rPr>
        <w:t xml:space="preserve"> </w:t>
      </w:r>
      <w:r w:rsidRPr="00237510">
        <w:rPr>
          <w:lang w:eastAsia="en-US"/>
        </w:rPr>
        <w:t>km into Lake Wellington are of State geomorphic significance</w:t>
      </w:r>
      <w:r w:rsidR="00A82D9D" w:rsidRPr="00237510">
        <w:rPr>
          <w:lang w:eastAsia="en-US"/>
        </w:rPr>
        <w:t xml:space="preserve"> (</w:t>
      </w:r>
      <w:r w:rsidR="00B55CC3" w:rsidRPr="00237510">
        <w:rPr>
          <w:lang w:eastAsia="en-US"/>
        </w:rPr>
        <w:fldChar w:fldCharType="begin"/>
      </w:r>
      <w:r w:rsidR="00B55CC3" w:rsidRPr="00237510">
        <w:rPr>
          <w:lang w:eastAsia="en-US"/>
        </w:rPr>
        <w:instrText xml:space="preserve"> REF _Ref536787685 \h </w:instrText>
      </w:r>
      <w:r w:rsidR="00B55CC3" w:rsidRPr="00237510">
        <w:rPr>
          <w:lang w:eastAsia="en-US"/>
        </w:rPr>
      </w:r>
      <w:r w:rsidR="00B55CC3" w:rsidRPr="00237510">
        <w:rPr>
          <w:lang w:eastAsia="en-US"/>
        </w:rPr>
        <w:fldChar w:fldCharType="separate"/>
      </w:r>
      <w:r w:rsidR="008C72C8" w:rsidRPr="00237510">
        <w:t>Figure 11</w:t>
      </w:r>
      <w:r w:rsidR="00B55CC3" w:rsidRPr="00237510">
        <w:rPr>
          <w:lang w:eastAsia="en-US"/>
        </w:rPr>
        <w:fldChar w:fldCharType="end"/>
      </w:r>
      <w:r w:rsidR="00A82D9D" w:rsidRPr="00237510">
        <w:rPr>
          <w:lang w:eastAsia="en-US"/>
        </w:rPr>
        <w:t>)</w:t>
      </w:r>
      <w:r w:rsidRPr="00237510">
        <w:rPr>
          <w:lang w:eastAsia="en-US"/>
        </w:rPr>
        <w:t>. These silt jetties are undergoing erosion and recession</w:t>
      </w:r>
      <w:r w:rsidR="00A82D9D" w:rsidRPr="00237510">
        <w:rPr>
          <w:lang w:eastAsia="en-US"/>
        </w:rPr>
        <w:t>. V</w:t>
      </w:r>
      <w:r w:rsidRPr="00237510">
        <w:rPr>
          <w:lang w:eastAsia="en-US"/>
        </w:rPr>
        <w:t>isual comparisons of aerial photographs indicate receding shorelines and narrowing of common reed (</w:t>
      </w:r>
      <w:r w:rsidRPr="00237510">
        <w:rPr>
          <w:i/>
          <w:lang w:eastAsia="en-US"/>
        </w:rPr>
        <w:t>Phragmites australis</w:t>
      </w:r>
      <w:r w:rsidRPr="00237510">
        <w:rPr>
          <w:lang w:eastAsia="en-US"/>
        </w:rPr>
        <w:t xml:space="preserve">) reed beds since the 1950s </w:t>
      </w:r>
      <w:r w:rsidRPr="00237510">
        <w:rPr>
          <w:lang w:eastAsia="en-US"/>
        </w:rPr>
        <w:fldChar w:fldCharType="begin"/>
      </w:r>
      <w:r w:rsidR="00FF3887" w:rsidRPr="00237510">
        <w:rPr>
          <w:lang w:eastAsia="en-US"/>
        </w:rPr>
        <w:instrText xml:space="preserve"> ADDIN ZOTERO_ITEM CSL_CITATION {"citationID":"vimjA1Dp","properties":{"formattedCitation":"(Sjerp et al. 2002, Boon et al. 2015)","plainCitation":"(Sjerp et al. 2002, Boon et al. 2015)","noteIndex":0},"citationItems":[{"id":2376,"uris":["http://zotero.org/users/2336876/items/547HI53R"],"uri":["http://zotero.org/users/2336876/items/547HI53R"],"itemData":{"id":2376,"type":"book","event-place":"Bairnsdale, Victoria","publisher":"Gippsland Coastal Board","publisher-place":"Bairnsdale, Victoria","title":"Gippsland Lakes Shore Erosion and Revegetation Strategy","author":[{"family":"Sjerp","given":"E."},{"family":"Riedel","given":"P."},{"family":"Martin","given":"B."},{"family":"Bird","given":"E."}],"issued":{"date-parts":[["2002"]]}}},{"id":2659,"uris":["http://zotero.org/users/2336876/items/TVJESEEQ"],"uri":["http://zotero.org/users/2336876/items/TVJESEEQ"],"itemData":{"id":2659,"type":"book","event-place":"Melbourne, Australia","publisher":"Institute for Sustainability &amp; Innovation Victoria University","publisher-place":"Melbourne, Australia","title":"Shoreline Geomorphology and Fringing Vegetation of the Gippsland Lakes","author":[{"family":"Boon","given":"P. J."},{"family":"Rosengren","given":"N. J"},{"family":"Frood","given":"D."},{"family":"Oates","given":"A."},{"family":"Reside","given":"J."}],"issued":{"date-parts":[["2015"]]}}}],"schema":"https://github.com/citation-style-language/schema/raw/master/csl-citation.json"} </w:instrText>
      </w:r>
      <w:r w:rsidRPr="00237510">
        <w:rPr>
          <w:lang w:eastAsia="en-US"/>
        </w:rPr>
        <w:fldChar w:fldCharType="separate"/>
      </w:r>
      <w:r w:rsidRPr="00237510">
        <w:rPr>
          <w:lang w:eastAsia="en-US"/>
        </w:rPr>
        <w:t>(Sjerp et al. 2002, Boon et al. 2015)</w:t>
      </w:r>
      <w:r w:rsidRPr="00237510">
        <w:rPr>
          <w:lang w:eastAsia="en-US"/>
        </w:rPr>
        <w:fldChar w:fldCharType="end"/>
      </w:r>
      <w:r w:rsidRPr="00237510">
        <w:rPr>
          <w:lang w:eastAsia="en-US"/>
        </w:rPr>
        <w:t xml:space="preserve">. The maintenance of silt jetties is highly dependent on the fringing reeds (primarily common reed) that trap river silt and decaying vegetation to a level that can be colonised by swampy tree species. Vegetation establishment is sensitive to salinity levels, that have been within tolerances in this section of Lake Wellington. Changes to salinity (such as from reduced inflows) have and will continue to negatively impact on the silt jetties, in addition to increasing erosion potential for shorelines </w:t>
      </w:r>
      <w:r w:rsidRPr="00237510">
        <w:rPr>
          <w:lang w:eastAsia="en-US"/>
        </w:rPr>
        <w:fldChar w:fldCharType="begin"/>
      </w:r>
      <w:r w:rsidR="00FF3887" w:rsidRPr="00237510">
        <w:rPr>
          <w:lang w:eastAsia="en-US"/>
        </w:rPr>
        <w:instrText xml:space="preserve"> ADDIN ZOTERO_ITEM CSL_CITATION {"citationID":"IuugnxiK","properties":{"formattedCitation":"(Vietz et al. 2003)","plainCitation":"(Vietz et al. 2003)","noteIndex":0},"citationItems":[{"id":4452,"uris":["http://zotero.org/users/2336876/items/9ZH2DZJP"],"uri":["http://zotero.org/users/2336876/items/9ZH2DZJP"],"itemData":{"id":4452,"type":"book","event-place":"Melbourne, Australia","publisher":"Earth Tech","publisher-place":"Melbourne, Australia","title":"Thomson River Environmental Flow Requirements and Options to Manage Flow Stress","author":[{"family":"Vietz","given":"G."},{"family":"Doeg","given":"T."},{"family":"Finlayson","given":"B."},{"family":"Hall","given":"D."},{"family":"Frankenberg","given":"J."},{"family":"Stewardson","given":"M."}],"issued":{"date-parts":[["2003"]]}}}],"schema":"https://github.com/citation-style-language/schema/raw/master/csl-citation.json"} </w:instrText>
      </w:r>
      <w:r w:rsidRPr="00237510">
        <w:rPr>
          <w:lang w:eastAsia="en-US"/>
        </w:rPr>
        <w:fldChar w:fldCharType="separate"/>
      </w:r>
      <w:r w:rsidRPr="00237510">
        <w:rPr>
          <w:lang w:eastAsia="en-US"/>
        </w:rPr>
        <w:t>(Vietz et al. 2003)</w:t>
      </w:r>
      <w:r w:rsidRPr="00237510">
        <w:rPr>
          <w:lang w:eastAsia="en-US"/>
        </w:rPr>
        <w:fldChar w:fldCharType="end"/>
      </w:r>
      <w:r w:rsidRPr="00237510">
        <w:rPr>
          <w:lang w:eastAsia="en-US"/>
        </w:rPr>
        <w:t xml:space="preserve">. </w:t>
      </w:r>
    </w:p>
    <w:p w14:paraId="4ED89246" w14:textId="0C924600" w:rsidR="00747B1D" w:rsidRPr="00237510" w:rsidRDefault="00747B1D" w:rsidP="00747B1D">
      <w:pPr>
        <w:rPr>
          <w:lang w:eastAsia="en-US"/>
        </w:rPr>
      </w:pPr>
      <w:r w:rsidRPr="00237510">
        <w:rPr>
          <w:lang w:eastAsia="en-US"/>
        </w:rPr>
        <w:t xml:space="preserve">Lake Wellington is a large, shallow wetland with unconsolidated sediments that are continually resuspended due to wind and wave action. Assessments of shoreline erosion susceptibility indicate that much of the 60 kilometre shoreline of Lake Wellington has a high risk of erosion </w:t>
      </w:r>
      <w:r w:rsidRPr="00237510">
        <w:rPr>
          <w:lang w:eastAsia="en-US"/>
        </w:rPr>
        <w:fldChar w:fldCharType="begin"/>
      </w:r>
      <w:r w:rsidRPr="00237510">
        <w:rPr>
          <w:lang w:eastAsia="en-US"/>
        </w:rPr>
        <w:instrText xml:space="preserve"> ADDIN ZOTERO_ITEM CSL_CITATION {"citationID":"f6V59w7W","properties":{"formattedCitation":"(Arrowsmith et al. 2014)","plainCitation":"(Arrowsmith et al. 2014)","noteIndex":0},"citationItems":[{"id":2666,"uris":["http://zotero.org/users/2336876/items/6IUKRBZA"],"uri":["http://zotero.org/users/2336876/items/6IUKRBZA"],"itemData":{"id":2666,"type":"book","publisher":"Water Technology","title":"Gippsland Lakes/90 Mile Beach Local Coastal Hazard Assessment Project: Report 4 Lakes Shoreline Erosion Hazard","author":[{"family":"Arrowsmith","given":"C."},{"family":"Race","given":"G."},{"family":"Rosengren","given":"N. J"}],"issued":{"date-parts":[["2014"]]}}}],"schema":"https://github.com/citation-style-language/schema/raw/master/csl-citation.json"} </w:instrText>
      </w:r>
      <w:r w:rsidRPr="00237510">
        <w:rPr>
          <w:lang w:eastAsia="en-US"/>
        </w:rPr>
        <w:fldChar w:fldCharType="separate"/>
      </w:r>
      <w:r w:rsidRPr="00237510">
        <w:rPr>
          <w:lang w:eastAsia="en-US"/>
        </w:rPr>
        <w:t>(Arrowsmith et al. 2014)</w:t>
      </w:r>
      <w:r w:rsidRPr="00237510">
        <w:rPr>
          <w:lang w:eastAsia="en-US"/>
        </w:rPr>
        <w:fldChar w:fldCharType="end"/>
      </w:r>
      <w:r w:rsidRPr="00237510">
        <w:rPr>
          <w:lang w:eastAsia="en-US"/>
        </w:rPr>
        <w:t>. Erosion susceptibility at Lake Wellington is related to sediment type (and associated vegetation communities) with higher erosion potential in silty shorelines and more stable sandy sediments backed by swamp scrub vegetation (</w:t>
      </w:r>
      <w:r w:rsidRPr="00237510">
        <w:rPr>
          <w:lang w:eastAsia="en-US"/>
        </w:rPr>
        <w:fldChar w:fldCharType="begin"/>
      </w:r>
      <w:r w:rsidRPr="00237510">
        <w:rPr>
          <w:lang w:eastAsia="en-US"/>
        </w:rPr>
        <w:instrText xml:space="preserve"> REF _Ref16236729 \h </w:instrText>
      </w:r>
      <w:r w:rsidRPr="00237510">
        <w:rPr>
          <w:lang w:eastAsia="en-US"/>
        </w:rPr>
      </w:r>
      <w:r w:rsidRPr="00237510">
        <w:rPr>
          <w:lang w:eastAsia="en-US"/>
        </w:rPr>
        <w:fldChar w:fldCharType="separate"/>
      </w:r>
      <w:r w:rsidR="008C72C8" w:rsidRPr="00237510">
        <w:t>Figure 12</w:t>
      </w:r>
      <w:r w:rsidRPr="00237510">
        <w:rPr>
          <w:lang w:eastAsia="en-US"/>
        </w:rPr>
        <w:fldChar w:fldCharType="end"/>
      </w:r>
      <w:r w:rsidRPr="00237510">
        <w:rPr>
          <w:lang w:eastAsia="en-US"/>
        </w:rPr>
        <w:t>).</w:t>
      </w:r>
    </w:p>
    <w:p w14:paraId="00DD8F8C" w14:textId="77777777" w:rsidR="00747B1D" w:rsidRPr="00237510" w:rsidRDefault="00747B1D" w:rsidP="00A762BE">
      <w:pPr>
        <w:rPr>
          <w:lang w:eastAsia="en-US"/>
        </w:rPr>
      </w:pPr>
    </w:p>
    <w:p w14:paraId="6C94C00E" w14:textId="7BE414C0" w:rsidR="00A82D9D" w:rsidRPr="00237510" w:rsidRDefault="00A82D9D" w:rsidP="00A762BE">
      <w:pPr>
        <w:rPr>
          <w:lang w:eastAsia="en-US"/>
        </w:rPr>
      </w:pPr>
      <w:r w:rsidRPr="00237510">
        <w:rPr>
          <w:noProof/>
          <w:lang w:eastAsia="en-US"/>
        </w:rPr>
        <w:drawing>
          <wp:inline distT="0" distB="0" distL="0" distR="0" wp14:anchorId="6A15780D" wp14:editId="11817411">
            <wp:extent cx="5165387" cy="3686783"/>
            <wp:effectExtent l="0" t="0" r="3810" b="0"/>
            <wp:docPr id="44" name="Picture 13" descr="Aerial view of Latrobe River silt jetties.">
              <a:extLst xmlns:a="http://schemas.openxmlformats.org/drawingml/2006/main">
                <a:ext uri="{FF2B5EF4-FFF2-40B4-BE49-F238E27FC236}">
                  <a16:creationId xmlns:a16="http://schemas.microsoft.com/office/drawing/2014/main" id="{4C91913B-2A0F-F74E-8BA0-919407A682D0}"/>
                </a:ext>
              </a:extLst>
            </wp:docPr>
            <wp:cNvGraphicFramePr/>
            <a:graphic xmlns:a="http://schemas.openxmlformats.org/drawingml/2006/main">
              <a:graphicData uri="http://schemas.openxmlformats.org/drawingml/2006/picture">
                <pic:pic xmlns:pic="http://schemas.openxmlformats.org/drawingml/2006/picture">
                  <pic:nvPicPr>
                    <pic:cNvPr id="14" name="Picture 13" descr="Dowd from the air">
                      <a:extLst>
                        <a:ext uri="{FF2B5EF4-FFF2-40B4-BE49-F238E27FC236}">
                          <a16:creationId xmlns:a16="http://schemas.microsoft.com/office/drawing/2014/main" id="{4C91913B-2A0F-F74E-8BA0-919407A682D0}"/>
                        </a:ext>
                      </a:extLst>
                    </pic:cNvPr>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200791" cy="3712052"/>
                    </a:xfrm>
                    <a:prstGeom prst="rect">
                      <a:avLst/>
                    </a:prstGeom>
                    <a:noFill/>
                    <a:ln w="25400">
                      <a:noFill/>
                      <a:miter lim="800000"/>
                      <a:headEnd/>
                      <a:tailEnd/>
                    </a:ln>
                  </pic:spPr>
                </pic:pic>
              </a:graphicData>
            </a:graphic>
          </wp:inline>
        </w:drawing>
      </w:r>
    </w:p>
    <w:p w14:paraId="77FCF8A4" w14:textId="00704EAC" w:rsidR="00A82D9D" w:rsidRPr="00237510" w:rsidRDefault="00A82D9D" w:rsidP="00A82D9D">
      <w:pPr>
        <w:pStyle w:val="Caption"/>
        <w:rPr>
          <w:lang w:eastAsia="en-US"/>
        </w:rPr>
      </w:pPr>
      <w:bookmarkStart w:id="25" w:name="_Ref536787685"/>
      <w:r w:rsidRPr="00237510">
        <w:t xml:space="preserve">Figure </w:t>
      </w:r>
      <w:r>
        <w:fldChar w:fldCharType="begin"/>
      </w:r>
      <w:r>
        <w:instrText>SEQ Figure \* ARABIC</w:instrText>
      </w:r>
      <w:r>
        <w:fldChar w:fldCharType="separate"/>
      </w:r>
      <w:r w:rsidR="00DE4513">
        <w:rPr>
          <w:noProof/>
        </w:rPr>
        <w:t>11</w:t>
      </w:r>
      <w:r>
        <w:fldChar w:fldCharType="end"/>
      </w:r>
      <w:bookmarkEnd w:id="25"/>
      <w:r w:rsidRPr="00237510">
        <w:t>: Latrobe River Silt Jetties (Photo: Paul, Boon).</w:t>
      </w:r>
    </w:p>
    <w:p w14:paraId="0F5DDCAF" w14:textId="77777777" w:rsidR="00A82D9D" w:rsidRPr="00237510" w:rsidRDefault="00A82D9D" w:rsidP="00A82D9D">
      <w:r>
        <w:rPr>
          <w:noProof/>
        </w:rPr>
        <w:drawing>
          <wp:inline distT="0" distB="0" distL="0" distR="0" wp14:anchorId="3E22C90B" wp14:editId="1D826627">
            <wp:extent cx="5165089" cy="3443186"/>
            <wp:effectExtent l="0" t="0" r="3810" b="0"/>
            <wp:docPr id="97" name="Picture 97" descr="Ground level view showing water to the right with a sandy bank which is undergoing erosion. There is a small and unstable looking sand shelf which leads up to scrubby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pic:nvPicPr>
                  <pic:blipFill>
                    <a:blip r:embed="rId37" cstate="email">
                      <a:extLst>
                        <a:ext uri="{28A0092B-C50C-407E-A947-70E740481C1C}">
                          <a14:useLocalDpi xmlns:a14="http://schemas.microsoft.com/office/drawing/2010/main"/>
                        </a:ext>
                      </a:extLst>
                    </a:blip>
                    <a:stretch>
                      <a:fillRect/>
                    </a:stretch>
                  </pic:blipFill>
                  <pic:spPr>
                    <a:xfrm>
                      <a:off x="0" y="0"/>
                      <a:ext cx="5165089" cy="3443186"/>
                    </a:xfrm>
                    <a:prstGeom prst="rect">
                      <a:avLst/>
                    </a:prstGeom>
                  </pic:spPr>
                </pic:pic>
              </a:graphicData>
            </a:graphic>
          </wp:inline>
        </w:drawing>
      </w:r>
    </w:p>
    <w:p w14:paraId="71D02A3E" w14:textId="4702290B" w:rsidR="00A82D9D" w:rsidRPr="00237510" w:rsidRDefault="00A82D9D" w:rsidP="00A82D9D">
      <w:pPr>
        <w:pStyle w:val="Caption"/>
      </w:pPr>
      <w:bookmarkStart w:id="26" w:name="_Ref16236729"/>
      <w:r w:rsidRPr="00237510">
        <w:t xml:space="preserve">Figure </w:t>
      </w:r>
      <w:r>
        <w:fldChar w:fldCharType="begin"/>
      </w:r>
      <w:r>
        <w:instrText>SEQ Figure \* ARABIC</w:instrText>
      </w:r>
      <w:r>
        <w:fldChar w:fldCharType="separate"/>
      </w:r>
      <w:r w:rsidR="00DE4513">
        <w:rPr>
          <w:noProof/>
        </w:rPr>
        <w:t>12</w:t>
      </w:r>
      <w:r>
        <w:fldChar w:fldCharType="end"/>
      </w:r>
      <w:bookmarkEnd w:id="26"/>
      <w:r w:rsidRPr="00237510">
        <w:t xml:space="preserve">: Eroding shoreline between Plover Point and Bull Bay, Lake Wellington 2014. </w:t>
      </w:r>
      <w:r w:rsidR="00F36E6B" w:rsidRPr="00237510">
        <w:t>(</w:t>
      </w:r>
      <w:r w:rsidRPr="00237510">
        <w:t>Photo: Paul Boon).</w:t>
      </w:r>
    </w:p>
    <w:p w14:paraId="2A1514D9" w14:textId="33CEAE25" w:rsidR="00A762BE" w:rsidRPr="00237510" w:rsidRDefault="00A762BE" w:rsidP="00A762BE">
      <w:pPr>
        <w:rPr>
          <w:lang w:eastAsia="en-US"/>
        </w:rPr>
      </w:pPr>
      <w:r w:rsidRPr="00237510">
        <w:rPr>
          <w:lang w:eastAsia="en-US"/>
        </w:rPr>
        <w:t>The morphologies of the wetlands of the Lower Latrobe system have all been modified by levees, either within the bed of the wetland, or along the banks of the rivers. Heart and Dowd Morass in particular, have had a long history of clearing, drainage and grazing, with significant alterations to wetland beds. From the 1970s to the 1990s extensive levees were established which restrict the movement of water within the wetlands. Some of these, such as Bou</w:t>
      </w:r>
      <w:r w:rsidR="000571BF" w:rsidRPr="00237510">
        <w:rPr>
          <w:lang w:eastAsia="en-US"/>
        </w:rPr>
        <w:t>l</w:t>
      </w:r>
      <w:r w:rsidRPr="00237510">
        <w:rPr>
          <w:lang w:eastAsia="en-US"/>
        </w:rPr>
        <w:t xml:space="preserve">tons levee in Heart Morass have culverts to facilitate water movement. Sediment regimes and changes in sediments over time, however, remain unknown for all three wetlands </w:t>
      </w:r>
      <w:r w:rsidRPr="00237510">
        <w:rPr>
          <w:lang w:eastAsia="en-US"/>
        </w:rPr>
        <w:fldChar w:fldCharType="begin"/>
      </w:r>
      <w:r w:rsidR="00FF3887" w:rsidRPr="00237510">
        <w:rPr>
          <w:lang w:eastAsia="en-US"/>
        </w:rPr>
        <w:instrText xml:space="preserve"> ADDIN ZOTERO_ITEM CSL_CITATION {"citationID":"Pv3AjdrK","properties":{"formattedCitation":"(Arrowsmith and Duggan 2009)","plainCitation":"(Arrowsmith and Duggan 2009)","noteIndex":0},"citationItems":[{"id":4456,"uris":["http://zotero.org/users/2336876/items/VNGDDYUZ"],"uri":["http://zotero.org/users/2336876/items/VNGDDYUZ"],"itemData":{"id":4456,"type":"book","event-place":"Notting Hill, Victoria","publisher":"Water Technology","publisher-place":"Notting Hill, Victoria","title":"Heart Morass Hydrological Investigation","author":[{"family":"Arrowsmith","given":"C."},{"family":"Duggan","given":"S."}],"issued":{"date-parts":[["2009"]]}}}],"schema":"https://github.com/citation-style-language/schema/raw/master/csl-citation.json"} </w:instrText>
      </w:r>
      <w:r w:rsidRPr="00237510">
        <w:rPr>
          <w:lang w:eastAsia="en-US"/>
        </w:rPr>
        <w:fldChar w:fldCharType="separate"/>
      </w:r>
      <w:r w:rsidRPr="00237510">
        <w:rPr>
          <w:lang w:eastAsia="en-US"/>
        </w:rPr>
        <w:t>(Arrowsmith and Duggan 2009)</w:t>
      </w:r>
      <w:r w:rsidRPr="00237510">
        <w:rPr>
          <w:lang w:eastAsia="en-US"/>
        </w:rPr>
        <w:fldChar w:fldCharType="end"/>
      </w:r>
      <w:r w:rsidRPr="00237510">
        <w:rPr>
          <w:lang w:eastAsia="en-US"/>
        </w:rPr>
        <w:t>.</w:t>
      </w:r>
    </w:p>
    <w:p w14:paraId="79571D53" w14:textId="7C19D286" w:rsidR="00A82D9D" w:rsidRPr="00237510" w:rsidRDefault="00A82D9D" w:rsidP="00A82D9D">
      <w:pPr>
        <w:pStyle w:val="Heading2"/>
      </w:pPr>
      <w:bookmarkStart w:id="27" w:name="_Toc42001377"/>
      <w:r w:rsidRPr="00237510">
        <w:t>Water quality</w:t>
      </w:r>
      <w:bookmarkEnd w:id="27"/>
    </w:p>
    <w:p w14:paraId="42E65218" w14:textId="2E35F770" w:rsidR="00A82D9D" w:rsidRPr="00237510" w:rsidRDefault="00A82D9D" w:rsidP="00A82D9D">
      <w:pPr>
        <w:rPr>
          <w:lang w:eastAsia="en-US"/>
        </w:rPr>
      </w:pPr>
      <w:r w:rsidRPr="00237510">
        <w:rPr>
          <w:lang w:eastAsia="en-US"/>
        </w:rPr>
        <w:t>Water quality in the aquatic ecosystems of the Latrobe River is important for maintaining biodiversity and ecological function. In many respects, water quality has been altered significantly by the combined effects of land use and water resource use. Water quality objectives established in the State Environment Protection Policy (Waters) (SEPP(Waters)) provide the required water quality to protect beneficial uses including ecological values of these systems.</w:t>
      </w:r>
    </w:p>
    <w:p w14:paraId="4B08117B" w14:textId="77777777" w:rsidR="00A82D9D" w:rsidRPr="00237510" w:rsidRDefault="00A82D9D" w:rsidP="008B39C3">
      <w:pPr>
        <w:pStyle w:val="Heading3"/>
        <w:ind w:left="709"/>
      </w:pPr>
      <w:bookmarkStart w:id="28" w:name="_Toc42001378"/>
      <w:r w:rsidRPr="00237510">
        <w:t>Riverine systems</w:t>
      </w:r>
      <w:bookmarkEnd w:id="28"/>
    </w:p>
    <w:p w14:paraId="53100450" w14:textId="49F679BB" w:rsidR="004D22D6" w:rsidRPr="00237510" w:rsidRDefault="00922126" w:rsidP="00922126">
      <w:pPr>
        <w:rPr>
          <w:lang w:eastAsia="en-US"/>
        </w:rPr>
      </w:pPr>
      <w:r w:rsidRPr="00237510">
        <w:rPr>
          <w:lang w:eastAsia="en-US"/>
        </w:rPr>
        <w:t xml:space="preserve">Water quality </w:t>
      </w:r>
      <w:r w:rsidR="00825E68" w:rsidRPr="00237510">
        <w:rPr>
          <w:lang w:eastAsia="en-US"/>
        </w:rPr>
        <w:t xml:space="preserve">data is limited for the system, with regular monthly sampling </w:t>
      </w:r>
      <w:r w:rsidR="004D22D6" w:rsidRPr="00237510">
        <w:rPr>
          <w:lang w:eastAsia="en-US"/>
        </w:rPr>
        <w:t>in the Latrobe, Tanjil and Morwell Rivers for nutrients, electrical conductivity, pH and turbidity; and for a range of metals in the Latrobe River only.</w:t>
      </w:r>
    </w:p>
    <w:p w14:paraId="40858DBF" w14:textId="5FA095B3" w:rsidR="00825E68" w:rsidRPr="00237510" w:rsidRDefault="004D22D6" w:rsidP="004D22D6">
      <w:pPr>
        <w:rPr>
          <w:lang w:eastAsia="en-US"/>
        </w:rPr>
      </w:pPr>
      <w:r w:rsidRPr="00237510">
        <w:rPr>
          <w:lang w:eastAsia="en-US"/>
        </w:rPr>
        <w:t xml:space="preserve">Water quality </w:t>
      </w:r>
      <w:r w:rsidR="00922126" w:rsidRPr="00237510">
        <w:rPr>
          <w:lang w:eastAsia="en-US"/>
        </w:rPr>
        <w:t>in the Lower Latrobe and Morwell Rivers rarely meets any SEPP (Waters) objectives (</w:t>
      </w:r>
      <w:r w:rsidRPr="00237510">
        <w:rPr>
          <w:lang w:eastAsia="en-US"/>
        </w:rPr>
        <w:fldChar w:fldCharType="begin"/>
      </w:r>
      <w:r w:rsidRPr="00237510">
        <w:rPr>
          <w:lang w:eastAsia="en-US"/>
        </w:rPr>
        <w:instrText xml:space="preserve"> REF _Ref536870001 \h </w:instrText>
      </w:r>
      <w:r w:rsidRPr="00237510">
        <w:rPr>
          <w:lang w:eastAsia="en-US"/>
        </w:rPr>
      </w:r>
      <w:r w:rsidRPr="00237510">
        <w:rPr>
          <w:lang w:eastAsia="en-US"/>
        </w:rPr>
        <w:fldChar w:fldCharType="separate"/>
      </w:r>
      <w:r w:rsidR="008C72C8" w:rsidRPr="00237510">
        <w:t>Table 1</w:t>
      </w:r>
      <w:r w:rsidRPr="00237510">
        <w:rPr>
          <w:lang w:eastAsia="en-US"/>
        </w:rPr>
        <w:fldChar w:fldCharType="end"/>
      </w:r>
      <w:r w:rsidRPr="00237510">
        <w:rPr>
          <w:lang w:eastAsia="en-US"/>
        </w:rPr>
        <w:t xml:space="preserve"> </w:t>
      </w:r>
      <w:r w:rsidR="00922126" w:rsidRPr="00237510">
        <w:rPr>
          <w:lang w:eastAsia="en-US"/>
        </w:rPr>
        <w:t>and</w:t>
      </w:r>
      <w:r w:rsidRPr="00237510">
        <w:rPr>
          <w:lang w:eastAsia="en-US"/>
        </w:rPr>
        <w:t xml:space="preserve"> </w:t>
      </w:r>
      <w:r w:rsidRPr="00237510">
        <w:rPr>
          <w:lang w:eastAsia="en-US"/>
        </w:rPr>
        <w:fldChar w:fldCharType="begin"/>
      </w:r>
      <w:r w:rsidRPr="00237510">
        <w:rPr>
          <w:lang w:eastAsia="en-US"/>
        </w:rPr>
        <w:instrText xml:space="preserve"> REF _Ref536870010 \h </w:instrText>
      </w:r>
      <w:r w:rsidRPr="00237510">
        <w:rPr>
          <w:lang w:eastAsia="en-US"/>
        </w:rPr>
      </w:r>
      <w:r w:rsidRPr="00237510">
        <w:rPr>
          <w:lang w:eastAsia="en-US"/>
        </w:rPr>
        <w:fldChar w:fldCharType="separate"/>
      </w:r>
      <w:r w:rsidR="008C72C8" w:rsidRPr="00237510">
        <w:t>Table 2</w:t>
      </w:r>
      <w:r w:rsidRPr="00237510">
        <w:rPr>
          <w:lang w:eastAsia="en-US"/>
        </w:rPr>
        <w:fldChar w:fldCharType="end"/>
      </w:r>
      <w:r w:rsidR="00922126" w:rsidRPr="00237510">
        <w:rPr>
          <w:lang w:eastAsia="en-US"/>
        </w:rPr>
        <w:t xml:space="preserve">). Water in both rivers is generally turbid and nutrient enriched, and although electrical conductivity </w:t>
      </w:r>
      <w:r w:rsidR="00747B1D" w:rsidRPr="00237510">
        <w:rPr>
          <w:lang w:eastAsia="en-US"/>
        </w:rPr>
        <w:t xml:space="preserve">(an indicator of salinity) </w:t>
      </w:r>
      <w:r w:rsidR="00922126" w:rsidRPr="00237510">
        <w:rPr>
          <w:lang w:eastAsia="en-US"/>
        </w:rPr>
        <w:t xml:space="preserve">is still within the limits described as “fresh” salinity exceeds the SEPP (Waters) objectives. </w:t>
      </w:r>
      <w:r w:rsidRPr="00237510">
        <w:rPr>
          <w:lang w:eastAsia="en-US"/>
        </w:rPr>
        <w:t>There is some evidence that both rivers are increasing in salinity</w:t>
      </w:r>
      <w:r w:rsidR="007C1B85" w:rsidRPr="00237510">
        <w:rPr>
          <w:lang w:eastAsia="en-US"/>
        </w:rPr>
        <w:t>.</w:t>
      </w:r>
      <w:r w:rsidR="00747B1D" w:rsidRPr="00237510">
        <w:rPr>
          <w:lang w:eastAsia="en-US"/>
        </w:rPr>
        <w:t xml:space="preserve"> </w:t>
      </w:r>
      <w:r w:rsidR="00825E68" w:rsidRPr="00237510">
        <w:rPr>
          <w:lang w:eastAsia="en-US"/>
        </w:rPr>
        <w:t>In contrast</w:t>
      </w:r>
      <w:r w:rsidRPr="00237510">
        <w:rPr>
          <w:lang w:eastAsia="en-US"/>
        </w:rPr>
        <w:t xml:space="preserve">, water quality in the Tanjil River is clear, fresh and has moderate nutrient </w:t>
      </w:r>
      <w:r w:rsidR="00747B1D" w:rsidRPr="00237510">
        <w:rPr>
          <w:lang w:eastAsia="en-US"/>
        </w:rPr>
        <w:t>concentrations</w:t>
      </w:r>
      <w:r w:rsidRPr="00237510">
        <w:rPr>
          <w:lang w:eastAsia="en-US"/>
        </w:rPr>
        <w:t>, all within the SEPP (Waters) objectives (</w:t>
      </w:r>
      <w:r w:rsidR="00302858" w:rsidRPr="00237510">
        <w:rPr>
          <w:lang w:eastAsia="en-US"/>
        </w:rPr>
        <w:fldChar w:fldCharType="begin"/>
      </w:r>
      <w:r w:rsidR="00302858" w:rsidRPr="00237510">
        <w:rPr>
          <w:lang w:eastAsia="en-US"/>
        </w:rPr>
        <w:instrText xml:space="preserve"> REF _Ref536870009 \h </w:instrText>
      </w:r>
      <w:r w:rsidR="00302858" w:rsidRPr="00237510">
        <w:rPr>
          <w:lang w:eastAsia="en-US"/>
        </w:rPr>
      </w:r>
      <w:r w:rsidR="00302858" w:rsidRPr="00237510">
        <w:rPr>
          <w:lang w:eastAsia="en-US"/>
        </w:rPr>
        <w:fldChar w:fldCharType="separate"/>
      </w:r>
      <w:r w:rsidR="008C72C8" w:rsidRPr="00237510">
        <w:t>Table 3</w:t>
      </w:r>
      <w:r w:rsidR="00302858" w:rsidRPr="00237510">
        <w:rPr>
          <w:lang w:eastAsia="en-US"/>
        </w:rPr>
        <w:fldChar w:fldCharType="end"/>
      </w:r>
      <w:r w:rsidRPr="00237510">
        <w:rPr>
          <w:lang w:eastAsia="en-US"/>
        </w:rPr>
        <w:t xml:space="preserve">). </w:t>
      </w:r>
    </w:p>
    <w:p w14:paraId="54E92299" w14:textId="590EE590" w:rsidR="00825E68" w:rsidRPr="00237510" w:rsidRDefault="00825E68" w:rsidP="00825E68">
      <w:pPr>
        <w:pStyle w:val="Caption"/>
        <w:rPr>
          <w:lang w:eastAsia="en-US"/>
        </w:rPr>
      </w:pPr>
      <w:bookmarkStart w:id="29" w:name="_Ref536870001"/>
      <w:r w:rsidRPr="00237510">
        <w:t xml:space="preserve">Table </w:t>
      </w:r>
      <w:r>
        <w:fldChar w:fldCharType="begin"/>
      </w:r>
      <w:r>
        <w:instrText>SEQ Table \* ARABIC</w:instrText>
      </w:r>
      <w:r>
        <w:fldChar w:fldCharType="separate"/>
      </w:r>
      <w:r w:rsidR="008C72C8" w:rsidRPr="00237510">
        <w:t>1</w:t>
      </w:r>
      <w:r>
        <w:fldChar w:fldCharType="end"/>
      </w:r>
      <w:bookmarkEnd w:id="29"/>
      <w:r w:rsidRPr="00237510">
        <w:t>: Water quality indicators Latrobe River at Rosedale. Shading indicates exceed</w:t>
      </w:r>
      <w:r w:rsidR="00A04C6C">
        <w:t>a</w:t>
      </w:r>
      <w:r w:rsidRPr="00237510">
        <w:t>nce of SEPP(Waters) objective. Data from WMIS. TN = total nitrogen (</w:t>
      </w:r>
      <w:r w:rsidRPr="00237510">
        <w:rPr>
          <w:rFonts w:ascii="Symbol" w:eastAsia="Symbol" w:hAnsi="Symbol" w:cs="Symbol"/>
        </w:rPr>
        <w:t></w:t>
      </w:r>
      <w:r w:rsidRPr="00237510">
        <w:t>g/L), TP = total phosphorus (</w:t>
      </w:r>
      <w:r w:rsidRPr="00237510">
        <w:rPr>
          <w:rFonts w:ascii="Symbol" w:eastAsia="Symbol" w:hAnsi="Symbol" w:cs="Symbol"/>
        </w:rPr>
        <w:t></w:t>
      </w:r>
      <w:r w:rsidRPr="00237510">
        <w:t>g/L), EC = electrical conductivity (</w:t>
      </w:r>
      <w:r w:rsidRPr="00237510">
        <w:rPr>
          <w:rFonts w:ascii="Symbol" w:eastAsia="Symbol" w:hAnsi="Symbol" w:cs="Symbol"/>
        </w:rPr>
        <w:t></w:t>
      </w:r>
      <w:r w:rsidRPr="00237510">
        <w:t>S/cm).</w:t>
      </w:r>
    </w:p>
    <w:tbl>
      <w:tblPr>
        <w:tblStyle w:val="ListTable3-Accent52"/>
        <w:tblW w:w="8784" w:type="dxa"/>
        <w:tblLayout w:type="fixed"/>
        <w:tblLook w:val="04A0" w:firstRow="1" w:lastRow="0" w:firstColumn="1" w:lastColumn="0" w:noHBand="0" w:noVBand="1"/>
      </w:tblPr>
      <w:tblGrid>
        <w:gridCol w:w="1413"/>
        <w:gridCol w:w="992"/>
        <w:gridCol w:w="911"/>
        <w:gridCol w:w="911"/>
        <w:gridCol w:w="911"/>
        <w:gridCol w:w="912"/>
        <w:gridCol w:w="911"/>
        <w:gridCol w:w="911"/>
        <w:gridCol w:w="912"/>
      </w:tblGrid>
      <w:tr w:rsidR="00825E68" w:rsidRPr="00237510" w14:paraId="0B63D19E" w14:textId="77777777" w:rsidTr="00825E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tcMar>
              <w:left w:w="57" w:type="dxa"/>
              <w:right w:w="57" w:type="dxa"/>
            </w:tcMar>
          </w:tcPr>
          <w:p w14:paraId="0EE1338F" w14:textId="77777777" w:rsidR="00825E68" w:rsidRPr="00237510" w:rsidRDefault="00825E68" w:rsidP="00825E68">
            <w:pPr>
              <w:rPr>
                <w:rFonts w:cs="Arial"/>
                <w:sz w:val="18"/>
                <w:szCs w:val="18"/>
              </w:rPr>
            </w:pPr>
            <w:r w:rsidRPr="00237510">
              <w:rPr>
                <w:rFonts w:cs="Arial"/>
                <w:sz w:val="18"/>
                <w:szCs w:val="18"/>
              </w:rPr>
              <w:t>Indicator</w:t>
            </w:r>
          </w:p>
        </w:tc>
        <w:tc>
          <w:tcPr>
            <w:tcW w:w="992" w:type="dxa"/>
            <w:tcMar>
              <w:left w:w="57" w:type="dxa"/>
              <w:right w:w="57" w:type="dxa"/>
            </w:tcMar>
          </w:tcPr>
          <w:p w14:paraId="70839E9B"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SEPP Objective</w:t>
            </w:r>
          </w:p>
        </w:tc>
        <w:tc>
          <w:tcPr>
            <w:tcW w:w="911" w:type="dxa"/>
            <w:tcMar>
              <w:left w:w="57" w:type="dxa"/>
              <w:right w:w="57" w:type="dxa"/>
            </w:tcMar>
          </w:tcPr>
          <w:p w14:paraId="0468A037"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b w:val="0"/>
                <w:bCs w:val="0"/>
                <w:sz w:val="18"/>
                <w:szCs w:val="18"/>
              </w:rPr>
            </w:pPr>
            <w:r w:rsidRPr="00237510">
              <w:rPr>
                <w:rFonts w:cs="Arial"/>
                <w:b w:val="0"/>
                <w:bCs w:val="0"/>
                <w:sz w:val="18"/>
                <w:szCs w:val="18"/>
              </w:rPr>
              <w:t>2013</w:t>
            </w:r>
          </w:p>
        </w:tc>
        <w:tc>
          <w:tcPr>
            <w:tcW w:w="911" w:type="dxa"/>
            <w:tcMar>
              <w:left w:w="57" w:type="dxa"/>
              <w:right w:w="57" w:type="dxa"/>
            </w:tcMar>
          </w:tcPr>
          <w:p w14:paraId="3CD713DB"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b w:val="0"/>
                <w:bCs w:val="0"/>
                <w:sz w:val="18"/>
                <w:szCs w:val="18"/>
              </w:rPr>
            </w:pPr>
            <w:r w:rsidRPr="00237510">
              <w:rPr>
                <w:rFonts w:cs="Arial"/>
                <w:b w:val="0"/>
                <w:bCs w:val="0"/>
                <w:sz w:val="18"/>
                <w:szCs w:val="18"/>
              </w:rPr>
              <w:t>2014</w:t>
            </w:r>
          </w:p>
        </w:tc>
        <w:tc>
          <w:tcPr>
            <w:tcW w:w="911" w:type="dxa"/>
            <w:tcMar>
              <w:left w:w="57" w:type="dxa"/>
              <w:right w:w="57" w:type="dxa"/>
            </w:tcMar>
          </w:tcPr>
          <w:p w14:paraId="2221830A"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b w:val="0"/>
                <w:bCs w:val="0"/>
                <w:sz w:val="18"/>
                <w:szCs w:val="18"/>
              </w:rPr>
            </w:pPr>
            <w:r w:rsidRPr="00237510">
              <w:rPr>
                <w:rFonts w:cs="Arial"/>
                <w:b w:val="0"/>
                <w:bCs w:val="0"/>
                <w:sz w:val="18"/>
                <w:szCs w:val="18"/>
              </w:rPr>
              <w:t>2015</w:t>
            </w:r>
          </w:p>
        </w:tc>
        <w:tc>
          <w:tcPr>
            <w:tcW w:w="912" w:type="dxa"/>
            <w:tcMar>
              <w:left w:w="57" w:type="dxa"/>
              <w:right w:w="57" w:type="dxa"/>
            </w:tcMar>
          </w:tcPr>
          <w:p w14:paraId="7AACDF3C"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b w:val="0"/>
                <w:bCs w:val="0"/>
                <w:sz w:val="18"/>
                <w:szCs w:val="18"/>
              </w:rPr>
            </w:pPr>
            <w:r w:rsidRPr="00237510">
              <w:rPr>
                <w:rFonts w:cs="Arial"/>
                <w:b w:val="0"/>
                <w:bCs w:val="0"/>
                <w:sz w:val="18"/>
                <w:szCs w:val="18"/>
              </w:rPr>
              <w:t>2016</w:t>
            </w:r>
          </w:p>
        </w:tc>
        <w:tc>
          <w:tcPr>
            <w:tcW w:w="911" w:type="dxa"/>
            <w:tcMar>
              <w:left w:w="57" w:type="dxa"/>
              <w:right w:w="57" w:type="dxa"/>
            </w:tcMar>
          </w:tcPr>
          <w:p w14:paraId="54FD015F"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2017</w:t>
            </w:r>
          </w:p>
        </w:tc>
        <w:tc>
          <w:tcPr>
            <w:tcW w:w="911" w:type="dxa"/>
            <w:tcMar>
              <w:left w:w="57" w:type="dxa"/>
              <w:right w:w="57" w:type="dxa"/>
            </w:tcMar>
          </w:tcPr>
          <w:p w14:paraId="092A8E07"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2018</w:t>
            </w:r>
          </w:p>
        </w:tc>
        <w:tc>
          <w:tcPr>
            <w:tcW w:w="912" w:type="dxa"/>
            <w:tcMar>
              <w:left w:w="57" w:type="dxa"/>
              <w:right w:w="57" w:type="dxa"/>
            </w:tcMar>
          </w:tcPr>
          <w:p w14:paraId="40976754"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2019</w:t>
            </w:r>
          </w:p>
        </w:tc>
      </w:tr>
      <w:tr w:rsidR="00825E68" w:rsidRPr="00237510" w14:paraId="73543493" w14:textId="77777777" w:rsidTr="00825E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0F6D548C" w14:textId="77777777" w:rsidR="00825E68" w:rsidRPr="00237510" w:rsidRDefault="00825E68" w:rsidP="00825E68">
            <w:pPr>
              <w:rPr>
                <w:rFonts w:cs="Arial"/>
                <w:b w:val="0"/>
                <w:sz w:val="18"/>
                <w:szCs w:val="18"/>
              </w:rPr>
            </w:pPr>
            <w:r w:rsidRPr="00237510">
              <w:rPr>
                <w:rFonts w:cs="Arial"/>
                <w:b w:val="0"/>
                <w:sz w:val="18"/>
                <w:szCs w:val="18"/>
              </w:rPr>
              <w:t>Turbidity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70513089"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25</w:t>
            </w:r>
          </w:p>
        </w:tc>
        <w:tc>
          <w:tcPr>
            <w:tcW w:w="911" w:type="dxa"/>
            <w:shd w:val="clear" w:color="auto" w:fill="B6DDE8" w:themeFill="accent5" w:themeFillTint="66"/>
            <w:tcMar>
              <w:left w:w="57" w:type="dxa"/>
              <w:right w:w="57" w:type="dxa"/>
            </w:tcMar>
          </w:tcPr>
          <w:p w14:paraId="75BFE204"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75</w:t>
            </w:r>
          </w:p>
        </w:tc>
        <w:tc>
          <w:tcPr>
            <w:tcW w:w="911" w:type="dxa"/>
            <w:shd w:val="clear" w:color="auto" w:fill="B6DDE8" w:themeFill="accent5" w:themeFillTint="66"/>
            <w:tcMar>
              <w:left w:w="57" w:type="dxa"/>
              <w:right w:w="57" w:type="dxa"/>
            </w:tcMar>
          </w:tcPr>
          <w:p w14:paraId="5D4EA32B"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54</w:t>
            </w:r>
          </w:p>
        </w:tc>
        <w:tc>
          <w:tcPr>
            <w:tcW w:w="911" w:type="dxa"/>
            <w:shd w:val="clear" w:color="auto" w:fill="B6DDE8" w:themeFill="accent5" w:themeFillTint="66"/>
            <w:tcMar>
              <w:left w:w="57" w:type="dxa"/>
              <w:right w:w="57" w:type="dxa"/>
            </w:tcMar>
          </w:tcPr>
          <w:p w14:paraId="2CD6A23B"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55</w:t>
            </w:r>
          </w:p>
        </w:tc>
        <w:tc>
          <w:tcPr>
            <w:tcW w:w="912" w:type="dxa"/>
            <w:shd w:val="clear" w:color="auto" w:fill="B6DDE8" w:themeFill="accent5" w:themeFillTint="66"/>
            <w:tcMar>
              <w:left w:w="57" w:type="dxa"/>
              <w:right w:w="57" w:type="dxa"/>
            </w:tcMar>
          </w:tcPr>
          <w:p w14:paraId="411A83B5"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54</w:t>
            </w:r>
          </w:p>
        </w:tc>
        <w:tc>
          <w:tcPr>
            <w:tcW w:w="911" w:type="dxa"/>
            <w:shd w:val="clear" w:color="auto" w:fill="B6DDE8" w:themeFill="accent5" w:themeFillTint="66"/>
            <w:tcMar>
              <w:left w:w="57" w:type="dxa"/>
              <w:right w:w="57" w:type="dxa"/>
            </w:tcMar>
          </w:tcPr>
          <w:p w14:paraId="313B7B2A"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42</w:t>
            </w:r>
          </w:p>
        </w:tc>
        <w:tc>
          <w:tcPr>
            <w:tcW w:w="911" w:type="dxa"/>
            <w:shd w:val="clear" w:color="auto" w:fill="B6DDE8" w:themeFill="accent5" w:themeFillTint="66"/>
            <w:tcMar>
              <w:left w:w="57" w:type="dxa"/>
              <w:right w:w="57" w:type="dxa"/>
            </w:tcMar>
          </w:tcPr>
          <w:p w14:paraId="51F0CDE1"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38</w:t>
            </w:r>
          </w:p>
        </w:tc>
        <w:tc>
          <w:tcPr>
            <w:tcW w:w="912" w:type="dxa"/>
            <w:shd w:val="clear" w:color="auto" w:fill="B6DDE8" w:themeFill="accent5" w:themeFillTint="66"/>
            <w:tcMar>
              <w:left w:w="57" w:type="dxa"/>
              <w:right w:w="57" w:type="dxa"/>
            </w:tcMar>
          </w:tcPr>
          <w:p w14:paraId="1E16FF7E"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37</w:t>
            </w:r>
          </w:p>
        </w:tc>
      </w:tr>
      <w:tr w:rsidR="00825E68" w:rsidRPr="00237510" w14:paraId="295D9CFB" w14:textId="77777777" w:rsidTr="00825E68">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0071E743" w14:textId="77777777" w:rsidR="00825E68" w:rsidRPr="00237510" w:rsidRDefault="00825E68" w:rsidP="00825E68">
            <w:pPr>
              <w:rPr>
                <w:rFonts w:cs="Arial"/>
                <w:b w:val="0"/>
                <w:sz w:val="18"/>
                <w:szCs w:val="18"/>
              </w:rPr>
            </w:pPr>
            <w:r w:rsidRPr="00237510">
              <w:rPr>
                <w:rFonts w:cs="Arial"/>
                <w:b w:val="0"/>
                <w:sz w:val="18"/>
                <w:szCs w:val="18"/>
              </w:rPr>
              <w:t>pH (25</w:t>
            </w:r>
            <w:r w:rsidRPr="00237510">
              <w:rPr>
                <w:rFonts w:cs="Arial"/>
                <w:b w:val="0"/>
                <w:sz w:val="18"/>
                <w:szCs w:val="18"/>
                <w:vertAlign w:val="superscript"/>
              </w:rPr>
              <w:t>th</w:t>
            </w:r>
            <w:r w:rsidRPr="00237510">
              <w:rPr>
                <w:rFonts w:cs="Arial"/>
                <w:b w:val="0"/>
                <w:sz w:val="18"/>
                <w:szCs w:val="18"/>
              </w:rPr>
              <w:t xml:space="preserve"> – 75th)</w:t>
            </w:r>
          </w:p>
        </w:tc>
        <w:tc>
          <w:tcPr>
            <w:tcW w:w="992" w:type="dxa"/>
            <w:tcMar>
              <w:left w:w="57" w:type="dxa"/>
              <w:right w:w="57" w:type="dxa"/>
            </w:tcMar>
          </w:tcPr>
          <w:p w14:paraId="2CC1B28F"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6.7-7.7</w:t>
            </w:r>
          </w:p>
        </w:tc>
        <w:tc>
          <w:tcPr>
            <w:tcW w:w="911" w:type="dxa"/>
            <w:shd w:val="clear" w:color="auto" w:fill="auto"/>
            <w:tcMar>
              <w:left w:w="57" w:type="dxa"/>
              <w:right w:w="57" w:type="dxa"/>
            </w:tcMar>
          </w:tcPr>
          <w:p w14:paraId="1DEBDACA"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7.0-7.2</w:t>
            </w:r>
          </w:p>
        </w:tc>
        <w:tc>
          <w:tcPr>
            <w:tcW w:w="911" w:type="dxa"/>
            <w:shd w:val="clear" w:color="auto" w:fill="auto"/>
            <w:tcMar>
              <w:left w:w="57" w:type="dxa"/>
              <w:right w:w="57" w:type="dxa"/>
            </w:tcMar>
          </w:tcPr>
          <w:p w14:paraId="7C353741"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7.0-7.3</w:t>
            </w:r>
          </w:p>
        </w:tc>
        <w:tc>
          <w:tcPr>
            <w:tcW w:w="911" w:type="dxa"/>
            <w:shd w:val="clear" w:color="auto" w:fill="auto"/>
            <w:tcMar>
              <w:left w:w="57" w:type="dxa"/>
              <w:right w:w="57" w:type="dxa"/>
            </w:tcMar>
          </w:tcPr>
          <w:p w14:paraId="2095C631"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7.0-7.2</w:t>
            </w:r>
          </w:p>
        </w:tc>
        <w:tc>
          <w:tcPr>
            <w:tcW w:w="912" w:type="dxa"/>
            <w:shd w:val="clear" w:color="auto" w:fill="auto"/>
            <w:tcMar>
              <w:left w:w="57" w:type="dxa"/>
              <w:right w:w="57" w:type="dxa"/>
            </w:tcMar>
          </w:tcPr>
          <w:p w14:paraId="2CE1148D"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7.0-7.1</w:t>
            </w:r>
          </w:p>
        </w:tc>
        <w:tc>
          <w:tcPr>
            <w:tcW w:w="911" w:type="dxa"/>
            <w:shd w:val="clear" w:color="auto" w:fill="auto"/>
            <w:tcMar>
              <w:left w:w="57" w:type="dxa"/>
              <w:right w:w="57" w:type="dxa"/>
            </w:tcMar>
          </w:tcPr>
          <w:p w14:paraId="51DE3B64"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6.9-7.1</w:t>
            </w:r>
          </w:p>
        </w:tc>
        <w:tc>
          <w:tcPr>
            <w:tcW w:w="911" w:type="dxa"/>
            <w:shd w:val="clear" w:color="auto" w:fill="auto"/>
            <w:tcMar>
              <w:left w:w="57" w:type="dxa"/>
              <w:right w:w="57" w:type="dxa"/>
            </w:tcMar>
          </w:tcPr>
          <w:p w14:paraId="559940D2" w14:textId="1BEE6F63"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7.2-7.</w:t>
            </w:r>
            <w:r w:rsidR="007C1B85" w:rsidRPr="00237510">
              <w:rPr>
                <w:rFonts w:cs="Arial"/>
                <w:sz w:val="18"/>
                <w:szCs w:val="18"/>
              </w:rPr>
              <w:t>5</w:t>
            </w:r>
          </w:p>
        </w:tc>
        <w:tc>
          <w:tcPr>
            <w:tcW w:w="912" w:type="dxa"/>
            <w:shd w:val="clear" w:color="auto" w:fill="auto"/>
            <w:tcMar>
              <w:left w:w="57" w:type="dxa"/>
              <w:right w:w="57" w:type="dxa"/>
            </w:tcMar>
          </w:tcPr>
          <w:p w14:paraId="73589BCB" w14:textId="532C3ABF"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w:t>
            </w:r>
            <w:r w:rsidR="007C1B85" w:rsidRPr="00237510">
              <w:rPr>
                <w:rFonts w:cs="Arial"/>
                <w:sz w:val="18"/>
                <w:szCs w:val="18"/>
              </w:rPr>
              <w:t>1</w:t>
            </w:r>
            <w:r w:rsidRPr="00237510">
              <w:rPr>
                <w:rFonts w:cs="Arial"/>
                <w:sz w:val="18"/>
                <w:szCs w:val="18"/>
              </w:rPr>
              <w:t>-7.</w:t>
            </w:r>
            <w:r w:rsidR="007C1B85" w:rsidRPr="00237510">
              <w:rPr>
                <w:rFonts w:cs="Arial"/>
                <w:sz w:val="18"/>
                <w:szCs w:val="18"/>
              </w:rPr>
              <w:t>5</w:t>
            </w:r>
          </w:p>
        </w:tc>
      </w:tr>
      <w:tr w:rsidR="00825E68" w:rsidRPr="00237510" w14:paraId="60871BAD" w14:textId="77777777" w:rsidTr="000571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075C01C2" w14:textId="77777777" w:rsidR="00825E68" w:rsidRPr="00237510" w:rsidRDefault="00825E68" w:rsidP="00825E68">
            <w:pPr>
              <w:rPr>
                <w:rFonts w:cs="Arial"/>
                <w:b w:val="0"/>
                <w:sz w:val="18"/>
                <w:szCs w:val="18"/>
              </w:rPr>
            </w:pPr>
            <w:r w:rsidRPr="00237510">
              <w:rPr>
                <w:rFonts w:cs="Arial"/>
                <w:b w:val="0"/>
                <w:sz w:val="18"/>
                <w:szCs w:val="18"/>
              </w:rPr>
              <w:t>TN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6FBC2845"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1100</w:t>
            </w:r>
          </w:p>
        </w:tc>
        <w:tc>
          <w:tcPr>
            <w:tcW w:w="911" w:type="dxa"/>
            <w:shd w:val="clear" w:color="auto" w:fill="B6DDE8" w:themeFill="accent5" w:themeFillTint="66"/>
            <w:tcMar>
              <w:left w:w="57" w:type="dxa"/>
              <w:right w:w="57" w:type="dxa"/>
            </w:tcMar>
            <w:vAlign w:val="bottom"/>
          </w:tcPr>
          <w:p w14:paraId="2061D322"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1302</w:t>
            </w:r>
          </w:p>
        </w:tc>
        <w:tc>
          <w:tcPr>
            <w:tcW w:w="911" w:type="dxa"/>
            <w:shd w:val="clear" w:color="auto" w:fill="auto"/>
            <w:tcMar>
              <w:left w:w="57" w:type="dxa"/>
              <w:right w:w="57" w:type="dxa"/>
            </w:tcMar>
            <w:vAlign w:val="bottom"/>
          </w:tcPr>
          <w:p w14:paraId="63ED80C3"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1030</w:t>
            </w:r>
          </w:p>
        </w:tc>
        <w:tc>
          <w:tcPr>
            <w:tcW w:w="911" w:type="dxa"/>
            <w:shd w:val="clear" w:color="auto" w:fill="auto"/>
            <w:tcMar>
              <w:left w:w="57" w:type="dxa"/>
              <w:right w:w="57" w:type="dxa"/>
            </w:tcMar>
            <w:vAlign w:val="bottom"/>
          </w:tcPr>
          <w:p w14:paraId="2971A8A2"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995</w:t>
            </w:r>
          </w:p>
        </w:tc>
        <w:tc>
          <w:tcPr>
            <w:tcW w:w="912" w:type="dxa"/>
            <w:shd w:val="clear" w:color="auto" w:fill="B6DDE8" w:themeFill="accent5" w:themeFillTint="66"/>
            <w:tcMar>
              <w:left w:w="57" w:type="dxa"/>
              <w:right w:w="57" w:type="dxa"/>
            </w:tcMar>
            <w:vAlign w:val="bottom"/>
          </w:tcPr>
          <w:p w14:paraId="085F28FE"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1155</w:t>
            </w:r>
          </w:p>
        </w:tc>
        <w:tc>
          <w:tcPr>
            <w:tcW w:w="911" w:type="dxa"/>
            <w:shd w:val="clear" w:color="auto" w:fill="B6DDE8" w:themeFill="accent5" w:themeFillTint="66"/>
            <w:tcMar>
              <w:left w:w="57" w:type="dxa"/>
              <w:right w:w="57" w:type="dxa"/>
            </w:tcMar>
            <w:vAlign w:val="bottom"/>
          </w:tcPr>
          <w:p w14:paraId="45B45F75"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1160</w:t>
            </w:r>
          </w:p>
        </w:tc>
        <w:tc>
          <w:tcPr>
            <w:tcW w:w="911" w:type="dxa"/>
            <w:shd w:val="clear" w:color="auto" w:fill="B6DDE8" w:themeFill="accent5" w:themeFillTint="66"/>
            <w:tcMar>
              <w:left w:w="57" w:type="dxa"/>
              <w:right w:w="57" w:type="dxa"/>
            </w:tcMar>
            <w:vAlign w:val="bottom"/>
          </w:tcPr>
          <w:p w14:paraId="33BED469"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1265</w:t>
            </w:r>
          </w:p>
        </w:tc>
        <w:tc>
          <w:tcPr>
            <w:tcW w:w="912" w:type="dxa"/>
            <w:shd w:val="clear" w:color="auto" w:fill="B6DDE8" w:themeFill="accent5" w:themeFillTint="66"/>
            <w:tcMar>
              <w:left w:w="57" w:type="dxa"/>
              <w:right w:w="57" w:type="dxa"/>
            </w:tcMar>
            <w:vAlign w:val="bottom"/>
          </w:tcPr>
          <w:p w14:paraId="3AE78FDE"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1152</w:t>
            </w:r>
          </w:p>
        </w:tc>
      </w:tr>
      <w:tr w:rsidR="00825E68" w:rsidRPr="00237510" w14:paraId="1DBFC8D8" w14:textId="77777777" w:rsidTr="00825E68">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3A3DA87F" w14:textId="77777777" w:rsidR="00825E68" w:rsidRPr="00237510" w:rsidRDefault="00825E68" w:rsidP="00825E68">
            <w:pPr>
              <w:rPr>
                <w:rFonts w:cs="Arial"/>
                <w:b w:val="0"/>
                <w:sz w:val="18"/>
                <w:szCs w:val="18"/>
              </w:rPr>
            </w:pPr>
            <w:r w:rsidRPr="00237510">
              <w:rPr>
                <w:rFonts w:cs="Arial"/>
                <w:b w:val="0"/>
                <w:sz w:val="18"/>
                <w:szCs w:val="18"/>
              </w:rPr>
              <w:t>TP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6A75D225"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55</w:t>
            </w:r>
          </w:p>
        </w:tc>
        <w:tc>
          <w:tcPr>
            <w:tcW w:w="911" w:type="dxa"/>
            <w:shd w:val="clear" w:color="auto" w:fill="B6DDE8" w:themeFill="accent5" w:themeFillTint="66"/>
            <w:tcMar>
              <w:left w:w="57" w:type="dxa"/>
              <w:right w:w="57" w:type="dxa"/>
            </w:tcMar>
            <w:vAlign w:val="bottom"/>
          </w:tcPr>
          <w:p w14:paraId="450BD69E"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102</w:t>
            </w:r>
          </w:p>
        </w:tc>
        <w:tc>
          <w:tcPr>
            <w:tcW w:w="911" w:type="dxa"/>
            <w:shd w:val="clear" w:color="auto" w:fill="B6DDE8" w:themeFill="accent5" w:themeFillTint="66"/>
            <w:tcMar>
              <w:left w:w="57" w:type="dxa"/>
              <w:right w:w="57" w:type="dxa"/>
            </w:tcMar>
            <w:vAlign w:val="bottom"/>
          </w:tcPr>
          <w:p w14:paraId="72354AEE"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85</w:t>
            </w:r>
          </w:p>
        </w:tc>
        <w:tc>
          <w:tcPr>
            <w:tcW w:w="911" w:type="dxa"/>
            <w:shd w:val="clear" w:color="auto" w:fill="B6DDE8" w:themeFill="accent5" w:themeFillTint="66"/>
            <w:tcMar>
              <w:left w:w="57" w:type="dxa"/>
              <w:right w:w="57" w:type="dxa"/>
            </w:tcMar>
            <w:vAlign w:val="bottom"/>
          </w:tcPr>
          <w:p w14:paraId="01887D02"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110</w:t>
            </w:r>
          </w:p>
        </w:tc>
        <w:tc>
          <w:tcPr>
            <w:tcW w:w="912" w:type="dxa"/>
            <w:shd w:val="clear" w:color="auto" w:fill="B6DDE8" w:themeFill="accent5" w:themeFillTint="66"/>
            <w:tcMar>
              <w:left w:w="57" w:type="dxa"/>
              <w:right w:w="57" w:type="dxa"/>
            </w:tcMar>
            <w:vAlign w:val="bottom"/>
          </w:tcPr>
          <w:p w14:paraId="6C30629B"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96</w:t>
            </w:r>
          </w:p>
        </w:tc>
        <w:tc>
          <w:tcPr>
            <w:tcW w:w="911" w:type="dxa"/>
            <w:shd w:val="clear" w:color="auto" w:fill="B6DDE8" w:themeFill="accent5" w:themeFillTint="66"/>
            <w:tcMar>
              <w:left w:w="57" w:type="dxa"/>
              <w:right w:w="57" w:type="dxa"/>
            </w:tcMar>
            <w:vAlign w:val="bottom"/>
          </w:tcPr>
          <w:p w14:paraId="1743CCF2"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76</w:t>
            </w:r>
          </w:p>
        </w:tc>
        <w:tc>
          <w:tcPr>
            <w:tcW w:w="911" w:type="dxa"/>
            <w:shd w:val="clear" w:color="auto" w:fill="B6DDE8" w:themeFill="accent5" w:themeFillTint="66"/>
            <w:tcMar>
              <w:left w:w="57" w:type="dxa"/>
              <w:right w:w="57" w:type="dxa"/>
            </w:tcMar>
            <w:vAlign w:val="bottom"/>
          </w:tcPr>
          <w:p w14:paraId="1F1A2FDD"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126</w:t>
            </w:r>
          </w:p>
        </w:tc>
        <w:tc>
          <w:tcPr>
            <w:tcW w:w="912" w:type="dxa"/>
            <w:shd w:val="clear" w:color="auto" w:fill="B6DDE8" w:themeFill="accent5" w:themeFillTint="66"/>
            <w:tcMar>
              <w:left w:w="57" w:type="dxa"/>
              <w:right w:w="57" w:type="dxa"/>
            </w:tcMar>
            <w:vAlign w:val="bottom"/>
          </w:tcPr>
          <w:p w14:paraId="4AAB03DB"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115</w:t>
            </w:r>
          </w:p>
        </w:tc>
      </w:tr>
      <w:tr w:rsidR="00825E68" w:rsidRPr="00237510" w14:paraId="19588B6B" w14:textId="77777777" w:rsidTr="00825E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6188C99A" w14:textId="77777777" w:rsidR="00825E68" w:rsidRPr="00237510" w:rsidRDefault="00825E68" w:rsidP="00825E68">
            <w:pPr>
              <w:rPr>
                <w:rFonts w:cs="Arial"/>
                <w:b w:val="0"/>
                <w:sz w:val="18"/>
                <w:szCs w:val="18"/>
              </w:rPr>
            </w:pPr>
            <w:r w:rsidRPr="00237510">
              <w:rPr>
                <w:rFonts w:cs="Arial"/>
                <w:b w:val="0"/>
                <w:sz w:val="18"/>
                <w:szCs w:val="18"/>
              </w:rPr>
              <w:t>EC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57AB0F8E"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250</w:t>
            </w:r>
          </w:p>
        </w:tc>
        <w:tc>
          <w:tcPr>
            <w:tcW w:w="911" w:type="dxa"/>
            <w:shd w:val="clear" w:color="auto" w:fill="B6DDE8" w:themeFill="accent5" w:themeFillTint="66"/>
            <w:tcMar>
              <w:left w:w="57" w:type="dxa"/>
              <w:right w:w="57" w:type="dxa"/>
            </w:tcMar>
            <w:vAlign w:val="bottom"/>
          </w:tcPr>
          <w:p w14:paraId="5880A907"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335</w:t>
            </w:r>
          </w:p>
        </w:tc>
        <w:tc>
          <w:tcPr>
            <w:tcW w:w="911" w:type="dxa"/>
            <w:shd w:val="clear" w:color="auto" w:fill="B6DDE8" w:themeFill="accent5" w:themeFillTint="66"/>
            <w:tcMar>
              <w:left w:w="57" w:type="dxa"/>
              <w:right w:w="57" w:type="dxa"/>
            </w:tcMar>
            <w:vAlign w:val="bottom"/>
          </w:tcPr>
          <w:p w14:paraId="5AE167B4"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320</w:t>
            </w:r>
          </w:p>
        </w:tc>
        <w:tc>
          <w:tcPr>
            <w:tcW w:w="911" w:type="dxa"/>
            <w:shd w:val="clear" w:color="auto" w:fill="B6DDE8" w:themeFill="accent5" w:themeFillTint="66"/>
            <w:tcMar>
              <w:left w:w="57" w:type="dxa"/>
              <w:right w:w="57" w:type="dxa"/>
            </w:tcMar>
            <w:vAlign w:val="bottom"/>
          </w:tcPr>
          <w:p w14:paraId="14544F64"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358</w:t>
            </w:r>
          </w:p>
        </w:tc>
        <w:tc>
          <w:tcPr>
            <w:tcW w:w="912" w:type="dxa"/>
            <w:shd w:val="clear" w:color="auto" w:fill="B6DDE8" w:themeFill="accent5" w:themeFillTint="66"/>
            <w:tcMar>
              <w:left w:w="57" w:type="dxa"/>
              <w:right w:w="57" w:type="dxa"/>
            </w:tcMar>
            <w:vAlign w:val="bottom"/>
          </w:tcPr>
          <w:p w14:paraId="0176717E"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359</w:t>
            </w:r>
          </w:p>
        </w:tc>
        <w:tc>
          <w:tcPr>
            <w:tcW w:w="911" w:type="dxa"/>
            <w:shd w:val="clear" w:color="auto" w:fill="B6DDE8" w:themeFill="accent5" w:themeFillTint="66"/>
            <w:tcMar>
              <w:left w:w="57" w:type="dxa"/>
              <w:right w:w="57" w:type="dxa"/>
            </w:tcMar>
            <w:vAlign w:val="bottom"/>
          </w:tcPr>
          <w:p w14:paraId="37ECB129"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426</w:t>
            </w:r>
          </w:p>
        </w:tc>
        <w:tc>
          <w:tcPr>
            <w:tcW w:w="911" w:type="dxa"/>
            <w:shd w:val="clear" w:color="auto" w:fill="B6DDE8" w:themeFill="accent5" w:themeFillTint="66"/>
            <w:tcMar>
              <w:left w:w="57" w:type="dxa"/>
              <w:right w:w="57" w:type="dxa"/>
            </w:tcMar>
            <w:vAlign w:val="bottom"/>
          </w:tcPr>
          <w:p w14:paraId="0E554931"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428</w:t>
            </w:r>
          </w:p>
        </w:tc>
        <w:tc>
          <w:tcPr>
            <w:tcW w:w="912" w:type="dxa"/>
            <w:shd w:val="clear" w:color="auto" w:fill="B6DDE8" w:themeFill="accent5" w:themeFillTint="66"/>
            <w:tcMar>
              <w:left w:w="57" w:type="dxa"/>
              <w:right w:w="57" w:type="dxa"/>
            </w:tcMar>
            <w:vAlign w:val="bottom"/>
          </w:tcPr>
          <w:p w14:paraId="78E58CD4"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483</w:t>
            </w:r>
          </w:p>
        </w:tc>
      </w:tr>
    </w:tbl>
    <w:p w14:paraId="67624F96" w14:textId="22C95FFB" w:rsidR="00A82D9D" w:rsidRPr="00237510" w:rsidRDefault="00A82D9D" w:rsidP="00A82D9D">
      <w:pPr>
        <w:rPr>
          <w:lang w:eastAsia="en-US"/>
        </w:rPr>
      </w:pPr>
    </w:p>
    <w:p w14:paraId="3932F75D" w14:textId="61206CCE" w:rsidR="00825E68" w:rsidRPr="00237510" w:rsidRDefault="00825E68" w:rsidP="00825E68">
      <w:pPr>
        <w:pStyle w:val="Caption"/>
        <w:rPr>
          <w:lang w:eastAsia="en-US"/>
        </w:rPr>
      </w:pPr>
      <w:bookmarkStart w:id="30" w:name="_Ref536870010"/>
      <w:r w:rsidRPr="00237510">
        <w:t xml:space="preserve">Table </w:t>
      </w:r>
      <w:r>
        <w:fldChar w:fldCharType="begin"/>
      </w:r>
      <w:r>
        <w:instrText>SEQ Table \* ARABIC</w:instrText>
      </w:r>
      <w:r>
        <w:fldChar w:fldCharType="separate"/>
      </w:r>
      <w:r w:rsidR="008C72C8" w:rsidRPr="00237510">
        <w:t>2</w:t>
      </w:r>
      <w:r>
        <w:fldChar w:fldCharType="end"/>
      </w:r>
      <w:bookmarkEnd w:id="30"/>
      <w:r w:rsidRPr="00237510">
        <w:t>: Water quality indicators Morwell River at Yallourn. Shading indicates exceed</w:t>
      </w:r>
      <w:r w:rsidR="00B47B94">
        <w:t>a</w:t>
      </w:r>
      <w:r w:rsidRPr="00237510">
        <w:t>nce of SEPP(Waters) objective. Data from WMIS. TN = total nitrogen (</w:t>
      </w:r>
      <w:r w:rsidRPr="00237510">
        <w:rPr>
          <w:rFonts w:ascii="Symbol" w:eastAsia="Symbol" w:hAnsi="Symbol" w:cs="Symbol"/>
        </w:rPr>
        <w:t></w:t>
      </w:r>
      <w:r w:rsidRPr="00237510">
        <w:t>g/L), TP = total phosphorus (</w:t>
      </w:r>
      <w:r w:rsidRPr="00237510">
        <w:rPr>
          <w:rFonts w:ascii="Symbol" w:eastAsia="Symbol" w:hAnsi="Symbol" w:cs="Symbol"/>
        </w:rPr>
        <w:t></w:t>
      </w:r>
      <w:r w:rsidRPr="00237510">
        <w:t>g/L), EC = electrical conductivity (</w:t>
      </w:r>
      <w:r w:rsidRPr="00237510">
        <w:rPr>
          <w:rFonts w:ascii="Symbol" w:eastAsia="Symbol" w:hAnsi="Symbol" w:cs="Symbol"/>
        </w:rPr>
        <w:t></w:t>
      </w:r>
      <w:r w:rsidRPr="00237510">
        <w:t>S/cm).</w:t>
      </w:r>
    </w:p>
    <w:tbl>
      <w:tblPr>
        <w:tblStyle w:val="ListTable3-Accent52"/>
        <w:tblW w:w="8784" w:type="dxa"/>
        <w:tblLayout w:type="fixed"/>
        <w:tblLook w:val="04A0" w:firstRow="1" w:lastRow="0" w:firstColumn="1" w:lastColumn="0" w:noHBand="0" w:noVBand="1"/>
      </w:tblPr>
      <w:tblGrid>
        <w:gridCol w:w="1413"/>
        <w:gridCol w:w="992"/>
        <w:gridCol w:w="911"/>
        <w:gridCol w:w="911"/>
        <w:gridCol w:w="911"/>
        <w:gridCol w:w="912"/>
        <w:gridCol w:w="911"/>
        <w:gridCol w:w="911"/>
        <w:gridCol w:w="912"/>
      </w:tblGrid>
      <w:tr w:rsidR="00825E68" w:rsidRPr="00237510" w14:paraId="4AD5D6B4" w14:textId="77777777" w:rsidTr="00825E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tcMar>
              <w:left w:w="57" w:type="dxa"/>
              <w:right w:w="57" w:type="dxa"/>
            </w:tcMar>
          </w:tcPr>
          <w:p w14:paraId="73487BC8" w14:textId="77777777" w:rsidR="00825E68" w:rsidRPr="00237510" w:rsidRDefault="00825E68" w:rsidP="00825E68">
            <w:pPr>
              <w:rPr>
                <w:rFonts w:cs="Arial"/>
                <w:sz w:val="18"/>
                <w:szCs w:val="18"/>
              </w:rPr>
            </w:pPr>
            <w:r w:rsidRPr="00237510">
              <w:rPr>
                <w:rFonts w:cs="Arial"/>
                <w:sz w:val="18"/>
                <w:szCs w:val="18"/>
              </w:rPr>
              <w:t>Indicator</w:t>
            </w:r>
          </w:p>
        </w:tc>
        <w:tc>
          <w:tcPr>
            <w:tcW w:w="992" w:type="dxa"/>
            <w:tcMar>
              <w:left w:w="57" w:type="dxa"/>
              <w:right w:w="57" w:type="dxa"/>
            </w:tcMar>
          </w:tcPr>
          <w:p w14:paraId="3EC18F0F"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SEPP Objective</w:t>
            </w:r>
          </w:p>
        </w:tc>
        <w:tc>
          <w:tcPr>
            <w:tcW w:w="911" w:type="dxa"/>
            <w:tcMar>
              <w:left w:w="57" w:type="dxa"/>
              <w:right w:w="57" w:type="dxa"/>
            </w:tcMar>
          </w:tcPr>
          <w:p w14:paraId="2299FF67"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2013</w:t>
            </w:r>
          </w:p>
        </w:tc>
        <w:tc>
          <w:tcPr>
            <w:tcW w:w="911" w:type="dxa"/>
            <w:tcMar>
              <w:left w:w="57" w:type="dxa"/>
              <w:right w:w="57" w:type="dxa"/>
            </w:tcMar>
          </w:tcPr>
          <w:p w14:paraId="08E7DACD"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2014</w:t>
            </w:r>
          </w:p>
        </w:tc>
        <w:tc>
          <w:tcPr>
            <w:tcW w:w="911" w:type="dxa"/>
            <w:tcMar>
              <w:left w:w="57" w:type="dxa"/>
              <w:right w:w="57" w:type="dxa"/>
            </w:tcMar>
          </w:tcPr>
          <w:p w14:paraId="41C1AFC8"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2015</w:t>
            </w:r>
          </w:p>
        </w:tc>
        <w:tc>
          <w:tcPr>
            <w:tcW w:w="912" w:type="dxa"/>
            <w:tcMar>
              <w:left w:w="57" w:type="dxa"/>
              <w:right w:w="57" w:type="dxa"/>
            </w:tcMar>
          </w:tcPr>
          <w:p w14:paraId="3E81662C"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2016</w:t>
            </w:r>
          </w:p>
        </w:tc>
        <w:tc>
          <w:tcPr>
            <w:tcW w:w="911" w:type="dxa"/>
            <w:tcMar>
              <w:left w:w="57" w:type="dxa"/>
              <w:right w:w="57" w:type="dxa"/>
            </w:tcMar>
          </w:tcPr>
          <w:p w14:paraId="053969A6"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2017</w:t>
            </w:r>
          </w:p>
        </w:tc>
        <w:tc>
          <w:tcPr>
            <w:tcW w:w="911" w:type="dxa"/>
            <w:tcMar>
              <w:left w:w="57" w:type="dxa"/>
              <w:right w:w="57" w:type="dxa"/>
            </w:tcMar>
          </w:tcPr>
          <w:p w14:paraId="0696B99C"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2018</w:t>
            </w:r>
          </w:p>
        </w:tc>
        <w:tc>
          <w:tcPr>
            <w:tcW w:w="912" w:type="dxa"/>
            <w:tcMar>
              <w:left w:w="57" w:type="dxa"/>
              <w:right w:w="57" w:type="dxa"/>
            </w:tcMar>
          </w:tcPr>
          <w:p w14:paraId="5F5B40E7" w14:textId="77777777" w:rsidR="00825E68" w:rsidRPr="00237510" w:rsidRDefault="00825E68" w:rsidP="00825E68">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2019</w:t>
            </w:r>
          </w:p>
        </w:tc>
      </w:tr>
      <w:tr w:rsidR="00825E68" w:rsidRPr="00237510" w14:paraId="79631E41" w14:textId="77777777" w:rsidTr="00825E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089A89BE" w14:textId="77777777" w:rsidR="00825E68" w:rsidRPr="00237510" w:rsidRDefault="00825E68" w:rsidP="00825E68">
            <w:pPr>
              <w:rPr>
                <w:rFonts w:cs="Arial"/>
                <w:b w:val="0"/>
                <w:sz w:val="18"/>
                <w:szCs w:val="18"/>
              </w:rPr>
            </w:pPr>
            <w:r w:rsidRPr="00237510">
              <w:rPr>
                <w:rFonts w:cs="Arial"/>
                <w:b w:val="0"/>
                <w:sz w:val="18"/>
                <w:szCs w:val="18"/>
              </w:rPr>
              <w:t>Turbidity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2BA2E30A"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25</w:t>
            </w:r>
          </w:p>
        </w:tc>
        <w:tc>
          <w:tcPr>
            <w:tcW w:w="911" w:type="dxa"/>
            <w:shd w:val="clear" w:color="auto" w:fill="B6DDE8" w:themeFill="accent5" w:themeFillTint="66"/>
            <w:tcMar>
              <w:left w:w="57" w:type="dxa"/>
              <w:right w:w="57" w:type="dxa"/>
            </w:tcMar>
            <w:vAlign w:val="bottom"/>
          </w:tcPr>
          <w:p w14:paraId="22ECC622"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71</w:t>
            </w:r>
          </w:p>
        </w:tc>
        <w:tc>
          <w:tcPr>
            <w:tcW w:w="911" w:type="dxa"/>
            <w:shd w:val="clear" w:color="auto" w:fill="B6DDE8" w:themeFill="accent5" w:themeFillTint="66"/>
            <w:tcMar>
              <w:left w:w="57" w:type="dxa"/>
              <w:right w:w="57" w:type="dxa"/>
            </w:tcMar>
            <w:vAlign w:val="bottom"/>
          </w:tcPr>
          <w:p w14:paraId="7079D579"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53</w:t>
            </w:r>
          </w:p>
        </w:tc>
        <w:tc>
          <w:tcPr>
            <w:tcW w:w="911" w:type="dxa"/>
            <w:shd w:val="clear" w:color="auto" w:fill="B6DDE8" w:themeFill="accent5" w:themeFillTint="66"/>
            <w:tcMar>
              <w:left w:w="57" w:type="dxa"/>
              <w:right w:w="57" w:type="dxa"/>
            </w:tcMar>
            <w:vAlign w:val="bottom"/>
          </w:tcPr>
          <w:p w14:paraId="0CFF7BF8"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51</w:t>
            </w:r>
          </w:p>
        </w:tc>
        <w:tc>
          <w:tcPr>
            <w:tcW w:w="912" w:type="dxa"/>
            <w:shd w:val="clear" w:color="auto" w:fill="B6DDE8" w:themeFill="accent5" w:themeFillTint="66"/>
            <w:tcMar>
              <w:left w:w="57" w:type="dxa"/>
              <w:right w:w="57" w:type="dxa"/>
            </w:tcMar>
            <w:vAlign w:val="bottom"/>
          </w:tcPr>
          <w:p w14:paraId="40439A0F"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48</w:t>
            </w:r>
          </w:p>
        </w:tc>
        <w:tc>
          <w:tcPr>
            <w:tcW w:w="911" w:type="dxa"/>
            <w:shd w:val="clear" w:color="auto" w:fill="B6DDE8" w:themeFill="accent5" w:themeFillTint="66"/>
            <w:tcMar>
              <w:left w:w="57" w:type="dxa"/>
              <w:right w:w="57" w:type="dxa"/>
            </w:tcMar>
            <w:vAlign w:val="bottom"/>
          </w:tcPr>
          <w:p w14:paraId="7C79F76E"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46</w:t>
            </w:r>
          </w:p>
        </w:tc>
        <w:tc>
          <w:tcPr>
            <w:tcW w:w="911" w:type="dxa"/>
            <w:shd w:val="clear" w:color="auto" w:fill="B6DDE8" w:themeFill="accent5" w:themeFillTint="66"/>
            <w:tcMar>
              <w:left w:w="57" w:type="dxa"/>
              <w:right w:w="57" w:type="dxa"/>
            </w:tcMar>
            <w:vAlign w:val="bottom"/>
          </w:tcPr>
          <w:p w14:paraId="6E1629D3"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37</w:t>
            </w:r>
          </w:p>
        </w:tc>
        <w:tc>
          <w:tcPr>
            <w:tcW w:w="912" w:type="dxa"/>
            <w:shd w:val="clear" w:color="auto" w:fill="B6DDE8" w:themeFill="accent5" w:themeFillTint="66"/>
            <w:tcMar>
              <w:left w:w="57" w:type="dxa"/>
              <w:right w:w="57" w:type="dxa"/>
            </w:tcMar>
            <w:vAlign w:val="bottom"/>
          </w:tcPr>
          <w:p w14:paraId="634F6F06"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48</w:t>
            </w:r>
          </w:p>
        </w:tc>
      </w:tr>
      <w:tr w:rsidR="00825E68" w:rsidRPr="00237510" w14:paraId="533AB903" w14:textId="77777777" w:rsidTr="007C1B85">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6A8CA516" w14:textId="77777777" w:rsidR="00825E68" w:rsidRPr="00237510" w:rsidRDefault="00825E68" w:rsidP="00825E68">
            <w:pPr>
              <w:rPr>
                <w:rFonts w:cs="Arial"/>
                <w:b w:val="0"/>
                <w:sz w:val="18"/>
                <w:szCs w:val="18"/>
              </w:rPr>
            </w:pPr>
            <w:r w:rsidRPr="00237510">
              <w:rPr>
                <w:rFonts w:cs="Arial"/>
                <w:b w:val="0"/>
                <w:sz w:val="18"/>
                <w:szCs w:val="18"/>
              </w:rPr>
              <w:t>pH (25</w:t>
            </w:r>
            <w:r w:rsidRPr="00237510">
              <w:rPr>
                <w:rFonts w:cs="Arial"/>
                <w:b w:val="0"/>
                <w:sz w:val="18"/>
                <w:szCs w:val="18"/>
                <w:vertAlign w:val="superscript"/>
              </w:rPr>
              <w:t>th</w:t>
            </w:r>
            <w:r w:rsidRPr="00237510">
              <w:rPr>
                <w:rFonts w:cs="Arial"/>
                <w:b w:val="0"/>
                <w:sz w:val="18"/>
                <w:szCs w:val="18"/>
              </w:rPr>
              <w:t xml:space="preserve"> – 75th)</w:t>
            </w:r>
          </w:p>
        </w:tc>
        <w:tc>
          <w:tcPr>
            <w:tcW w:w="992" w:type="dxa"/>
            <w:tcMar>
              <w:left w:w="57" w:type="dxa"/>
              <w:right w:w="57" w:type="dxa"/>
            </w:tcMar>
          </w:tcPr>
          <w:p w14:paraId="30A63866"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6.7-7.7</w:t>
            </w:r>
          </w:p>
        </w:tc>
        <w:tc>
          <w:tcPr>
            <w:tcW w:w="911" w:type="dxa"/>
            <w:shd w:val="clear" w:color="auto" w:fill="auto"/>
            <w:tcMar>
              <w:left w:w="57" w:type="dxa"/>
              <w:right w:w="57" w:type="dxa"/>
            </w:tcMar>
          </w:tcPr>
          <w:p w14:paraId="73CE811C"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7.0-7.3</w:t>
            </w:r>
          </w:p>
        </w:tc>
        <w:tc>
          <w:tcPr>
            <w:tcW w:w="911" w:type="dxa"/>
            <w:shd w:val="clear" w:color="auto" w:fill="auto"/>
            <w:tcMar>
              <w:left w:w="57" w:type="dxa"/>
              <w:right w:w="57" w:type="dxa"/>
            </w:tcMar>
          </w:tcPr>
          <w:p w14:paraId="543C0A21"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7.0-7.2</w:t>
            </w:r>
          </w:p>
        </w:tc>
        <w:tc>
          <w:tcPr>
            <w:tcW w:w="911" w:type="dxa"/>
            <w:shd w:val="clear" w:color="auto" w:fill="auto"/>
            <w:tcMar>
              <w:left w:w="57" w:type="dxa"/>
              <w:right w:w="57" w:type="dxa"/>
            </w:tcMar>
          </w:tcPr>
          <w:p w14:paraId="1E5D70AD"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7.1-7.3</w:t>
            </w:r>
          </w:p>
        </w:tc>
        <w:tc>
          <w:tcPr>
            <w:tcW w:w="912" w:type="dxa"/>
            <w:shd w:val="clear" w:color="auto" w:fill="auto"/>
            <w:tcMar>
              <w:left w:w="57" w:type="dxa"/>
              <w:right w:w="57" w:type="dxa"/>
            </w:tcMar>
          </w:tcPr>
          <w:p w14:paraId="01B86AC7"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7.1-7.3</w:t>
            </w:r>
          </w:p>
        </w:tc>
        <w:tc>
          <w:tcPr>
            <w:tcW w:w="911" w:type="dxa"/>
            <w:shd w:val="clear" w:color="auto" w:fill="auto"/>
            <w:tcMar>
              <w:left w:w="57" w:type="dxa"/>
              <w:right w:w="57" w:type="dxa"/>
            </w:tcMar>
          </w:tcPr>
          <w:p w14:paraId="1AE5042D"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7.2-7.3</w:t>
            </w:r>
          </w:p>
        </w:tc>
        <w:tc>
          <w:tcPr>
            <w:tcW w:w="911" w:type="dxa"/>
            <w:shd w:val="clear" w:color="auto" w:fill="auto"/>
            <w:tcMar>
              <w:left w:w="57" w:type="dxa"/>
              <w:right w:w="57" w:type="dxa"/>
            </w:tcMar>
          </w:tcPr>
          <w:p w14:paraId="5EDDE872" w14:textId="10717F5E"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w:t>
            </w:r>
            <w:r w:rsidR="007C1B85" w:rsidRPr="00237510">
              <w:rPr>
                <w:rFonts w:cs="Arial"/>
                <w:sz w:val="18"/>
                <w:szCs w:val="18"/>
              </w:rPr>
              <w:t>4</w:t>
            </w:r>
            <w:r w:rsidRPr="00237510">
              <w:rPr>
                <w:rFonts w:cs="Arial"/>
                <w:sz w:val="18"/>
                <w:szCs w:val="18"/>
              </w:rPr>
              <w:t>-</w:t>
            </w:r>
            <w:r w:rsidR="004D22D6" w:rsidRPr="00237510">
              <w:rPr>
                <w:rFonts w:cs="Arial"/>
                <w:sz w:val="18"/>
                <w:szCs w:val="18"/>
              </w:rPr>
              <w:t>7.7</w:t>
            </w:r>
          </w:p>
        </w:tc>
        <w:tc>
          <w:tcPr>
            <w:tcW w:w="912" w:type="dxa"/>
            <w:shd w:val="clear" w:color="auto" w:fill="auto"/>
            <w:tcMar>
              <w:left w:w="57" w:type="dxa"/>
              <w:right w:w="57" w:type="dxa"/>
            </w:tcMar>
          </w:tcPr>
          <w:p w14:paraId="022B53CE" w14:textId="1C25CCCC"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7.5-</w:t>
            </w:r>
            <w:r w:rsidR="004D22D6" w:rsidRPr="00237510">
              <w:rPr>
                <w:rFonts w:cs="Arial"/>
                <w:sz w:val="18"/>
                <w:szCs w:val="18"/>
              </w:rPr>
              <w:t>7</w:t>
            </w:r>
            <w:r w:rsidR="007C1B85" w:rsidRPr="00237510">
              <w:rPr>
                <w:rFonts w:cs="Arial"/>
                <w:sz w:val="18"/>
                <w:szCs w:val="18"/>
              </w:rPr>
              <w:t>.7</w:t>
            </w:r>
          </w:p>
        </w:tc>
      </w:tr>
      <w:tr w:rsidR="00825E68" w:rsidRPr="00237510" w14:paraId="0FC02C4D" w14:textId="77777777" w:rsidTr="000571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0ED88442" w14:textId="77777777" w:rsidR="00825E68" w:rsidRPr="00237510" w:rsidRDefault="00825E68" w:rsidP="00825E68">
            <w:pPr>
              <w:rPr>
                <w:rFonts w:cs="Arial"/>
                <w:b w:val="0"/>
                <w:sz w:val="18"/>
                <w:szCs w:val="18"/>
              </w:rPr>
            </w:pPr>
            <w:r w:rsidRPr="00237510">
              <w:rPr>
                <w:rFonts w:cs="Arial"/>
                <w:b w:val="0"/>
                <w:sz w:val="18"/>
                <w:szCs w:val="18"/>
              </w:rPr>
              <w:t>TN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23568C21"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1100</w:t>
            </w:r>
          </w:p>
        </w:tc>
        <w:tc>
          <w:tcPr>
            <w:tcW w:w="911" w:type="dxa"/>
            <w:shd w:val="clear" w:color="auto" w:fill="B6DDE8" w:themeFill="accent5" w:themeFillTint="66"/>
            <w:tcMar>
              <w:left w:w="57" w:type="dxa"/>
              <w:right w:w="57" w:type="dxa"/>
            </w:tcMar>
            <w:vAlign w:val="bottom"/>
          </w:tcPr>
          <w:p w14:paraId="4A4A91A6"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1303</w:t>
            </w:r>
          </w:p>
        </w:tc>
        <w:tc>
          <w:tcPr>
            <w:tcW w:w="911" w:type="dxa"/>
            <w:shd w:val="clear" w:color="auto" w:fill="auto"/>
            <w:tcMar>
              <w:left w:w="57" w:type="dxa"/>
              <w:right w:w="57" w:type="dxa"/>
            </w:tcMar>
            <w:vAlign w:val="bottom"/>
          </w:tcPr>
          <w:p w14:paraId="29C267F8"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1045</w:t>
            </w:r>
          </w:p>
        </w:tc>
        <w:tc>
          <w:tcPr>
            <w:tcW w:w="911" w:type="dxa"/>
            <w:shd w:val="clear" w:color="auto" w:fill="auto"/>
            <w:tcMar>
              <w:left w:w="57" w:type="dxa"/>
              <w:right w:w="57" w:type="dxa"/>
            </w:tcMar>
            <w:vAlign w:val="bottom"/>
          </w:tcPr>
          <w:p w14:paraId="221B66B1"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883</w:t>
            </w:r>
          </w:p>
        </w:tc>
        <w:tc>
          <w:tcPr>
            <w:tcW w:w="912" w:type="dxa"/>
            <w:shd w:val="clear" w:color="auto" w:fill="auto"/>
            <w:tcMar>
              <w:left w:w="57" w:type="dxa"/>
              <w:right w:w="57" w:type="dxa"/>
            </w:tcMar>
            <w:vAlign w:val="bottom"/>
          </w:tcPr>
          <w:p w14:paraId="103F66BA"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885</w:t>
            </w:r>
          </w:p>
        </w:tc>
        <w:tc>
          <w:tcPr>
            <w:tcW w:w="911" w:type="dxa"/>
            <w:shd w:val="clear" w:color="auto" w:fill="auto"/>
            <w:tcMar>
              <w:left w:w="57" w:type="dxa"/>
              <w:right w:w="57" w:type="dxa"/>
            </w:tcMar>
            <w:vAlign w:val="bottom"/>
          </w:tcPr>
          <w:p w14:paraId="6B54998D"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960</w:t>
            </w:r>
          </w:p>
        </w:tc>
        <w:tc>
          <w:tcPr>
            <w:tcW w:w="911" w:type="dxa"/>
            <w:shd w:val="clear" w:color="auto" w:fill="auto"/>
            <w:tcMar>
              <w:left w:w="57" w:type="dxa"/>
              <w:right w:w="57" w:type="dxa"/>
            </w:tcMar>
            <w:vAlign w:val="bottom"/>
          </w:tcPr>
          <w:p w14:paraId="2793A7F7"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872</w:t>
            </w:r>
          </w:p>
        </w:tc>
        <w:tc>
          <w:tcPr>
            <w:tcW w:w="912" w:type="dxa"/>
            <w:shd w:val="clear" w:color="auto" w:fill="auto"/>
            <w:tcMar>
              <w:left w:w="57" w:type="dxa"/>
              <w:right w:w="57" w:type="dxa"/>
            </w:tcMar>
            <w:vAlign w:val="bottom"/>
          </w:tcPr>
          <w:p w14:paraId="669F7E61"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950</w:t>
            </w:r>
          </w:p>
        </w:tc>
      </w:tr>
      <w:tr w:rsidR="00825E68" w:rsidRPr="00237510" w14:paraId="0592EAAD" w14:textId="77777777" w:rsidTr="00825E68">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5A705060" w14:textId="77777777" w:rsidR="00825E68" w:rsidRPr="00237510" w:rsidRDefault="00825E68" w:rsidP="00825E68">
            <w:pPr>
              <w:rPr>
                <w:rFonts w:cs="Arial"/>
                <w:b w:val="0"/>
                <w:sz w:val="18"/>
                <w:szCs w:val="18"/>
              </w:rPr>
            </w:pPr>
            <w:r w:rsidRPr="00237510">
              <w:rPr>
                <w:rFonts w:cs="Arial"/>
                <w:b w:val="0"/>
                <w:sz w:val="18"/>
                <w:szCs w:val="18"/>
              </w:rPr>
              <w:t>TP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21C85AE1"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55</w:t>
            </w:r>
          </w:p>
        </w:tc>
        <w:tc>
          <w:tcPr>
            <w:tcW w:w="911" w:type="dxa"/>
            <w:shd w:val="clear" w:color="auto" w:fill="B6DDE8" w:themeFill="accent5" w:themeFillTint="66"/>
            <w:tcMar>
              <w:left w:w="57" w:type="dxa"/>
              <w:right w:w="57" w:type="dxa"/>
            </w:tcMar>
            <w:vAlign w:val="bottom"/>
          </w:tcPr>
          <w:p w14:paraId="1E5321B6"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120</w:t>
            </w:r>
          </w:p>
        </w:tc>
        <w:tc>
          <w:tcPr>
            <w:tcW w:w="911" w:type="dxa"/>
            <w:shd w:val="clear" w:color="auto" w:fill="B6DDE8" w:themeFill="accent5" w:themeFillTint="66"/>
            <w:tcMar>
              <w:left w:w="57" w:type="dxa"/>
              <w:right w:w="57" w:type="dxa"/>
            </w:tcMar>
            <w:vAlign w:val="bottom"/>
          </w:tcPr>
          <w:p w14:paraId="764110E4"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85</w:t>
            </w:r>
          </w:p>
        </w:tc>
        <w:tc>
          <w:tcPr>
            <w:tcW w:w="911" w:type="dxa"/>
            <w:shd w:val="clear" w:color="auto" w:fill="B6DDE8" w:themeFill="accent5" w:themeFillTint="66"/>
            <w:tcMar>
              <w:left w:w="57" w:type="dxa"/>
              <w:right w:w="57" w:type="dxa"/>
            </w:tcMar>
            <w:vAlign w:val="bottom"/>
          </w:tcPr>
          <w:p w14:paraId="3931E97F"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77</w:t>
            </w:r>
          </w:p>
        </w:tc>
        <w:tc>
          <w:tcPr>
            <w:tcW w:w="912" w:type="dxa"/>
            <w:shd w:val="clear" w:color="auto" w:fill="B6DDE8" w:themeFill="accent5" w:themeFillTint="66"/>
            <w:tcMar>
              <w:left w:w="57" w:type="dxa"/>
              <w:right w:w="57" w:type="dxa"/>
            </w:tcMar>
            <w:vAlign w:val="bottom"/>
          </w:tcPr>
          <w:p w14:paraId="4AD791EA"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67</w:t>
            </w:r>
          </w:p>
        </w:tc>
        <w:tc>
          <w:tcPr>
            <w:tcW w:w="911" w:type="dxa"/>
            <w:shd w:val="clear" w:color="auto" w:fill="B6DDE8" w:themeFill="accent5" w:themeFillTint="66"/>
            <w:tcMar>
              <w:left w:w="57" w:type="dxa"/>
              <w:right w:w="57" w:type="dxa"/>
            </w:tcMar>
            <w:vAlign w:val="bottom"/>
          </w:tcPr>
          <w:p w14:paraId="4B05A39C"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68</w:t>
            </w:r>
          </w:p>
        </w:tc>
        <w:tc>
          <w:tcPr>
            <w:tcW w:w="911" w:type="dxa"/>
            <w:shd w:val="clear" w:color="auto" w:fill="B6DDE8" w:themeFill="accent5" w:themeFillTint="66"/>
            <w:tcMar>
              <w:left w:w="57" w:type="dxa"/>
              <w:right w:w="57" w:type="dxa"/>
            </w:tcMar>
            <w:vAlign w:val="bottom"/>
          </w:tcPr>
          <w:p w14:paraId="32627D33"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63</w:t>
            </w:r>
          </w:p>
        </w:tc>
        <w:tc>
          <w:tcPr>
            <w:tcW w:w="912" w:type="dxa"/>
            <w:shd w:val="clear" w:color="auto" w:fill="B6DDE8" w:themeFill="accent5" w:themeFillTint="66"/>
            <w:tcMar>
              <w:left w:w="57" w:type="dxa"/>
              <w:right w:w="57" w:type="dxa"/>
            </w:tcMar>
            <w:vAlign w:val="bottom"/>
          </w:tcPr>
          <w:p w14:paraId="0769EC17" w14:textId="77777777" w:rsidR="00825E68" w:rsidRPr="00237510" w:rsidRDefault="00825E68" w:rsidP="00825E68">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71</w:t>
            </w:r>
          </w:p>
        </w:tc>
      </w:tr>
      <w:tr w:rsidR="00825E68" w:rsidRPr="00237510" w14:paraId="4F12A537" w14:textId="77777777" w:rsidTr="00825E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7041AACA" w14:textId="77777777" w:rsidR="00825E68" w:rsidRPr="00237510" w:rsidRDefault="00825E68" w:rsidP="00825E68">
            <w:pPr>
              <w:rPr>
                <w:rFonts w:cs="Arial"/>
                <w:b w:val="0"/>
                <w:sz w:val="18"/>
                <w:szCs w:val="18"/>
              </w:rPr>
            </w:pPr>
            <w:r w:rsidRPr="00237510">
              <w:rPr>
                <w:rFonts w:cs="Arial"/>
                <w:b w:val="0"/>
                <w:sz w:val="18"/>
                <w:szCs w:val="18"/>
              </w:rPr>
              <w:t>EC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2241ED36"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250</w:t>
            </w:r>
          </w:p>
        </w:tc>
        <w:tc>
          <w:tcPr>
            <w:tcW w:w="911" w:type="dxa"/>
            <w:shd w:val="clear" w:color="auto" w:fill="B6DDE8" w:themeFill="accent5" w:themeFillTint="66"/>
            <w:tcMar>
              <w:left w:w="57" w:type="dxa"/>
              <w:right w:w="57" w:type="dxa"/>
            </w:tcMar>
            <w:vAlign w:val="bottom"/>
          </w:tcPr>
          <w:p w14:paraId="563604C3"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456</w:t>
            </w:r>
          </w:p>
        </w:tc>
        <w:tc>
          <w:tcPr>
            <w:tcW w:w="911" w:type="dxa"/>
            <w:shd w:val="clear" w:color="auto" w:fill="B6DDE8" w:themeFill="accent5" w:themeFillTint="66"/>
            <w:tcMar>
              <w:left w:w="57" w:type="dxa"/>
              <w:right w:w="57" w:type="dxa"/>
            </w:tcMar>
            <w:vAlign w:val="bottom"/>
          </w:tcPr>
          <w:p w14:paraId="71618600"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455</w:t>
            </w:r>
          </w:p>
        </w:tc>
        <w:tc>
          <w:tcPr>
            <w:tcW w:w="911" w:type="dxa"/>
            <w:shd w:val="clear" w:color="auto" w:fill="B6DDE8" w:themeFill="accent5" w:themeFillTint="66"/>
            <w:tcMar>
              <w:left w:w="57" w:type="dxa"/>
              <w:right w:w="57" w:type="dxa"/>
            </w:tcMar>
            <w:vAlign w:val="bottom"/>
          </w:tcPr>
          <w:p w14:paraId="455EB40C"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574</w:t>
            </w:r>
          </w:p>
        </w:tc>
        <w:tc>
          <w:tcPr>
            <w:tcW w:w="912" w:type="dxa"/>
            <w:shd w:val="clear" w:color="auto" w:fill="B6DDE8" w:themeFill="accent5" w:themeFillTint="66"/>
            <w:tcMar>
              <w:left w:w="57" w:type="dxa"/>
              <w:right w:w="57" w:type="dxa"/>
            </w:tcMar>
            <w:vAlign w:val="bottom"/>
          </w:tcPr>
          <w:p w14:paraId="5D2E088C"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605</w:t>
            </w:r>
          </w:p>
        </w:tc>
        <w:tc>
          <w:tcPr>
            <w:tcW w:w="911" w:type="dxa"/>
            <w:shd w:val="clear" w:color="auto" w:fill="B6DDE8" w:themeFill="accent5" w:themeFillTint="66"/>
            <w:tcMar>
              <w:left w:w="57" w:type="dxa"/>
              <w:right w:w="57" w:type="dxa"/>
            </w:tcMar>
            <w:vAlign w:val="bottom"/>
          </w:tcPr>
          <w:p w14:paraId="4A0ADB0B"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676</w:t>
            </w:r>
          </w:p>
        </w:tc>
        <w:tc>
          <w:tcPr>
            <w:tcW w:w="911" w:type="dxa"/>
            <w:shd w:val="clear" w:color="auto" w:fill="B6DDE8" w:themeFill="accent5" w:themeFillTint="66"/>
            <w:tcMar>
              <w:left w:w="57" w:type="dxa"/>
              <w:right w:w="57" w:type="dxa"/>
            </w:tcMar>
            <w:vAlign w:val="bottom"/>
          </w:tcPr>
          <w:p w14:paraId="1D821C53"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722</w:t>
            </w:r>
          </w:p>
        </w:tc>
        <w:tc>
          <w:tcPr>
            <w:tcW w:w="912" w:type="dxa"/>
            <w:shd w:val="clear" w:color="auto" w:fill="B6DDE8" w:themeFill="accent5" w:themeFillTint="66"/>
            <w:tcMar>
              <w:left w:w="57" w:type="dxa"/>
              <w:right w:w="57" w:type="dxa"/>
            </w:tcMar>
            <w:vAlign w:val="bottom"/>
          </w:tcPr>
          <w:p w14:paraId="23856223" w14:textId="77777777" w:rsidR="00825E68" w:rsidRPr="00237510" w:rsidRDefault="00825E68" w:rsidP="00825E68">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712</w:t>
            </w:r>
          </w:p>
        </w:tc>
      </w:tr>
    </w:tbl>
    <w:p w14:paraId="19591A48" w14:textId="18C88C1E" w:rsidR="00825E68" w:rsidRPr="00237510" w:rsidRDefault="00825E68" w:rsidP="00825E68">
      <w:pPr>
        <w:rPr>
          <w:lang w:eastAsia="en-US"/>
        </w:rPr>
      </w:pPr>
    </w:p>
    <w:p w14:paraId="06904E49" w14:textId="67215279" w:rsidR="004D22D6" w:rsidRPr="00237510" w:rsidRDefault="004D22D6" w:rsidP="004D22D6">
      <w:pPr>
        <w:pStyle w:val="Caption"/>
        <w:rPr>
          <w:lang w:eastAsia="en-US"/>
        </w:rPr>
      </w:pPr>
      <w:bookmarkStart w:id="31" w:name="_Ref536870009"/>
      <w:r w:rsidRPr="00237510">
        <w:t xml:space="preserve">Table </w:t>
      </w:r>
      <w:r>
        <w:fldChar w:fldCharType="begin"/>
      </w:r>
      <w:r>
        <w:instrText>SEQ Table \* ARABIC</w:instrText>
      </w:r>
      <w:r>
        <w:fldChar w:fldCharType="separate"/>
      </w:r>
      <w:r w:rsidR="008C72C8" w:rsidRPr="00237510">
        <w:t>3</w:t>
      </w:r>
      <w:r>
        <w:fldChar w:fldCharType="end"/>
      </w:r>
      <w:bookmarkEnd w:id="31"/>
      <w:r w:rsidRPr="00237510">
        <w:t>: Water quality indicators Tanjil River at Tanjil Junction. Shading indicates exceed</w:t>
      </w:r>
      <w:r w:rsidR="00A04C6C">
        <w:t>a</w:t>
      </w:r>
      <w:r w:rsidRPr="00237510">
        <w:t>nce of SEPP(Waters) objective. Data from WMIS. TN = total nitrogen (</w:t>
      </w:r>
      <w:r w:rsidRPr="00237510">
        <w:rPr>
          <w:rFonts w:ascii="Symbol" w:eastAsia="Symbol" w:hAnsi="Symbol" w:cs="Symbol"/>
        </w:rPr>
        <w:t></w:t>
      </w:r>
      <w:r w:rsidRPr="00237510">
        <w:t>g/L), TP = total phosphorus (</w:t>
      </w:r>
      <w:r w:rsidRPr="00237510">
        <w:rPr>
          <w:rFonts w:ascii="Symbol" w:eastAsia="Symbol" w:hAnsi="Symbol" w:cs="Symbol"/>
        </w:rPr>
        <w:t></w:t>
      </w:r>
      <w:r w:rsidRPr="00237510">
        <w:t>g/L), EC = electrical conductivity (</w:t>
      </w:r>
      <w:r w:rsidRPr="00237510">
        <w:rPr>
          <w:rFonts w:ascii="Symbol" w:eastAsia="Symbol" w:hAnsi="Symbol" w:cs="Symbol"/>
        </w:rPr>
        <w:t></w:t>
      </w:r>
      <w:r w:rsidRPr="00237510">
        <w:t>S/cm).</w:t>
      </w:r>
    </w:p>
    <w:tbl>
      <w:tblPr>
        <w:tblStyle w:val="ListTable3-Accent52"/>
        <w:tblW w:w="8784" w:type="dxa"/>
        <w:tblLayout w:type="fixed"/>
        <w:tblLook w:val="04A0" w:firstRow="1" w:lastRow="0" w:firstColumn="1" w:lastColumn="0" w:noHBand="0" w:noVBand="1"/>
      </w:tblPr>
      <w:tblGrid>
        <w:gridCol w:w="1413"/>
        <w:gridCol w:w="992"/>
        <w:gridCol w:w="911"/>
        <w:gridCol w:w="911"/>
        <w:gridCol w:w="911"/>
        <w:gridCol w:w="912"/>
        <w:gridCol w:w="911"/>
        <w:gridCol w:w="911"/>
        <w:gridCol w:w="912"/>
      </w:tblGrid>
      <w:tr w:rsidR="004D22D6" w:rsidRPr="00237510" w14:paraId="00CD16D1" w14:textId="77777777" w:rsidTr="0048459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tcMar>
              <w:left w:w="57" w:type="dxa"/>
              <w:right w:w="57" w:type="dxa"/>
            </w:tcMar>
          </w:tcPr>
          <w:p w14:paraId="6917F50C" w14:textId="77777777" w:rsidR="004D22D6" w:rsidRPr="00237510" w:rsidRDefault="004D22D6" w:rsidP="00484592">
            <w:pPr>
              <w:rPr>
                <w:rFonts w:cs="Arial"/>
                <w:sz w:val="18"/>
                <w:szCs w:val="18"/>
              </w:rPr>
            </w:pPr>
            <w:r w:rsidRPr="00237510">
              <w:rPr>
                <w:rFonts w:cs="Arial"/>
                <w:sz w:val="18"/>
                <w:szCs w:val="18"/>
              </w:rPr>
              <w:t>Indicator</w:t>
            </w:r>
          </w:p>
        </w:tc>
        <w:tc>
          <w:tcPr>
            <w:tcW w:w="992" w:type="dxa"/>
            <w:tcMar>
              <w:left w:w="57" w:type="dxa"/>
              <w:right w:w="57" w:type="dxa"/>
            </w:tcMar>
          </w:tcPr>
          <w:p w14:paraId="5720C5D8" w14:textId="77777777" w:rsidR="004D22D6" w:rsidRPr="00237510" w:rsidRDefault="004D22D6"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SEPP Objective</w:t>
            </w:r>
          </w:p>
        </w:tc>
        <w:tc>
          <w:tcPr>
            <w:tcW w:w="911" w:type="dxa"/>
            <w:tcMar>
              <w:left w:w="57" w:type="dxa"/>
              <w:right w:w="57" w:type="dxa"/>
            </w:tcMar>
          </w:tcPr>
          <w:p w14:paraId="1F52CC4F" w14:textId="77777777" w:rsidR="004D22D6" w:rsidRPr="00237510" w:rsidRDefault="004D22D6"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2013</w:t>
            </w:r>
          </w:p>
        </w:tc>
        <w:tc>
          <w:tcPr>
            <w:tcW w:w="911" w:type="dxa"/>
            <w:tcMar>
              <w:left w:w="57" w:type="dxa"/>
              <w:right w:w="57" w:type="dxa"/>
            </w:tcMar>
          </w:tcPr>
          <w:p w14:paraId="4674A833" w14:textId="77777777" w:rsidR="004D22D6" w:rsidRPr="00237510" w:rsidRDefault="004D22D6"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2014</w:t>
            </w:r>
          </w:p>
        </w:tc>
        <w:tc>
          <w:tcPr>
            <w:tcW w:w="911" w:type="dxa"/>
            <w:tcMar>
              <w:left w:w="57" w:type="dxa"/>
              <w:right w:w="57" w:type="dxa"/>
            </w:tcMar>
          </w:tcPr>
          <w:p w14:paraId="04657A88" w14:textId="77777777" w:rsidR="004D22D6" w:rsidRPr="00237510" w:rsidRDefault="004D22D6"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2015</w:t>
            </w:r>
          </w:p>
        </w:tc>
        <w:tc>
          <w:tcPr>
            <w:tcW w:w="912" w:type="dxa"/>
            <w:tcMar>
              <w:left w:w="57" w:type="dxa"/>
              <w:right w:w="57" w:type="dxa"/>
            </w:tcMar>
          </w:tcPr>
          <w:p w14:paraId="441A6A41" w14:textId="77777777" w:rsidR="004D22D6" w:rsidRPr="00237510" w:rsidRDefault="004D22D6"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2016</w:t>
            </w:r>
          </w:p>
        </w:tc>
        <w:tc>
          <w:tcPr>
            <w:tcW w:w="911" w:type="dxa"/>
            <w:tcMar>
              <w:left w:w="57" w:type="dxa"/>
              <w:right w:w="57" w:type="dxa"/>
            </w:tcMar>
          </w:tcPr>
          <w:p w14:paraId="446B17F4" w14:textId="77777777" w:rsidR="004D22D6" w:rsidRPr="00237510" w:rsidRDefault="004D22D6"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2017</w:t>
            </w:r>
          </w:p>
        </w:tc>
        <w:tc>
          <w:tcPr>
            <w:tcW w:w="911" w:type="dxa"/>
            <w:tcMar>
              <w:left w:w="57" w:type="dxa"/>
              <w:right w:w="57" w:type="dxa"/>
            </w:tcMar>
          </w:tcPr>
          <w:p w14:paraId="5B82CB66" w14:textId="77777777" w:rsidR="004D22D6" w:rsidRPr="00237510" w:rsidRDefault="004D22D6"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2018</w:t>
            </w:r>
          </w:p>
        </w:tc>
        <w:tc>
          <w:tcPr>
            <w:tcW w:w="912" w:type="dxa"/>
            <w:tcMar>
              <w:left w:w="57" w:type="dxa"/>
              <w:right w:w="57" w:type="dxa"/>
            </w:tcMar>
          </w:tcPr>
          <w:p w14:paraId="43C1E724" w14:textId="77777777" w:rsidR="004D22D6" w:rsidRPr="00237510" w:rsidRDefault="004D22D6"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2019</w:t>
            </w:r>
          </w:p>
        </w:tc>
      </w:tr>
      <w:tr w:rsidR="004D22D6" w:rsidRPr="00237510" w14:paraId="23BF6CF1" w14:textId="77777777" w:rsidTr="004845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56F0EF05" w14:textId="77777777" w:rsidR="004D22D6" w:rsidRPr="00237510" w:rsidRDefault="004D22D6" w:rsidP="00484592">
            <w:pPr>
              <w:rPr>
                <w:rFonts w:cs="Arial"/>
                <w:b w:val="0"/>
                <w:sz w:val="18"/>
                <w:szCs w:val="18"/>
              </w:rPr>
            </w:pPr>
            <w:r w:rsidRPr="00237510">
              <w:rPr>
                <w:rFonts w:cs="Arial"/>
                <w:b w:val="0"/>
                <w:sz w:val="18"/>
                <w:szCs w:val="18"/>
              </w:rPr>
              <w:t>Turbidity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740E7B44"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15</w:t>
            </w:r>
          </w:p>
        </w:tc>
        <w:tc>
          <w:tcPr>
            <w:tcW w:w="911" w:type="dxa"/>
            <w:shd w:val="clear" w:color="auto" w:fill="auto"/>
            <w:tcMar>
              <w:left w:w="57" w:type="dxa"/>
              <w:right w:w="57" w:type="dxa"/>
            </w:tcMar>
            <w:vAlign w:val="bottom"/>
          </w:tcPr>
          <w:p w14:paraId="6A9BCCF2"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7</w:t>
            </w:r>
          </w:p>
        </w:tc>
        <w:tc>
          <w:tcPr>
            <w:tcW w:w="911" w:type="dxa"/>
            <w:shd w:val="clear" w:color="auto" w:fill="auto"/>
            <w:tcMar>
              <w:left w:w="57" w:type="dxa"/>
              <w:right w:w="57" w:type="dxa"/>
            </w:tcMar>
            <w:vAlign w:val="bottom"/>
          </w:tcPr>
          <w:p w14:paraId="761259D2"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6</w:t>
            </w:r>
          </w:p>
        </w:tc>
        <w:tc>
          <w:tcPr>
            <w:tcW w:w="911" w:type="dxa"/>
            <w:shd w:val="clear" w:color="auto" w:fill="auto"/>
            <w:tcMar>
              <w:left w:w="57" w:type="dxa"/>
              <w:right w:w="57" w:type="dxa"/>
            </w:tcMar>
            <w:vAlign w:val="bottom"/>
          </w:tcPr>
          <w:p w14:paraId="390CBB6F"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7</w:t>
            </w:r>
          </w:p>
        </w:tc>
        <w:tc>
          <w:tcPr>
            <w:tcW w:w="912" w:type="dxa"/>
            <w:shd w:val="clear" w:color="auto" w:fill="auto"/>
            <w:tcMar>
              <w:left w:w="57" w:type="dxa"/>
              <w:right w:w="57" w:type="dxa"/>
            </w:tcMar>
            <w:vAlign w:val="bottom"/>
          </w:tcPr>
          <w:p w14:paraId="387F6BC3"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8</w:t>
            </w:r>
          </w:p>
        </w:tc>
        <w:tc>
          <w:tcPr>
            <w:tcW w:w="911" w:type="dxa"/>
            <w:shd w:val="clear" w:color="auto" w:fill="auto"/>
            <w:tcMar>
              <w:left w:w="57" w:type="dxa"/>
              <w:right w:w="57" w:type="dxa"/>
            </w:tcMar>
            <w:vAlign w:val="bottom"/>
          </w:tcPr>
          <w:p w14:paraId="0B55FAE6"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9</w:t>
            </w:r>
          </w:p>
        </w:tc>
        <w:tc>
          <w:tcPr>
            <w:tcW w:w="911" w:type="dxa"/>
            <w:shd w:val="clear" w:color="auto" w:fill="auto"/>
            <w:tcMar>
              <w:left w:w="57" w:type="dxa"/>
              <w:right w:w="57" w:type="dxa"/>
            </w:tcMar>
            <w:vAlign w:val="bottom"/>
          </w:tcPr>
          <w:p w14:paraId="7C8701F9"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6</w:t>
            </w:r>
          </w:p>
        </w:tc>
        <w:tc>
          <w:tcPr>
            <w:tcW w:w="912" w:type="dxa"/>
            <w:shd w:val="clear" w:color="auto" w:fill="auto"/>
            <w:tcMar>
              <w:left w:w="57" w:type="dxa"/>
              <w:right w:w="57" w:type="dxa"/>
            </w:tcMar>
            <w:vAlign w:val="bottom"/>
          </w:tcPr>
          <w:p w14:paraId="6263A50A"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w:t>
            </w:r>
          </w:p>
        </w:tc>
      </w:tr>
      <w:tr w:rsidR="004D22D6" w:rsidRPr="00237510" w14:paraId="6B949585" w14:textId="77777777" w:rsidTr="00484592">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01C31A25" w14:textId="77777777" w:rsidR="004D22D6" w:rsidRPr="00237510" w:rsidRDefault="004D22D6" w:rsidP="00484592">
            <w:pPr>
              <w:rPr>
                <w:rFonts w:cs="Arial"/>
                <w:b w:val="0"/>
                <w:sz w:val="18"/>
                <w:szCs w:val="18"/>
              </w:rPr>
            </w:pPr>
            <w:r w:rsidRPr="00237510">
              <w:rPr>
                <w:rFonts w:cs="Arial"/>
                <w:b w:val="0"/>
                <w:sz w:val="18"/>
                <w:szCs w:val="18"/>
              </w:rPr>
              <w:t>pH (25</w:t>
            </w:r>
            <w:r w:rsidRPr="00237510">
              <w:rPr>
                <w:rFonts w:cs="Arial"/>
                <w:b w:val="0"/>
                <w:sz w:val="18"/>
                <w:szCs w:val="18"/>
                <w:vertAlign w:val="superscript"/>
              </w:rPr>
              <w:t>th</w:t>
            </w:r>
            <w:r w:rsidRPr="00237510">
              <w:rPr>
                <w:rFonts w:cs="Arial"/>
                <w:b w:val="0"/>
                <w:sz w:val="18"/>
                <w:szCs w:val="18"/>
              </w:rPr>
              <w:t xml:space="preserve"> – 75th)</w:t>
            </w:r>
          </w:p>
        </w:tc>
        <w:tc>
          <w:tcPr>
            <w:tcW w:w="992" w:type="dxa"/>
            <w:tcMar>
              <w:left w:w="57" w:type="dxa"/>
              <w:right w:w="57" w:type="dxa"/>
            </w:tcMar>
          </w:tcPr>
          <w:p w14:paraId="34CEA095"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6.4-7.6</w:t>
            </w:r>
          </w:p>
        </w:tc>
        <w:tc>
          <w:tcPr>
            <w:tcW w:w="911" w:type="dxa"/>
            <w:shd w:val="clear" w:color="auto" w:fill="auto"/>
            <w:tcMar>
              <w:left w:w="57" w:type="dxa"/>
              <w:right w:w="57" w:type="dxa"/>
            </w:tcMar>
          </w:tcPr>
          <w:p w14:paraId="75F3553C"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7.0-7.4</w:t>
            </w:r>
          </w:p>
        </w:tc>
        <w:tc>
          <w:tcPr>
            <w:tcW w:w="911" w:type="dxa"/>
            <w:shd w:val="clear" w:color="auto" w:fill="auto"/>
            <w:tcMar>
              <w:left w:w="57" w:type="dxa"/>
              <w:right w:w="57" w:type="dxa"/>
            </w:tcMar>
          </w:tcPr>
          <w:p w14:paraId="1319DF3A"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6.9-7.1</w:t>
            </w:r>
          </w:p>
        </w:tc>
        <w:tc>
          <w:tcPr>
            <w:tcW w:w="911" w:type="dxa"/>
            <w:shd w:val="clear" w:color="auto" w:fill="auto"/>
            <w:tcMar>
              <w:left w:w="57" w:type="dxa"/>
              <w:right w:w="57" w:type="dxa"/>
            </w:tcMar>
          </w:tcPr>
          <w:p w14:paraId="6295746F"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6.7-7.4</w:t>
            </w:r>
          </w:p>
        </w:tc>
        <w:tc>
          <w:tcPr>
            <w:tcW w:w="912" w:type="dxa"/>
            <w:shd w:val="clear" w:color="auto" w:fill="auto"/>
            <w:tcMar>
              <w:left w:w="57" w:type="dxa"/>
              <w:right w:w="57" w:type="dxa"/>
            </w:tcMar>
          </w:tcPr>
          <w:p w14:paraId="1AA0A14A"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6.8-7.4</w:t>
            </w:r>
          </w:p>
        </w:tc>
        <w:tc>
          <w:tcPr>
            <w:tcW w:w="911" w:type="dxa"/>
            <w:shd w:val="clear" w:color="auto" w:fill="auto"/>
            <w:tcMar>
              <w:left w:w="57" w:type="dxa"/>
              <w:right w:w="57" w:type="dxa"/>
            </w:tcMar>
          </w:tcPr>
          <w:p w14:paraId="1F585AFE"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6.8-7.2</w:t>
            </w:r>
          </w:p>
        </w:tc>
        <w:tc>
          <w:tcPr>
            <w:tcW w:w="911" w:type="dxa"/>
            <w:shd w:val="clear" w:color="auto" w:fill="auto"/>
            <w:tcMar>
              <w:left w:w="57" w:type="dxa"/>
              <w:right w:w="57" w:type="dxa"/>
            </w:tcMar>
          </w:tcPr>
          <w:p w14:paraId="1BA78436"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6.6-7.2</w:t>
            </w:r>
          </w:p>
        </w:tc>
        <w:tc>
          <w:tcPr>
            <w:tcW w:w="912" w:type="dxa"/>
            <w:shd w:val="clear" w:color="auto" w:fill="auto"/>
            <w:tcMar>
              <w:left w:w="57" w:type="dxa"/>
              <w:right w:w="57" w:type="dxa"/>
            </w:tcMar>
          </w:tcPr>
          <w:p w14:paraId="0487DF77"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6.8-7.1</w:t>
            </w:r>
          </w:p>
        </w:tc>
      </w:tr>
      <w:tr w:rsidR="004D22D6" w:rsidRPr="00237510" w14:paraId="7B48D8AD" w14:textId="77777777" w:rsidTr="004845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3E38FF7C" w14:textId="77777777" w:rsidR="004D22D6" w:rsidRPr="00237510" w:rsidRDefault="004D22D6" w:rsidP="00484592">
            <w:pPr>
              <w:rPr>
                <w:rFonts w:cs="Arial"/>
                <w:b w:val="0"/>
                <w:sz w:val="18"/>
                <w:szCs w:val="18"/>
              </w:rPr>
            </w:pPr>
            <w:r w:rsidRPr="00237510">
              <w:rPr>
                <w:rFonts w:cs="Arial"/>
                <w:b w:val="0"/>
                <w:sz w:val="18"/>
                <w:szCs w:val="18"/>
              </w:rPr>
              <w:t>TN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2BAE0EBE"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900</w:t>
            </w:r>
          </w:p>
        </w:tc>
        <w:tc>
          <w:tcPr>
            <w:tcW w:w="911" w:type="dxa"/>
            <w:shd w:val="clear" w:color="auto" w:fill="auto"/>
            <w:tcMar>
              <w:left w:w="57" w:type="dxa"/>
              <w:right w:w="57" w:type="dxa"/>
            </w:tcMar>
            <w:vAlign w:val="bottom"/>
          </w:tcPr>
          <w:p w14:paraId="4F784891"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373</w:t>
            </w:r>
          </w:p>
        </w:tc>
        <w:tc>
          <w:tcPr>
            <w:tcW w:w="911" w:type="dxa"/>
            <w:shd w:val="clear" w:color="auto" w:fill="auto"/>
            <w:tcMar>
              <w:left w:w="57" w:type="dxa"/>
              <w:right w:w="57" w:type="dxa"/>
            </w:tcMar>
            <w:vAlign w:val="bottom"/>
          </w:tcPr>
          <w:p w14:paraId="5484CFB2"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420</w:t>
            </w:r>
          </w:p>
        </w:tc>
        <w:tc>
          <w:tcPr>
            <w:tcW w:w="911" w:type="dxa"/>
            <w:shd w:val="clear" w:color="auto" w:fill="auto"/>
            <w:tcMar>
              <w:left w:w="57" w:type="dxa"/>
              <w:right w:w="57" w:type="dxa"/>
            </w:tcMar>
            <w:vAlign w:val="bottom"/>
          </w:tcPr>
          <w:p w14:paraId="0620C485"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433</w:t>
            </w:r>
          </w:p>
        </w:tc>
        <w:tc>
          <w:tcPr>
            <w:tcW w:w="912" w:type="dxa"/>
            <w:shd w:val="clear" w:color="auto" w:fill="auto"/>
            <w:tcMar>
              <w:left w:w="57" w:type="dxa"/>
              <w:right w:w="57" w:type="dxa"/>
            </w:tcMar>
            <w:vAlign w:val="bottom"/>
          </w:tcPr>
          <w:p w14:paraId="321FE887"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468</w:t>
            </w:r>
          </w:p>
        </w:tc>
        <w:tc>
          <w:tcPr>
            <w:tcW w:w="911" w:type="dxa"/>
            <w:shd w:val="clear" w:color="auto" w:fill="auto"/>
            <w:tcMar>
              <w:left w:w="57" w:type="dxa"/>
              <w:right w:w="57" w:type="dxa"/>
            </w:tcMar>
            <w:vAlign w:val="bottom"/>
          </w:tcPr>
          <w:p w14:paraId="0D283E17"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460</w:t>
            </w:r>
          </w:p>
        </w:tc>
        <w:tc>
          <w:tcPr>
            <w:tcW w:w="911" w:type="dxa"/>
            <w:shd w:val="clear" w:color="auto" w:fill="auto"/>
            <w:tcMar>
              <w:left w:w="57" w:type="dxa"/>
              <w:right w:w="57" w:type="dxa"/>
            </w:tcMar>
            <w:vAlign w:val="bottom"/>
          </w:tcPr>
          <w:p w14:paraId="5BE2B0ED"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450</w:t>
            </w:r>
          </w:p>
        </w:tc>
        <w:tc>
          <w:tcPr>
            <w:tcW w:w="912" w:type="dxa"/>
            <w:shd w:val="clear" w:color="auto" w:fill="auto"/>
            <w:tcMar>
              <w:left w:w="57" w:type="dxa"/>
              <w:right w:w="57" w:type="dxa"/>
            </w:tcMar>
            <w:vAlign w:val="bottom"/>
          </w:tcPr>
          <w:p w14:paraId="22AA5342"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410</w:t>
            </w:r>
          </w:p>
        </w:tc>
      </w:tr>
      <w:tr w:rsidR="004D22D6" w:rsidRPr="00237510" w14:paraId="51E4F7DB" w14:textId="77777777" w:rsidTr="00484592">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34AD4C8D" w14:textId="77777777" w:rsidR="004D22D6" w:rsidRPr="00237510" w:rsidRDefault="004D22D6" w:rsidP="00484592">
            <w:pPr>
              <w:rPr>
                <w:rFonts w:cs="Arial"/>
                <w:b w:val="0"/>
                <w:sz w:val="18"/>
                <w:szCs w:val="18"/>
              </w:rPr>
            </w:pPr>
            <w:r w:rsidRPr="00237510">
              <w:rPr>
                <w:rFonts w:cs="Arial"/>
                <w:b w:val="0"/>
                <w:sz w:val="18"/>
                <w:szCs w:val="18"/>
              </w:rPr>
              <w:t>TP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775E7FAE"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35</w:t>
            </w:r>
          </w:p>
        </w:tc>
        <w:tc>
          <w:tcPr>
            <w:tcW w:w="911" w:type="dxa"/>
            <w:shd w:val="clear" w:color="auto" w:fill="auto"/>
            <w:tcMar>
              <w:left w:w="57" w:type="dxa"/>
              <w:right w:w="57" w:type="dxa"/>
            </w:tcMar>
            <w:vAlign w:val="bottom"/>
          </w:tcPr>
          <w:p w14:paraId="7F553AD5"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17</w:t>
            </w:r>
          </w:p>
        </w:tc>
        <w:tc>
          <w:tcPr>
            <w:tcW w:w="911" w:type="dxa"/>
            <w:shd w:val="clear" w:color="auto" w:fill="auto"/>
            <w:tcMar>
              <w:left w:w="57" w:type="dxa"/>
              <w:right w:w="57" w:type="dxa"/>
            </w:tcMar>
            <w:vAlign w:val="bottom"/>
          </w:tcPr>
          <w:p w14:paraId="03BEEAB4"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17</w:t>
            </w:r>
          </w:p>
        </w:tc>
        <w:tc>
          <w:tcPr>
            <w:tcW w:w="911" w:type="dxa"/>
            <w:shd w:val="clear" w:color="auto" w:fill="auto"/>
            <w:tcMar>
              <w:left w:w="57" w:type="dxa"/>
              <w:right w:w="57" w:type="dxa"/>
            </w:tcMar>
            <w:vAlign w:val="bottom"/>
          </w:tcPr>
          <w:p w14:paraId="4E3EAF77"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19</w:t>
            </w:r>
          </w:p>
        </w:tc>
        <w:tc>
          <w:tcPr>
            <w:tcW w:w="912" w:type="dxa"/>
            <w:shd w:val="clear" w:color="auto" w:fill="auto"/>
            <w:tcMar>
              <w:left w:w="57" w:type="dxa"/>
              <w:right w:w="57" w:type="dxa"/>
            </w:tcMar>
            <w:vAlign w:val="bottom"/>
          </w:tcPr>
          <w:p w14:paraId="55DE4B49"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21</w:t>
            </w:r>
          </w:p>
        </w:tc>
        <w:tc>
          <w:tcPr>
            <w:tcW w:w="911" w:type="dxa"/>
            <w:shd w:val="clear" w:color="auto" w:fill="auto"/>
            <w:tcMar>
              <w:left w:w="57" w:type="dxa"/>
              <w:right w:w="57" w:type="dxa"/>
            </w:tcMar>
            <w:vAlign w:val="bottom"/>
          </w:tcPr>
          <w:p w14:paraId="4BFB0E4E"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21</w:t>
            </w:r>
          </w:p>
        </w:tc>
        <w:tc>
          <w:tcPr>
            <w:tcW w:w="911" w:type="dxa"/>
            <w:shd w:val="clear" w:color="auto" w:fill="auto"/>
            <w:tcMar>
              <w:left w:w="57" w:type="dxa"/>
              <w:right w:w="57" w:type="dxa"/>
            </w:tcMar>
            <w:vAlign w:val="bottom"/>
          </w:tcPr>
          <w:p w14:paraId="7960978E"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19</w:t>
            </w:r>
          </w:p>
        </w:tc>
        <w:tc>
          <w:tcPr>
            <w:tcW w:w="912" w:type="dxa"/>
            <w:shd w:val="clear" w:color="auto" w:fill="auto"/>
            <w:tcMar>
              <w:left w:w="57" w:type="dxa"/>
              <w:right w:w="57" w:type="dxa"/>
            </w:tcMar>
            <w:vAlign w:val="bottom"/>
          </w:tcPr>
          <w:p w14:paraId="09A31EE5" w14:textId="77777777" w:rsidR="004D22D6" w:rsidRPr="00237510" w:rsidRDefault="004D22D6"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14</w:t>
            </w:r>
          </w:p>
        </w:tc>
      </w:tr>
      <w:tr w:rsidR="004D22D6" w:rsidRPr="00237510" w14:paraId="01653A22" w14:textId="77777777" w:rsidTr="004845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58055D08" w14:textId="77777777" w:rsidR="004D22D6" w:rsidRPr="00237510" w:rsidRDefault="004D22D6" w:rsidP="00484592">
            <w:pPr>
              <w:rPr>
                <w:rFonts w:cs="Arial"/>
                <w:b w:val="0"/>
                <w:sz w:val="18"/>
                <w:szCs w:val="18"/>
              </w:rPr>
            </w:pPr>
            <w:r w:rsidRPr="00237510">
              <w:rPr>
                <w:rFonts w:cs="Arial"/>
                <w:b w:val="0"/>
                <w:sz w:val="18"/>
                <w:szCs w:val="18"/>
              </w:rPr>
              <w:t>EC (75</w:t>
            </w:r>
            <w:r w:rsidRPr="00237510">
              <w:rPr>
                <w:rFonts w:cs="Arial"/>
                <w:b w:val="0"/>
                <w:sz w:val="18"/>
                <w:szCs w:val="18"/>
                <w:vertAlign w:val="superscript"/>
              </w:rPr>
              <w:t>th</w:t>
            </w:r>
            <w:r w:rsidRPr="00237510">
              <w:rPr>
                <w:rFonts w:cs="Arial"/>
                <w:b w:val="0"/>
                <w:sz w:val="18"/>
                <w:szCs w:val="18"/>
              </w:rPr>
              <w:t>)</w:t>
            </w:r>
          </w:p>
        </w:tc>
        <w:tc>
          <w:tcPr>
            <w:tcW w:w="992" w:type="dxa"/>
            <w:tcMar>
              <w:left w:w="57" w:type="dxa"/>
              <w:right w:w="57" w:type="dxa"/>
            </w:tcMar>
          </w:tcPr>
          <w:p w14:paraId="60CED8E4"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100</w:t>
            </w:r>
          </w:p>
        </w:tc>
        <w:tc>
          <w:tcPr>
            <w:tcW w:w="911" w:type="dxa"/>
            <w:shd w:val="clear" w:color="auto" w:fill="auto"/>
            <w:tcMar>
              <w:left w:w="57" w:type="dxa"/>
              <w:right w:w="57" w:type="dxa"/>
            </w:tcMar>
            <w:vAlign w:val="bottom"/>
          </w:tcPr>
          <w:p w14:paraId="7A638CA0"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54</w:t>
            </w:r>
          </w:p>
        </w:tc>
        <w:tc>
          <w:tcPr>
            <w:tcW w:w="911" w:type="dxa"/>
            <w:shd w:val="clear" w:color="auto" w:fill="auto"/>
            <w:tcMar>
              <w:left w:w="57" w:type="dxa"/>
              <w:right w:w="57" w:type="dxa"/>
            </w:tcMar>
            <w:vAlign w:val="bottom"/>
          </w:tcPr>
          <w:p w14:paraId="5816C23F"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51</w:t>
            </w:r>
          </w:p>
        </w:tc>
        <w:tc>
          <w:tcPr>
            <w:tcW w:w="911" w:type="dxa"/>
            <w:shd w:val="clear" w:color="auto" w:fill="auto"/>
            <w:tcMar>
              <w:left w:w="57" w:type="dxa"/>
              <w:right w:w="57" w:type="dxa"/>
            </w:tcMar>
            <w:vAlign w:val="bottom"/>
          </w:tcPr>
          <w:p w14:paraId="7C26C8EB"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57</w:t>
            </w:r>
          </w:p>
        </w:tc>
        <w:tc>
          <w:tcPr>
            <w:tcW w:w="912" w:type="dxa"/>
            <w:shd w:val="clear" w:color="auto" w:fill="auto"/>
            <w:tcMar>
              <w:left w:w="57" w:type="dxa"/>
              <w:right w:w="57" w:type="dxa"/>
            </w:tcMar>
            <w:vAlign w:val="bottom"/>
          </w:tcPr>
          <w:p w14:paraId="76F6DDFF"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52</w:t>
            </w:r>
          </w:p>
        </w:tc>
        <w:tc>
          <w:tcPr>
            <w:tcW w:w="911" w:type="dxa"/>
            <w:shd w:val="clear" w:color="auto" w:fill="auto"/>
            <w:tcMar>
              <w:left w:w="57" w:type="dxa"/>
              <w:right w:w="57" w:type="dxa"/>
            </w:tcMar>
            <w:vAlign w:val="bottom"/>
          </w:tcPr>
          <w:p w14:paraId="77AF7EF0"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46</w:t>
            </w:r>
          </w:p>
        </w:tc>
        <w:tc>
          <w:tcPr>
            <w:tcW w:w="911" w:type="dxa"/>
            <w:shd w:val="clear" w:color="auto" w:fill="auto"/>
            <w:tcMar>
              <w:left w:w="57" w:type="dxa"/>
              <w:right w:w="57" w:type="dxa"/>
            </w:tcMar>
            <w:vAlign w:val="bottom"/>
          </w:tcPr>
          <w:p w14:paraId="22A5AE68"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46</w:t>
            </w:r>
          </w:p>
        </w:tc>
        <w:tc>
          <w:tcPr>
            <w:tcW w:w="912" w:type="dxa"/>
            <w:shd w:val="clear" w:color="auto" w:fill="auto"/>
            <w:tcMar>
              <w:left w:w="57" w:type="dxa"/>
              <w:right w:w="57" w:type="dxa"/>
            </w:tcMar>
            <w:vAlign w:val="bottom"/>
          </w:tcPr>
          <w:p w14:paraId="492090F1" w14:textId="77777777" w:rsidR="004D22D6" w:rsidRPr="00237510" w:rsidRDefault="004D22D6"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48</w:t>
            </w:r>
          </w:p>
        </w:tc>
      </w:tr>
    </w:tbl>
    <w:p w14:paraId="60B417D0" w14:textId="77777777" w:rsidR="004D22D6" w:rsidRPr="00237510" w:rsidRDefault="004D22D6" w:rsidP="00825E68">
      <w:pPr>
        <w:rPr>
          <w:lang w:eastAsia="en-US"/>
        </w:rPr>
      </w:pPr>
    </w:p>
    <w:p w14:paraId="150D1A18" w14:textId="7F110A92" w:rsidR="004D22D6" w:rsidRPr="00237510" w:rsidRDefault="004D22D6" w:rsidP="004D22D6">
      <w:pPr>
        <w:rPr>
          <w:lang w:eastAsia="en-US"/>
        </w:rPr>
      </w:pPr>
      <w:r w:rsidRPr="00237510">
        <w:rPr>
          <w:lang w:eastAsia="en-US"/>
        </w:rPr>
        <w:t xml:space="preserve">In addition, there are </w:t>
      </w:r>
      <w:r w:rsidR="00B55CC3" w:rsidRPr="00237510">
        <w:rPr>
          <w:lang w:eastAsia="en-US"/>
        </w:rPr>
        <w:t>times</w:t>
      </w:r>
      <w:r w:rsidRPr="00237510">
        <w:rPr>
          <w:lang w:eastAsia="en-US"/>
        </w:rPr>
        <w:t xml:space="preserve"> when the metal concentrations the Latrobe River at Rosedale exceed the SEPP (Waters) guideline values, most often coinciding with large flows, indicating movement of metals from the catchment. The metals of most concern are</w:t>
      </w:r>
      <w:r w:rsidR="000946A2">
        <w:rPr>
          <w:rStyle w:val="FootnoteReference"/>
          <w:lang w:eastAsia="en-US"/>
        </w:rPr>
        <w:footnoteReference w:id="7"/>
      </w:r>
      <w:r w:rsidRPr="00237510">
        <w:rPr>
          <w:lang w:eastAsia="en-US"/>
        </w:rPr>
        <w:t>:</w:t>
      </w:r>
    </w:p>
    <w:p w14:paraId="32AEB966" w14:textId="77777777" w:rsidR="004D22D6" w:rsidRPr="00237510" w:rsidRDefault="004D22D6" w:rsidP="007F4023">
      <w:pPr>
        <w:pStyle w:val="ListParagraph"/>
        <w:numPr>
          <w:ilvl w:val="0"/>
          <w:numId w:val="12"/>
        </w:numPr>
        <w:rPr>
          <w:lang w:eastAsia="en-US"/>
        </w:rPr>
      </w:pPr>
      <w:r w:rsidRPr="00237510">
        <w:rPr>
          <w:lang w:eastAsia="en-US"/>
        </w:rPr>
        <w:t xml:space="preserve">Cadmium (guideline value of 0.2 </w:t>
      </w:r>
      <w:r w:rsidRPr="00237510">
        <w:rPr>
          <w:rFonts w:cs="Arial"/>
          <w:lang w:eastAsia="en-US"/>
        </w:rPr>
        <w:t>µ</w:t>
      </w:r>
      <w:r w:rsidRPr="00237510">
        <w:rPr>
          <w:lang w:eastAsia="en-US"/>
        </w:rPr>
        <w:t xml:space="preserve">g/l) – maximum of 1.3 </w:t>
      </w:r>
      <w:r w:rsidRPr="00237510">
        <w:rPr>
          <w:rFonts w:cs="Arial"/>
          <w:lang w:eastAsia="en-US"/>
        </w:rPr>
        <w:t>µ</w:t>
      </w:r>
      <w:r w:rsidRPr="00237510">
        <w:rPr>
          <w:lang w:eastAsia="en-US"/>
        </w:rPr>
        <w:t>g/l in April 2011</w:t>
      </w:r>
    </w:p>
    <w:p w14:paraId="740B5E1C" w14:textId="77777777" w:rsidR="004D22D6" w:rsidRPr="00237510" w:rsidRDefault="004D22D6" w:rsidP="007F4023">
      <w:pPr>
        <w:pStyle w:val="ListParagraph"/>
        <w:numPr>
          <w:ilvl w:val="0"/>
          <w:numId w:val="12"/>
        </w:numPr>
        <w:rPr>
          <w:lang w:eastAsia="en-US"/>
        </w:rPr>
      </w:pPr>
      <w:r w:rsidRPr="00237510">
        <w:rPr>
          <w:lang w:eastAsia="en-US"/>
        </w:rPr>
        <w:t xml:space="preserve">Chromium (guideline value of 4.4 </w:t>
      </w:r>
      <w:r w:rsidRPr="00237510">
        <w:rPr>
          <w:rFonts w:cs="Arial"/>
          <w:lang w:eastAsia="en-US"/>
        </w:rPr>
        <w:t>µ</w:t>
      </w:r>
      <w:r w:rsidRPr="00237510">
        <w:rPr>
          <w:lang w:eastAsia="en-US"/>
        </w:rPr>
        <w:t xml:space="preserve">g/l) – maximum of 6 </w:t>
      </w:r>
      <w:r w:rsidRPr="00237510">
        <w:rPr>
          <w:rFonts w:cs="Arial"/>
          <w:lang w:eastAsia="en-US"/>
        </w:rPr>
        <w:t>µ</w:t>
      </w:r>
      <w:r w:rsidRPr="00237510">
        <w:rPr>
          <w:lang w:eastAsia="en-US"/>
        </w:rPr>
        <w:t>g/l in February 2013</w:t>
      </w:r>
    </w:p>
    <w:p w14:paraId="73265320" w14:textId="77777777" w:rsidR="004D22D6" w:rsidRPr="00237510" w:rsidRDefault="004D22D6" w:rsidP="007F4023">
      <w:pPr>
        <w:pStyle w:val="ListParagraph"/>
        <w:numPr>
          <w:ilvl w:val="0"/>
          <w:numId w:val="12"/>
        </w:numPr>
        <w:rPr>
          <w:lang w:eastAsia="en-US"/>
        </w:rPr>
      </w:pPr>
      <w:r w:rsidRPr="00237510">
        <w:rPr>
          <w:lang w:eastAsia="en-US"/>
        </w:rPr>
        <w:t xml:space="preserve">Lead (guideline value of 3.4 </w:t>
      </w:r>
      <w:r w:rsidRPr="00237510">
        <w:rPr>
          <w:rFonts w:cs="Arial"/>
          <w:lang w:eastAsia="en-US"/>
        </w:rPr>
        <w:t>µ</w:t>
      </w:r>
      <w:r w:rsidRPr="00237510">
        <w:rPr>
          <w:lang w:eastAsia="en-US"/>
        </w:rPr>
        <w:t xml:space="preserve">g/l) – maximum of 9 </w:t>
      </w:r>
      <w:r w:rsidRPr="00237510">
        <w:rPr>
          <w:rFonts w:cs="Arial"/>
          <w:lang w:eastAsia="en-US"/>
        </w:rPr>
        <w:t>µ</w:t>
      </w:r>
      <w:r w:rsidRPr="00237510">
        <w:rPr>
          <w:lang w:eastAsia="en-US"/>
        </w:rPr>
        <w:t>g/l in July 2016</w:t>
      </w:r>
    </w:p>
    <w:p w14:paraId="591F40E0" w14:textId="77777777" w:rsidR="004D22D6" w:rsidRPr="00237510" w:rsidRDefault="004D22D6" w:rsidP="007F4023">
      <w:pPr>
        <w:pStyle w:val="ListParagraph"/>
        <w:numPr>
          <w:ilvl w:val="0"/>
          <w:numId w:val="12"/>
        </w:numPr>
        <w:rPr>
          <w:lang w:eastAsia="en-US"/>
        </w:rPr>
      </w:pPr>
      <w:r w:rsidRPr="00237510">
        <w:rPr>
          <w:lang w:eastAsia="en-US"/>
        </w:rPr>
        <w:t xml:space="preserve">Zinc (guideline value of 8 </w:t>
      </w:r>
      <w:r w:rsidRPr="00237510">
        <w:rPr>
          <w:rFonts w:cs="Arial"/>
          <w:lang w:eastAsia="en-US"/>
        </w:rPr>
        <w:t>µ</w:t>
      </w:r>
      <w:r w:rsidRPr="00237510">
        <w:rPr>
          <w:lang w:eastAsia="en-US"/>
        </w:rPr>
        <w:t xml:space="preserve">g/l) – maximum of 42 </w:t>
      </w:r>
      <w:r w:rsidRPr="00237510">
        <w:rPr>
          <w:rFonts w:cs="Arial"/>
          <w:lang w:eastAsia="en-US"/>
        </w:rPr>
        <w:t>µ</w:t>
      </w:r>
      <w:r w:rsidRPr="00237510">
        <w:rPr>
          <w:lang w:eastAsia="en-US"/>
        </w:rPr>
        <w:t>g/l in July 2016</w:t>
      </w:r>
    </w:p>
    <w:p w14:paraId="72101B78" w14:textId="53D62390" w:rsidR="00A762BE" w:rsidRPr="00237510" w:rsidRDefault="004D22D6" w:rsidP="007F4023">
      <w:pPr>
        <w:pStyle w:val="ListParagraph"/>
        <w:numPr>
          <w:ilvl w:val="0"/>
          <w:numId w:val="12"/>
        </w:numPr>
        <w:rPr>
          <w:lang w:eastAsia="en-US"/>
        </w:rPr>
      </w:pPr>
      <w:r w:rsidRPr="00237510">
        <w:rPr>
          <w:lang w:eastAsia="en-US"/>
        </w:rPr>
        <w:t>Copper (guideline value 1.4</w:t>
      </w:r>
      <w:r w:rsidRPr="00237510">
        <w:rPr>
          <w:rFonts w:cs="Arial"/>
          <w:lang w:eastAsia="en-US"/>
        </w:rPr>
        <w:t xml:space="preserve"> µ</w:t>
      </w:r>
      <w:r w:rsidRPr="00237510">
        <w:rPr>
          <w:lang w:eastAsia="en-US"/>
        </w:rPr>
        <w:t xml:space="preserve">g/l) – almost constantly exceeded with an average of 3 </w:t>
      </w:r>
      <w:r w:rsidRPr="00237510">
        <w:rPr>
          <w:rFonts w:cs="Arial"/>
          <w:lang w:eastAsia="en-US"/>
        </w:rPr>
        <w:t>µ</w:t>
      </w:r>
      <w:r w:rsidRPr="00237510">
        <w:rPr>
          <w:lang w:eastAsia="en-US"/>
        </w:rPr>
        <w:t>g/l.</w:t>
      </w:r>
    </w:p>
    <w:p w14:paraId="62C3FB73" w14:textId="42A108E9" w:rsidR="00302858" w:rsidRPr="00237510" w:rsidRDefault="00302858" w:rsidP="00302858">
      <w:pPr>
        <w:rPr>
          <w:lang w:eastAsia="en-US"/>
        </w:rPr>
      </w:pPr>
      <w:r w:rsidRPr="00237510">
        <w:rPr>
          <w:lang w:eastAsia="en-US"/>
        </w:rPr>
        <w:t>Water quality data for the Latrobe Estuary is limited</w:t>
      </w:r>
      <w:r w:rsidR="000571BF" w:rsidRPr="00237510">
        <w:rPr>
          <w:lang w:eastAsia="en-US"/>
        </w:rPr>
        <w:t xml:space="preserve"> largely to recent conditions</w:t>
      </w:r>
      <w:r w:rsidRPr="00237510">
        <w:rPr>
          <w:lang w:eastAsia="en-US"/>
        </w:rPr>
        <w:t xml:space="preserve">, with only modelled salinity providing any indication of condition and trend. Salinity in the estuary is a function of river flow and water level in Lake Wellington. Under prolonged low flow conditions (flows &lt; 650 ML/day at the Swing Bridge) saline water (water &gt; 1 ppt) extends over 17 </w:t>
      </w:r>
      <w:r w:rsidR="00B55CC3" w:rsidRPr="00237510">
        <w:rPr>
          <w:lang w:eastAsia="en-US"/>
        </w:rPr>
        <w:t>kilometres</w:t>
      </w:r>
      <w:r w:rsidRPr="00237510">
        <w:rPr>
          <w:lang w:eastAsia="en-US"/>
        </w:rPr>
        <w:t xml:space="preserve"> from Lake Wellington </w:t>
      </w:r>
      <w:r w:rsidRPr="00237510">
        <w:rPr>
          <w:lang w:eastAsia="en-US"/>
        </w:rPr>
        <w:fldChar w:fldCharType="begin"/>
      </w:r>
      <w:r w:rsidR="000571BF" w:rsidRPr="00237510">
        <w:rPr>
          <w:lang w:eastAsia="en-US"/>
        </w:rPr>
        <w:instrText xml:space="preserve"> ADDIN ZOTERO_ITEM CSL_CITATION {"citationID":"lY88v2zw","properties":{"formattedCitation":"(Brizga et al. 2013)","plainCitation":"(Brizga et al. 2013)","noteIndex":0},"citationItems":[{"id":4374,"uris":["http://zotero.org/users/2336876/items/CUYZQV8Y"],"uri":["http://zotero.org/users/2336876/items/CUYZQV8Y"],"itemData":{"id":4374,"type":"book","publisher":"Water Technology Pty Ltd","title":"Latrobe Estuary: Environmental Water Requirements Report","author":[{"family":"Brizga","given":"S."},{"family":"Arrowsmith","given":"C."},{"family":"Tilleard","given":"J."},{"family":"Boon","given":"P."},{"family":"McMahon","given":"A."},{"family":"O'Connor","given":"N."},{"family":"Pope","given":"A."}],"issued":{"date-parts":[["2013"]]}}}],"schema":"https://github.com/citation-style-language/schema/raw/master/csl-citation.json"} </w:instrText>
      </w:r>
      <w:r w:rsidRPr="00237510">
        <w:rPr>
          <w:lang w:eastAsia="en-US"/>
        </w:rPr>
        <w:fldChar w:fldCharType="separate"/>
      </w:r>
      <w:r w:rsidR="000571BF" w:rsidRPr="00237510">
        <w:rPr>
          <w:lang w:eastAsia="en-US"/>
        </w:rPr>
        <w:t>(Brizga et al. 2013)</w:t>
      </w:r>
      <w:r w:rsidRPr="00237510">
        <w:rPr>
          <w:lang w:eastAsia="en-US"/>
        </w:rPr>
        <w:fldChar w:fldCharType="end"/>
      </w:r>
      <w:r w:rsidRPr="00237510">
        <w:rPr>
          <w:lang w:eastAsia="en-US"/>
        </w:rPr>
        <w:t xml:space="preserve">. In channel freshes can flush salt from the upper layer of water and an increase in volume or duration can result in a fully flushed water column in the estuary. </w:t>
      </w:r>
    </w:p>
    <w:p w14:paraId="139252DB" w14:textId="09FDDEF7" w:rsidR="00302858" w:rsidRPr="00237510" w:rsidRDefault="00302858" w:rsidP="00302858">
      <w:pPr>
        <w:rPr>
          <w:lang w:eastAsia="en-US"/>
        </w:rPr>
      </w:pPr>
      <w:r w:rsidRPr="00237510">
        <w:rPr>
          <w:lang w:eastAsia="en-US"/>
        </w:rPr>
        <w:t xml:space="preserve">An assessment of salinity conditions in the estuary indicates that under “natural” (pre-water development) conditions, the estuary at the Swing Bridge is generally fresh (&lt; 1 ppt) throughout the water column </w:t>
      </w:r>
      <w:r w:rsidR="00747B1D" w:rsidRPr="00237510">
        <w:rPr>
          <w:lang w:eastAsia="en-US"/>
        </w:rPr>
        <w:t>76% of the time</w:t>
      </w:r>
      <w:r w:rsidRPr="00237510">
        <w:rPr>
          <w:lang w:eastAsia="en-US"/>
        </w:rPr>
        <w:t>. Currently, due to reduced water volumes (and potentially sea level rise) this is reduced to around half the time. In the lower Estuary, the water column was fully fresh around 37% of the time, which has been reduced under current conditions to around 20% of the time (</w:t>
      </w:r>
      <w:r w:rsidRPr="00237510">
        <w:rPr>
          <w:lang w:eastAsia="en-US"/>
        </w:rPr>
        <w:fldChar w:fldCharType="begin"/>
      </w:r>
      <w:r w:rsidRPr="00237510">
        <w:rPr>
          <w:lang w:eastAsia="en-US"/>
        </w:rPr>
        <w:instrText xml:space="preserve"> REF _Ref536796491 \h </w:instrText>
      </w:r>
      <w:r w:rsidRPr="00237510">
        <w:rPr>
          <w:lang w:eastAsia="en-US"/>
        </w:rPr>
      </w:r>
      <w:r w:rsidRPr="00237510">
        <w:rPr>
          <w:lang w:eastAsia="en-US"/>
        </w:rPr>
        <w:fldChar w:fldCharType="separate"/>
      </w:r>
      <w:r w:rsidR="008C72C8" w:rsidRPr="00237510">
        <w:t>Figure 13</w:t>
      </w:r>
      <w:r w:rsidRPr="00237510">
        <w:rPr>
          <w:lang w:eastAsia="en-US"/>
        </w:rPr>
        <w:fldChar w:fldCharType="end"/>
      </w:r>
      <w:r w:rsidRPr="00237510">
        <w:rPr>
          <w:lang w:eastAsia="en-US"/>
        </w:rPr>
        <w:t>).</w:t>
      </w:r>
    </w:p>
    <w:p w14:paraId="6F815A7F" w14:textId="77777777" w:rsidR="00302858" w:rsidRPr="00237510" w:rsidRDefault="00302858" w:rsidP="00302858">
      <w:pPr>
        <w:rPr>
          <w:lang w:eastAsia="en-US"/>
        </w:rPr>
      </w:pPr>
      <w:r>
        <w:rPr>
          <w:noProof/>
        </w:rPr>
        <w:drawing>
          <wp:inline distT="0" distB="0" distL="0" distR="0" wp14:anchorId="66818949" wp14:editId="1BB45833">
            <wp:extent cx="4309110" cy="2613763"/>
            <wp:effectExtent l="0" t="0" r="0" b="2540"/>
            <wp:docPr id="34" name="Picture 34" descr="Comparative bar chart showing salinity at Swing Bridge under natural and current conditions. Under current conditions it is fully flushed for 24 percentage points less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38" cstate="email">
                      <a:extLst>
                        <a:ext uri="{28A0092B-C50C-407E-A947-70E740481C1C}">
                          <a14:useLocalDpi xmlns:a14="http://schemas.microsoft.com/office/drawing/2010/main"/>
                        </a:ext>
                      </a:extLst>
                    </a:blip>
                    <a:stretch>
                      <a:fillRect/>
                    </a:stretch>
                  </pic:blipFill>
                  <pic:spPr>
                    <a:xfrm>
                      <a:off x="0" y="0"/>
                      <a:ext cx="4309110" cy="2613763"/>
                    </a:xfrm>
                    <a:prstGeom prst="rect">
                      <a:avLst/>
                    </a:prstGeom>
                  </pic:spPr>
                </pic:pic>
              </a:graphicData>
            </a:graphic>
          </wp:inline>
        </w:drawing>
      </w:r>
      <w:r>
        <w:rPr>
          <w:noProof/>
        </w:rPr>
        <w:drawing>
          <wp:inline distT="0" distB="0" distL="0" distR="0" wp14:anchorId="51B99564" wp14:editId="0558236E">
            <wp:extent cx="4309353" cy="2633769"/>
            <wp:effectExtent l="0" t="0" r="0" b="0"/>
            <wp:docPr id="20" name="Picture 20" descr="Comparative bar chart showing salinity at river mouth under natural and current conditions. Under current conditions it is fully flushed for 16 percentage points less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9" cstate="email">
                      <a:extLst>
                        <a:ext uri="{28A0092B-C50C-407E-A947-70E740481C1C}">
                          <a14:useLocalDpi xmlns:a14="http://schemas.microsoft.com/office/drawing/2010/main"/>
                        </a:ext>
                      </a:extLst>
                    </a:blip>
                    <a:stretch>
                      <a:fillRect/>
                    </a:stretch>
                  </pic:blipFill>
                  <pic:spPr>
                    <a:xfrm>
                      <a:off x="0" y="0"/>
                      <a:ext cx="4309353" cy="2633769"/>
                    </a:xfrm>
                    <a:prstGeom prst="rect">
                      <a:avLst/>
                    </a:prstGeom>
                  </pic:spPr>
                </pic:pic>
              </a:graphicData>
            </a:graphic>
          </wp:inline>
        </w:drawing>
      </w:r>
    </w:p>
    <w:p w14:paraId="6A5F3D6A" w14:textId="7432FB12" w:rsidR="00302858" w:rsidRPr="00237510" w:rsidRDefault="00302858" w:rsidP="00302858">
      <w:pPr>
        <w:pStyle w:val="Caption"/>
        <w:rPr>
          <w:lang w:eastAsia="en-US"/>
        </w:rPr>
      </w:pPr>
      <w:bookmarkStart w:id="32" w:name="_Ref536796491"/>
      <w:r w:rsidRPr="00237510">
        <w:t xml:space="preserve">Figure </w:t>
      </w:r>
      <w:r>
        <w:fldChar w:fldCharType="begin"/>
      </w:r>
      <w:r>
        <w:instrText>SEQ Figure \* ARABIC</w:instrText>
      </w:r>
      <w:r>
        <w:fldChar w:fldCharType="separate"/>
      </w:r>
      <w:r w:rsidR="00DE4513">
        <w:rPr>
          <w:noProof/>
        </w:rPr>
        <w:t>13</w:t>
      </w:r>
      <w:r>
        <w:fldChar w:fldCharType="end"/>
      </w:r>
      <w:bookmarkEnd w:id="32"/>
      <w:r w:rsidRPr="00237510">
        <w:t xml:space="preserve">: Salinity conditions at the Swing Bridge (top) and river mouth (bottom) </w:t>
      </w:r>
      <w:r w:rsidRPr="00237510">
        <w:fldChar w:fldCharType="begin"/>
      </w:r>
      <w:r w:rsidR="000571BF" w:rsidRPr="00237510">
        <w:instrText xml:space="preserve"> ADDIN ZOTERO_ITEM CSL_CITATION {"citationID":"XVWpuyeb","properties":{"formattedCitation":"(Brizga et al. 2013)","plainCitation":"(Brizga et al. 2013)","noteIndex":0},"citationItems":[{"id":4374,"uris":["http://zotero.org/users/2336876/items/CUYZQV8Y"],"uri":["http://zotero.org/users/2336876/items/CUYZQV8Y"],"itemData":{"id":4374,"type":"book","publisher":"Water Technology Pty Ltd","title":"Latrobe Estuary: Environmental Water Requirements Report","author":[{"family":"Brizga","given":"S."},{"family":"Arrowsmith","given":"C."},{"family":"Tilleard","given":"J."},{"family":"Boon","given":"P."},{"family":"McMahon","given":"A."},{"family":"O'Connor","given":"N."},{"family":"Pope","given":"A."}],"issued":{"date-parts":[["2013"]]}}}],"schema":"https://github.com/citation-style-language/schema/raw/master/csl-citation.json"} </w:instrText>
      </w:r>
      <w:r w:rsidRPr="00237510">
        <w:fldChar w:fldCharType="separate"/>
      </w:r>
      <w:r w:rsidR="000571BF" w:rsidRPr="00237510">
        <w:t>(Brizga et al. 2013)</w:t>
      </w:r>
      <w:r w:rsidRPr="00237510">
        <w:fldChar w:fldCharType="end"/>
      </w:r>
      <w:r w:rsidRPr="00237510">
        <w:t>.</w:t>
      </w:r>
    </w:p>
    <w:p w14:paraId="213B7528" w14:textId="77777777" w:rsidR="00302858" w:rsidRPr="00237510" w:rsidRDefault="00302858" w:rsidP="00747B1D">
      <w:pPr>
        <w:pStyle w:val="Heading3"/>
        <w:ind w:left="709"/>
      </w:pPr>
      <w:bookmarkStart w:id="33" w:name="_Toc42001379"/>
      <w:r w:rsidRPr="00237510">
        <w:t>Wetlands</w:t>
      </w:r>
      <w:bookmarkEnd w:id="33"/>
    </w:p>
    <w:p w14:paraId="771DBEAC" w14:textId="72C2D213" w:rsidR="00A762BE" w:rsidRPr="00237510" w:rsidRDefault="00302858" w:rsidP="00302858">
      <w:pPr>
        <w:rPr>
          <w:lang w:eastAsia="en-US"/>
        </w:rPr>
      </w:pPr>
      <w:r w:rsidRPr="00237510">
        <w:rPr>
          <w:lang w:eastAsia="en-US"/>
        </w:rPr>
        <w:t xml:space="preserve">Water quality data for the Lower Latrobe Wetlands is patchy and until recently, was very limited. This remains the case at Sale Common, where </w:t>
      </w:r>
      <w:r w:rsidR="008473CD" w:rsidRPr="00237510">
        <w:rPr>
          <w:lang w:eastAsia="en-US"/>
        </w:rPr>
        <w:t>information from</w:t>
      </w:r>
      <w:r w:rsidRPr="00237510">
        <w:rPr>
          <w:lang w:eastAsia="en-US"/>
        </w:rPr>
        <w:t xml:space="preserve"> </w:t>
      </w:r>
      <w:r w:rsidR="00747B1D" w:rsidRPr="00237510">
        <w:rPr>
          <w:lang w:eastAsia="en-US"/>
        </w:rPr>
        <w:t>community monitoring (</w:t>
      </w:r>
      <w:r w:rsidRPr="00237510">
        <w:rPr>
          <w:lang w:eastAsia="en-US"/>
        </w:rPr>
        <w:t>Waterwatch</w:t>
      </w:r>
      <w:r w:rsidR="00747B1D" w:rsidRPr="00237510">
        <w:rPr>
          <w:lang w:eastAsia="en-US"/>
        </w:rPr>
        <w:t>)</w:t>
      </w:r>
      <w:r w:rsidRPr="00237510">
        <w:rPr>
          <w:lang w:eastAsia="en-US"/>
        </w:rPr>
        <w:t xml:space="preserve"> </w:t>
      </w:r>
      <w:r w:rsidR="008473CD" w:rsidRPr="00237510">
        <w:rPr>
          <w:lang w:eastAsia="en-US"/>
        </w:rPr>
        <w:t>is all that could be sourced</w:t>
      </w:r>
      <w:r w:rsidRPr="00237510">
        <w:rPr>
          <w:lang w:eastAsia="en-US"/>
        </w:rPr>
        <w:t xml:space="preserve">. </w:t>
      </w:r>
      <w:r w:rsidR="00747B1D" w:rsidRPr="00237510">
        <w:rPr>
          <w:lang w:eastAsia="en-US"/>
        </w:rPr>
        <w:t>These data</w:t>
      </w:r>
      <w:r w:rsidRPr="00237510">
        <w:rPr>
          <w:lang w:eastAsia="en-US"/>
        </w:rPr>
        <w:t xml:space="preserve"> indicate that Sale Common is fresh (electrical conductivity between 200 and 755</w:t>
      </w:r>
      <w:r w:rsidR="008473CD" w:rsidRPr="00237510">
        <w:rPr>
          <w:lang w:eastAsia="en-US"/>
        </w:rPr>
        <w:t> </w:t>
      </w:r>
      <w:r w:rsidRPr="00237510">
        <w:rPr>
          <w:rFonts w:ascii="Symbol" w:eastAsia="Symbol" w:hAnsi="Symbol" w:cs="Symbol"/>
          <w:lang w:eastAsia="en-US"/>
        </w:rPr>
        <w:t></w:t>
      </w:r>
      <w:r w:rsidRPr="00237510">
        <w:rPr>
          <w:lang w:eastAsia="en-US"/>
        </w:rPr>
        <w:t>S/cm), neutral (pH averaging around 7), periodically turbid (max</w:t>
      </w:r>
      <w:r w:rsidR="008473CD" w:rsidRPr="00237510">
        <w:rPr>
          <w:lang w:eastAsia="en-US"/>
        </w:rPr>
        <w:t>imum</w:t>
      </w:r>
      <w:r w:rsidRPr="00237510">
        <w:rPr>
          <w:lang w:eastAsia="en-US"/>
        </w:rPr>
        <w:t xml:space="preserve"> turbidity 300 NTU). There is, however, no indication of trend.</w:t>
      </w:r>
    </w:p>
    <w:p w14:paraId="7901530A" w14:textId="462D8B0D" w:rsidR="00F676EC" w:rsidRPr="00237510" w:rsidRDefault="000571BF" w:rsidP="00302858">
      <w:pPr>
        <w:rPr>
          <w:lang w:eastAsia="en-US"/>
        </w:rPr>
      </w:pPr>
      <w:r w:rsidRPr="00237510">
        <w:rPr>
          <w:lang w:eastAsia="en-US"/>
        </w:rPr>
        <w:t xml:space="preserve">Heart and Dowd Morass were once more commonly fresh than they under current conditions, although empirical data is limited. </w:t>
      </w:r>
      <w:r w:rsidR="00302858" w:rsidRPr="00237510">
        <w:rPr>
          <w:lang w:eastAsia="en-US"/>
        </w:rPr>
        <w:t xml:space="preserve">Since 2017, water quality in terms of electrical conductivity and pH has been logged at both Heart and Dowd Morass. </w:t>
      </w:r>
      <w:r w:rsidR="00F676EC" w:rsidRPr="00237510">
        <w:rPr>
          <w:lang w:eastAsia="en-US"/>
        </w:rPr>
        <w:t>Electrical conductivity has been largely similar at both monitoring stations (noting that there is a degree of spatial variability in water quality in both wetlands). In March 2019, when water levels fell, salinity increased in both wetlands, but was significantly higher in Dowd Morass (</w:t>
      </w:r>
      <w:r w:rsidR="00F676EC" w:rsidRPr="00237510">
        <w:rPr>
          <w:lang w:eastAsia="en-US"/>
        </w:rPr>
        <w:fldChar w:fldCharType="begin"/>
      </w:r>
      <w:r w:rsidR="00F676EC" w:rsidRPr="00237510">
        <w:rPr>
          <w:lang w:eastAsia="en-US"/>
        </w:rPr>
        <w:instrText xml:space="preserve"> REF _Ref516747 \h </w:instrText>
      </w:r>
      <w:r w:rsidR="00F676EC" w:rsidRPr="00237510">
        <w:rPr>
          <w:lang w:eastAsia="en-US"/>
        </w:rPr>
      </w:r>
      <w:r w:rsidR="00F676EC" w:rsidRPr="00237510">
        <w:rPr>
          <w:lang w:eastAsia="en-US"/>
        </w:rPr>
        <w:fldChar w:fldCharType="separate"/>
      </w:r>
      <w:r w:rsidR="008C72C8" w:rsidRPr="00237510">
        <w:t>Figure 14</w:t>
      </w:r>
      <w:r w:rsidR="00F676EC" w:rsidRPr="00237510">
        <w:rPr>
          <w:lang w:eastAsia="en-US"/>
        </w:rPr>
        <w:fldChar w:fldCharType="end"/>
      </w:r>
      <w:r w:rsidR="00F676EC" w:rsidRPr="00237510">
        <w:rPr>
          <w:lang w:eastAsia="en-US"/>
        </w:rPr>
        <w:t xml:space="preserve">). Dowd Morass is connected to Lake Wellington at a lower threshold than Heart Morass, and it seems likely that the spike in salinity may have been influenced by the movement of saline water from Lake Wellington into the Morass </w:t>
      </w:r>
      <w:r w:rsidR="008473CD" w:rsidRPr="00237510">
        <w:rPr>
          <w:lang w:eastAsia="en-US"/>
        </w:rPr>
        <w:t>when</w:t>
      </w:r>
      <w:r w:rsidR="00F676EC" w:rsidRPr="00237510">
        <w:rPr>
          <w:lang w:eastAsia="en-US"/>
        </w:rPr>
        <w:t xml:space="preserve"> freshwater levels fell. </w:t>
      </w:r>
    </w:p>
    <w:p w14:paraId="73374265" w14:textId="5685861B" w:rsidR="00302858" w:rsidRPr="00237510" w:rsidRDefault="00F676EC" w:rsidP="00302858">
      <w:pPr>
        <w:rPr>
          <w:lang w:eastAsia="en-US"/>
        </w:rPr>
      </w:pPr>
      <w:r w:rsidRPr="00237510">
        <w:rPr>
          <w:lang w:eastAsia="en-US"/>
        </w:rPr>
        <w:t xml:space="preserve">Dowd Morass remained relatively neutral to slightly alkaline with pH mainly between 6 and 8. Heart Morass is generally more acidic, due to the exposure of acid </w:t>
      </w:r>
      <w:r w:rsidR="00336EFB" w:rsidRPr="00237510">
        <w:rPr>
          <w:lang w:eastAsia="en-US"/>
        </w:rPr>
        <w:t>sulfate</w:t>
      </w:r>
      <w:r w:rsidRPr="00237510">
        <w:rPr>
          <w:lang w:eastAsia="en-US"/>
        </w:rPr>
        <w:t xml:space="preserve"> soils </w:t>
      </w:r>
      <w:r w:rsidRPr="00237510">
        <w:rPr>
          <w:lang w:eastAsia="en-US"/>
        </w:rPr>
        <w:fldChar w:fldCharType="begin"/>
      </w:r>
      <w:r w:rsidR="00FF3887" w:rsidRPr="00237510">
        <w:rPr>
          <w:lang w:eastAsia="en-US"/>
        </w:rPr>
        <w:instrText xml:space="preserve"> ADDIN ZOTERO_ITEM CSL_CITATION {"citationID":"gXW4jDaF","properties":{"formattedCitation":"(Boon et al. 2007, Taylor 2011)","plainCitation":"(Boon et al. 2007, Taylor 2011)","noteIndex":0},"citationItems":[{"id":2045,"uris":["http://zotero.org/users/2336876/items/ABU7C4C4"],"uri":["http://zotero.org/users/2336876/items/ABU7C4C4"],"itemData":{"id":2045,"type":"article-journal","container-title":"Victoria University and Monash University, Clayton, Victoria","source":"Google Scholar","title":"Ecology and management of the Lake Wellington wetlands, Gippsland Lakes: a report on the R&amp;D project, 2003-2006","title-short":"Ecology and management of the Lake Wellington wetlands, Gippsland Lakes","URL":"http://npsi.gov.au/files/products/environmental-water-allocation/pn30046/pn30046.pdf","author":[{"family":"Boon","given":"Paul I."},{"family":"Raulings","given":"Elisa"},{"family":"Morris","given":"Kay"},{"family":"Roache","given":"Michael"},{"family":"Robinson","given":"Randall"},{"family":"Hatton","given":"Matthew"},{"family":"Salter","given":"Jacqui"}],"accessed":{"date-parts":[["2014",5,24]]},"issued":{"date-parts":[["2007"]]}}},{"id":2364,"uris":["http://zotero.org/users/2336876/items/W2WDMJDM"],"uri":["http://zotero.org/users/2336876/items/W2WDMJDM"],"itemData":{"id":2364,"type":"book","event-place":"Clayton, Victoria","publisher":"Monash University","publisher-place":"Clayton, Victoria","title":"The current status of acid sulfate soils, their severity and associated environmental implications from the Heart Morass and Dowd Morass, West Gippsland, Victoria","author":[{"family":"Taylor","given":"H.L."}],"issued":{"date-parts":[["2011"]]}}}],"schema":"https://github.com/citation-style-language/schema/raw/master/csl-citation.json"} </w:instrText>
      </w:r>
      <w:r w:rsidRPr="00237510">
        <w:rPr>
          <w:lang w:eastAsia="en-US"/>
        </w:rPr>
        <w:fldChar w:fldCharType="separate"/>
      </w:r>
      <w:r w:rsidRPr="00237510">
        <w:rPr>
          <w:lang w:eastAsia="en-US"/>
        </w:rPr>
        <w:t>(Boon et al. 2007, Taylor 2011)</w:t>
      </w:r>
      <w:r w:rsidRPr="00237510">
        <w:rPr>
          <w:lang w:eastAsia="en-US"/>
        </w:rPr>
        <w:fldChar w:fldCharType="end"/>
      </w:r>
      <w:r w:rsidRPr="00237510">
        <w:rPr>
          <w:lang w:eastAsia="en-US"/>
        </w:rPr>
        <w:t>, although in more recent times it has fluctuated considerably over short timescales (</w:t>
      </w:r>
      <w:r w:rsidRPr="00237510">
        <w:rPr>
          <w:lang w:eastAsia="en-US"/>
        </w:rPr>
        <w:fldChar w:fldCharType="begin"/>
      </w:r>
      <w:r w:rsidRPr="00237510">
        <w:rPr>
          <w:lang w:eastAsia="en-US"/>
        </w:rPr>
        <w:instrText xml:space="preserve"> REF _Ref516747 \h </w:instrText>
      </w:r>
      <w:r w:rsidRPr="00237510">
        <w:rPr>
          <w:lang w:eastAsia="en-US"/>
        </w:rPr>
      </w:r>
      <w:r w:rsidRPr="00237510">
        <w:rPr>
          <w:lang w:eastAsia="en-US"/>
        </w:rPr>
        <w:fldChar w:fldCharType="separate"/>
      </w:r>
      <w:r w:rsidR="008C72C8" w:rsidRPr="00237510">
        <w:t>Figure 14</w:t>
      </w:r>
      <w:r w:rsidRPr="00237510">
        <w:rPr>
          <w:lang w:eastAsia="en-US"/>
        </w:rPr>
        <w:fldChar w:fldCharType="end"/>
      </w:r>
      <w:r w:rsidRPr="00237510">
        <w:rPr>
          <w:lang w:eastAsia="en-US"/>
        </w:rPr>
        <w:t xml:space="preserve">). </w:t>
      </w:r>
    </w:p>
    <w:p w14:paraId="18B48F66" w14:textId="4EDEA400" w:rsidR="00302858" w:rsidRPr="00237510" w:rsidRDefault="00302858" w:rsidP="00302858">
      <w:pPr>
        <w:rPr>
          <w:lang w:eastAsia="en-US"/>
        </w:rPr>
      </w:pPr>
      <w:r w:rsidRPr="00237510">
        <w:rPr>
          <w:noProof/>
        </w:rPr>
        <w:drawing>
          <wp:inline distT="0" distB="0" distL="0" distR="0" wp14:anchorId="4E467FD2" wp14:editId="51041E71">
            <wp:extent cx="5581015" cy="4415155"/>
            <wp:effectExtent l="0" t="0" r="0" b="4445"/>
            <wp:docPr id="54" name="Picture 54" descr="Two comparative line graphs showing changes in electrical conductivity (top) and pH (bottom) for Heart Morass and Dowd Morass from June 2017 to June 202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email">
                      <a:extLst>
                        <a:ext uri="{28A0092B-C50C-407E-A947-70E740481C1C}">
                          <a14:useLocalDpi xmlns:a14="http://schemas.microsoft.com/office/drawing/2010/main"/>
                        </a:ext>
                      </a:extLst>
                    </a:blip>
                    <a:stretch>
                      <a:fillRect/>
                    </a:stretch>
                  </pic:blipFill>
                  <pic:spPr>
                    <a:xfrm>
                      <a:off x="0" y="0"/>
                      <a:ext cx="5581015" cy="4415155"/>
                    </a:xfrm>
                    <a:prstGeom prst="rect">
                      <a:avLst/>
                    </a:prstGeom>
                  </pic:spPr>
                </pic:pic>
              </a:graphicData>
            </a:graphic>
          </wp:inline>
        </w:drawing>
      </w:r>
    </w:p>
    <w:p w14:paraId="6B4C607B" w14:textId="3DD0682F" w:rsidR="0017123E" w:rsidRPr="00237510" w:rsidRDefault="00F676EC" w:rsidP="00F676EC">
      <w:pPr>
        <w:pStyle w:val="Caption"/>
      </w:pPr>
      <w:bookmarkStart w:id="34" w:name="_Ref516747"/>
      <w:r w:rsidRPr="00237510">
        <w:t xml:space="preserve">Figure </w:t>
      </w:r>
      <w:r>
        <w:fldChar w:fldCharType="begin"/>
      </w:r>
      <w:r>
        <w:instrText>SEQ Figure \* ARABIC</w:instrText>
      </w:r>
      <w:r>
        <w:fldChar w:fldCharType="separate"/>
      </w:r>
      <w:r w:rsidR="00DE4513">
        <w:rPr>
          <w:noProof/>
        </w:rPr>
        <w:t>14</w:t>
      </w:r>
      <w:r>
        <w:fldChar w:fldCharType="end"/>
      </w:r>
      <w:bookmarkEnd w:id="34"/>
      <w:r w:rsidRPr="00237510">
        <w:t xml:space="preserve">: Heart Morass and Dowd Morass electrical conductivity (top) and pH (bottom) (data from </w:t>
      </w:r>
      <w:hyperlink r:id="rId41" w:history="1">
        <w:r w:rsidRPr="00237510">
          <w:rPr>
            <w:rStyle w:val="Hyperlink"/>
          </w:rPr>
          <w:t>http://data.water.vic.gov.au/</w:t>
        </w:r>
      </w:hyperlink>
      <w:r w:rsidRPr="00237510">
        <w:t>).</w:t>
      </w:r>
    </w:p>
    <w:p w14:paraId="2FE73378" w14:textId="77777777" w:rsidR="0023335D" w:rsidRPr="00237510" w:rsidRDefault="0023335D" w:rsidP="008B39C3">
      <w:pPr>
        <w:pStyle w:val="Heading3"/>
        <w:ind w:left="709"/>
      </w:pPr>
      <w:bookmarkStart w:id="35" w:name="_Toc42001380"/>
      <w:r w:rsidRPr="00237510">
        <w:t>Lake Wellington</w:t>
      </w:r>
      <w:bookmarkEnd w:id="35"/>
    </w:p>
    <w:p w14:paraId="6274D087" w14:textId="21FC6B1E" w:rsidR="0023335D" w:rsidRPr="00237510" w:rsidRDefault="0023335D" w:rsidP="0023335D">
      <w:pPr>
        <w:rPr>
          <w:lang w:eastAsia="en-US"/>
        </w:rPr>
      </w:pPr>
      <w:r w:rsidRPr="00237510">
        <w:rPr>
          <w:lang w:eastAsia="en-US"/>
        </w:rPr>
        <w:t xml:space="preserve">Historically (i.e. pre-European), Lake Wellington was fresh and supported extensive beds of submerged and fringing vascular plants. Salinity impacts started to be seen soon after the creation of the artificial entrance in 1889 </w:t>
      </w:r>
      <w:r w:rsidRPr="00237510">
        <w:rPr>
          <w:lang w:eastAsia="en-US"/>
        </w:rPr>
        <w:fldChar w:fldCharType="begin"/>
      </w:r>
      <w:r w:rsidR="00FF3887" w:rsidRPr="00237510">
        <w:rPr>
          <w:lang w:eastAsia="en-US"/>
        </w:rPr>
        <w:instrText xml:space="preserve"> ADDIN ZOTERO_ITEM CSL_CITATION {"citationID":"v6IJBBJj","properties":{"formattedCitation":"(Boon et al. 2018)","plainCitation":"(Boon et al. 2018)","noteIndex":0},"citationItems":[{"id":4402,"uris":["http://zotero.org/users/2336876/items/HQD95GTR"],"uri":["http://zotero.org/users/2336876/items/HQD95GTR"],"itemData":{"id":4402,"type":"article-journal","abstract":"Common reed Phragmites australis is the dominant vascular plant species of the shorelines of the Gippsland Lakes, south-eastern Australia. Although substantial declines have been reported for over 50 years, with increasing salinity posited as the cause, P. australis still occurs around the Gippsland Lakes, including in environments with near-oceanic salinities. The occurrence of P. australis in highly saline environments cannot be explained in terms of either seasonal variations in surface water salinity or a freshwater subsidy provided by intrusions of non-saline groundwater into the root zone. An experimental growth trial with plants of different provenance showed that P. australis grew vigorously even at 8–16PSU (with maximum aboveground biomass at 2–4PSU). There was some evidence that specimens from saltier sites were more salt tolerant than those from fresher sites. The selection of salt-tolerant strains is the most likely explanation for the occurrence of P. australis in saline sites. However, anthropogenic salinisation is unlikely to be the only factor involved in the historical loss of reed beds, and lower and more stable water levels following the permanent opening of the Gippsland Lakes to the ocean in 1889 are probably also contributing factors.","container-title":"Marine and Freshwater Research","DOI":"10.1071/MF18145","ISSN":"1448-6059","journalAbbreviation":"Mar. Freshwater Res.","language":"en","source":"www.publish.csiro.au","title":"Why has Phragmites australis persisted in the increasingly saline Gippsland Lakes? A test of three competing hypotheses","title-short":"Why has Phragmites australis persisted in the increasingly saline Gippsland Lakes?","URL":"http://www.publish.csiro.au/mf/MF18145","author":[{"family":"Boon","given":"Paul I."},{"family":"Frood","given":"Doug"},{"family":"Oates","given":"Alison"},{"family":"Reside","given":"Jim"},{"family":"Rosengren","given":"Neville"}],"accessed":{"date-parts":[["2019",1,9]]},"issued":{"date-parts":[["2018",11,9]]}}}],"schema":"https://github.com/citation-style-language/schema/raw/master/csl-citation.json"} </w:instrText>
      </w:r>
      <w:r w:rsidRPr="00237510">
        <w:rPr>
          <w:lang w:eastAsia="en-US"/>
        </w:rPr>
        <w:fldChar w:fldCharType="separate"/>
      </w:r>
      <w:r w:rsidRPr="00237510">
        <w:rPr>
          <w:lang w:eastAsia="en-US"/>
        </w:rPr>
        <w:t>(Boon et al. 2018)</w:t>
      </w:r>
      <w:r w:rsidRPr="00237510">
        <w:rPr>
          <w:lang w:eastAsia="en-US"/>
        </w:rPr>
        <w:fldChar w:fldCharType="end"/>
      </w:r>
      <w:r w:rsidRPr="00237510">
        <w:rPr>
          <w:lang w:eastAsia="en-US"/>
        </w:rPr>
        <w:t xml:space="preserve">.  </w:t>
      </w:r>
      <w:r w:rsidR="000571BF" w:rsidRPr="00237510">
        <w:rPr>
          <w:lang w:eastAsia="en-US"/>
        </w:rPr>
        <w:t>Salinity in Lake Wellington in recent years has been increasing</w:t>
      </w:r>
      <w:r w:rsidR="009C65AE" w:rsidRPr="00237510">
        <w:rPr>
          <w:lang w:eastAsia="en-US"/>
        </w:rPr>
        <w:t xml:space="preserve"> </w:t>
      </w:r>
      <w:r w:rsidRPr="00237510">
        <w:rPr>
          <w:lang w:eastAsia="en-US"/>
        </w:rPr>
        <w:t>(</w:t>
      </w:r>
      <w:r w:rsidRPr="00237510">
        <w:rPr>
          <w:lang w:eastAsia="en-US"/>
        </w:rPr>
        <w:fldChar w:fldCharType="begin"/>
      </w:r>
      <w:r w:rsidRPr="00237510">
        <w:rPr>
          <w:lang w:eastAsia="en-US"/>
        </w:rPr>
        <w:instrText xml:space="preserve"> REF _Ref505693289 \h  \* MERGEFORMAT </w:instrText>
      </w:r>
      <w:r w:rsidRPr="00237510">
        <w:rPr>
          <w:lang w:eastAsia="en-US"/>
        </w:rPr>
      </w:r>
      <w:r w:rsidRPr="00237510">
        <w:rPr>
          <w:lang w:eastAsia="en-US"/>
        </w:rPr>
        <w:fldChar w:fldCharType="separate"/>
      </w:r>
      <w:r w:rsidR="008C72C8" w:rsidRPr="00237510">
        <w:rPr>
          <w:lang w:eastAsia="en-US"/>
        </w:rPr>
        <w:t>Figure 15</w:t>
      </w:r>
      <w:r w:rsidRPr="00237510">
        <w:rPr>
          <w:lang w:eastAsia="en-US"/>
        </w:rPr>
        <w:fldChar w:fldCharType="end"/>
      </w:r>
      <w:r w:rsidRPr="00237510">
        <w:rPr>
          <w:lang w:eastAsia="en-US"/>
        </w:rPr>
        <w:t xml:space="preserve">). Lake </w:t>
      </w:r>
      <w:r w:rsidR="00FF3887" w:rsidRPr="00237510">
        <w:rPr>
          <w:lang w:eastAsia="en-US"/>
        </w:rPr>
        <w:t>W</w:t>
      </w:r>
      <w:r w:rsidRPr="00237510">
        <w:rPr>
          <w:lang w:eastAsia="en-US"/>
        </w:rPr>
        <w:t xml:space="preserve">ellington can only be flushed of saline water when flows exceed 130 GL/ month in the Latrobe River </w:t>
      </w:r>
      <w:r w:rsidRPr="00237510">
        <w:rPr>
          <w:lang w:eastAsia="en-US"/>
        </w:rPr>
        <w:fldChar w:fldCharType="begin"/>
      </w:r>
      <w:r w:rsidR="000571BF" w:rsidRPr="00237510">
        <w:rPr>
          <w:lang w:eastAsia="en-US"/>
        </w:rPr>
        <w:instrText xml:space="preserve"> ADDIN ZOTERO_ITEM CSL_CITATION {"citationID":"7d3j4Lqj","properties":{"formattedCitation":"(Brizga et al. 2013)","plainCitation":"(Brizga et al. 2013)","noteIndex":0},"citationItems":[{"id":4374,"uris":["http://zotero.org/users/2336876/items/CUYZQV8Y"],"uri":["http://zotero.org/users/2336876/items/CUYZQV8Y"],"itemData":{"id":4374,"type":"book","publisher":"Water Technology Pty Ltd","title":"Latrobe Estuary: Environmental Water Requirements Report","author":[{"family":"Brizga","given":"S."},{"family":"Arrowsmith","given":"C."},{"family":"Tilleard","given":"J."},{"family":"Boon","given":"P."},{"family":"McMahon","given":"A."},{"family":"O'Connor","given":"N."},{"family":"Pope","given":"A."}],"issued":{"date-parts":[["2013"]]}}}],"schema":"https://github.com/citation-style-language/schema/raw/master/csl-citation.json"} </w:instrText>
      </w:r>
      <w:r w:rsidRPr="00237510">
        <w:rPr>
          <w:lang w:eastAsia="en-US"/>
        </w:rPr>
        <w:fldChar w:fldCharType="separate"/>
      </w:r>
      <w:r w:rsidR="000571BF" w:rsidRPr="00237510">
        <w:rPr>
          <w:lang w:eastAsia="en-US"/>
        </w:rPr>
        <w:t>(Brizga et al. 2013)</w:t>
      </w:r>
      <w:r w:rsidRPr="00237510">
        <w:rPr>
          <w:lang w:eastAsia="en-US"/>
        </w:rPr>
        <w:fldChar w:fldCharType="end"/>
      </w:r>
      <w:r w:rsidRPr="00237510">
        <w:rPr>
          <w:lang w:eastAsia="en-US"/>
        </w:rPr>
        <w:t>.</w:t>
      </w:r>
    </w:p>
    <w:p w14:paraId="5B7067C5" w14:textId="6BB7C9B9" w:rsidR="008473CD" w:rsidRPr="00237510" w:rsidRDefault="008473CD" w:rsidP="0023335D">
      <w:pPr>
        <w:rPr>
          <w:lang w:eastAsia="en-US"/>
        </w:rPr>
      </w:pPr>
      <w:r w:rsidRPr="00237510">
        <w:rPr>
          <w:lang w:eastAsia="en-US"/>
        </w:rPr>
        <w:t>An assessment of water quality against SEPP (Waters) objectives from 2013</w:t>
      </w:r>
      <w:r w:rsidR="00747B1D" w:rsidRPr="00237510">
        <w:rPr>
          <w:lang w:eastAsia="en-US"/>
        </w:rPr>
        <w:t xml:space="preserve"> – </w:t>
      </w:r>
      <w:r w:rsidRPr="00237510">
        <w:rPr>
          <w:lang w:eastAsia="en-US"/>
        </w:rPr>
        <w:t xml:space="preserve">2017 is provided in </w:t>
      </w:r>
      <w:r w:rsidRPr="00237510">
        <w:rPr>
          <w:lang w:eastAsia="en-US"/>
        </w:rPr>
        <w:fldChar w:fldCharType="begin"/>
      </w:r>
      <w:r w:rsidRPr="00237510">
        <w:rPr>
          <w:lang w:eastAsia="en-US"/>
        </w:rPr>
        <w:instrText xml:space="preserve"> REF _Ref536619791 \h </w:instrText>
      </w:r>
      <w:r w:rsidRPr="00237510">
        <w:rPr>
          <w:lang w:eastAsia="en-US"/>
        </w:rPr>
      </w:r>
      <w:r w:rsidRPr="00237510">
        <w:rPr>
          <w:lang w:eastAsia="en-US"/>
        </w:rPr>
        <w:fldChar w:fldCharType="separate"/>
      </w:r>
      <w:r w:rsidR="008C72C8" w:rsidRPr="00237510">
        <w:t>Table 4</w:t>
      </w:r>
      <w:r w:rsidRPr="00237510">
        <w:rPr>
          <w:lang w:eastAsia="en-US"/>
        </w:rPr>
        <w:fldChar w:fldCharType="end"/>
      </w:r>
      <w:r w:rsidRPr="00237510">
        <w:rPr>
          <w:lang w:eastAsia="en-US"/>
        </w:rPr>
        <w:t xml:space="preserve">. </w:t>
      </w:r>
      <w:r w:rsidR="00166F08" w:rsidRPr="00237510">
        <w:rPr>
          <w:lang w:eastAsia="en-US"/>
        </w:rPr>
        <w:t xml:space="preserve">Lake Wellington is mostly turbid as a result of catchment derived sediments, wind generated resuspension of bottom sediments and the actions of European carp </w:t>
      </w:r>
      <w:r w:rsidR="00166F08" w:rsidRPr="00237510">
        <w:rPr>
          <w:lang w:eastAsia="en-US"/>
        </w:rPr>
        <w:fldChar w:fldCharType="begin"/>
      </w:r>
      <w:r w:rsidR="00166F08" w:rsidRPr="00237510">
        <w:rPr>
          <w:lang w:eastAsia="en-US"/>
        </w:rPr>
        <w:instrText xml:space="preserve"> ADDIN ZOTERO_ITEM CSL_CITATION {"citationID":"1qvlrmikam","properties":{"formattedCitation":"(Harris et al. 1998)","plainCitation":"(Harris et al. 1998)","noteIndex":0},"citationItems":[{"id":2313,"uris":["http://zotero.org/users/2336876/items/N7QMDWG2"],"uri":["http://zotero.org/users/2336876/items/N7QMDWG2"],"itemData":{"id":2313,"type":"book","event-place":"Melbourne","publisher":"CSIRO","publisher-place":"Melbourne","title":"Gippsland Lakes Environmental Audit: Review of Water Quality and Status of the Aquatic Ecosystems of the Gippsland Lakes","author":[{"family":"Harris","given":"G."},{"family":"Batley","given":"G."},{"family":"Webster","given":"I. T."},{"family":"Molloy","given":"R."},{"family":"Fox","given":"D."}],"issued":{"date-parts":[["1998"]]}}}],"schema":"https://github.com/citation-style-language/schema/raw/master/csl-citation.json"} </w:instrText>
      </w:r>
      <w:r w:rsidR="00166F08" w:rsidRPr="00237510">
        <w:rPr>
          <w:lang w:eastAsia="en-US"/>
        </w:rPr>
        <w:fldChar w:fldCharType="separate"/>
      </w:r>
      <w:r w:rsidR="00166F08" w:rsidRPr="00237510">
        <w:rPr>
          <w:lang w:eastAsia="en-US"/>
        </w:rPr>
        <w:t>(Harris et al. 1998)</w:t>
      </w:r>
      <w:r w:rsidR="00166F08" w:rsidRPr="00237510">
        <w:rPr>
          <w:lang w:eastAsia="en-US"/>
        </w:rPr>
        <w:fldChar w:fldCharType="end"/>
      </w:r>
      <w:r w:rsidR="00166F08" w:rsidRPr="00237510">
        <w:rPr>
          <w:lang w:eastAsia="en-US"/>
        </w:rPr>
        <w:t xml:space="preserve">. This change to a highly turbid system is believed to have taken place over 50 years ago, around 1967, and there is no evidence of an ongoing trend. Nutrient concentrations in Lake Wellington are also high and the water body has been classified as eutrophic by OECD trophic condition standards </w:t>
      </w:r>
      <w:r w:rsidR="00166F08" w:rsidRPr="00237510">
        <w:rPr>
          <w:lang w:eastAsia="en-US"/>
        </w:rPr>
        <w:fldChar w:fldCharType="begin"/>
      </w:r>
      <w:r w:rsidR="00166F08" w:rsidRPr="00237510">
        <w:rPr>
          <w:lang w:eastAsia="en-US"/>
        </w:rPr>
        <w:instrText xml:space="preserve"> ADDIN ZOTERO_ITEM CSL_CITATION {"citationID":"yjKR3Kx3","properties":{"formattedCitation":"(Harris et al. 1998)","plainCitation":"(Harris et al. 1998)","noteIndex":0},"citationItems":[{"id":2313,"uris":["http://zotero.org/users/2336876/items/N7QMDWG2"],"uri":["http://zotero.org/users/2336876/items/N7QMDWG2"],"itemData":{"id":2313,"type":"book","event-place":"Melbourne","publisher":"CSIRO","publisher-place":"Melbourne","title":"Gippsland Lakes Environmental Audit: Review of Water Quality and Status of the Aquatic Ecosystems of the Gippsland Lakes","author":[{"family":"Harris","given":"G."},{"family":"Batley","given":"G."},{"family":"Webster","given":"I. T."},{"family":"Molloy","given":"R."},{"family":"Fox","given":"D."}],"issued":{"date-parts":[["1998"]]}}}],"schema":"https://github.com/citation-style-language/schema/raw/master/csl-citation.json"} </w:instrText>
      </w:r>
      <w:r w:rsidR="00166F08" w:rsidRPr="00237510">
        <w:rPr>
          <w:lang w:eastAsia="en-US"/>
        </w:rPr>
        <w:fldChar w:fldCharType="separate"/>
      </w:r>
      <w:r w:rsidR="00166F08" w:rsidRPr="00237510">
        <w:rPr>
          <w:lang w:eastAsia="en-US"/>
        </w:rPr>
        <w:t>(Harris et al. 1998)</w:t>
      </w:r>
      <w:r w:rsidR="00166F08" w:rsidRPr="00237510">
        <w:rPr>
          <w:lang w:eastAsia="en-US"/>
        </w:rPr>
        <w:fldChar w:fldCharType="end"/>
      </w:r>
      <w:r w:rsidR="00166F08" w:rsidRPr="00237510">
        <w:rPr>
          <w:lang w:eastAsia="en-US"/>
        </w:rPr>
        <w:t>. There is some evidence of an ongoing increasing trend in both total nitrogen and total phosphorus (</w:t>
      </w:r>
      <w:r w:rsidR="00DA664C" w:rsidRPr="00237510">
        <w:rPr>
          <w:lang w:eastAsia="en-US"/>
        </w:rPr>
        <w:t>data from the water measurement information system)</w:t>
      </w:r>
      <w:r w:rsidR="00166F08" w:rsidRPr="00237510">
        <w:rPr>
          <w:lang w:eastAsia="en-US"/>
        </w:rPr>
        <w:t xml:space="preserve">. The high turbidity often restricts algal growth, due to low light availability, but there are occasional algal blooms. High chlorophyll-a concentrations (&gt; 50 </w:t>
      </w:r>
      <w:r w:rsidR="00166F08" w:rsidRPr="00237510">
        <w:rPr>
          <w:rFonts w:ascii="Symbol" w:eastAsia="Symbol" w:hAnsi="Symbol" w:cs="Symbol"/>
          <w:lang w:eastAsia="en-US"/>
        </w:rPr>
        <w:t></w:t>
      </w:r>
      <w:r w:rsidR="00166F08" w:rsidRPr="00237510">
        <w:rPr>
          <w:lang w:eastAsia="en-US"/>
        </w:rPr>
        <w:t>g/L) were recorded in spring 2013, although the species remain unknown.</w:t>
      </w:r>
    </w:p>
    <w:p w14:paraId="3670B06C" w14:textId="4E75DAF3" w:rsidR="0023335D" w:rsidRPr="00237510" w:rsidRDefault="00747B1D" w:rsidP="0023335D">
      <w:pPr>
        <w:rPr>
          <w:lang w:eastAsia="en-US"/>
        </w:rPr>
      </w:pPr>
      <w:r w:rsidRPr="00237510">
        <w:rPr>
          <w:noProof/>
        </w:rPr>
        <w:drawing>
          <wp:inline distT="0" distB="0" distL="0" distR="0" wp14:anchorId="1A5D6F3A" wp14:editId="59AECD8D">
            <wp:extent cx="5581015" cy="2614295"/>
            <wp:effectExtent l="0" t="0" r="0" b="1905"/>
            <wp:docPr id="23" name="Picture 23" descr="Column chart showing annual average salinity in Lake Wellington. The results are modelled between 1977 and 1985, and measured from 1985 to 2019. While there are annual fluctuations, the general trend is that salinity is increa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581015" cy="2614295"/>
                    </a:xfrm>
                    <a:prstGeom prst="rect">
                      <a:avLst/>
                    </a:prstGeom>
                  </pic:spPr>
                </pic:pic>
              </a:graphicData>
            </a:graphic>
          </wp:inline>
        </w:drawing>
      </w:r>
    </w:p>
    <w:p w14:paraId="1C2CEFDC" w14:textId="11E2963A" w:rsidR="0023335D" w:rsidRPr="00237510" w:rsidRDefault="0023335D" w:rsidP="0023335D">
      <w:pPr>
        <w:pStyle w:val="Caption"/>
        <w:rPr>
          <w:lang w:eastAsia="en-US"/>
        </w:rPr>
      </w:pPr>
      <w:bookmarkStart w:id="36" w:name="_Ref505693289"/>
      <w:r w:rsidRPr="00237510">
        <w:rPr>
          <w:lang w:eastAsia="en-US"/>
        </w:rPr>
        <w:t xml:space="preserve">Figure </w:t>
      </w:r>
      <w:r w:rsidRPr="00237510">
        <w:rPr>
          <w:lang w:eastAsia="en-US"/>
        </w:rPr>
        <w:fldChar w:fldCharType="begin"/>
      </w:r>
      <w:r w:rsidRPr="00237510">
        <w:rPr>
          <w:lang w:eastAsia="en-US"/>
        </w:rPr>
        <w:instrText xml:space="preserve"> SEQ Figure \* ARABIC </w:instrText>
      </w:r>
      <w:r w:rsidRPr="00237510">
        <w:rPr>
          <w:lang w:eastAsia="en-US"/>
        </w:rPr>
        <w:fldChar w:fldCharType="separate"/>
      </w:r>
      <w:r w:rsidR="00DE4513">
        <w:rPr>
          <w:noProof/>
          <w:lang w:eastAsia="en-US"/>
        </w:rPr>
        <w:t>15</w:t>
      </w:r>
      <w:r w:rsidRPr="00237510">
        <w:rPr>
          <w:lang w:eastAsia="en-US"/>
        </w:rPr>
        <w:fldChar w:fldCharType="end"/>
      </w:r>
      <w:bookmarkEnd w:id="36"/>
      <w:r w:rsidRPr="00237510">
        <w:rPr>
          <w:lang w:eastAsia="en-US"/>
        </w:rPr>
        <w:t>: Average annual salinity in Lake Wellington (ppt</w:t>
      </w:r>
      <w:r w:rsidR="00DA664C" w:rsidRPr="00237510">
        <w:rPr>
          <w:lang w:eastAsia="en-US"/>
        </w:rPr>
        <w:t>)</w:t>
      </w:r>
      <w:r w:rsidRPr="00237510">
        <w:rPr>
          <w:lang w:eastAsia="en-US"/>
        </w:rPr>
        <w:t>. Data from EPA Victoria, Brizga et al. 2013; Victorian Water Measurement Information System.</w:t>
      </w:r>
    </w:p>
    <w:p w14:paraId="615F433D" w14:textId="593D4897" w:rsidR="0023335D" w:rsidRPr="00237510" w:rsidRDefault="0023335D" w:rsidP="0023335D">
      <w:pPr>
        <w:pStyle w:val="Caption"/>
        <w:rPr>
          <w:lang w:eastAsia="en-US"/>
        </w:rPr>
      </w:pPr>
      <w:bookmarkStart w:id="37" w:name="_Ref536619791"/>
      <w:r w:rsidRPr="00237510">
        <w:t xml:space="preserve">Table </w:t>
      </w:r>
      <w:r>
        <w:fldChar w:fldCharType="begin"/>
      </w:r>
      <w:r>
        <w:instrText>SEQ Table \* ARABIC</w:instrText>
      </w:r>
      <w:r>
        <w:fldChar w:fldCharType="separate"/>
      </w:r>
      <w:r w:rsidR="008C72C8" w:rsidRPr="00237510">
        <w:t>4</w:t>
      </w:r>
      <w:r>
        <w:fldChar w:fldCharType="end"/>
      </w:r>
      <w:bookmarkEnd w:id="37"/>
      <w:r w:rsidRPr="00237510">
        <w:t>: Water quality indicators (75</w:t>
      </w:r>
      <w:r w:rsidRPr="00237510">
        <w:rPr>
          <w:vertAlign w:val="superscript"/>
        </w:rPr>
        <w:t>th</w:t>
      </w:r>
      <w:r w:rsidRPr="00237510">
        <w:t xml:space="preserve"> percentiles, </w:t>
      </w:r>
      <w:proofErr w:type="gramStart"/>
      <w:r w:rsidRPr="00237510">
        <w:t>with the exception of</w:t>
      </w:r>
      <w:proofErr w:type="gramEnd"/>
      <w:r w:rsidRPr="00237510">
        <w:t xml:space="preserve"> dissolved oxygen). Shading indicates exceedence </w:t>
      </w:r>
      <w:r w:rsidR="00DA664C" w:rsidRPr="00237510">
        <w:t>o</w:t>
      </w:r>
      <w:r w:rsidRPr="00237510">
        <w:t>f SEPP(Waters) objective. Data from EPA Victoria. DO = dissolved oxygen, DIN = dissolved inorganic nitrogen, TN = total nitrogen, DIP = dissolved inorganic phosphorus, TP = total phosphorus, TSS = total suspended solids.</w:t>
      </w:r>
    </w:p>
    <w:tbl>
      <w:tblPr>
        <w:tblStyle w:val="ListTable3-Accent52"/>
        <w:tblW w:w="6941" w:type="dxa"/>
        <w:tblLayout w:type="fixed"/>
        <w:tblLook w:val="04A0" w:firstRow="1" w:lastRow="0" w:firstColumn="1" w:lastColumn="0" w:noHBand="0" w:noVBand="1"/>
      </w:tblPr>
      <w:tblGrid>
        <w:gridCol w:w="1413"/>
        <w:gridCol w:w="992"/>
        <w:gridCol w:w="907"/>
        <w:gridCol w:w="907"/>
        <w:gridCol w:w="907"/>
        <w:gridCol w:w="907"/>
        <w:gridCol w:w="908"/>
      </w:tblGrid>
      <w:tr w:rsidR="005C0A2A" w:rsidRPr="00237510" w14:paraId="057386DA" w14:textId="4A77ED8C" w:rsidTr="005C0A2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3" w:type="dxa"/>
            <w:tcMar>
              <w:left w:w="57" w:type="dxa"/>
              <w:right w:w="57" w:type="dxa"/>
            </w:tcMar>
          </w:tcPr>
          <w:p w14:paraId="1EA36809" w14:textId="77777777" w:rsidR="005C0A2A" w:rsidRPr="00237510" w:rsidRDefault="005C0A2A" w:rsidP="00484592">
            <w:pPr>
              <w:rPr>
                <w:rFonts w:cs="Arial"/>
                <w:sz w:val="18"/>
                <w:szCs w:val="18"/>
              </w:rPr>
            </w:pPr>
            <w:r w:rsidRPr="00237510">
              <w:rPr>
                <w:rFonts w:cs="Arial"/>
                <w:sz w:val="18"/>
                <w:szCs w:val="18"/>
              </w:rPr>
              <w:t>Indicator</w:t>
            </w:r>
          </w:p>
        </w:tc>
        <w:tc>
          <w:tcPr>
            <w:tcW w:w="992" w:type="dxa"/>
            <w:tcMar>
              <w:left w:w="57" w:type="dxa"/>
              <w:right w:w="57" w:type="dxa"/>
            </w:tcMar>
          </w:tcPr>
          <w:p w14:paraId="7DDAE8D3" w14:textId="77777777" w:rsidR="005C0A2A" w:rsidRPr="00237510" w:rsidRDefault="005C0A2A"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SEPP Objective</w:t>
            </w:r>
          </w:p>
        </w:tc>
        <w:tc>
          <w:tcPr>
            <w:tcW w:w="907" w:type="dxa"/>
            <w:tcMar>
              <w:left w:w="57" w:type="dxa"/>
              <w:right w:w="57" w:type="dxa"/>
            </w:tcMar>
          </w:tcPr>
          <w:p w14:paraId="5222D266" w14:textId="77777777" w:rsidR="005C0A2A" w:rsidRPr="00237510" w:rsidRDefault="005C0A2A"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2013</w:t>
            </w:r>
          </w:p>
        </w:tc>
        <w:tc>
          <w:tcPr>
            <w:tcW w:w="907" w:type="dxa"/>
            <w:tcMar>
              <w:left w:w="57" w:type="dxa"/>
              <w:right w:w="57" w:type="dxa"/>
            </w:tcMar>
          </w:tcPr>
          <w:p w14:paraId="1CEE74B0" w14:textId="77777777" w:rsidR="005C0A2A" w:rsidRPr="00237510" w:rsidRDefault="005C0A2A"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2014</w:t>
            </w:r>
          </w:p>
        </w:tc>
        <w:tc>
          <w:tcPr>
            <w:tcW w:w="907" w:type="dxa"/>
            <w:tcMar>
              <w:left w:w="57" w:type="dxa"/>
              <w:right w:w="57" w:type="dxa"/>
            </w:tcMar>
          </w:tcPr>
          <w:p w14:paraId="02FF516B" w14:textId="77777777" w:rsidR="005C0A2A" w:rsidRPr="00237510" w:rsidRDefault="005C0A2A"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2015</w:t>
            </w:r>
          </w:p>
        </w:tc>
        <w:tc>
          <w:tcPr>
            <w:tcW w:w="907" w:type="dxa"/>
            <w:tcMar>
              <w:left w:w="57" w:type="dxa"/>
              <w:right w:w="57" w:type="dxa"/>
            </w:tcMar>
          </w:tcPr>
          <w:p w14:paraId="17E3224E" w14:textId="77777777" w:rsidR="005C0A2A" w:rsidRPr="00237510" w:rsidRDefault="005C0A2A"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2016</w:t>
            </w:r>
          </w:p>
        </w:tc>
        <w:tc>
          <w:tcPr>
            <w:tcW w:w="908" w:type="dxa"/>
            <w:tcMar>
              <w:left w:w="57" w:type="dxa"/>
              <w:right w:w="57" w:type="dxa"/>
            </w:tcMar>
          </w:tcPr>
          <w:p w14:paraId="7FA7D929" w14:textId="77777777" w:rsidR="005C0A2A" w:rsidRPr="00237510" w:rsidRDefault="005C0A2A" w:rsidP="00484592">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2017</w:t>
            </w:r>
          </w:p>
        </w:tc>
      </w:tr>
      <w:tr w:rsidR="005C0A2A" w:rsidRPr="00237510" w14:paraId="4B95BE29" w14:textId="3AC5C0A1" w:rsidTr="005C0A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3C09093A" w14:textId="77777777" w:rsidR="005C0A2A" w:rsidRPr="00237510" w:rsidRDefault="005C0A2A" w:rsidP="00484592">
            <w:pPr>
              <w:rPr>
                <w:rFonts w:cs="Arial"/>
                <w:b w:val="0"/>
                <w:sz w:val="18"/>
                <w:szCs w:val="18"/>
              </w:rPr>
            </w:pPr>
            <w:r w:rsidRPr="00237510">
              <w:rPr>
                <w:rFonts w:cs="Arial"/>
                <w:b w:val="0"/>
                <w:sz w:val="18"/>
                <w:szCs w:val="18"/>
              </w:rPr>
              <w:t>Chlorophyll-a</w:t>
            </w:r>
          </w:p>
        </w:tc>
        <w:tc>
          <w:tcPr>
            <w:tcW w:w="992" w:type="dxa"/>
            <w:tcMar>
              <w:left w:w="57" w:type="dxa"/>
              <w:right w:w="57" w:type="dxa"/>
            </w:tcMar>
          </w:tcPr>
          <w:p w14:paraId="41B3BA1B"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25</w:t>
            </w:r>
          </w:p>
        </w:tc>
        <w:tc>
          <w:tcPr>
            <w:tcW w:w="907" w:type="dxa"/>
            <w:shd w:val="clear" w:color="auto" w:fill="B6DDE8" w:themeFill="accent5" w:themeFillTint="66"/>
            <w:tcMar>
              <w:left w:w="57" w:type="dxa"/>
              <w:right w:w="57" w:type="dxa"/>
            </w:tcMar>
          </w:tcPr>
          <w:p w14:paraId="26F774F4"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color w:val="000000"/>
                <w:sz w:val="18"/>
                <w:szCs w:val="18"/>
              </w:rPr>
              <w:t>40</w:t>
            </w:r>
          </w:p>
        </w:tc>
        <w:tc>
          <w:tcPr>
            <w:tcW w:w="907" w:type="dxa"/>
            <w:shd w:val="clear" w:color="auto" w:fill="auto"/>
            <w:tcMar>
              <w:left w:w="57" w:type="dxa"/>
              <w:right w:w="57" w:type="dxa"/>
            </w:tcMar>
          </w:tcPr>
          <w:p w14:paraId="7E4E71A1"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color w:val="000000"/>
                <w:sz w:val="18"/>
                <w:szCs w:val="18"/>
              </w:rPr>
              <w:t>21</w:t>
            </w:r>
          </w:p>
        </w:tc>
        <w:tc>
          <w:tcPr>
            <w:tcW w:w="907" w:type="dxa"/>
            <w:shd w:val="clear" w:color="auto" w:fill="auto"/>
            <w:tcMar>
              <w:left w:w="57" w:type="dxa"/>
              <w:right w:w="57" w:type="dxa"/>
            </w:tcMar>
          </w:tcPr>
          <w:p w14:paraId="226A2826"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19</w:t>
            </w:r>
          </w:p>
        </w:tc>
        <w:tc>
          <w:tcPr>
            <w:tcW w:w="907" w:type="dxa"/>
            <w:shd w:val="clear" w:color="auto" w:fill="auto"/>
            <w:tcMar>
              <w:left w:w="57" w:type="dxa"/>
              <w:right w:w="57" w:type="dxa"/>
            </w:tcMar>
          </w:tcPr>
          <w:p w14:paraId="5D92FA9E"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20</w:t>
            </w:r>
          </w:p>
        </w:tc>
        <w:tc>
          <w:tcPr>
            <w:tcW w:w="908" w:type="dxa"/>
            <w:shd w:val="clear" w:color="auto" w:fill="auto"/>
            <w:tcMar>
              <w:left w:w="57" w:type="dxa"/>
              <w:right w:w="57" w:type="dxa"/>
            </w:tcMar>
          </w:tcPr>
          <w:p w14:paraId="6AA55DCE"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16</w:t>
            </w:r>
          </w:p>
        </w:tc>
      </w:tr>
      <w:tr w:rsidR="005C0A2A" w:rsidRPr="00237510" w14:paraId="543F6FDE" w14:textId="4B3AC6BF" w:rsidTr="005C0A2A">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4AAD0602" w14:textId="77777777" w:rsidR="005C0A2A" w:rsidRPr="00237510" w:rsidRDefault="005C0A2A" w:rsidP="00484592">
            <w:pPr>
              <w:rPr>
                <w:rFonts w:cs="Arial"/>
                <w:b w:val="0"/>
                <w:sz w:val="18"/>
                <w:szCs w:val="18"/>
              </w:rPr>
            </w:pPr>
            <w:r w:rsidRPr="00237510">
              <w:rPr>
                <w:rFonts w:cs="Arial"/>
                <w:b w:val="0"/>
                <w:sz w:val="18"/>
                <w:szCs w:val="18"/>
              </w:rPr>
              <w:t>DO (25</w:t>
            </w:r>
            <w:r w:rsidRPr="00237510">
              <w:rPr>
                <w:rFonts w:cs="Arial"/>
                <w:b w:val="0"/>
                <w:sz w:val="18"/>
                <w:szCs w:val="18"/>
                <w:vertAlign w:val="superscript"/>
              </w:rPr>
              <w:t>th</w:t>
            </w:r>
            <w:r w:rsidRPr="00237510">
              <w:rPr>
                <w:rFonts w:cs="Arial"/>
                <w:b w:val="0"/>
                <w:sz w:val="18"/>
                <w:szCs w:val="18"/>
              </w:rPr>
              <w:t xml:space="preserve"> – max)</w:t>
            </w:r>
          </w:p>
        </w:tc>
        <w:tc>
          <w:tcPr>
            <w:tcW w:w="992" w:type="dxa"/>
            <w:tcMar>
              <w:left w:w="57" w:type="dxa"/>
              <w:right w:w="57" w:type="dxa"/>
            </w:tcMar>
          </w:tcPr>
          <w:p w14:paraId="6ACC4FC5"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95-130</w:t>
            </w:r>
          </w:p>
        </w:tc>
        <w:tc>
          <w:tcPr>
            <w:tcW w:w="907" w:type="dxa"/>
            <w:shd w:val="clear" w:color="auto" w:fill="auto"/>
            <w:tcMar>
              <w:left w:w="57" w:type="dxa"/>
              <w:right w:w="57" w:type="dxa"/>
            </w:tcMar>
          </w:tcPr>
          <w:p w14:paraId="3B1D18A0"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color w:val="000000"/>
                <w:sz w:val="18"/>
                <w:szCs w:val="18"/>
              </w:rPr>
              <w:t>98-112</w:t>
            </w:r>
          </w:p>
        </w:tc>
        <w:tc>
          <w:tcPr>
            <w:tcW w:w="907" w:type="dxa"/>
            <w:shd w:val="clear" w:color="auto" w:fill="B6DDE8" w:themeFill="accent5" w:themeFillTint="66"/>
            <w:tcMar>
              <w:left w:w="57" w:type="dxa"/>
              <w:right w:w="57" w:type="dxa"/>
            </w:tcMar>
          </w:tcPr>
          <w:p w14:paraId="664686DE"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93-107</w:t>
            </w:r>
          </w:p>
        </w:tc>
        <w:tc>
          <w:tcPr>
            <w:tcW w:w="907" w:type="dxa"/>
            <w:shd w:val="clear" w:color="auto" w:fill="auto"/>
            <w:tcMar>
              <w:left w:w="57" w:type="dxa"/>
              <w:right w:w="57" w:type="dxa"/>
            </w:tcMar>
          </w:tcPr>
          <w:p w14:paraId="3AB0DD32"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95-103</w:t>
            </w:r>
          </w:p>
        </w:tc>
        <w:tc>
          <w:tcPr>
            <w:tcW w:w="907" w:type="dxa"/>
            <w:shd w:val="clear" w:color="auto" w:fill="auto"/>
            <w:tcMar>
              <w:left w:w="57" w:type="dxa"/>
              <w:right w:w="57" w:type="dxa"/>
            </w:tcMar>
          </w:tcPr>
          <w:p w14:paraId="2E22AC3E"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94-105</w:t>
            </w:r>
          </w:p>
        </w:tc>
        <w:tc>
          <w:tcPr>
            <w:tcW w:w="908" w:type="dxa"/>
            <w:shd w:val="clear" w:color="auto" w:fill="auto"/>
            <w:tcMar>
              <w:left w:w="57" w:type="dxa"/>
              <w:right w:w="57" w:type="dxa"/>
            </w:tcMar>
          </w:tcPr>
          <w:p w14:paraId="0336A1A4"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96-109</w:t>
            </w:r>
          </w:p>
        </w:tc>
      </w:tr>
      <w:tr w:rsidR="005C0A2A" w:rsidRPr="00237510" w14:paraId="4A0C066C" w14:textId="754AA7F7" w:rsidTr="005C0A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20B36B32" w14:textId="77777777" w:rsidR="005C0A2A" w:rsidRPr="00237510" w:rsidRDefault="005C0A2A" w:rsidP="00484592">
            <w:pPr>
              <w:rPr>
                <w:rFonts w:cs="Arial"/>
                <w:b w:val="0"/>
                <w:sz w:val="18"/>
                <w:szCs w:val="18"/>
              </w:rPr>
            </w:pPr>
            <w:r w:rsidRPr="00237510">
              <w:rPr>
                <w:rFonts w:cs="Arial"/>
                <w:b w:val="0"/>
                <w:sz w:val="18"/>
                <w:szCs w:val="18"/>
              </w:rPr>
              <w:t>DIN</w:t>
            </w:r>
          </w:p>
        </w:tc>
        <w:tc>
          <w:tcPr>
            <w:tcW w:w="992" w:type="dxa"/>
            <w:tcMar>
              <w:left w:w="57" w:type="dxa"/>
              <w:right w:w="57" w:type="dxa"/>
            </w:tcMar>
          </w:tcPr>
          <w:p w14:paraId="1E2424F3"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15</w:t>
            </w:r>
          </w:p>
        </w:tc>
        <w:tc>
          <w:tcPr>
            <w:tcW w:w="907" w:type="dxa"/>
            <w:shd w:val="clear" w:color="auto" w:fill="auto"/>
            <w:tcMar>
              <w:left w:w="57" w:type="dxa"/>
              <w:right w:w="57" w:type="dxa"/>
            </w:tcMar>
          </w:tcPr>
          <w:p w14:paraId="6BAA3233"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10</w:t>
            </w:r>
          </w:p>
        </w:tc>
        <w:tc>
          <w:tcPr>
            <w:tcW w:w="907" w:type="dxa"/>
            <w:shd w:val="clear" w:color="auto" w:fill="B6DDE8" w:themeFill="accent5" w:themeFillTint="66"/>
            <w:tcMar>
              <w:left w:w="57" w:type="dxa"/>
              <w:right w:w="57" w:type="dxa"/>
            </w:tcMar>
          </w:tcPr>
          <w:p w14:paraId="7B54CA02"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20</w:t>
            </w:r>
          </w:p>
        </w:tc>
        <w:tc>
          <w:tcPr>
            <w:tcW w:w="907" w:type="dxa"/>
            <w:shd w:val="clear" w:color="auto" w:fill="auto"/>
            <w:tcMar>
              <w:left w:w="57" w:type="dxa"/>
              <w:right w:w="57" w:type="dxa"/>
            </w:tcMar>
          </w:tcPr>
          <w:p w14:paraId="7ED695C0"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11</w:t>
            </w:r>
          </w:p>
        </w:tc>
        <w:tc>
          <w:tcPr>
            <w:tcW w:w="907" w:type="dxa"/>
            <w:shd w:val="clear" w:color="auto" w:fill="B6DDE8" w:themeFill="accent5" w:themeFillTint="66"/>
            <w:tcMar>
              <w:left w:w="57" w:type="dxa"/>
              <w:right w:w="57" w:type="dxa"/>
            </w:tcMar>
          </w:tcPr>
          <w:p w14:paraId="093BDDAA"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19</w:t>
            </w:r>
          </w:p>
        </w:tc>
        <w:tc>
          <w:tcPr>
            <w:tcW w:w="908" w:type="dxa"/>
            <w:shd w:val="clear" w:color="auto" w:fill="B6DDE8" w:themeFill="accent5" w:themeFillTint="66"/>
            <w:tcMar>
              <w:left w:w="57" w:type="dxa"/>
              <w:right w:w="57" w:type="dxa"/>
            </w:tcMar>
          </w:tcPr>
          <w:p w14:paraId="58B3806C"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16</w:t>
            </w:r>
          </w:p>
        </w:tc>
      </w:tr>
      <w:tr w:rsidR="005C0A2A" w:rsidRPr="00237510" w14:paraId="2C9CB3AA" w14:textId="63B7FB4A" w:rsidTr="005C0A2A">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4A5F43D0" w14:textId="77777777" w:rsidR="005C0A2A" w:rsidRPr="00237510" w:rsidRDefault="005C0A2A" w:rsidP="00484592">
            <w:pPr>
              <w:rPr>
                <w:rFonts w:cs="Arial"/>
                <w:b w:val="0"/>
                <w:sz w:val="18"/>
                <w:szCs w:val="18"/>
              </w:rPr>
            </w:pPr>
            <w:r w:rsidRPr="00237510">
              <w:rPr>
                <w:rFonts w:cs="Arial"/>
                <w:b w:val="0"/>
                <w:sz w:val="18"/>
                <w:szCs w:val="18"/>
              </w:rPr>
              <w:t>TN</w:t>
            </w:r>
          </w:p>
        </w:tc>
        <w:tc>
          <w:tcPr>
            <w:tcW w:w="992" w:type="dxa"/>
            <w:tcMar>
              <w:left w:w="57" w:type="dxa"/>
              <w:right w:w="57" w:type="dxa"/>
            </w:tcMar>
          </w:tcPr>
          <w:p w14:paraId="43B94F97"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1000</w:t>
            </w:r>
          </w:p>
        </w:tc>
        <w:tc>
          <w:tcPr>
            <w:tcW w:w="907" w:type="dxa"/>
            <w:shd w:val="clear" w:color="auto" w:fill="auto"/>
            <w:tcMar>
              <w:left w:w="57" w:type="dxa"/>
              <w:right w:w="57" w:type="dxa"/>
            </w:tcMar>
          </w:tcPr>
          <w:p w14:paraId="372F2335"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887</w:t>
            </w:r>
          </w:p>
        </w:tc>
        <w:tc>
          <w:tcPr>
            <w:tcW w:w="907" w:type="dxa"/>
            <w:shd w:val="clear" w:color="auto" w:fill="auto"/>
            <w:tcMar>
              <w:left w:w="57" w:type="dxa"/>
              <w:right w:w="57" w:type="dxa"/>
            </w:tcMar>
          </w:tcPr>
          <w:p w14:paraId="26666972"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820</w:t>
            </w:r>
          </w:p>
        </w:tc>
        <w:tc>
          <w:tcPr>
            <w:tcW w:w="907" w:type="dxa"/>
            <w:shd w:val="clear" w:color="auto" w:fill="auto"/>
            <w:tcMar>
              <w:left w:w="57" w:type="dxa"/>
              <w:right w:w="57" w:type="dxa"/>
            </w:tcMar>
          </w:tcPr>
          <w:p w14:paraId="41E7EEF0"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828</w:t>
            </w:r>
          </w:p>
        </w:tc>
        <w:tc>
          <w:tcPr>
            <w:tcW w:w="907" w:type="dxa"/>
            <w:shd w:val="clear" w:color="auto" w:fill="auto"/>
            <w:tcMar>
              <w:left w:w="57" w:type="dxa"/>
              <w:right w:w="57" w:type="dxa"/>
            </w:tcMar>
          </w:tcPr>
          <w:p w14:paraId="79C653B0"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880</w:t>
            </w:r>
          </w:p>
        </w:tc>
        <w:tc>
          <w:tcPr>
            <w:tcW w:w="908" w:type="dxa"/>
            <w:shd w:val="clear" w:color="auto" w:fill="auto"/>
            <w:tcMar>
              <w:left w:w="57" w:type="dxa"/>
              <w:right w:w="57" w:type="dxa"/>
            </w:tcMar>
          </w:tcPr>
          <w:p w14:paraId="4885735C"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830</w:t>
            </w:r>
          </w:p>
        </w:tc>
      </w:tr>
      <w:tr w:rsidR="005C0A2A" w:rsidRPr="00237510" w14:paraId="4A71DAA6" w14:textId="6B9CDDE8" w:rsidTr="005C0A2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12A555E1" w14:textId="77777777" w:rsidR="005C0A2A" w:rsidRPr="00237510" w:rsidRDefault="005C0A2A" w:rsidP="00484592">
            <w:pPr>
              <w:rPr>
                <w:rFonts w:cs="Arial"/>
                <w:b w:val="0"/>
                <w:sz w:val="18"/>
                <w:szCs w:val="18"/>
              </w:rPr>
            </w:pPr>
            <w:r w:rsidRPr="00237510">
              <w:rPr>
                <w:rFonts w:cs="Arial"/>
                <w:b w:val="0"/>
                <w:sz w:val="18"/>
                <w:szCs w:val="18"/>
              </w:rPr>
              <w:t>DIP</w:t>
            </w:r>
          </w:p>
        </w:tc>
        <w:tc>
          <w:tcPr>
            <w:tcW w:w="992" w:type="dxa"/>
            <w:tcMar>
              <w:left w:w="57" w:type="dxa"/>
              <w:right w:w="57" w:type="dxa"/>
            </w:tcMar>
          </w:tcPr>
          <w:p w14:paraId="6BDC5966"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15</w:t>
            </w:r>
          </w:p>
        </w:tc>
        <w:tc>
          <w:tcPr>
            <w:tcW w:w="907" w:type="dxa"/>
            <w:shd w:val="clear" w:color="auto" w:fill="auto"/>
            <w:tcMar>
              <w:left w:w="57" w:type="dxa"/>
              <w:right w:w="57" w:type="dxa"/>
            </w:tcMar>
          </w:tcPr>
          <w:p w14:paraId="7F5E94E3"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w:t>
            </w:r>
          </w:p>
        </w:tc>
        <w:tc>
          <w:tcPr>
            <w:tcW w:w="907" w:type="dxa"/>
            <w:shd w:val="clear" w:color="auto" w:fill="auto"/>
            <w:tcMar>
              <w:left w:w="57" w:type="dxa"/>
              <w:right w:w="57" w:type="dxa"/>
            </w:tcMar>
          </w:tcPr>
          <w:p w14:paraId="6A82CBF6"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w:t>
            </w:r>
          </w:p>
        </w:tc>
        <w:tc>
          <w:tcPr>
            <w:tcW w:w="907" w:type="dxa"/>
            <w:shd w:val="clear" w:color="auto" w:fill="auto"/>
            <w:tcMar>
              <w:left w:w="57" w:type="dxa"/>
              <w:right w:w="57" w:type="dxa"/>
            </w:tcMar>
          </w:tcPr>
          <w:p w14:paraId="36D7942E"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w:t>
            </w:r>
          </w:p>
        </w:tc>
        <w:tc>
          <w:tcPr>
            <w:tcW w:w="907" w:type="dxa"/>
            <w:shd w:val="clear" w:color="auto" w:fill="auto"/>
            <w:tcMar>
              <w:left w:w="57" w:type="dxa"/>
              <w:right w:w="57" w:type="dxa"/>
            </w:tcMar>
          </w:tcPr>
          <w:p w14:paraId="075C6D33"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7</w:t>
            </w:r>
          </w:p>
        </w:tc>
        <w:tc>
          <w:tcPr>
            <w:tcW w:w="908" w:type="dxa"/>
            <w:shd w:val="clear" w:color="auto" w:fill="auto"/>
            <w:tcMar>
              <w:left w:w="57" w:type="dxa"/>
              <w:right w:w="57" w:type="dxa"/>
            </w:tcMar>
          </w:tcPr>
          <w:p w14:paraId="7FD5F1C0"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5</w:t>
            </w:r>
          </w:p>
        </w:tc>
      </w:tr>
      <w:tr w:rsidR="005C0A2A" w:rsidRPr="00237510" w14:paraId="4C4DD4B4" w14:textId="4EC574E7" w:rsidTr="005C0A2A">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0CDDE135" w14:textId="77777777" w:rsidR="005C0A2A" w:rsidRPr="00237510" w:rsidRDefault="005C0A2A" w:rsidP="00484592">
            <w:pPr>
              <w:rPr>
                <w:rFonts w:cs="Arial"/>
                <w:b w:val="0"/>
                <w:sz w:val="18"/>
                <w:szCs w:val="18"/>
              </w:rPr>
            </w:pPr>
            <w:r w:rsidRPr="00237510">
              <w:rPr>
                <w:rFonts w:cs="Arial"/>
                <w:b w:val="0"/>
                <w:sz w:val="18"/>
                <w:szCs w:val="18"/>
              </w:rPr>
              <w:t>TP</w:t>
            </w:r>
          </w:p>
        </w:tc>
        <w:tc>
          <w:tcPr>
            <w:tcW w:w="992" w:type="dxa"/>
            <w:tcMar>
              <w:left w:w="57" w:type="dxa"/>
              <w:right w:w="57" w:type="dxa"/>
            </w:tcMar>
          </w:tcPr>
          <w:p w14:paraId="37156BFF"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120</w:t>
            </w:r>
          </w:p>
        </w:tc>
        <w:tc>
          <w:tcPr>
            <w:tcW w:w="907" w:type="dxa"/>
            <w:shd w:val="clear" w:color="auto" w:fill="B6DDE8" w:themeFill="accent5" w:themeFillTint="66"/>
            <w:tcMar>
              <w:left w:w="57" w:type="dxa"/>
              <w:right w:w="57" w:type="dxa"/>
            </w:tcMar>
          </w:tcPr>
          <w:p w14:paraId="4BDCE2E3"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125</w:t>
            </w:r>
          </w:p>
        </w:tc>
        <w:tc>
          <w:tcPr>
            <w:tcW w:w="907" w:type="dxa"/>
            <w:shd w:val="clear" w:color="auto" w:fill="auto"/>
            <w:tcMar>
              <w:left w:w="57" w:type="dxa"/>
              <w:right w:w="57" w:type="dxa"/>
            </w:tcMar>
          </w:tcPr>
          <w:p w14:paraId="73F902B7"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100</w:t>
            </w:r>
          </w:p>
        </w:tc>
        <w:tc>
          <w:tcPr>
            <w:tcW w:w="907" w:type="dxa"/>
            <w:shd w:val="clear" w:color="auto" w:fill="auto"/>
            <w:tcMar>
              <w:left w:w="57" w:type="dxa"/>
              <w:right w:w="57" w:type="dxa"/>
            </w:tcMar>
          </w:tcPr>
          <w:p w14:paraId="32EA2808"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100</w:t>
            </w:r>
          </w:p>
        </w:tc>
        <w:tc>
          <w:tcPr>
            <w:tcW w:w="907" w:type="dxa"/>
            <w:shd w:val="clear" w:color="auto" w:fill="auto"/>
            <w:tcMar>
              <w:left w:w="57" w:type="dxa"/>
              <w:right w:w="57" w:type="dxa"/>
            </w:tcMar>
          </w:tcPr>
          <w:p w14:paraId="5C0E96FE"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100</w:t>
            </w:r>
          </w:p>
        </w:tc>
        <w:tc>
          <w:tcPr>
            <w:tcW w:w="908" w:type="dxa"/>
            <w:shd w:val="clear" w:color="auto" w:fill="auto"/>
            <w:tcMar>
              <w:left w:w="57" w:type="dxa"/>
              <w:right w:w="57" w:type="dxa"/>
            </w:tcMar>
          </w:tcPr>
          <w:p w14:paraId="36C3712E" w14:textId="77777777" w:rsidR="005C0A2A" w:rsidRPr="00237510" w:rsidRDefault="005C0A2A" w:rsidP="00484592">
            <w:pPr>
              <w:jc w:val="center"/>
              <w:cnfStyle w:val="000000000000" w:firstRow="0" w:lastRow="0" w:firstColumn="0" w:lastColumn="0" w:oddVBand="0" w:evenVBand="0" w:oddHBand="0" w:evenHBand="0" w:firstRowFirstColumn="0" w:firstRowLastColumn="0" w:lastRowFirstColumn="0" w:lastRowLastColumn="0"/>
              <w:rPr>
                <w:rFonts w:cs="Arial"/>
                <w:sz w:val="18"/>
                <w:szCs w:val="18"/>
              </w:rPr>
            </w:pPr>
            <w:r w:rsidRPr="00237510">
              <w:rPr>
                <w:rFonts w:cs="Arial"/>
                <w:sz w:val="18"/>
                <w:szCs w:val="18"/>
              </w:rPr>
              <w:t>90</w:t>
            </w:r>
          </w:p>
        </w:tc>
      </w:tr>
      <w:tr w:rsidR="005C0A2A" w:rsidRPr="00237510" w14:paraId="36F732F0" w14:textId="7AAB9A4E" w:rsidTr="005C0A2A">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413" w:type="dxa"/>
            <w:tcMar>
              <w:left w:w="57" w:type="dxa"/>
              <w:right w:w="57" w:type="dxa"/>
            </w:tcMar>
          </w:tcPr>
          <w:p w14:paraId="60E5DC06" w14:textId="77777777" w:rsidR="005C0A2A" w:rsidRPr="00237510" w:rsidRDefault="005C0A2A" w:rsidP="00484592">
            <w:pPr>
              <w:rPr>
                <w:rFonts w:cs="Arial"/>
                <w:b w:val="0"/>
                <w:sz w:val="18"/>
                <w:szCs w:val="18"/>
              </w:rPr>
            </w:pPr>
            <w:r w:rsidRPr="00237510">
              <w:rPr>
                <w:rFonts w:cs="Arial"/>
                <w:b w:val="0"/>
                <w:sz w:val="18"/>
                <w:szCs w:val="18"/>
              </w:rPr>
              <w:t>TSS</w:t>
            </w:r>
          </w:p>
        </w:tc>
        <w:tc>
          <w:tcPr>
            <w:tcW w:w="992" w:type="dxa"/>
            <w:tcMar>
              <w:left w:w="57" w:type="dxa"/>
              <w:right w:w="57" w:type="dxa"/>
            </w:tcMar>
          </w:tcPr>
          <w:p w14:paraId="6D36BBD3"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237510">
              <w:rPr>
                <w:rFonts w:cs="Arial"/>
                <w:sz w:val="18"/>
                <w:szCs w:val="18"/>
              </w:rPr>
              <w:t>30</w:t>
            </w:r>
          </w:p>
        </w:tc>
        <w:tc>
          <w:tcPr>
            <w:tcW w:w="907" w:type="dxa"/>
            <w:shd w:val="clear" w:color="auto" w:fill="B6DDE8" w:themeFill="accent5" w:themeFillTint="66"/>
            <w:tcMar>
              <w:left w:w="57" w:type="dxa"/>
              <w:right w:w="57" w:type="dxa"/>
            </w:tcMar>
          </w:tcPr>
          <w:p w14:paraId="67D09233"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237510">
              <w:rPr>
                <w:rFonts w:cs="Arial"/>
                <w:color w:val="000000"/>
                <w:sz w:val="18"/>
                <w:szCs w:val="18"/>
              </w:rPr>
              <w:t>35</w:t>
            </w:r>
          </w:p>
        </w:tc>
        <w:tc>
          <w:tcPr>
            <w:tcW w:w="907" w:type="dxa"/>
            <w:shd w:val="clear" w:color="auto" w:fill="B6DDE8" w:themeFill="accent5" w:themeFillTint="66"/>
            <w:tcMar>
              <w:left w:w="57" w:type="dxa"/>
              <w:right w:w="57" w:type="dxa"/>
            </w:tcMar>
          </w:tcPr>
          <w:p w14:paraId="478594CE"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237510">
              <w:rPr>
                <w:rFonts w:cs="Arial"/>
                <w:color w:val="000000"/>
                <w:sz w:val="18"/>
                <w:szCs w:val="18"/>
              </w:rPr>
              <w:t>35</w:t>
            </w:r>
          </w:p>
        </w:tc>
        <w:tc>
          <w:tcPr>
            <w:tcW w:w="907" w:type="dxa"/>
            <w:shd w:val="clear" w:color="auto" w:fill="B6DDE8" w:themeFill="accent5" w:themeFillTint="66"/>
            <w:tcMar>
              <w:left w:w="57" w:type="dxa"/>
              <w:right w:w="57" w:type="dxa"/>
            </w:tcMar>
          </w:tcPr>
          <w:p w14:paraId="6AAA7A5A"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237510">
              <w:rPr>
                <w:rFonts w:cs="Arial"/>
                <w:color w:val="000000"/>
                <w:sz w:val="18"/>
                <w:szCs w:val="18"/>
              </w:rPr>
              <w:t>35</w:t>
            </w:r>
          </w:p>
        </w:tc>
        <w:tc>
          <w:tcPr>
            <w:tcW w:w="907" w:type="dxa"/>
            <w:shd w:val="clear" w:color="auto" w:fill="B6DDE8" w:themeFill="accent5" w:themeFillTint="66"/>
            <w:tcMar>
              <w:left w:w="57" w:type="dxa"/>
              <w:right w:w="57" w:type="dxa"/>
            </w:tcMar>
          </w:tcPr>
          <w:p w14:paraId="2924AE88"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237510">
              <w:rPr>
                <w:rFonts w:cs="Arial"/>
                <w:color w:val="000000"/>
                <w:sz w:val="18"/>
                <w:szCs w:val="18"/>
              </w:rPr>
              <w:t>38</w:t>
            </w:r>
          </w:p>
        </w:tc>
        <w:tc>
          <w:tcPr>
            <w:tcW w:w="908" w:type="dxa"/>
            <w:shd w:val="clear" w:color="auto" w:fill="B6DDE8" w:themeFill="accent5" w:themeFillTint="66"/>
            <w:tcMar>
              <w:left w:w="57" w:type="dxa"/>
              <w:right w:w="57" w:type="dxa"/>
            </w:tcMar>
          </w:tcPr>
          <w:p w14:paraId="7F485717" w14:textId="77777777" w:rsidR="005C0A2A" w:rsidRPr="00237510" w:rsidRDefault="005C0A2A" w:rsidP="00484592">
            <w:pPr>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237510">
              <w:rPr>
                <w:rFonts w:cs="Arial"/>
                <w:color w:val="000000"/>
                <w:sz w:val="18"/>
                <w:szCs w:val="18"/>
              </w:rPr>
              <w:t>31</w:t>
            </w:r>
          </w:p>
        </w:tc>
      </w:tr>
    </w:tbl>
    <w:p w14:paraId="4469EA3E" w14:textId="77777777" w:rsidR="0023335D" w:rsidRPr="00237510" w:rsidRDefault="0023335D" w:rsidP="0023335D">
      <w:pPr>
        <w:rPr>
          <w:lang w:eastAsia="en-US"/>
        </w:rPr>
      </w:pPr>
    </w:p>
    <w:p w14:paraId="682B6D52" w14:textId="2461C400" w:rsidR="00FF3887" w:rsidRPr="00237510" w:rsidRDefault="00FF3887" w:rsidP="00FF3887">
      <w:pPr>
        <w:pStyle w:val="Heading2"/>
      </w:pPr>
      <w:bookmarkStart w:id="38" w:name="_Toc42001381"/>
      <w:r w:rsidRPr="00237510">
        <w:t>Vegetation</w:t>
      </w:r>
      <w:bookmarkEnd w:id="38"/>
    </w:p>
    <w:p w14:paraId="649FE14C" w14:textId="73113C95" w:rsidR="00F676EC" w:rsidRPr="00237510" w:rsidRDefault="00FF3887" w:rsidP="00FF3887">
      <w:pPr>
        <w:rPr>
          <w:lang w:eastAsia="en-US"/>
        </w:rPr>
      </w:pPr>
      <w:r w:rsidRPr="00237510">
        <w:rPr>
          <w:lang w:eastAsia="en-US"/>
        </w:rPr>
        <w:t xml:space="preserve">The aquatic ecosystems </w:t>
      </w:r>
      <w:r w:rsidR="008473CD" w:rsidRPr="00237510">
        <w:rPr>
          <w:lang w:eastAsia="en-US"/>
        </w:rPr>
        <w:t xml:space="preserve">of the Latrobe catchment </w:t>
      </w:r>
      <w:r w:rsidRPr="00237510">
        <w:rPr>
          <w:lang w:eastAsia="en-US"/>
        </w:rPr>
        <w:t xml:space="preserve">support a diversity of inundation dependent vegetation communities that include riparian vegetation along the rivers and streams, the littoral vegetation around Lake Wellington and the mosaic of wetland vegetation communities present in the Lower Latrobe Wetlands. These vegetation communities have inherent biodiversity values as well as providing habitat and resources to fauna. In addition, littoral and riparian vegetation play a role in the overall condition of aquatic ecosystems by stabilising shorelines and riverbanks, inputting carbon sources to drive productivity and regulating water temperature </w:t>
      </w:r>
      <w:r w:rsidRPr="00237510">
        <w:rPr>
          <w:lang w:eastAsia="en-US"/>
        </w:rPr>
        <w:fldChar w:fldCharType="begin"/>
      </w:r>
      <w:r w:rsidRPr="00237510">
        <w:rPr>
          <w:lang w:eastAsia="en-US"/>
        </w:rPr>
        <w:instrText xml:space="preserve"> ADDIN ZOTERO_ITEM CSL_CITATION {"citationID":"GO1xn974","properties":{"formattedCitation":"(Boon et al. 2005, Capon and Dowe 2007, Alluvium 2011)","plainCitation":"(Boon et al. 2005, Capon and Dowe 2007, Alluvium 2011)","noteIndex":0},"citationItems":[{"id":3312,"uris":["http://zotero.org/users/2336876/items/XCC4QEGI"],"uri":["http://zotero.org/users/2336876/items/XCC4QEGI"],"itemData":{"id":3312,"type":"book","event-place":"McKinnon, Victoria","publisher":"Dodo Environmental and WBM","publisher-place":"McKinnon, Victoria","title":"Effectiveness and sustainability of wetlands and riparian corridors in reducing nutrient loads entering the Gippsland Lakes","author":[{"family":"Boon","given":"P."},{"family":"Lovell","given":"B."},{"family":"Weber","given":"T."},{"family":"Raphael","given":"L."},{"family":"Robertson","given":"S."}],"issued":{"date-parts":[["2005"]]}}},{"id":1794,"uris":["http://zotero.org/users/2336876/items/4HD5J7M8"],"uri":["http://zotero.org/users/2336876/items/4HD5J7M8"],"itemData":{"id":1794,"type":"chapter","container-title":"Principles for Riparain Land Management","event-place":"Canberra","page":"14-32","publisher":"Land and Water Australia","publisher-place":"Canberra","title":"Diversity and dynamics of riparian vegetation","author":[{"family":"Capon","given":"S. J."},{"family":"Dowe","given":"J.L."}],"editor":[{"family":"Lovett","given":"S."},{"family":"Price","given":"P."}],"issued":{"date-parts":[["2007"]]}}},{"id":3311,"uris":["http://zotero.org/users/2336876/items/5X6VQ4KS"],"uri":["http://zotero.org/users/2336876/items/5X6VQ4KS"],"itemData":{"id":3311,"type":"book","event-place":"Melbourne, Victoria","publisher":"Alluvium","publisher-place":"Melbourne, Victoria","title":"An assessment of the impact of riparian revegetation on stream erosion during floods in Victoria","author":[{"family":"Alluvium","given":""}],"issued":{"date-parts":[["2011"]]}}}],"schema":"https://github.com/citation-style-language/schema/raw/master/csl-citation.json"} </w:instrText>
      </w:r>
      <w:r w:rsidRPr="00237510">
        <w:rPr>
          <w:lang w:eastAsia="en-US"/>
        </w:rPr>
        <w:fldChar w:fldCharType="separate"/>
      </w:r>
      <w:r w:rsidRPr="00237510">
        <w:rPr>
          <w:lang w:eastAsia="en-US"/>
        </w:rPr>
        <w:t>(Boon et al. 2005, Capon and Dowe 2007, Alluvium 2011)</w:t>
      </w:r>
      <w:r w:rsidRPr="00237510">
        <w:rPr>
          <w:lang w:eastAsia="en-US"/>
        </w:rPr>
        <w:fldChar w:fldCharType="end"/>
      </w:r>
      <w:r w:rsidRPr="00237510">
        <w:rPr>
          <w:lang w:eastAsia="en-US"/>
        </w:rPr>
        <w:t>.</w:t>
      </w:r>
    </w:p>
    <w:p w14:paraId="7A5959D2" w14:textId="25D2F753" w:rsidR="00FF3887" w:rsidRPr="00237510" w:rsidRDefault="008473CD" w:rsidP="008B39C3">
      <w:pPr>
        <w:pStyle w:val="Heading3"/>
        <w:ind w:left="709"/>
      </w:pPr>
      <w:bookmarkStart w:id="39" w:name="_Toc42001382"/>
      <w:r w:rsidRPr="00237510">
        <w:t>Riverine</w:t>
      </w:r>
      <w:r w:rsidR="00FF3887" w:rsidRPr="00237510">
        <w:t xml:space="preserve"> vegetation</w:t>
      </w:r>
      <w:bookmarkEnd w:id="39"/>
    </w:p>
    <w:p w14:paraId="75504DF6" w14:textId="7B06786A" w:rsidR="00314A4D" w:rsidRPr="00237510" w:rsidRDefault="00314A4D" w:rsidP="00FF3887">
      <w:r w:rsidRPr="00237510">
        <w:t>There are small areas of submerged macrophytes in the deep clear pools of the Tanjil River, and some localised beds of common reed (</w:t>
      </w:r>
      <w:r w:rsidRPr="00237510">
        <w:rPr>
          <w:i/>
          <w:iCs/>
        </w:rPr>
        <w:t>Phragmites australis</w:t>
      </w:r>
      <w:r w:rsidRPr="00237510">
        <w:t>) along the Latrobe River</w:t>
      </w:r>
      <w:r w:rsidR="00FF3887" w:rsidRPr="00237510">
        <w:t xml:space="preserve">. </w:t>
      </w:r>
      <w:r w:rsidRPr="00237510">
        <w:t xml:space="preserve">By and large, however, there is little submerged vegetation and few areas of emergent reeds and sedges in the streams of the study area. </w:t>
      </w:r>
    </w:p>
    <w:p w14:paraId="1E6153AF" w14:textId="42466AFA" w:rsidR="00127022" w:rsidRPr="00237510" w:rsidRDefault="00127022" w:rsidP="00127022">
      <w:r w:rsidRPr="00237510">
        <w:t>The main Ecological Vegetation Classes (EVCs) on the tributaries of the Latrobe River are:</w:t>
      </w:r>
    </w:p>
    <w:p w14:paraId="16D42A62" w14:textId="77777777" w:rsidR="00127022" w:rsidRPr="00237510" w:rsidRDefault="00127022" w:rsidP="007F4023">
      <w:pPr>
        <w:pStyle w:val="ListParagraph"/>
        <w:numPr>
          <w:ilvl w:val="0"/>
          <w:numId w:val="10"/>
        </w:numPr>
      </w:pPr>
      <w:r w:rsidRPr="00237510">
        <w:t>EVC 1 Riparian Scrub/Swampy Riparian Woodland Complex (endangered)</w:t>
      </w:r>
    </w:p>
    <w:p w14:paraId="646AA1DA" w14:textId="77777777" w:rsidR="00127022" w:rsidRPr="00237510" w:rsidRDefault="00127022" w:rsidP="007F4023">
      <w:pPr>
        <w:pStyle w:val="ListParagraph"/>
        <w:numPr>
          <w:ilvl w:val="0"/>
          <w:numId w:val="10"/>
        </w:numPr>
      </w:pPr>
      <w:r w:rsidRPr="00237510">
        <w:t>EVC 29 Damp Forest</w:t>
      </w:r>
    </w:p>
    <w:p w14:paraId="69D0277F" w14:textId="77777777" w:rsidR="00127022" w:rsidRPr="00237510" w:rsidRDefault="00127022" w:rsidP="007F4023">
      <w:pPr>
        <w:pStyle w:val="ListParagraph"/>
        <w:numPr>
          <w:ilvl w:val="0"/>
          <w:numId w:val="10"/>
        </w:numPr>
      </w:pPr>
      <w:r w:rsidRPr="00237510">
        <w:t>EVC 53 Swamp Scrub (endangered)</w:t>
      </w:r>
    </w:p>
    <w:p w14:paraId="71882447" w14:textId="77777777" w:rsidR="00127022" w:rsidRPr="00237510" w:rsidRDefault="00127022" w:rsidP="007F4023">
      <w:pPr>
        <w:pStyle w:val="ListParagraph"/>
        <w:numPr>
          <w:ilvl w:val="0"/>
          <w:numId w:val="10"/>
        </w:numPr>
      </w:pPr>
      <w:r w:rsidRPr="00237510">
        <w:t>EVC 82 Riverine Escarpment Scrub (endangered)</w:t>
      </w:r>
    </w:p>
    <w:p w14:paraId="0EE49C46" w14:textId="77777777" w:rsidR="00127022" w:rsidRPr="00237510" w:rsidRDefault="00127022" w:rsidP="007F4023">
      <w:pPr>
        <w:pStyle w:val="ListParagraph"/>
        <w:numPr>
          <w:ilvl w:val="0"/>
          <w:numId w:val="10"/>
        </w:numPr>
      </w:pPr>
      <w:r w:rsidRPr="00237510">
        <w:t>EVC 83 Swampy Riparian Woodland (endangered)</w:t>
      </w:r>
    </w:p>
    <w:p w14:paraId="4FAC41B3" w14:textId="7FEB1730" w:rsidR="00127022" w:rsidRPr="00237510" w:rsidRDefault="00127022" w:rsidP="007F4023">
      <w:pPr>
        <w:pStyle w:val="ListParagraph"/>
        <w:numPr>
          <w:ilvl w:val="0"/>
          <w:numId w:val="10"/>
        </w:numPr>
      </w:pPr>
      <w:r w:rsidRPr="00237510">
        <w:t>EVC 126 Swampy Riparian Complex (endangered)</w:t>
      </w:r>
    </w:p>
    <w:p w14:paraId="4D3A60F3" w14:textId="43ED7194" w:rsidR="00FF3887" w:rsidRPr="00237510" w:rsidRDefault="00127022" w:rsidP="00FF3887">
      <w:r w:rsidRPr="00237510">
        <w:t>On the main stem of the Latrobe, however, the dominant</w:t>
      </w:r>
      <w:r w:rsidR="00FF3887" w:rsidRPr="00237510">
        <w:t xml:space="preserve"> riparian vegetation is EVC 56 Floodplain Riparian Woodland, which is present almost continuously downstream of Lake Narracan to the beginning of the Latrobe Estuary. The width of this zone tends to increase downstream, especially downstream of Rosedale and in the region near Kilmany South</w:t>
      </w:r>
      <w:r w:rsidR="00DA664C" w:rsidRPr="00237510">
        <w:t>, where there can be areas of intact woody riverine vegetation and emergent reeds.</w:t>
      </w:r>
      <w:r w:rsidR="00FF3887" w:rsidRPr="00237510">
        <w:t xml:space="preserve"> Upstream (e.g. between Morwell and Rosedale) it can be non-existent or very narrow, perhaps only one tree wide. This EVC is listed as endangered in the Gippsland Plains bioregion. The dominant canopy species are variously river red gum (</w:t>
      </w:r>
      <w:r w:rsidR="00FF3887" w:rsidRPr="00237510">
        <w:rPr>
          <w:i/>
        </w:rPr>
        <w:t>Eucalyptus camaldulsensis</w:t>
      </w:r>
      <w:r w:rsidR="00FF3887" w:rsidRPr="00237510">
        <w:t>), Gippsland red gum (</w:t>
      </w:r>
      <w:r w:rsidR="00FF3887" w:rsidRPr="00237510">
        <w:rPr>
          <w:i/>
        </w:rPr>
        <w:t>E. tereticornis</w:t>
      </w:r>
      <w:r w:rsidR="00FF3887" w:rsidRPr="00237510">
        <w:t xml:space="preserve"> ssp. </w:t>
      </w:r>
      <w:r w:rsidR="00FF3887" w:rsidRPr="00237510">
        <w:rPr>
          <w:i/>
        </w:rPr>
        <w:t>mediana</w:t>
      </w:r>
      <w:r w:rsidR="00FF3887" w:rsidRPr="00237510">
        <w:t>) and swamp gum (</w:t>
      </w:r>
      <w:r w:rsidR="00FF3887" w:rsidRPr="00237510">
        <w:rPr>
          <w:i/>
        </w:rPr>
        <w:t>E. ovata</w:t>
      </w:r>
      <w:r w:rsidR="00FF3887" w:rsidRPr="00237510">
        <w:t>). There are also small patches of EVC 82 Riverine Escarpment Scrub just downstream of Lake Narracan.</w:t>
      </w:r>
    </w:p>
    <w:p w14:paraId="53A63473" w14:textId="2FAF66EF" w:rsidR="00FF3887" w:rsidRPr="00237510" w:rsidRDefault="009C65AE" w:rsidP="00FF3887">
      <w:r w:rsidRPr="00237510">
        <w:t>Although</w:t>
      </w:r>
      <w:r w:rsidR="00FF3887" w:rsidRPr="00237510">
        <w:t xml:space="preserve"> there is little information on the condition of vegetation in the riparian zone, the Index of Stream Condition (ISC) assessment, covering the period 2004−2010, </w:t>
      </w:r>
      <w:r w:rsidR="00127022" w:rsidRPr="00237510">
        <w:t>indicated generally poor condition along the Latrobe River and much of the Morwell River streamside zone. In contrast, the condition of riparian vegetation in the Tanjil and Tyers River reaches was considered moderate</w:t>
      </w:r>
      <w:r w:rsidR="002D50E8" w:rsidRPr="00237510">
        <w:t xml:space="preserve"> (DELWP 2014)</w:t>
      </w:r>
      <w:r w:rsidR="00127022" w:rsidRPr="00237510">
        <w:t>.</w:t>
      </w:r>
    </w:p>
    <w:p w14:paraId="222A6662" w14:textId="70DEDC79" w:rsidR="00FF3887" w:rsidRPr="00237510" w:rsidRDefault="009C65AE" w:rsidP="00FF3887">
      <w:r w:rsidRPr="00237510">
        <w:t>These findings are</w:t>
      </w:r>
      <w:r w:rsidR="00127022" w:rsidRPr="00237510">
        <w:t xml:space="preserve"> consistent with the observations from s</w:t>
      </w:r>
      <w:r w:rsidR="00FF3887" w:rsidRPr="00237510">
        <w:t>ite visits by Alluvium (</w:t>
      </w:r>
      <w:r w:rsidR="00127022" w:rsidRPr="00237510">
        <w:t>2020</w:t>
      </w:r>
      <w:r w:rsidR="00FF3887" w:rsidRPr="00237510">
        <w:t xml:space="preserve">) </w:t>
      </w:r>
      <w:r w:rsidR="00127022" w:rsidRPr="00237510">
        <w:t xml:space="preserve">which indicated poor condition and </w:t>
      </w:r>
      <w:r w:rsidR="00FF3887" w:rsidRPr="00237510">
        <w:t xml:space="preserve">high percentages of exotic species in the riparian zone, particularly in the understorey </w:t>
      </w:r>
      <w:r w:rsidR="00127022" w:rsidRPr="00237510">
        <w:t>in the Latrobe River</w:t>
      </w:r>
      <w:r w:rsidR="00FF3887" w:rsidRPr="00237510">
        <w:t xml:space="preserve"> (e.g. </w:t>
      </w:r>
      <w:r w:rsidR="00FF3887" w:rsidRPr="00237510">
        <w:fldChar w:fldCharType="begin"/>
      </w:r>
      <w:r w:rsidR="00FF3887" w:rsidRPr="00237510">
        <w:instrText xml:space="preserve"> REF _Ref536870002 \h </w:instrText>
      </w:r>
      <w:r w:rsidR="00FF3887" w:rsidRPr="00237510">
        <w:fldChar w:fldCharType="separate"/>
      </w:r>
      <w:r w:rsidR="008C72C8" w:rsidRPr="00237510">
        <w:t>Figure 16</w:t>
      </w:r>
      <w:r w:rsidR="00FF3887" w:rsidRPr="00237510">
        <w:fldChar w:fldCharType="end"/>
      </w:r>
      <w:r w:rsidR="00FF3887" w:rsidRPr="00237510">
        <w:t xml:space="preserve">). </w:t>
      </w:r>
      <w:r w:rsidR="00127022" w:rsidRPr="00237510">
        <w:t>While there</w:t>
      </w:r>
      <w:r w:rsidR="00484592" w:rsidRPr="00237510">
        <w:t xml:space="preserve"> was good vegetation condition in the Tyers River downstream of Moondarra Reservoir, there were high percentages of exotic species in the riparian zones of the other tributaries, which were generally poor condition (e.g. </w:t>
      </w:r>
      <w:r w:rsidR="00484592" w:rsidRPr="00237510">
        <w:fldChar w:fldCharType="begin"/>
      </w:r>
      <w:r w:rsidR="00484592" w:rsidRPr="00237510">
        <w:instrText xml:space="preserve"> REF _Ref536870011 \h </w:instrText>
      </w:r>
      <w:r w:rsidR="00484592" w:rsidRPr="00237510">
        <w:fldChar w:fldCharType="separate"/>
      </w:r>
      <w:r w:rsidR="008C72C8" w:rsidRPr="00237510">
        <w:t>Figure 17</w:t>
      </w:r>
      <w:r w:rsidR="00484592" w:rsidRPr="00237510">
        <w:fldChar w:fldCharType="end"/>
      </w:r>
      <w:r w:rsidR="00484592" w:rsidRPr="00237510">
        <w:t xml:space="preserve">). </w:t>
      </w:r>
    </w:p>
    <w:p w14:paraId="6331E695" w14:textId="563E7974" w:rsidR="002D50E8" w:rsidRPr="00237510" w:rsidRDefault="002D50E8" w:rsidP="002D50E8">
      <w:pPr>
        <w:spacing w:after="0"/>
        <w:rPr>
          <w:rFonts w:ascii="Times New Roman" w:eastAsia="Times New Roman" w:hAnsi="Times New Roman"/>
          <w:sz w:val="24"/>
          <w:szCs w:val="24"/>
          <w:lang w:eastAsia="zh-CN"/>
        </w:rPr>
      </w:pPr>
      <w:r w:rsidRPr="00237510">
        <w:rPr>
          <w:rFonts w:ascii="Times New Roman" w:eastAsia="Times New Roman" w:hAnsi="Times New Roman"/>
          <w:sz w:val="24"/>
          <w:szCs w:val="24"/>
          <w:lang w:eastAsia="zh-CN"/>
        </w:rPr>
        <w:t> </w:t>
      </w:r>
      <w:r>
        <w:rPr>
          <w:noProof/>
        </w:rPr>
        <w:drawing>
          <wp:inline distT="0" distB="0" distL="0" distR="0" wp14:anchorId="7B50BB64" wp14:editId="16A3E996">
            <wp:extent cx="5581013" cy="3149600"/>
            <wp:effectExtent l="0" t="0" r="0" b="0"/>
            <wp:docPr id="17" name="Picture 17" descr="Aerial view of a winding bend in the Latrobe River. There is pasture on the southern bank, with trees lining the northern bank, giving way to more farm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43" cstate="email">
                      <a:extLst>
                        <a:ext uri="{28A0092B-C50C-407E-A947-70E740481C1C}">
                          <a14:useLocalDpi xmlns:a14="http://schemas.microsoft.com/office/drawing/2010/main"/>
                        </a:ext>
                      </a:extLst>
                    </a:blip>
                    <a:stretch>
                      <a:fillRect/>
                    </a:stretch>
                  </pic:blipFill>
                  <pic:spPr>
                    <a:xfrm>
                      <a:off x="0" y="0"/>
                      <a:ext cx="5581013" cy="3149600"/>
                    </a:xfrm>
                    <a:prstGeom prst="rect">
                      <a:avLst/>
                    </a:prstGeom>
                  </pic:spPr>
                </pic:pic>
              </a:graphicData>
            </a:graphic>
          </wp:inline>
        </w:drawing>
      </w:r>
    </w:p>
    <w:p w14:paraId="4FA690D9" w14:textId="1849F0A0" w:rsidR="00FF3887" w:rsidRPr="00237510" w:rsidRDefault="00FF3887" w:rsidP="00FF3887"/>
    <w:p w14:paraId="440FA71A" w14:textId="35986D65" w:rsidR="00FF3887" w:rsidRPr="00237510" w:rsidRDefault="00FF3887" w:rsidP="00FF3887">
      <w:pPr>
        <w:pStyle w:val="Caption"/>
      </w:pPr>
      <w:bookmarkStart w:id="40" w:name="_Ref536870002"/>
      <w:r w:rsidRPr="00237510">
        <w:t xml:space="preserve">Figure </w:t>
      </w:r>
      <w:r>
        <w:fldChar w:fldCharType="begin"/>
      </w:r>
      <w:r>
        <w:instrText>SEQ Figure \* ARABIC</w:instrText>
      </w:r>
      <w:r>
        <w:fldChar w:fldCharType="separate"/>
      </w:r>
      <w:r w:rsidR="00DE4513">
        <w:rPr>
          <w:noProof/>
        </w:rPr>
        <w:t>16</w:t>
      </w:r>
      <w:r>
        <w:fldChar w:fldCharType="end"/>
      </w:r>
      <w:bookmarkEnd w:id="40"/>
      <w:r w:rsidRPr="00237510">
        <w:t xml:space="preserve">: Latrobe River at </w:t>
      </w:r>
      <w:r w:rsidR="002D50E8" w:rsidRPr="00237510">
        <w:t>Glengarry</w:t>
      </w:r>
      <w:r w:rsidRPr="00237510">
        <w:t xml:space="preserve"> (</w:t>
      </w:r>
      <w:r w:rsidR="002D50E8" w:rsidRPr="00237510">
        <w:t>West Gippsland CMA).</w:t>
      </w:r>
    </w:p>
    <w:p w14:paraId="5A0A9DF2" w14:textId="77777777" w:rsidR="00484592" w:rsidRPr="00237510" w:rsidRDefault="00484592" w:rsidP="00484592">
      <w:r w:rsidRPr="00237510">
        <w:rPr>
          <w:b/>
          <w:noProof/>
          <w:lang w:eastAsia="en-AU"/>
        </w:rPr>
        <w:drawing>
          <wp:inline distT="0" distB="0" distL="0" distR="0" wp14:anchorId="720EE5F6" wp14:editId="4DDC2979">
            <wp:extent cx="5138359" cy="3068515"/>
            <wp:effectExtent l="0" t="0" r="5715" b="5080"/>
            <wp:docPr id="461" name="Picture 461" descr="View upstream of a slow-flowing Morewell River. Thick vegetation lines both banks, however a clearing is visible through the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5187410" cy="3097807"/>
                    </a:xfrm>
                    <a:prstGeom prst="rect">
                      <a:avLst/>
                    </a:prstGeom>
                    <a:noFill/>
                    <a:ln>
                      <a:noFill/>
                    </a:ln>
                    <a:extLst>
                      <a:ext uri="{53640926-AAD7-44D8-BBD7-CCE9431645EC}">
                        <a14:shadowObscured xmlns:a14="http://schemas.microsoft.com/office/drawing/2010/main"/>
                      </a:ext>
                    </a:extLst>
                  </pic:spPr>
                </pic:pic>
              </a:graphicData>
            </a:graphic>
          </wp:inline>
        </w:drawing>
      </w:r>
    </w:p>
    <w:p w14:paraId="645A2A1F" w14:textId="77565BA7" w:rsidR="00484592" w:rsidRPr="00237510" w:rsidRDefault="00484592" w:rsidP="00484592">
      <w:pPr>
        <w:pStyle w:val="Caption"/>
      </w:pPr>
      <w:bookmarkStart w:id="41" w:name="_Ref536870011"/>
      <w:r w:rsidRPr="00237510">
        <w:t xml:space="preserve">Figure </w:t>
      </w:r>
      <w:r>
        <w:fldChar w:fldCharType="begin"/>
      </w:r>
      <w:r>
        <w:instrText>SEQ Figure \* ARABIC</w:instrText>
      </w:r>
      <w:r>
        <w:fldChar w:fldCharType="separate"/>
      </w:r>
      <w:r w:rsidR="00DE4513">
        <w:rPr>
          <w:noProof/>
        </w:rPr>
        <w:t>17</w:t>
      </w:r>
      <w:r>
        <w:fldChar w:fldCharType="end"/>
      </w:r>
      <w:bookmarkEnd w:id="41"/>
      <w:r w:rsidRPr="00237510">
        <w:t xml:space="preserve">: Morwell River adjacent to Morwell Wetlands, November 2018 (Alluvium </w:t>
      </w:r>
      <w:r w:rsidR="002D50E8" w:rsidRPr="00237510">
        <w:t>2020</w:t>
      </w:r>
      <w:r w:rsidRPr="00237510">
        <w:t>)</w:t>
      </w:r>
    </w:p>
    <w:p w14:paraId="08E4E488" w14:textId="4536AECB" w:rsidR="00484592" w:rsidRPr="00237510" w:rsidRDefault="00484592" w:rsidP="00484592">
      <w:r w:rsidRPr="00237510">
        <w:t>The riparian vegetation of the estuarine reach</w:t>
      </w:r>
      <w:r w:rsidR="009C65AE" w:rsidRPr="00237510">
        <w:t xml:space="preserve"> of the Latrobe River</w:t>
      </w:r>
      <w:r w:rsidRPr="00237510">
        <w:t xml:space="preserve"> is dominated by EVC 953 Estuarine Scrub, EVC 53 Swamp Scrub and EVC 952 Estuarine Reedbed. There is a transition from fresher communities in the upper estuary, with emergent macrophytes such as giant rush (</w:t>
      </w:r>
      <w:r w:rsidRPr="00237510">
        <w:rPr>
          <w:i/>
        </w:rPr>
        <w:t>Juncus ingens</w:t>
      </w:r>
      <w:r w:rsidRPr="00237510">
        <w:t xml:space="preserve">), common reed and </w:t>
      </w:r>
      <w:r w:rsidR="009C65AE" w:rsidRPr="00237510">
        <w:t>cumbungi (</w:t>
      </w:r>
      <w:r w:rsidRPr="00237510">
        <w:rPr>
          <w:i/>
          <w:iCs/>
        </w:rPr>
        <w:t>Typha</w:t>
      </w:r>
      <w:r w:rsidR="009C65AE" w:rsidRPr="00237510">
        <w:t xml:space="preserve"> spp.)</w:t>
      </w:r>
      <w:r w:rsidRPr="00237510">
        <w:t xml:space="preserve"> in the lower banks, backed by river red gum forest. Downstream more salt tolerant species persist (e.g. common reed) and swamp paperbark. There are no submerged macrophytes </w:t>
      </w:r>
      <w:r w:rsidR="009C65AE" w:rsidRPr="00237510">
        <w:t xml:space="preserve">(e.g. seagrasses) </w:t>
      </w:r>
      <w:r w:rsidRPr="00237510">
        <w:t>in the estuary.</w:t>
      </w:r>
    </w:p>
    <w:p w14:paraId="203EEF21" w14:textId="76229B16" w:rsidR="00FF3887" w:rsidRPr="00237510" w:rsidRDefault="00484592" w:rsidP="00484592">
      <w:r w:rsidRPr="00237510">
        <w:t>There is little information available on vegetation condition in this section of the Latrobe although Brizga et al. (2011) suggested that there has been a broad decline in condition as a result of increased salinity, nutrients and sediment supply.</w:t>
      </w:r>
    </w:p>
    <w:p w14:paraId="3A620E84" w14:textId="27F7B199" w:rsidR="00484592" w:rsidRPr="00237510" w:rsidRDefault="00484592" w:rsidP="001013BB">
      <w:pPr>
        <w:pStyle w:val="Heading3"/>
        <w:ind w:left="709"/>
      </w:pPr>
      <w:bookmarkStart w:id="42" w:name="_Toc42001383"/>
      <w:r w:rsidRPr="00237510">
        <w:t>Wetland vegetation</w:t>
      </w:r>
      <w:bookmarkEnd w:id="42"/>
    </w:p>
    <w:p w14:paraId="251E2C37" w14:textId="3F692B7D" w:rsidR="00484592" w:rsidRPr="00237510" w:rsidRDefault="00484592" w:rsidP="00484592">
      <w:r w:rsidRPr="00237510">
        <w:t xml:space="preserve">The Lower Latrobe Wetlands support a diversity of wetland vegetation and </w:t>
      </w:r>
      <w:proofErr w:type="gramStart"/>
      <w:r w:rsidRPr="00237510">
        <w:t>a number of</w:t>
      </w:r>
      <w:proofErr w:type="gramEnd"/>
      <w:r w:rsidRPr="00237510">
        <w:t xml:space="preserve"> threatened plant taxa. Eight water-dependent rare and threatened plant taxa have been recorded from within the Lower Latrobe Wetlands (Atlas of Living Australia):</w:t>
      </w:r>
    </w:p>
    <w:p w14:paraId="7846C26E" w14:textId="77777777" w:rsidR="00484592" w:rsidRPr="00237510" w:rsidRDefault="00484592" w:rsidP="007F4023">
      <w:pPr>
        <w:pStyle w:val="ListParagraph"/>
        <w:numPr>
          <w:ilvl w:val="0"/>
          <w:numId w:val="8"/>
        </w:numPr>
      </w:pPr>
      <w:r w:rsidRPr="00237510">
        <w:t>Wavy swamp wallaby-grass</w:t>
      </w:r>
      <w:r w:rsidRPr="00237510">
        <w:rPr>
          <w:i/>
          <w:iCs/>
        </w:rPr>
        <w:t xml:space="preserve"> </w:t>
      </w:r>
      <w:r w:rsidRPr="00237510">
        <w:rPr>
          <w:iCs/>
        </w:rPr>
        <w:t>(</w:t>
      </w:r>
      <w:r w:rsidRPr="00237510">
        <w:rPr>
          <w:i/>
          <w:iCs/>
        </w:rPr>
        <w:t>Amphibromus sinuatus</w:t>
      </w:r>
      <w:r w:rsidRPr="00237510">
        <w:t>)</w:t>
      </w:r>
    </w:p>
    <w:p w14:paraId="4D9DDF62" w14:textId="77777777" w:rsidR="00484592" w:rsidRPr="00237510" w:rsidRDefault="00484592" w:rsidP="007F4023">
      <w:pPr>
        <w:pStyle w:val="ListParagraph"/>
        <w:numPr>
          <w:ilvl w:val="0"/>
          <w:numId w:val="8"/>
        </w:numPr>
      </w:pPr>
      <w:r w:rsidRPr="00237510">
        <w:t>Tall club-sedge (</w:t>
      </w:r>
      <w:r w:rsidRPr="00237510">
        <w:rPr>
          <w:i/>
          <w:iCs/>
        </w:rPr>
        <w:t>Bolboschoenus fluviatilis</w:t>
      </w:r>
      <w:r w:rsidRPr="00237510">
        <w:t>)</w:t>
      </w:r>
    </w:p>
    <w:p w14:paraId="3C8FA252" w14:textId="77777777" w:rsidR="00484592" w:rsidRPr="00237510" w:rsidRDefault="00484592" w:rsidP="007F4023">
      <w:pPr>
        <w:pStyle w:val="ListParagraph"/>
        <w:numPr>
          <w:ilvl w:val="0"/>
          <w:numId w:val="8"/>
        </w:numPr>
      </w:pPr>
      <w:r w:rsidRPr="00237510">
        <w:t>Water parsnip</w:t>
      </w:r>
      <w:r w:rsidRPr="00237510">
        <w:rPr>
          <w:i/>
          <w:iCs/>
        </w:rPr>
        <w:t xml:space="preserve"> </w:t>
      </w:r>
      <w:r w:rsidRPr="00237510">
        <w:rPr>
          <w:iCs/>
        </w:rPr>
        <w:t>(</w:t>
      </w:r>
      <w:r w:rsidRPr="00237510">
        <w:rPr>
          <w:i/>
          <w:iCs/>
        </w:rPr>
        <w:t>Berula erecta</w:t>
      </w:r>
      <w:r w:rsidRPr="00237510">
        <w:t>)</w:t>
      </w:r>
    </w:p>
    <w:p w14:paraId="6D52F6F5" w14:textId="77777777" w:rsidR="00484592" w:rsidRPr="00237510" w:rsidRDefault="00484592" w:rsidP="007F4023">
      <w:pPr>
        <w:pStyle w:val="ListParagraph"/>
        <w:numPr>
          <w:ilvl w:val="0"/>
          <w:numId w:val="8"/>
        </w:numPr>
      </w:pPr>
      <w:r w:rsidRPr="00237510">
        <w:t>Starwort</w:t>
      </w:r>
      <w:r w:rsidRPr="00237510">
        <w:rPr>
          <w:i/>
          <w:iCs/>
        </w:rPr>
        <w:t xml:space="preserve"> </w:t>
      </w:r>
      <w:r w:rsidRPr="00237510">
        <w:rPr>
          <w:iCs/>
        </w:rPr>
        <w:t>(</w:t>
      </w:r>
      <w:r w:rsidRPr="00237510">
        <w:rPr>
          <w:i/>
          <w:iCs/>
        </w:rPr>
        <w:t xml:space="preserve">Callitriche palustris </w:t>
      </w:r>
      <w:r w:rsidRPr="00237510">
        <w:rPr>
          <w:iCs/>
        </w:rPr>
        <w:t>var.</w:t>
      </w:r>
      <w:r w:rsidRPr="00237510">
        <w:rPr>
          <w:i/>
          <w:iCs/>
        </w:rPr>
        <w:t xml:space="preserve"> palustris</w:t>
      </w:r>
      <w:r w:rsidRPr="00237510">
        <w:t>)</w:t>
      </w:r>
    </w:p>
    <w:p w14:paraId="22D906AC" w14:textId="77777777" w:rsidR="00484592" w:rsidRPr="00237510" w:rsidRDefault="00484592" w:rsidP="007F4023">
      <w:pPr>
        <w:pStyle w:val="ListParagraph"/>
        <w:numPr>
          <w:ilvl w:val="0"/>
          <w:numId w:val="8"/>
        </w:numPr>
      </w:pPr>
      <w:r w:rsidRPr="00237510">
        <w:t>Eastern water ribbons (</w:t>
      </w:r>
      <w:r w:rsidRPr="00237510">
        <w:rPr>
          <w:i/>
        </w:rPr>
        <w:t>Cycnogeton microtuberosum)</w:t>
      </w:r>
    </w:p>
    <w:p w14:paraId="7AE1BD16" w14:textId="77777777" w:rsidR="00484592" w:rsidRPr="00237510" w:rsidRDefault="00484592" w:rsidP="007F4023">
      <w:pPr>
        <w:pStyle w:val="ListParagraph"/>
        <w:numPr>
          <w:ilvl w:val="0"/>
          <w:numId w:val="8"/>
        </w:numPr>
      </w:pPr>
      <w:r w:rsidRPr="00237510">
        <w:t>Veiled fringe-sedge</w:t>
      </w:r>
      <w:r w:rsidRPr="00237510">
        <w:rPr>
          <w:i/>
          <w:iCs/>
        </w:rPr>
        <w:t xml:space="preserve"> </w:t>
      </w:r>
      <w:r w:rsidRPr="00237510">
        <w:rPr>
          <w:iCs/>
        </w:rPr>
        <w:t>(</w:t>
      </w:r>
      <w:r w:rsidRPr="00237510">
        <w:rPr>
          <w:i/>
          <w:iCs/>
        </w:rPr>
        <w:t>Fimbristylis velata</w:t>
      </w:r>
      <w:r w:rsidRPr="00237510">
        <w:t>)</w:t>
      </w:r>
    </w:p>
    <w:p w14:paraId="411FF592" w14:textId="77777777" w:rsidR="00484592" w:rsidRPr="00237510" w:rsidRDefault="00484592" w:rsidP="007F4023">
      <w:pPr>
        <w:pStyle w:val="ListParagraph"/>
        <w:numPr>
          <w:ilvl w:val="0"/>
          <w:numId w:val="8"/>
        </w:numPr>
      </w:pPr>
      <w:r w:rsidRPr="00237510">
        <w:t>Hypsela</w:t>
      </w:r>
      <w:r w:rsidRPr="00237510">
        <w:rPr>
          <w:i/>
          <w:iCs/>
        </w:rPr>
        <w:t xml:space="preserve"> </w:t>
      </w:r>
      <w:r w:rsidRPr="00237510">
        <w:rPr>
          <w:iCs/>
        </w:rPr>
        <w:t>(</w:t>
      </w:r>
      <w:r w:rsidRPr="00237510">
        <w:rPr>
          <w:i/>
          <w:iCs/>
        </w:rPr>
        <w:t>Hypsela tridens</w:t>
      </w:r>
      <w:r w:rsidRPr="00237510">
        <w:t>)</w:t>
      </w:r>
    </w:p>
    <w:p w14:paraId="021CB032" w14:textId="77777777" w:rsidR="00484592" w:rsidRPr="00237510" w:rsidRDefault="00484592" w:rsidP="007F4023">
      <w:pPr>
        <w:pStyle w:val="ListParagraph"/>
        <w:numPr>
          <w:ilvl w:val="0"/>
          <w:numId w:val="8"/>
        </w:numPr>
      </w:pPr>
      <w:r w:rsidRPr="00237510">
        <w:t>Feather-leaf buttercup</w:t>
      </w:r>
      <w:r w:rsidRPr="00237510">
        <w:rPr>
          <w:i/>
          <w:iCs/>
        </w:rPr>
        <w:t xml:space="preserve"> </w:t>
      </w:r>
      <w:r w:rsidRPr="00237510">
        <w:rPr>
          <w:iCs/>
        </w:rPr>
        <w:t>(</w:t>
      </w:r>
      <w:r w:rsidRPr="00237510">
        <w:rPr>
          <w:i/>
          <w:iCs/>
        </w:rPr>
        <w:t>Ranunculus amplus</w:t>
      </w:r>
      <w:r w:rsidRPr="00237510">
        <w:t>).</w:t>
      </w:r>
    </w:p>
    <w:p w14:paraId="28A48E29" w14:textId="79075647" w:rsidR="00484592" w:rsidRPr="00237510" w:rsidRDefault="00484592" w:rsidP="00484592">
      <w:pPr>
        <w:rPr>
          <w:lang w:eastAsia="en-US"/>
        </w:rPr>
      </w:pPr>
      <w:r w:rsidRPr="00237510">
        <w:rPr>
          <w:lang w:eastAsia="en-US"/>
        </w:rPr>
        <w:t>The three wetlands all support a mosaic of open water, submerged and emergent vegetation, which varies in composition and extent in response to inundation and salinity. The composition of vegetation communities at each wetland, however, varies.</w:t>
      </w:r>
    </w:p>
    <w:p w14:paraId="37CC1FFD" w14:textId="33391FA1" w:rsidR="00484592" w:rsidRPr="00237510" w:rsidRDefault="00484592" w:rsidP="00484592">
      <w:r w:rsidRPr="00237510">
        <w:t>Sale Common supports a diversity of wetland vegetation including submerged macrophyte beds, emergent sedges and rushes and woody littoral vegetation</w:t>
      </w:r>
      <w:r w:rsidR="00775947" w:rsidRPr="00237510">
        <w:t xml:space="preserve"> (</w:t>
      </w:r>
      <w:r w:rsidR="002D50E8" w:rsidRPr="00237510">
        <w:fldChar w:fldCharType="begin"/>
      </w:r>
      <w:r w:rsidR="002D50E8" w:rsidRPr="00237510">
        <w:instrText xml:space="preserve"> REF _Ref41282385 \h </w:instrText>
      </w:r>
      <w:r w:rsidR="002D50E8" w:rsidRPr="00237510">
        <w:fldChar w:fldCharType="separate"/>
      </w:r>
      <w:r w:rsidR="008C72C8" w:rsidRPr="00237510">
        <w:t>Figure 18</w:t>
      </w:r>
      <w:r w:rsidR="002D50E8" w:rsidRPr="00237510">
        <w:fldChar w:fldCharType="end"/>
      </w:r>
      <w:r w:rsidR="00775947" w:rsidRPr="00237510">
        <w:t>)</w:t>
      </w:r>
      <w:r w:rsidRPr="00237510">
        <w:t xml:space="preserve">. Floodway Pond Herbland (EVC 810) and Tall Marsh (EVC 821) are the two most extensive aquatic vegetation types in the wetland </w:t>
      </w:r>
      <w:r w:rsidRPr="00237510">
        <w:fldChar w:fldCharType="begin"/>
      </w:r>
      <w:r w:rsidRPr="00237510">
        <w:instrText xml:space="preserve"> ADDIN ZOTERO_ITEM CSL_CITATION {"citationID":"O0xPzaX8","properties":{"formattedCitation":"(Frood et al. 2015)","plainCitation":"(Frood et al. 2015)","noteIndex":0},"citationItems":[{"id":3141,"uris":["http://zotero.org/users/2336876/items/Q6VQESA6"],"uri":["http://zotero.org/users/2336876/items/Q6VQESA6"],"itemData":{"id":3141,"type":"book","event-place":"Traralgon","publisher":"West Gippsland CMA","publisher-place":"Traralgon","title":"Benchmarking Wetland Flora in the Lower Latrobe Wetlands","author":[{"family":"Frood","given":"D."},{"family":"Boon","given":"P."},{"family":"Oates","given":"A."},{"family":"Reside","given":"J."},{"family":"Maxwell","given":"R."}],"issued":{"date-parts":[["2015"]]}}}],"schema":"https://github.com/citation-style-language/schema/raw/master/csl-citation.json"} </w:instrText>
      </w:r>
      <w:r w:rsidRPr="00237510">
        <w:fldChar w:fldCharType="separate"/>
      </w:r>
      <w:r w:rsidRPr="00237510">
        <w:t>(Frood et al. 2015)</w:t>
      </w:r>
      <w:r w:rsidRPr="00237510">
        <w:fldChar w:fldCharType="end"/>
      </w:r>
      <w:r w:rsidRPr="00237510">
        <w:t>. There are also areas of swamp scrub dominated by paperbark and the mosaic of habitats is identified as critical to ecological character of the Ramsar site.</w:t>
      </w:r>
    </w:p>
    <w:p w14:paraId="110ABC13" w14:textId="778D9048" w:rsidR="00484592" w:rsidRPr="00237510" w:rsidRDefault="00775947" w:rsidP="00484592">
      <w:pPr>
        <w:rPr>
          <w:lang w:eastAsia="en-US"/>
        </w:rPr>
      </w:pPr>
      <w:r>
        <w:rPr>
          <w:noProof/>
        </w:rPr>
        <w:drawing>
          <wp:inline distT="0" distB="0" distL="0" distR="0" wp14:anchorId="1BF7D775" wp14:editId="233F8664">
            <wp:extent cx="5136496" cy="3424137"/>
            <wp:effectExtent l="0" t="0" r="0" b="5080"/>
            <wp:docPr id="454" name="Picture 454" descr="A view across Sale Common marshy wetlands with mature native forest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pic:nvPicPr>
                  <pic:blipFill>
                    <a:blip r:embed="rId45" cstate="email">
                      <a:extLst>
                        <a:ext uri="{28A0092B-C50C-407E-A947-70E740481C1C}">
                          <a14:useLocalDpi xmlns:a14="http://schemas.microsoft.com/office/drawing/2010/main"/>
                        </a:ext>
                      </a:extLst>
                    </a:blip>
                    <a:stretch>
                      <a:fillRect/>
                    </a:stretch>
                  </pic:blipFill>
                  <pic:spPr>
                    <a:xfrm>
                      <a:off x="0" y="0"/>
                      <a:ext cx="5136496" cy="3424137"/>
                    </a:xfrm>
                    <a:prstGeom prst="rect">
                      <a:avLst/>
                    </a:prstGeom>
                  </pic:spPr>
                </pic:pic>
              </a:graphicData>
            </a:graphic>
          </wp:inline>
        </w:drawing>
      </w:r>
    </w:p>
    <w:p w14:paraId="0CE500E3" w14:textId="32AF8505" w:rsidR="00775947" w:rsidRPr="00237510" w:rsidRDefault="00775947" w:rsidP="00775947">
      <w:pPr>
        <w:pStyle w:val="Caption"/>
        <w:rPr>
          <w:lang w:eastAsia="en-US"/>
        </w:rPr>
      </w:pPr>
      <w:bookmarkStart w:id="43" w:name="_Ref41282385"/>
      <w:r w:rsidRPr="00237510">
        <w:t xml:space="preserve">Figure </w:t>
      </w:r>
      <w:r>
        <w:fldChar w:fldCharType="begin"/>
      </w:r>
      <w:r>
        <w:instrText>SEQ Figure \* ARABIC</w:instrText>
      </w:r>
      <w:r>
        <w:fldChar w:fldCharType="separate"/>
      </w:r>
      <w:r w:rsidR="00DE4513">
        <w:rPr>
          <w:noProof/>
        </w:rPr>
        <w:t>18</w:t>
      </w:r>
      <w:r>
        <w:fldChar w:fldCharType="end"/>
      </w:r>
      <w:bookmarkEnd w:id="43"/>
      <w:r w:rsidRPr="00237510">
        <w:t>: Sale Common (photo Sean Phillipson).</w:t>
      </w:r>
    </w:p>
    <w:p w14:paraId="2AB7EE79" w14:textId="483C0BA0" w:rsidR="00484592" w:rsidRPr="00237510" w:rsidRDefault="00775947" w:rsidP="00484592">
      <w:r w:rsidRPr="00237510">
        <w:t xml:space="preserve">Heart Morass is spatially and topographically very complex, and Frood et al. </w:t>
      </w:r>
      <w:r w:rsidRPr="00237510">
        <w:fldChar w:fldCharType="begin"/>
      </w:r>
      <w:r w:rsidRPr="00237510">
        <w:instrText xml:space="preserve"> ADDIN ZOTERO_ITEM CSL_CITATION {"citationID":"NANR8AX8","properties":{"formattedCitation":"(2015)","plainCitation":"(2015)","noteIndex":0},"citationItems":[{"id":3141,"uris":["http://zotero.org/users/2336876/items/Q6VQESA6"],"uri":["http://zotero.org/users/2336876/items/Q6VQESA6"],"itemData":{"id":3141,"type":"book","event-place":"Traralgon","publisher":"West Gippsland CMA","publisher-place":"Traralgon","title":"Benchmarking Wetland Flora in the Lower Latrobe Wetlands","author":[{"family":"Frood","given":"D."},{"family":"Boon","given":"P."},{"family":"Oates","given":"A."},{"family":"Reside","given":"J."},{"family":"Maxwell","given":"R."}],"issued":{"date-parts":[["2015"]]}},"suppress-author":true}],"schema":"https://github.com/citation-style-language/schema/raw/master/csl-citation.json"} </w:instrText>
      </w:r>
      <w:r w:rsidRPr="00237510">
        <w:fldChar w:fldCharType="separate"/>
      </w:r>
      <w:r w:rsidRPr="00237510">
        <w:t>(2015)</w:t>
      </w:r>
      <w:r w:rsidRPr="00237510">
        <w:fldChar w:fldCharType="end"/>
      </w:r>
      <w:r w:rsidRPr="00237510">
        <w:t xml:space="preserve"> reported over 60 spatially discrete vegetation patches. The most common EVCs recorded in 2015 were tall marsh, aquatic herbland, swamp scrub, floodplain riparian woodland and several saltmarsh communities. Twenty years ago, the vegetation at Heart Morass was described as degraded and in need of restoration </w:t>
      </w:r>
      <w:r w:rsidRPr="00237510">
        <w:fldChar w:fldCharType="begin"/>
      </w:r>
      <w:r w:rsidRPr="00237510">
        <w:instrText xml:space="preserve"> ADDIN ZOTERO_ITEM CSL_CITATION {"citationID":"HDqypSH2","properties":{"formattedCitation":"(Borg and Savage 2005)","plainCitation":"(Borg and Savage 2005)","noteIndex":0},"citationItems":[{"id":2323,"uris":["http://zotero.org/users/2336876/items/8C2GVU8F"],"uri":["http://zotero.org/users/2336876/items/8C2GVU8F"],"itemData":{"id":2323,"type":"book","event-place":"Morwell, Victoria","publisher":"GHD","publisher-place":"Morwell, Victoria","title":"Heart Morass Feasibility Study","author":[{"family":"Borg","given":"D."},{"family":"Savage","given":"G."}],"issued":{"date-parts":[["2005"]]}}}],"schema":"https://github.com/citation-style-language/schema/raw/master/csl-citation.json"} </w:instrText>
      </w:r>
      <w:r w:rsidRPr="00237510">
        <w:fldChar w:fldCharType="separate"/>
      </w:r>
      <w:r w:rsidRPr="00237510">
        <w:t>(Borg and Savage 2005)</w:t>
      </w:r>
      <w:r w:rsidRPr="00237510">
        <w:fldChar w:fldCharType="end"/>
      </w:r>
      <w:r w:rsidRPr="00237510">
        <w:t>, and an extensive collaborative project involving the WET Trust and WG</w:t>
      </w:r>
      <w:r w:rsidR="00DA664C" w:rsidRPr="00237510">
        <w:t>C</w:t>
      </w:r>
      <w:r w:rsidRPr="00237510">
        <w:t xml:space="preserve">MA has restored much of the condition at the site. </w:t>
      </w:r>
      <w:r w:rsidR="00237510" w:rsidRPr="00237510">
        <w:t>Evaluations</w:t>
      </w:r>
      <w:r w:rsidRPr="00237510">
        <w:t xml:space="preserve"> in 2015 indicated that wetland vegetation communities were in good condition (Frood et al. 2015)</w:t>
      </w:r>
      <w:r w:rsidR="00484592" w:rsidRPr="00237510">
        <w:t xml:space="preserve">. </w:t>
      </w:r>
    </w:p>
    <w:p w14:paraId="1C02901F" w14:textId="77777777" w:rsidR="002D50E8" w:rsidRPr="00237510" w:rsidRDefault="002D50E8" w:rsidP="00484592"/>
    <w:p w14:paraId="625D66B7" w14:textId="75716C41" w:rsidR="00775947" w:rsidRPr="00237510" w:rsidRDefault="00775947" w:rsidP="00775947">
      <w:pPr>
        <w:spacing w:after="0"/>
        <w:rPr>
          <w:rFonts w:ascii="Times New Roman" w:eastAsia="Times New Roman" w:hAnsi="Times New Roman"/>
          <w:sz w:val="24"/>
          <w:szCs w:val="24"/>
          <w:lang w:eastAsia="en-GB"/>
        </w:rPr>
      </w:pPr>
      <w:r>
        <w:rPr>
          <w:noProof/>
        </w:rPr>
        <w:drawing>
          <wp:inline distT="0" distB="0" distL="0" distR="0" wp14:anchorId="29955EAA" wp14:editId="3DA7CA5A">
            <wp:extent cx="5020408" cy="3766020"/>
            <wp:effectExtent l="0" t="0" r="0" b="6350"/>
            <wp:docPr id="453" name="Picture 453" descr="Aerial view of inundated vegetation at Heart Mo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pic:nvPicPr>
                  <pic:blipFill>
                    <a:blip r:embed="rId46" cstate="email">
                      <a:extLst>
                        <a:ext uri="{28A0092B-C50C-407E-A947-70E740481C1C}">
                          <a14:useLocalDpi xmlns:a14="http://schemas.microsoft.com/office/drawing/2010/main"/>
                        </a:ext>
                      </a:extLst>
                    </a:blip>
                    <a:stretch>
                      <a:fillRect/>
                    </a:stretch>
                  </pic:blipFill>
                  <pic:spPr>
                    <a:xfrm>
                      <a:off x="0" y="0"/>
                      <a:ext cx="5020408" cy="3766020"/>
                    </a:xfrm>
                    <a:prstGeom prst="rect">
                      <a:avLst/>
                    </a:prstGeom>
                  </pic:spPr>
                </pic:pic>
              </a:graphicData>
            </a:graphic>
          </wp:inline>
        </w:drawing>
      </w:r>
    </w:p>
    <w:p w14:paraId="31031273" w14:textId="29DB05F3" w:rsidR="00775947" w:rsidRPr="00237510" w:rsidRDefault="00775947" w:rsidP="00775947">
      <w:pPr>
        <w:pStyle w:val="Caption"/>
        <w:rPr>
          <w:lang w:eastAsia="en-US"/>
        </w:rPr>
      </w:pPr>
      <w:r w:rsidRPr="00237510">
        <w:t xml:space="preserve">Figure </w:t>
      </w:r>
      <w:r>
        <w:fldChar w:fldCharType="begin"/>
      </w:r>
      <w:r>
        <w:instrText>SEQ Figure \* ARABIC</w:instrText>
      </w:r>
      <w:r>
        <w:fldChar w:fldCharType="separate"/>
      </w:r>
      <w:r w:rsidR="00DE4513">
        <w:rPr>
          <w:noProof/>
        </w:rPr>
        <w:t>19</w:t>
      </w:r>
      <w:r>
        <w:fldChar w:fldCharType="end"/>
      </w:r>
      <w:r w:rsidRPr="00237510">
        <w:t>: Heart Morass (photo West Gippsland CMA).</w:t>
      </w:r>
    </w:p>
    <w:p w14:paraId="7ADACC19" w14:textId="77777777" w:rsidR="00775947" w:rsidRPr="00237510" w:rsidRDefault="00775947" w:rsidP="00484592"/>
    <w:p w14:paraId="6F8FFB8F" w14:textId="681EF7FC" w:rsidR="00775947" w:rsidRPr="00237510" w:rsidRDefault="00775947" w:rsidP="00775947">
      <w:pPr>
        <w:keepNext/>
      </w:pPr>
      <w:r w:rsidRPr="00237510">
        <w:t xml:space="preserve">Dowd Morass supports a habitat mosaic </w:t>
      </w:r>
      <w:r w:rsidR="00237510">
        <w:t xml:space="preserve">of </w:t>
      </w:r>
      <w:r w:rsidR="009C65AE" w:rsidRPr="00237510">
        <w:t xml:space="preserve">three main vegetation types </w:t>
      </w:r>
      <w:r w:rsidRPr="00237510">
        <w:fldChar w:fldCharType="begin"/>
      </w:r>
      <w:r w:rsidRPr="00237510">
        <w:instrText xml:space="preserve"> ADDIN ZOTERO_ITEM CSL_CITATION {"citationID":"NHFJuFfP","properties":{"formattedCitation":"(Frood et al. 2015)","plainCitation":"(Frood et al. 2015)","noteIndex":0},"citationItems":[{"id":3141,"uris":["http://zotero.org/users/2336876/items/Q6VQESA6"],"uri":["http://zotero.org/users/2336876/items/Q6VQESA6"],"itemData":{"id":3141,"type":"book","event-place":"Traralgon","publisher":"West Gippsland CMA","publisher-place":"Traralgon","title":"Benchmarking Wetland Flora in the Lower Latrobe Wetlands","author":[{"family":"Frood","given":"D."},{"family":"Boon","given":"P."},{"family":"Oates","given":"A."},{"family":"Reside","given":"J."},{"family":"Maxwell","given":"R."}],"issued":{"date-parts":[["2015"]]}}}],"schema":"https://github.com/citation-style-language/schema/raw/master/csl-citation.json"} </w:instrText>
      </w:r>
      <w:r w:rsidRPr="00237510">
        <w:fldChar w:fldCharType="separate"/>
      </w:r>
      <w:r w:rsidRPr="00237510">
        <w:t>(Frood et al. 2015)</w:t>
      </w:r>
      <w:r w:rsidRPr="00237510">
        <w:fldChar w:fldCharType="end"/>
      </w:r>
      <w:r w:rsidRPr="00237510">
        <w:t>:</w:t>
      </w:r>
    </w:p>
    <w:p w14:paraId="01B29151" w14:textId="77777777" w:rsidR="00775947" w:rsidRPr="00237510" w:rsidRDefault="00775947" w:rsidP="007F4023">
      <w:pPr>
        <w:pStyle w:val="ListParagraph"/>
        <w:numPr>
          <w:ilvl w:val="0"/>
          <w:numId w:val="13"/>
        </w:numPr>
      </w:pPr>
      <w:r w:rsidRPr="00237510">
        <w:t>Brackish-water, open forest or woodland communities dominated by swamp paperbark</w:t>
      </w:r>
    </w:p>
    <w:p w14:paraId="3A7D8759" w14:textId="77777777" w:rsidR="00775947" w:rsidRPr="00237510" w:rsidRDefault="00775947" w:rsidP="007F4023">
      <w:pPr>
        <w:pStyle w:val="ListParagraph"/>
        <w:numPr>
          <w:ilvl w:val="0"/>
          <w:numId w:val="13"/>
        </w:numPr>
      </w:pPr>
      <w:r w:rsidRPr="00237510">
        <w:rPr>
          <w:iCs/>
        </w:rPr>
        <w:t>Tall marsh, most often dominated by common reed</w:t>
      </w:r>
    </w:p>
    <w:p w14:paraId="7CBE40A4" w14:textId="77777777" w:rsidR="00775947" w:rsidRPr="00237510" w:rsidRDefault="00775947" w:rsidP="007F4023">
      <w:pPr>
        <w:pStyle w:val="ListParagraph"/>
        <w:numPr>
          <w:ilvl w:val="0"/>
          <w:numId w:val="13"/>
        </w:numPr>
      </w:pPr>
      <w:proofErr w:type="gramStart"/>
      <w:r w:rsidRPr="00237510">
        <w:t>Open-water areas,</w:t>
      </w:r>
      <w:proofErr w:type="gramEnd"/>
      <w:r w:rsidRPr="00237510">
        <w:t xml:space="preserve"> sometimes vegetated with submerged vascular plants.</w:t>
      </w:r>
    </w:p>
    <w:p w14:paraId="6D44607C" w14:textId="1F649FBF" w:rsidR="00484592" w:rsidRPr="00237510" w:rsidRDefault="00775947" w:rsidP="00775947">
      <w:r w:rsidRPr="00237510">
        <w:t xml:space="preserve">In addition, the vegetation in west Dowd Morass, which is subject to greater freshwater influences is complex and diverse with </w:t>
      </w:r>
      <w:proofErr w:type="gramStart"/>
      <w:r w:rsidRPr="00237510">
        <w:t>a large number of</w:t>
      </w:r>
      <w:proofErr w:type="gramEnd"/>
      <w:r w:rsidRPr="00237510">
        <w:t xml:space="preserve"> species and communities. As recently as 2000, open water areas across Dowd Morass contained a variety of submerged aquatic plants such as ribbonweed (</w:t>
      </w:r>
      <w:r w:rsidRPr="00237510">
        <w:rPr>
          <w:i/>
          <w:iCs/>
        </w:rPr>
        <w:t>Vallisneria australis</w:t>
      </w:r>
      <w:r w:rsidRPr="00237510">
        <w:t>), water milfoil (</w:t>
      </w:r>
      <w:r w:rsidRPr="00237510">
        <w:rPr>
          <w:i/>
        </w:rPr>
        <w:t xml:space="preserve">Myriophyllum </w:t>
      </w:r>
      <w:r w:rsidRPr="00237510">
        <w:t>spp.), pondweed (</w:t>
      </w:r>
      <w:r w:rsidRPr="00237510">
        <w:rPr>
          <w:i/>
        </w:rPr>
        <w:t>Potamogeton</w:t>
      </w:r>
      <w:r w:rsidRPr="00237510">
        <w:t xml:space="preserve"> spp.) and water ferns (</w:t>
      </w:r>
      <w:r w:rsidRPr="00237510">
        <w:rPr>
          <w:i/>
        </w:rPr>
        <w:t>Azolla</w:t>
      </w:r>
      <w:r w:rsidRPr="00237510">
        <w:t xml:space="preserve"> spp.) </w:t>
      </w:r>
      <w:r w:rsidRPr="00237510">
        <w:fldChar w:fldCharType="begin"/>
      </w:r>
      <w:r w:rsidRPr="00237510">
        <w:instrText xml:space="preserve"> ADDIN ZOTERO_ITEM CSL_CITATION {"citationID":"TYeYLa9q","properties":{"formattedCitation":"(SKM 2001)","plainCitation":"(SKM 2001)","noteIndex":0},"citationItems":[{"id":2319,"uris":["http://zotero.org/users/2336876/items/Z5JBI97I"],"uri":["http://zotero.org/users/2336876/items/Z5JBI97I"],"itemData":{"id":2319,"type":"book","event-place":"Melbourne, Australia","publisher":"Department of Natural Resources and Environment","publisher-place":"Melbourne, Australia","title":"Lake Wellington Catchment Salinity Management Plan Wetlands Monitoring Project. Part A: Analysis and interpretation of wetland monitoring data","author":[{"family":"SKM","given":""}],"issued":{"date-parts":[["2001"]]}}}],"schema":"https://github.com/citation-style-language/schema/raw/master/csl-citation.json"} </w:instrText>
      </w:r>
      <w:r w:rsidRPr="00237510">
        <w:fldChar w:fldCharType="separate"/>
      </w:r>
      <w:r w:rsidRPr="00237510">
        <w:t>(SKM 2001)</w:t>
      </w:r>
      <w:r w:rsidRPr="00237510">
        <w:fldChar w:fldCharType="end"/>
      </w:r>
      <w:r w:rsidRPr="00237510">
        <w:t>. The 2014 surveys suggest that these submerged wetland vegetation communities are no longer present in any significant way (Frood et al. 2015).</w:t>
      </w:r>
      <w:r w:rsidR="007E45B3" w:rsidRPr="00237510">
        <w:t xml:space="preserve"> Evaluations in 2015 indicated good vegetation condition, however, this is in stark contrast to other investigations</w:t>
      </w:r>
      <w:r w:rsidR="00484592" w:rsidRPr="00237510">
        <w:t xml:space="preserve">, which indicate that the swamp paperbark component of this wetland is in poor condition, stressed by high salinity and prolonged flooding </w:t>
      </w:r>
      <w:r w:rsidR="00484592" w:rsidRPr="00237510">
        <w:fldChar w:fldCharType="begin"/>
      </w:r>
      <w:r w:rsidR="0073646B" w:rsidRPr="00237510">
        <w:instrText xml:space="preserve"> ADDIN ZOTERO_ITEM CSL_CITATION {"citationID":"DdERNfT8","properties":{"formattedCitation":"(Robinson et al. 2006, Salter et al. 2007, 2010, Hamilton-Brown et al. 2009, Raulings et al. 2010, 2011)","plainCitation":"(Robinson et al. 2006, Salter et al. 2007, 2010, Hamilton-Brown et al. 2009, Raulings et al. 2010, 2011)","noteIndex":0},"citationItems":[{"id":3901,"uris":["http://zotero.org/users/2336876/items/TBGWH7HZ"],"uri":["http://zotero.org/users/2336876/items/TBGWH7HZ"],"itemData":{"id":3901,"type":"article-journal","container-title":"Marine and Freshwater Research","issue":"7","page":"703–711","source":"Google Scholar","title":"Germination characteristics of Melaleuca ericifolia Sm.(swamp paperbark) and their implications for the rehabilitation of coastal wetlands","volume":"57","author":[{"family":"Robinson","given":"Randall W."},{"family":"Boon","given":"Paul I."},{"family":"Bailey","given":"Paul"}],"issued":{"date-parts":[["2006"]]}}},{"id":2028,"uris":["http://zotero.org/users/2336876/items/2QJK8UDW"],"uri":["http://zotero.org/users/2336876/items/2QJK8UDW"],"itemData":{"id":2028,"type":"article-journal","container-title":"Aquatic Botany","issue":"3","page":"213–222","source":"Google Scholar","title":"Interactive effects of salinity and water depth on the growth of&lt; i&gt; Melaleuca ericifolia&lt;/i&gt; Sm.(Swamp paperbark) seedlings","volume":"86","author":[{"family":"Salter","given":"Jacqueline"},{"family":"Morris","given":"Kay"},{"family":"Bailey","given":"Paul CE"},{"family":"Boon","given":"Paul I."}],"issued":{"date-parts":[["2007"]]}}},{"id":422,"uris":["http://zotero.org/users/2336876/items/8THAAQGX"],"uri":["http://zotero.org/users/2336876/items/8THAAQGX"],"itemData":{"id":422,"type":"article-journal","abstract":"Although water regime modification and salinity are recognised as significant threats to wetland ecosystems worldwide, the effects of long-term saline flooding (decades) on woody tree persistence are poorly quantified. We compared the condition, growth, structure and reproduction (sexual and asexual) of mature individuals of the clonal tree, Melaleuca ericifolia (Myrtaceae), that experienced continual (&gt;30 years) flooding with trees that were only intermittently (approximately every 5 years) flooded. An index developed to assess the condition of multi-stemmed trees found that continually flooded trees were in significantly poorer condition than intermittently flooded trees, having lower crown cover, foliar cover and foliar density, and a higher incidence of dead stags and dieback. Annual stem growth correlated strongly with condition scores. Evidence for a trade-off between sexual and asexual reproductions was found; flooded trees were constrained in their vegetative lateral spread (&lt;12 m dia.) and flowered more than intermittently flooded trees, which were not restricted in lateral spread (~30 m dia.). Flooded trees used intensively by the colonially roosting Australian Sacred Ibis (Threskiornis molucca) were in especially poor condition. These trees flowered infrequently and produced the lowest number of infructescences, but produced many new vegetative stems (ramets) within their centre. Although chronic flooding appeared to compromise the condition of M. ericifolia trees in Dowd Morass, their existence upon woody hummocks (~40 cm high) upon which they are able to produce new stems is likely to be a key mechanism in their persistence. It is unknown, however, how long this process can maintain the existing population. Production and maintenance of a large aerial seed bank by living mature trees under flooded conditions may allow M. ericifolia to regenerate sexually upon drawdown and may be important for population persistence in the longer term.","container-title":"Plant Ecology","DOI":"10.1007/s11258-009-9623-2","ISSN":"1385-0237, 1573-5052","issue":"1","journalAbbreviation":"Plant Ecol","language":"en","page":"41-57","source":"link.springer.com","title":"Impact of long-term, saline flooding on condition and reproduction of the clonal wetland tree, Melaleuca ericifolia (Myrtaceae)","volume":"206","author":[{"family":"Salter","given":"Jacqueline"},{"family":"Morris","given":"Kay"},{"family":"Read","given":"Jenny"},{"family":"Boon","given":"Paul I."}],"issued":{"date-parts":[["2010",1,1]]}}},{"id":3900,"uris":["http://zotero.org/users/2336876/items/EZBYGG9T"],"uri":["http://zotero.org/users/2336876/items/EZBYGG9T"],"itemData":{"id":3900,"type":"article-journal","container-title":"Hydrobiologia","issue":"1","page":"121–133","source":"Google Scholar","title":"Aerial seed storage in Melaleuca ericifolia Sm.(Swamp Paperbark): environmental triggers for seed release","title-short":"Aerial seed storage in Melaleuca ericifolia Sm.(Swamp Paperbark)","volume":"620","author":[{"family":"Hamilton-Brown","given":"Sheila"},{"family":"Boon","given":"Paul I."},{"family":"Raulings","given":"Elisa"},{"family":"Morris","given":"Kay"},{"family":"Robinson","given":"Randall"}],"issued":{"date-parts":[["2009"]]}}},{"id":418,"uris":["http://zotero.org/users/2336876/items/MGFTRIFH"],"uri":["http://zotero.org/users/2336876/items/MGFTRIFH"],"itemData":{"id":418,"type":"article-journal","abstract":"1. In most cases, the most important determinant of wetland vegetation is the water regime. Although water regime is usually described and managed at the scale of whole wetlands, the patterning of vegetation is likely to be determined by water regimes that are experienced at much finer spatial scales. In this study, we assess the significance of internal heterogeneity in water regimes and the role that this heterogeneity plays in vegetation patterning.2. The effects of water regime on wetland plant species richness and vegetation structure were studied at Dowd Morass, a 1500 ha, Ramsar-listed wetland in south-eastern Australia that is topographically heterogeneous. Data on plant variables and water depth were collected along 45 (50 m) transects throughout the wetland and related to water regimes assigned individually for each transect. Wetland plants were assigned to plant functional groups (PFG) that describe the response of plants to the presence or absence of water at different life stages.3. The classification of water depth data indicated four distinct water regimes in the wetland that were differentiated primarily by the duration of the dry period. Representatives of all PFGs co-existed over small spatial scales where topographical variation was present, and the richness and cover of understorey species declined as transects became more deeply and permanently flooded. Some PFGs (e.g. amphibious fluctuation tolerator-low growing and amphibious fluctuation responder-morphologically plastic) were eliminated by extended periods of flooding, which increased the cover but not richness of submerged plants. Species richness and foliage projective cover declined as water regimes shifted from shallow and frequently exposed conditions to regimes typified by deeper and longer inundation. Cover of the structurally dominant woody species was compromised by deeply flooded conditions but vegetative regeneration occurred despite high water levels.4. Internal topographical variation generates mosaics of water regimes at fine spatial scales that allow plant species with different water regime requirements to co-exist over small distances. Deep water and an absence of dry periods result in decreased cover of plants and an overall loss of species richness in the understorey. Water regimes are described that promote regeneration and cover of structurally dominant taxa and increased species richness in the understorey. The study demonstrates a strong association between vegetation and the diverse water regimes that exist within a single wetland, a pattern that will be useful for modelling the effects of modified water regimes on wetland vegetation.","container-title":"Freshwater Biology","DOI":"10.1111/j.1365-2427.2009.02311.x","ISSN":"1365-2427","issue":"3","language":"en","page":"701–715","source":"Wiley Online Library","title":"The importance of water regimes operating at small spatial scales for the diversity and structure of wetland vegetation","volume":"55","author":[{"family":"Raulings","given":"Elisa J."},{"family":"Morris","given":"Kay"},{"family":"Roache","given":"Michael C."},{"family":"Boon","given":"Paul I."}],"issued":{"date-parts":[["2010"]]}}},{"id":420,"uris":["http://zotero.org/users/2336876/items/CH8CWMHZ"],"uri":["http://zotero.org/users/2336876/items/CH8CWMHZ"],"itemData":{"id":420,"type":"article-journal","abstract":"1. Reinstating more natural water regimes is often a priority intervention to rehabilitate wetlands that have been degraded through anthropogenic changes to their natural wetting and drying cycles. Hydrological interventions are often made in chronically desiccated wetlands but less commonly in wetlands that have been permanently inundated and that require a drawdown phase for rehabilitation. Reports on the effectiveness of reinstating a drawdown phase in chronically inundated wetlands are particularly rare.2. We undertook a landscape-scale, experimental drawdown of water levels at Dowd Morass, a large, Ramsar-listed, brackish-water wetland in south-eastern Australia that had been artificially flooded for 30+ years. During the hydrological manipulation, c. 500 ha of the wetland was drawn down and re-flooded, and the remaining c. 1000 ha was used as a control site. Fringing areas with a fluctuating water regime were used as a reference site. Results were analysed in terms of gradient analysis, by classifying the different water regimes created by the hydrological interventions. The response of wetland vegetation was measured along replicated transects over a 4-year period, before, during and after drawdown. Wetland plants were assigned to plant functional groups for analysis. Assembly theory and knowledge of life-history traits were used to predict that drawdown would promote recruitment of plant species that required exposed sediment for germination and seedling establishment.3. Within-wetland microtopography interacted with the hydrological interventions to generate three distinct water regimes, which were differentiated by the spatial extent of exposed sediment and duration of the dry period. Drawdown promoted limited recruitment of some plant species, and the survival of cohorts then depended strongly on the extent and duration of the dry period. Species richness and vegetation cover (understorey and overstorey) continued to decline in constantly flooded areas of the wetland. Increased salinisation of sediments and surface waters reduced the effectiveness of the drawdown and dramatically affected species richness and cover of aquatic vegetation, which did not recover fully when fresher conditions returned.4. The capacity of vegetation to respond to the reinstatement of a drawdown cycle following chronic inundation was constrained by abiotic (e.g. salinity) and biotic (e.g. depauperate seedbanks) factors. Reinstating a dry phase in chronically inundated, brackish-water wetlands is complex and risky and may not effectively improve vegetation condition in the short term. In the case of Dowd Morass, rehabilitation was most successful in sites that had been shallowly flooded prior to drawdown and that remained dry for longest.","container-title":"Freshwater Biology","DOI":"10.1111/j.1365-2427.2011.02650.x","ISSN":"1365-2427","issue":"11","language":"en","page":"2347–2369","source":"Wiley Online Library","title":"Is hydrological manipulation an effective management tool for rehabilitating chronically flooded, brackish-water wetlands?","volume":"56","author":[{"family":"Raulings","given":"Elisa J."},{"family":"Morris","given":"Kay"},{"family":"Roache","given":"Michael C."},{"family":"Boon","given":"Paul I."}],"issued":{"date-parts":[["2011"]]}}}],"schema":"https://github.com/citation-style-language/schema/raw/master/csl-citation.json"} </w:instrText>
      </w:r>
      <w:r w:rsidR="00484592" w:rsidRPr="00237510">
        <w:fldChar w:fldCharType="separate"/>
      </w:r>
      <w:r w:rsidR="00484592" w:rsidRPr="00237510">
        <w:t>(Robinson et al. 2006, Salter et al. 2007, 2010, Hamilton-Brown et al. 2009, Raulings et al. 2010, 2011)</w:t>
      </w:r>
      <w:r w:rsidR="00484592" w:rsidRPr="00237510">
        <w:fldChar w:fldCharType="end"/>
      </w:r>
      <w:r w:rsidR="00484592" w:rsidRPr="00237510">
        <w:t>.</w:t>
      </w:r>
    </w:p>
    <w:p w14:paraId="74185DA7" w14:textId="14D9846F" w:rsidR="00775947" w:rsidRPr="00237510" w:rsidRDefault="00775947" w:rsidP="00775947">
      <w:pPr>
        <w:pStyle w:val="paragraph"/>
        <w:textAlignment w:val="baseline"/>
        <w:rPr>
          <w:rFonts w:ascii="Segoe UI" w:hAnsi="Segoe UI" w:cs="Segoe UI"/>
        </w:rPr>
      </w:pPr>
      <w:r>
        <w:rPr>
          <w:noProof/>
        </w:rPr>
        <w:drawing>
          <wp:inline distT="0" distB="0" distL="0" distR="0" wp14:anchorId="55F6B205" wp14:editId="1E9BF7A6">
            <wp:extent cx="5097290" cy="3821955"/>
            <wp:effectExtent l="0" t="0" r="0" b="1270"/>
            <wp:docPr id="452" name="Picture 452" descr="Water-level view of Dowd Morass. There are inundated scrubby trees in the mid-ground with marshes further 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pic:nvPicPr>
                  <pic:blipFill>
                    <a:blip r:embed="rId47" cstate="email">
                      <a:extLst>
                        <a:ext uri="{28A0092B-C50C-407E-A947-70E740481C1C}">
                          <a14:useLocalDpi xmlns:a14="http://schemas.microsoft.com/office/drawing/2010/main"/>
                        </a:ext>
                      </a:extLst>
                    </a:blip>
                    <a:stretch>
                      <a:fillRect/>
                    </a:stretch>
                  </pic:blipFill>
                  <pic:spPr>
                    <a:xfrm>
                      <a:off x="0" y="0"/>
                      <a:ext cx="5097290" cy="3821955"/>
                    </a:xfrm>
                    <a:prstGeom prst="rect">
                      <a:avLst/>
                    </a:prstGeom>
                  </pic:spPr>
                </pic:pic>
              </a:graphicData>
            </a:graphic>
          </wp:inline>
        </w:drawing>
      </w:r>
    </w:p>
    <w:p w14:paraId="79BCCF10" w14:textId="60438EA9" w:rsidR="007E45B3" w:rsidRPr="00237510" w:rsidRDefault="007E45B3" w:rsidP="007E45B3">
      <w:pPr>
        <w:pStyle w:val="Caption"/>
        <w:rPr>
          <w:lang w:eastAsia="en-US"/>
        </w:rPr>
      </w:pPr>
      <w:r w:rsidRPr="00237510">
        <w:t xml:space="preserve">Figure </w:t>
      </w:r>
      <w:r>
        <w:fldChar w:fldCharType="begin"/>
      </w:r>
      <w:r>
        <w:instrText>SEQ Figure \* ARABIC</w:instrText>
      </w:r>
      <w:r>
        <w:fldChar w:fldCharType="separate"/>
      </w:r>
      <w:r w:rsidR="00DE4513">
        <w:rPr>
          <w:noProof/>
        </w:rPr>
        <w:t>20</w:t>
      </w:r>
      <w:r>
        <w:fldChar w:fldCharType="end"/>
      </w:r>
      <w:r w:rsidRPr="00237510">
        <w:t>: Dowd Morass (photo West Gippsland CMA).</w:t>
      </w:r>
    </w:p>
    <w:p w14:paraId="7535607E" w14:textId="3D123694" w:rsidR="007E45B3" w:rsidRPr="00237510" w:rsidRDefault="007E45B3" w:rsidP="001013BB">
      <w:pPr>
        <w:pStyle w:val="Heading3"/>
        <w:ind w:left="709"/>
      </w:pPr>
      <w:bookmarkStart w:id="44" w:name="_Toc42001384"/>
      <w:r w:rsidRPr="00237510">
        <w:t>Littoral vegetation at Lake Wellington</w:t>
      </w:r>
      <w:bookmarkEnd w:id="44"/>
    </w:p>
    <w:p w14:paraId="5EB57282" w14:textId="54EB2ACF" w:rsidR="007E45B3" w:rsidRPr="00237510" w:rsidRDefault="007E45B3" w:rsidP="007E45B3">
      <w:r w:rsidRPr="00237510">
        <w:t xml:space="preserve">Local knowledge </w:t>
      </w:r>
      <w:r w:rsidRPr="00237510">
        <w:fldChar w:fldCharType="begin"/>
      </w:r>
      <w:r w:rsidR="0073646B" w:rsidRPr="00237510">
        <w:instrText xml:space="preserve"> ADDIN ZOTERO_ITEM CSL_CITATION {"citationID":"k0IOUl5r","properties":{"formattedCitation":"(e.g. Ellis and Lee 2002)","plainCitation":"(e.g. Ellis and Lee 2002)","noteIndex":0},"citationItems":[{"id":4453,"uris":["http://zotero.org/users/2336876/items/Z27BERMF"],"uri":["http://zotero.org/users/2336876/items/Z27BERMF"],"itemData":{"id":4453,"type":"article-journal","container-title":"Lakes Entrance Family History Resource Centre: Lakes Entrance","source":"Google Scholar","title":"Casting the net: early fishing families of the Gippsland coast","title-short":"Casting the net","author":[{"family":"Ellis","given":"Jill"},{"family":"Lee","given":"Timothy"}],"issued":{"date-parts":[["2002"]]}},"prefix":"e.g. "}],"schema":"https://github.com/citation-style-language/schema/raw/master/csl-citation.json"} </w:instrText>
      </w:r>
      <w:r w:rsidRPr="00237510">
        <w:fldChar w:fldCharType="separate"/>
      </w:r>
      <w:r w:rsidRPr="00237510">
        <w:t>(e.g. Ellis and Lee 2002)</w:t>
      </w:r>
      <w:r w:rsidRPr="00237510">
        <w:fldChar w:fldCharType="end"/>
      </w:r>
      <w:r w:rsidRPr="00237510">
        <w:t xml:space="preserve"> and scientific studies </w:t>
      </w:r>
      <w:r w:rsidRPr="00237510">
        <w:fldChar w:fldCharType="begin"/>
      </w:r>
      <w:r w:rsidR="0073646B" w:rsidRPr="00237510">
        <w:instrText xml:space="preserve"> ADDIN ZOTERO_ITEM CSL_CITATION {"citationID":"mUMg60W7","properties":{"formattedCitation":"(Boon et al. 2015, 2018)","plainCitation":"(Boon et al. 2015, 2018)","noteIndex":0},"citationItems":[{"id":2659,"uris":["http://zotero.org/users/2336876/items/TVJESEEQ"],"uri":["http://zotero.org/users/2336876/items/TVJESEEQ"],"itemData":{"id":2659,"type":"book","event-place":"Melbourne, Australia","publisher":"Institute for Sustainability &amp; Innovation Victoria University","publisher-place":"Melbourne, Australia","title":"Shoreline Geomorphology and Fringing Vegetation of the Gippsland Lakes","author":[{"family":"Boon","given":"P. J."},{"family":"Rosengren","given":"N. J"},{"family":"Frood","given":"D."},{"family":"Oates","given":"A."},{"family":"Reside","given":"J."}],"issued":{"date-parts":[["2015"]]}}},{"id":4402,"uris":["http://zotero.org/users/2336876/items/HQD95GTR"],"uri":["http://zotero.org/users/2336876/items/HQD95GTR"],"itemData":{"id":4402,"type":"article-journal","abstract":"Common reed Phragmites australis is the dominant vascular plant species of the shorelines of the Gippsland Lakes, south-eastern Australia. Although substantial declines have been reported for over 50 years, with increasing salinity posited as the cause, P. australis still occurs around the Gippsland Lakes, including in environments with near-oceanic salinities. The occurrence of P. australis in highly saline environments cannot be explained in terms of either seasonal variations in surface water salinity or a freshwater subsidy provided by intrusions of non-saline groundwater into the root zone. An experimental growth trial with plants of different provenance showed that P. australis grew vigorously even at 8–16PSU (with maximum aboveground biomass at 2–4PSU). There was some evidence that specimens from saltier sites were more salt tolerant than those from fresher sites. The selection of salt-tolerant strains is the most likely explanation for the occurrence of P. australis in saline sites. However, anthropogenic salinisation is unlikely to be the only factor involved in the historical loss of reed beds, and lower and more stable water levels following the permanent opening of the Gippsland Lakes to the ocean in 1889 are probably also contributing factors.","container-title":"Marine and Freshwater Research","DOI":"10.1071/MF18145","ISSN":"1448-6059","journalAbbreviation":"Mar. Freshwater Res.","language":"en","source":"www.publish.csiro.au","title":"Why has Phragmites australis persisted in the increasingly saline Gippsland Lakes? A test of three competing hypotheses","title-short":"Why has Phragmites australis persisted in the increasingly saline Gippsland Lakes?","URL":"http://www.publish.csiro.au/mf/MF18145","author":[{"family":"Boon","given":"Paul I."},{"family":"Frood","given":"Doug"},{"family":"Oates","given":"Alison"},{"family":"Reside","given":"Jim"},{"family":"Rosengren","given":"Neville"}],"accessed":{"date-parts":[["2019",1,9]]},"issued":{"date-parts":[["2018",11,9]]}}}],"schema":"https://github.com/citation-style-language/schema/raw/master/csl-citation.json"} </w:instrText>
      </w:r>
      <w:r w:rsidRPr="00237510">
        <w:fldChar w:fldCharType="separate"/>
      </w:r>
      <w:r w:rsidRPr="00237510">
        <w:t>(Boon et al. 2015, 2018)</w:t>
      </w:r>
      <w:r w:rsidRPr="00237510">
        <w:fldChar w:fldCharType="end"/>
      </w:r>
      <w:r w:rsidRPr="00237510">
        <w:t xml:space="preserve"> show that Lake Wellington was once characterised </w:t>
      </w:r>
      <w:r w:rsidR="00237510">
        <w:t>by</w:t>
      </w:r>
      <w:r w:rsidRPr="00237510">
        <w:t xml:space="preserve"> extensive beds of submerged macrophytes (</w:t>
      </w:r>
      <w:r w:rsidRPr="00237510">
        <w:rPr>
          <w:bCs/>
          <w:i/>
        </w:rPr>
        <w:t>Vallisneria</w:t>
      </w:r>
      <w:r w:rsidRPr="00237510">
        <w:t> sp.)</w:t>
      </w:r>
      <w:r w:rsidR="00237510">
        <w:t>,</w:t>
      </w:r>
      <w:r w:rsidRPr="00237510">
        <w:t xml:space="preserve"> fringing vegetation dominated by common reed (</w:t>
      </w:r>
      <w:r w:rsidRPr="00237510">
        <w:rPr>
          <w:i/>
        </w:rPr>
        <w:t>Phragmites australis</w:t>
      </w:r>
      <w:r w:rsidRPr="00237510">
        <w:t>) and swamp paperbark (</w:t>
      </w:r>
      <w:r w:rsidRPr="00237510">
        <w:rPr>
          <w:i/>
        </w:rPr>
        <w:t>Melaleuca ericifolia</w:t>
      </w:r>
      <w:r w:rsidRPr="00237510">
        <w:t xml:space="preserve">). Now Lake Wellington is turbid, phytoplankton dominated system with no submerged vascular plants and reduced areas of fringing vegetation. </w:t>
      </w:r>
      <w:r w:rsidR="009C65AE" w:rsidRPr="00237510">
        <w:t xml:space="preserve">This shift is thought to have occurred in the late 1960s, in response to a sequence of fire, drought and flood in the catchment. </w:t>
      </w:r>
      <w:r w:rsidRPr="00237510">
        <w:t xml:space="preserve"> </w:t>
      </w:r>
    </w:p>
    <w:p w14:paraId="71F6BFF6" w14:textId="295FAC30" w:rsidR="007E45B3" w:rsidRPr="00237510" w:rsidRDefault="007E45B3" w:rsidP="007E45B3">
      <w:r w:rsidRPr="00237510">
        <w:t xml:space="preserve">Shorelines of Lake Wellington support common reed beds, swamp scrub communities and saltmarsh. Statewide mapping of saltmarsh estimated a total of 2399 ha of saltmarsh around Lake Wellington, 90% of which was wet saltmarsh herbland </w:t>
      </w:r>
      <w:r w:rsidRPr="00237510">
        <w:fldChar w:fldCharType="begin"/>
      </w:r>
      <w:r w:rsidR="0073646B" w:rsidRPr="00237510">
        <w:instrText xml:space="preserve"> ADDIN ZOTERO_ITEM CSL_CITATION {"citationID":"Jl76StXD","properties":{"formattedCitation":"(Boon et al. 2011)","plainCitation":"(Boon et al. 2011)","noteIndex":0},"citationItems":[{"id":965,"uris":["http://zotero.org/users/2336876/items/B8NMVTED"],"uri":["http://zotero.org/users/2336876/items/B8NMVTED"],"itemData":{"id":965,"type":"book","event-place":"Melbourne","ISBN":"978-1-86272-697-0","language":"en","number-of-pages":"514","publisher":"Victoria University","publisher-place":"Melbourne","source":"Google Books","title":"Mangroves and Coastal Saltmarsh of Victoria: Distribution, Condition, Threats and Management","title-short":"Mangroves and Coastal Saltmarsh of Victoria","author":[{"family":"Boon","given":"Paul I."},{"family":"Allen","given":"T."},{"family":"Brook","given":"J."},{"family":"Carr","given":"G."},{"family":"Frood","given":"D."},{"family":"Hoye","given":"J."},{"family":"Harty","given":"C."},{"family":"McMahon","given":"A."},{"family":"Mathews","given":"S."},{"family":"Rosengren","given":"N. J"},{"family":"Sinclair","given":"S."},{"family":"White","given":"M."},{"family":"Yogovic","given":"J."}],"issued":{"date-parts":[["2011"]]}}}],"schema":"https://github.com/citation-style-language/schema/raw/master/csl-citation.json"} </w:instrText>
      </w:r>
      <w:r w:rsidRPr="00237510">
        <w:fldChar w:fldCharType="separate"/>
      </w:r>
      <w:r w:rsidRPr="00237510">
        <w:t>(Boon et al. 2011)</w:t>
      </w:r>
      <w:r w:rsidRPr="00237510">
        <w:fldChar w:fldCharType="end"/>
      </w:r>
      <w:r w:rsidRPr="00237510">
        <w:t>. There was also 413 hectares of estuarine wetland (EVC 10), a type of coastal brackish-water wetland dominated by sea rush (</w:t>
      </w:r>
      <w:r w:rsidRPr="00237510">
        <w:rPr>
          <w:i/>
        </w:rPr>
        <w:t>Juncus kraussii</w:t>
      </w:r>
      <w:r w:rsidRPr="00237510">
        <w:rPr>
          <w:iCs/>
        </w:rPr>
        <w:t>)</w:t>
      </w:r>
      <w:r w:rsidRPr="00237510">
        <w:t xml:space="preserve">.  </w:t>
      </w:r>
    </w:p>
    <w:p w14:paraId="4140D466" w14:textId="222F3F4C" w:rsidR="00484592" w:rsidRPr="00237510" w:rsidRDefault="007E45B3" w:rsidP="007E45B3">
      <w:pPr>
        <w:rPr>
          <w:lang w:eastAsia="en-US"/>
        </w:rPr>
      </w:pPr>
      <w:r w:rsidRPr="00237510">
        <w:t>As mentioned above, there is strong evidence of reduced fringing vegetation (related largely to increased salinity over the past 100+ years) and a transition from fresher vegetation communities to saltmarsh. With respect to saltmarsh there is no evidence of a significant decline in extent in the last three decades, it was assumed (with a low degree of confidence) that the extent of saltmarsh has been maintained and represents “good” condition in recent environmental assessments of the Gippsland Lakes (EGCMA 2019).</w:t>
      </w:r>
    </w:p>
    <w:p w14:paraId="09C3B80B" w14:textId="77777777" w:rsidR="001013BB" w:rsidRPr="00237510" w:rsidRDefault="001013BB" w:rsidP="001013BB">
      <w:pPr>
        <w:pStyle w:val="Heading2"/>
      </w:pPr>
      <w:bookmarkStart w:id="45" w:name="_Toc42001385"/>
      <w:r w:rsidRPr="00237510">
        <w:t>Fauna</w:t>
      </w:r>
      <w:bookmarkEnd w:id="45"/>
    </w:p>
    <w:p w14:paraId="2E7E19DF" w14:textId="77777777" w:rsidR="00245C08" w:rsidRPr="00237510" w:rsidRDefault="001013BB" w:rsidP="001013BB">
      <w:r w:rsidRPr="00237510">
        <w:t>The aquatic ecosystems of the study area support a diversity of riverine, estuarine and wetland fauna species</w:t>
      </w:r>
      <w:r w:rsidR="00245C08" w:rsidRPr="00237510">
        <w:t>, reflecting the diversity of ecosystem and habitat types.</w:t>
      </w:r>
    </w:p>
    <w:p w14:paraId="362B69E7" w14:textId="77777777" w:rsidR="00245C08" w:rsidRPr="00237510" w:rsidRDefault="00245C08" w:rsidP="00245C08">
      <w:pPr>
        <w:pStyle w:val="Heading3"/>
        <w:ind w:left="709"/>
      </w:pPr>
      <w:bookmarkStart w:id="46" w:name="_Toc42001386"/>
      <w:r w:rsidRPr="00237510">
        <w:t>Fish</w:t>
      </w:r>
      <w:bookmarkEnd w:id="46"/>
    </w:p>
    <w:p w14:paraId="30FC8DA1" w14:textId="0A2A497B" w:rsidR="00245C08" w:rsidRPr="00237510" w:rsidRDefault="009178F4" w:rsidP="00245C08">
      <w:r w:rsidRPr="00237510">
        <w:t>The fish of the Latrobe system have been classified according to their habitat requirements and movements into several groups</w:t>
      </w:r>
      <w:r w:rsidR="0073646B" w:rsidRPr="00237510">
        <w:t xml:space="preserve"> (</w:t>
      </w:r>
      <w:r w:rsidR="0073646B" w:rsidRPr="00237510">
        <w:fldChar w:fldCharType="begin"/>
      </w:r>
      <w:r w:rsidR="0073646B" w:rsidRPr="00237510">
        <w:instrText xml:space="preserve"> REF _Ref41061216 \h </w:instrText>
      </w:r>
      <w:r w:rsidR="0073646B" w:rsidRPr="00237510">
        <w:fldChar w:fldCharType="separate"/>
      </w:r>
      <w:r w:rsidR="008C72C8" w:rsidRPr="00237510">
        <w:t>Figure 21</w:t>
      </w:r>
      <w:r w:rsidR="0073646B" w:rsidRPr="00237510">
        <w:fldChar w:fldCharType="end"/>
      </w:r>
      <w:r w:rsidR="0073646B" w:rsidRPr="00237510">
        <w:t>)</w:t>
      </w:r>
      <w:r w:rsidRPr="00237510">
        <w:t>:</w:t>
      </w:r>
    </w:p>
    <w:p w14:paraId="10109093" w14:textId="2203FCE8" w:rsidR="009178F4" w:rsidRPr="00237510" w:rsidRDefault="009178F4" w:rsidP="007F4023">
      <w:pPr>
        <w:pStyle w:val="ListParagraph"/>
        <w:numPr>
          <w:ilvl w:val="0"/>
          <w:numId w:val="14"/>
        </w:numPr>
      </w:pPr>
      <w:r w:rsidRPr="00237510">
        <w:rPr>
          <w:b/>
          <w:bCs/>
        </w:rPr>
        <w:t>Resident freshwater</w:t>
      </w:r>
      <w:r w:rsidRPr="00237510">
        <w:t xml:space="preserve"> – complete their entire lifecycle in freshwater rivers and wetlands. These species do not migrate but can undertake local movements (e.g. in and out of wetlands or along rivers) to find food, mates or new habitats.</w:t>
      </w:r>
    </w:p>
    <w:p w14:paraId="488FF515" w14:textId="01B9B0A6" w:rsidR="009178F4" w:rsidRPr="00237510" w:rsidRDefault="009178F4" w:rsidP="007F4023">
      <w:pPr>
        <w:pStyle w:val="ListParagraph"/>
        <w:numPr>
          <w:ilvl w:val="0"/>
          <w:numId w:val="14"/>
        </w:numPr>
      </w:pPr>
      <w:r w:rsidRPr="00237510">
        <w:rPr>
          <w:b/>
          <w:bCs/>
        </w:rPr>
        <w:t>Estuarine dependent (freshwater)</w:t>
      </w:r>
      <w:r w:rsidRPr="00237510">
        <w:t xml:space="preserve"> – generally live in freshwater but migrate to the estuary or the sea to complete part of their lifecycle. Maintaining connectivity between these habitats is important for these species.</w:t>
      </w:r>
    </w:p>
    <w:p w14:paraId="4BBA789E" w14:textId="40532794" w:rsidR="009178F4" w:rsidRPr="00237510" w:rsidRDefault="009178F4" w:rsidP="007F4023">
      <w:pPr>
        <w:pStyle w:val="ListParagraph"/>
        <w:numPr>
          <w:ilvl w:val="0"/>
          <w:numId w:val="14"/>
        </w:numPr>
      </w:pPr>
      <w:r w:rsidRPr="00237510">
        <w:rPr>
          <w:b/>
          <w:bCs/>
        </w:rPr>
        <w:t xml:space="preserve">Estuarine resident </w:t>
      </w:r>
      <w:r w:rsidRPr="00237510">
        <w:t>– live mostly in the estuary and complete their whole lifecycle in estuarine conditions. They may move between freshwater, estuarine and marine habitats, but do not need to do so to complete their lifecycle.</w:t>
      </w:r>
    </w:p>
    <w:p w14:paraId="5122280A" w14:textId="0AAAEB81" w:rsidR="009178F4" w:rsidRPr="00237510" w:rsidRDefault="009178F4" w:rsidP="007F4023">
      <w:pPr>
        <w:pStyle w:val="ListParagraph"/>
        <w:numPr>
          <w:ilvl w:val="0"/>
          <w:numId w:val="14"/>
        </w:numPr>
      </w:pPr>
      <w:r w:rsidRPr="00237510">
        <w:rPr>
          <w:b/>
          <w:bCs/>
        </w:rPr>
        <w:t xml:space="preserve">Marine stragglers </w:t>
      </w:r>
      <w:r w:rsidRPr="00237510">
        <w:t>– live mostly in marine systems, but opportunistically move into estuarine areas to feed under certain conditions.</w:t>
      </w:r>
    </w:p>
    <w:p w14:paraId="5A1974FA" w14:textId="6DDBA0F5" w:rsidR="009178F4" w:rsidRPr="00237510" w:rsidRDefault="009C65AE" w:rsidP="009178F4">
      <w:r>
        <w:rPr>
          <w:noProof/>
        </w:rPr>
        <w:drawing>
          <wp:inline distT="0" distB="0" distL="0" distR="0" wp14:anchorId="1DBACD9E" wp14:editId="49074142">
            <wp:extent cx="5581013" cy="4933952"/>
            <wp:effectExtent l="0" t="0" r="0" b="6350"/>
            <wp:docPr id="24" name="Picture 24" descr="Series of basic pictures showing the different types of fish behaviour in the groupings describe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48" cstate="email">
                      <a:extLst>
                        <a:ext uri="{28A0092B-C50C-407E-A947-70E740481C1C}">
                          <a14:useLocalDpi xmlns:a14="http://schemas.microsoft.com/office/drawing/2010/main"/>
                        </a:ext>
                      </a:extLst>
                    </a:blip>
                    <a:stretch>
                      <a:fillRect/>
                    </a:stretch>
                  </pic:blipFill>
                  <pic:spPr>
                    <a:xfrm>
                      <a:off x="0" y="0"/>
                      <a:ext cx="5581013" cy="4933952"/>
                    </a:xfrm>
                    <a:prstGeom prst="rect">
                      <a:avLst/>
                    </a:prstGeom>
                  </pic:spPr>
                </pic:pic>
              </a:graphicData>
            </a:graphic>
          </wp:inline>
        </w:drawing>
      </w:r>
    </w:p>
    <w:p w14:paraId="12D5ED8F" w14:textId="4C53D37A" w:rsidR="009178F4" w:rsidRPr="00237510" w:rsidRDefault="009178F4" w:rsidP="009178F4">
      <w:pPr>
        <w:pStyle w:val="Caption"/>
      </w:pPr>
      <w:bookmarkStart w:id="47" w:name="_Ref41061216"/>
      <w:r w:rsidRPr="00237510">
        <w:t xml:space="preserve">Figure </w:t>
      </w:r>
      <w:r>
        <w:fldChar w:fldCharType="begin"/>
      </w:r>
      <w:r>
        <w:instrText>SEQ Figure \* ARABIC</w:instrText>
      </w:r>
      <w:r>
        <w:fldChar w:fldCharType="separate"/>
      </w:r>
      <w:r w:rsidR="00DE4513">
        <w:rPr>
          <w:noProof/>
        </w:rPr>
        <w:t>21</w:t>
      </w:r>
      <w:r>
        <w:fldChar w:fldCharType="end"/>
      </w:r>
      <w:bookmarkEnd w:id="47"/>
      <w:r w:rsidR="0073646B" w:rsidRPr="00237510">
        <w:t xml:space="preserve">: Fish function groups </w:t>
      </w:r>
      <w:r w:rsidR="0073646B" w:rsidRPr="00237510">
        <w:fldChar w:fldCharType="begin"/>
      </w:r>
      <w:r w:rsidR="0073646B" w:rsidRPr="00237510">
        <w:instrText xml:space="preserve"> ADDIN ZOTERO_ITEM CSL_CITATION {"citationID":"DpPTSEIb","properties":{"formattedCitation":"(adapted from Potter et al. 2015)","plainCitation":"(adapted from Potter et al. 2015)","noteIndex":0},"citationItems":[{"id":4770,"uris":["http://zotero.org/users/2336876/items/2YRMC9FE"],"uri":["http://zotero.org/users/2336876/items/2YRMC9FE"],"itemData":{"id":4770,"type":"article-journal","abstract":"This study refines, clarifies and, where necessary, expands details of the guild approach developed by Elliott et al. (2007, Fish and Fisheries 8: 241–268) for the ways in which fish use estuaries. The estuarine usage functional group is now considered to comprise four categories, that is, marine, estuarine, diadromous and freshwater, with each containing multiple guilds. Emphasis has been placed on ensuring that the terminology and definitions of the guilds follow a consistent pattern, on highlighting the characteristics that identify the different guilds belonging to the estuarine category and in clarifying issues related to amphidromy. As the widely employed term ‘estuarine dependent’ has frequently been imprecisely used, the proposal that the species found in estuaries can be regarded as either obligate or facultative users of these systems is supported and considered in the guild context. Thus, for example, species in the five guilds comprising the diadromous category and those in the guilds containing species or populations confined to estuaries are obligate users, whereas those in the marine and freshwater estuarine-opportunistic guilds are facultative users.","container-title":"Fish and Fisheries","DOI":"10.1111/faf.12050","ISSN":"1467-2979","issue":"2","language":"en","page":"230-239","source":"Wiley Online Library","title":"The ways in which fish use estuaries: a refinement and expansion of the guild approach","title-short":"The ways in which fish use estuaries","volume":"16","author":[{"family":"Potter","given":"Ian C."},{"family":"Tweedley","given":"James R."},{"family":"Elliott","given":"Michael"},{"family":"Whitfield","given":"Alan K."}],"issued":{"date-parts":[["2015"]]}},"prefix":"adapted from"}],"schema":"https://github.com/citation-style-language/schema/raw/master/csl-citation.json"} </w:instrText>
      </w:r>
      <w:r w:rsidR="0073646B" w:rsidRPr="00237510">
        <w:fldChar w:fldCharType="separate"/>
      </w:r>
      <w:r w:rsidR="0073646B" w:rsidRPr="00237510">
        <w:t>(adapted from Potter et al. 2015)</w:t>
      </w:r>
      <w:r w:rsidR="0073646B" w:rsidRPr="00237510">
        <w:fldChar w:fldCharType="end"/>
      </w:r>
      <w:r w:rsidR="0073646B" w:rsidRPr="00237510">
        <w:t>.</w:t>
      </w:r>
    </w:p>
    <w:p w14:paraId="64D50CD4" w14:textId="4B6DDCF3" w:rsidR="005215D3" w:rsidRPr="00237510" w:rsidRDefault="005215D3" w:rsidP="009178F4">
      <w:r w:rsidRPr="00237510">
        <w:t>The highest diversity of native fish occurs within the Latrobe Estuary, which supports all of the four functional groups of fish found in the study area (</w:t>
      </w:r>
      <w:r w:rsidR="00E96085" w:rsidRPr="00237510">
        <w:fldChar w:fldCharType="begin"/>
      </w:r>
      <w:r w:rsidR="00E96085" w:rsidRPr="00237510">
        <w:instrText xml:space="preserve"> REF _Ref41131081 \h </w:instrText>
      </w:r>
      <w:r w:rsidR="00E96085" w:rsidRPr="00237510">
        <w:fldChar w:fldCharType="separate"/>
      </w:r>
      <w:r w:rsidR="008C72C8" w:rsidRPr="00237510">
        <w:t>Figure 22</w:t>
      </w:r>
      <w:r w:rsidR="00E96085" w:rsidRPr="00237510">
        <w:fldChar w:fldCharType="end"/>
      </w:r>
      <w:r w:rsidRPr="00237510">
        <w:t>). In comparison, there are relatively small numbers of native fish species within the wetland systems</w:t>
      </w:r>
      <w:r w:rsidR="00237510">
        <w:t xml:space="preserve">, although this </w:t>
      </w:r>
      <w:proofErr w:type="gramStart"/>
      <w:r w:rsidR="00237510">
        <w:t>has to</w:t>
      </w:r>
      <w:proofErr w:type="gramEnd"/>
      <w:r w:rsidR="00237510">
        <w:t xml:space="preserve"> be considered in the context of low sample effort</w:t>
      </w:r>
      <w:r w:rsidRPr="00237510">
        <w:t xml:space="preserve">. Most likely these represent opportunistic movements of fish into wetted wetland habitats for feeding during times of high productivity. </w:t>
      </w:r>
    </w:p>
    <w:p w14:paraId="0B5D3A15" w14:textId="4E0AF2FB" w:rsidR="005215D3" w:rsidRPr="00237510" w:rsidRDefault="005215D3" w:rsidP="005215D3"/>
    <w:p w14:paraId="151857BC" w14:textId="0CD18A5D" w:rsidR="005215D3" w:rsidRPr="00237510" w:rsidRDefault="005215D3" w:rsidP="005215D3">
      <w:r w:rsidRPr="00237510">
        <w:rPr>
          <w:noProof/>
        </w:rPr>
        <w:drawing>
          <wp:inline distT="0" distB="0" distL="0" distR="0" wp14:anchorId="5DB5DCA3" wp14:editId="53A4888C">
            <wp:extent cx="5581015" cy="2460625"/>
            <wp:effectExtent l="0" t="0" r="0" b="3175"/>
            <wp:docPr id="458" name="Picture 458" descr="Stacked column graph showing the number of fish species in each classigied group found in each study area. The study areas are the Latrobe River, Latrobe Estuary, Tributaries, Wetlands, and Lake Well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email">
                      <a:extLst>
                        <a:ext uri="{28A0092B-C50C-407E-A947-70E740481C1C}">
                          <a14:useLocalDpi xmlns:a14="http://schemas.microsoft.com/office/drawing/2010/main"/>
                        </a:ext>
                      </a:extLst>
                    </a:blip>
                    <a:stretch>
                      <a:fillRect/>
                    </a:stretch>
                  </pic:blipFill>
                  <pic:spPr>
                    <a:xfrm>
                      <a:off x="0" y="0"/>
                      <a:ext cx="5581015" cy="2460625"/>
                    </a:xfrm>
                    <a:prstGeom prst="rect">
                      <a:avLst/>
                    </a:prstGeom>
                  </pic:spPr>
                </pic:pic>
              </a:graphicData>
            </a:graphic>
          </wp:inline>
        </w:drawing>
      </w:r>
    </w:p>
    <w:p w14:paraId="6F56BA75" w14:textId="130CB1DB" w:rsidR="0073646B" w:rsidRPr="00237510" w:rsidRDefault="00E96085" w:rsidP="00E96085">
      <w:pPr>
        <w:pStyle w:val="Caption"/>
      </w:pPr>
      <w:bookmarkStart w:id="48" w:name="_Ref41131081"/>
      <w:r w:rsidRPr="00237510">
        <w:t xml:space="preserve">Figure </w:t>
      </w:r>
      <w:r>
        <w:fldChar w:fldCharType="begin"/>
      </w:r>
      <w:r>
        <w:instrText>SEQ Figure \* ARABIC</w:instrText>
      </w:r>
      <w:r>
        <w:fldChar w:fldCharType="separate"/>
      </w:r>
      <w:r w:rsidR="00DE4513">
        <w:rPr>
          <w:noProof/>
        </w:rPr>
        <w:t>22</w:t>
      </w:r>
      <w:r>
        <w:fldChar w:fldCharType="end"/>
      </w:r>
      <w:bookmarkEnd w:id="48"/>
      <w:r w:rsidRPr="00237510">
        <w:t>: Species richness of native fish by functional group and location (data from Alluvium 2020).</w:t>
      </w:r>
    </w:p>
    <w:p w14:paraId="0557C3E7" w14:textId="77777777" w:rsidR="00E96085" w:rsidRPr="00237510" w:rsidRDefault="00E96085" w:rsidP="00E96085"/>
    <w:p w14:paraId="7FB2EFFC" w14:textId="787CE5A3" w:rsidR="00E96085" w:rsidRPr="00237510" w:rsidRDefault="00E96085" w:rsidP="00E96085">
      <w:r w:rsidRPr="00237510">
        <w:t xml:space="preserve">The aquatic ecosystems of the region </w:t>
      </w:r>
      <w:r w:rsidR="002D50E8" w:rsidRPr="00237510">
        <w:t xml:space="preserve">have </w:t>
      </w:r>
      <w:r w:rsidRPr="00237510">
        <w:t>support</w:t>
      </w:r>
      <w:r w:rsidR="002D50E8" w:rsidRPr="00237510">
        <w:t>ed</w:t>
      </w:r>
      <w:r w:rsidRPr="00237510">
        <w:t xml:space="preserve"> three nationally listed threatened species:</w:t>
      </w:r>
    </w:p>
    <w:p w14:paraId="0EAD89B7" w14:textId="685C989E" w:rsidR="00E96085" w:rsidRPr="00237510" w:rsidRDefault="00E96085" w:rsidP="007F4023">
      <w:pPr>
        <w:pStyle w:val="ListParagraph"/>
        <w:numPr>
          <w:ilvl w:val="0"/>
          <w:numId w:val="15"/>
        </w:numPr>
      </w:pPr>
      <w:r w:rsidRPr="00237510">
        <w:rPr>
          <w:b/>
          <w:bCs/>
        </w:rPr>
        <w:t>Australian grayling</w:t>
      </w:r>
      <w:r w:rsidRPr="00237510">
        <w:t xml:space="preserve"> (</w:t>
      </w:r>
      <w:r w:rsidRPr="00237510">
        <w:rPr>
          <w:i/>
          <w:iCs/>
        </w:rPr>
        <w:t>Prototroctes maraena</w:t>
      </w:r>
      <w:r w:rsidRPr="00237510">
        <w:t xml:space="preserve">) – listed as vulnerable, this diadromous species migrates to and from marine environments as part of its lifecycle </w:t>
      </w:r>
      <w:r w:rsidRPr="00237510">
        <w:fldChar w:fldCharType="begin"/>
      </w:r>
      <w:r w:rsidRPr="00237510">
        <w:instrText xml:space="preserve"> ADDIN ZOTERO_ITEM CSL_CITATION {"citationID":"gJ13oB7S","properties":{"formattedCitation":"(Crook et al. 2006, Schmidt et al. 2011)","plainCitation":"(Crook et al. 2006, Schmidt et al. 2011)","noteIndex":0},"citationItems":[{"id":2083,"uris":["http://zotero.org/users/2336876/items/B77665P2"],"uri":["http://zotero.org/users/2336876/items/B77665P2"],"itemData":{"id":2083,"type":"article-journal","container-title":"Journal of Fish Biology","issue":"5","page":"1330–1344","source":"Google Scholar","title":"Use of otolith chemistry to examine patterns of diadromy in the threatened Australian grayling Prototroctes maraena","volume":"69","author":[{"family":"Crook","given":"D. A."},{"family":"Macdonald","given":"J. I."},{"family":"O’Connor","given":"J. P."},{"family":"Barry","given":"B."}],"issued":{"date-parts":[["2006"]]}}},{"id":2374,"uris":["http://zotero.org/users/2336876/items/85HX5WKG"],"uri":["http://zotero.org/users/2336876/items/85HX5WKG"],"itemData":{"id":2374,"type":"article-journal","abstract":"Population genetic variation of Australian grayling Prototroctes maraena was examined to determine whether the dispersal strategy of this amphidromous species favours retention of larvae and juveniles in close proximity to their natal river, or mixing of populations via marine dispersal. Variation in microsatellite and mitochondrial DNA markers was unstructured and differentiation was indistinguishable from zero across four coastal rivers spanning approximately one-quarter of the continental range of the species. This result indicates that the marine larval and juvenile phase probably facilitates extensive gene flow among coastal rivers and agrees with a previous analysis of otolith chemistry that suggested larvae probably move into the sea rather than remain in estuaries. It appears likely that the dispersal strategy of P. maraena would enable recolonization of rivers that experience localized extinction provided that connectivity between freshwater habitats and the sea is sufficient to permit migration and that enough source populations remain intact to support viability of the wider population.","container-title":"Journal of Fish Biology","DOI":"10.1111/j.1095-8649.2010.02844.x","ISSN":"1095-8649","issue":"1","language":"en","page":"98-111","source":"Wiley Online Library","title":"Genetic analysis of threatened Australian grayling Prototroctes maraena suggests recruitment to coastal rivers from an unstructured marine larval source population","volume":"78","author":[{"family":"Schmidt","given":"D. J."},{"family":"Crook","given":"D. A."},{"family":"O’Connor","given":"J. P."},{"family":"Hughes","given":"J. M."}],"issued":{"date-parts":[["2011",1,1]]}}}],"schema":"https://github.com/citation-style-language/schema/raw/master/csl-citation.json"} </w:instrText>
      </w:r>
      <w:r w:rsidRPr="00237510">
        <w:fldChar w:fldCharType="separate"/>
      </w:r>
      <w:r w:rsidRPr="00237510">
        <w:t>(Crook et al. 2006, Schmidt et al. 2011)</w:t>
      </w:r>
      <w:r w:rsidRPr="00237510">
        <w:fldChar w:fldCharType="end"/>
      </w:r>
      <w:r w:rsidRPr="00237510">
        <w:t xml:space="preserve">. It is likely that larvae of the Australian grayling drift downstream through the Latrobe Estuary into the Southern Ocean, with return upstream migration in spring of juveniles </w:t>
      </w:r>
      <w:r w:rsidRPr="00237510">
        <w:fldChar w:fldCharType="begin"/>
      </w:r>
      <w:r w:rsidRPr="00237510">
        <w:instrText xml:space="preserve"> ADDIN ZOTERO_ITEM CSL_CITATION {"citationID":"1irlmsbahg","properties":{"formattedCitation":"(Jenkins 2011)","plainCitation":"(Jenkins 2011)","noteIndex":0},"citationItems":[{"id":2994,"uris":["http://zotero.org/users/2336876/items/76W5U5UP"],"uri":["http://zotero.org/users/2336876/items/76W5U5UP"],"itemData":{"id":2994,"type":"chapter","container-title":"Understanding the Western Port Environment: A summary of current knowledge and priorities for future research","event-place":"Melbourne","page":"142-155","publisher":"Melbourne Water","publisher-place":"Melbourne","title":"Fish","author":[{"family":"Jenkins","given":"G."}],"editor":[{"family":"Melbourne Water","given":""}],"issued":{"date-parts":[["2011"]]}}}],"schema":"https://github.com/citation-style-language/schema/raw/master/csl-citation.json"} </w:instrText>
      </w:r>
      <w:r w:rsidRPr="00237510">
        <w:fldChar w:fldCharType="separate"/>
      </w:r>
      <w:r w:rsidRPr="00237510">
        <w:t>(Jenkins 2011)</w:t>
      </w:r>
      <w:r w:rsidRPr="00237510">
        <w:fldChar w:fldCharType="end"/>
      </w:r>
      <w:r w:rsidRPr="00237510">
        <w:t xml:space="preserve">. They spend most of their life in freshwater, with adults typically found in clear, flowing water, with a high dependence of oxygenated streams. </w:t>
      </w:r>
    </w:p>
    <w:p w14:paraId="3288EC00" w14:textId="582D993D" w:rsidR="00E96085" w:rsidRPr="00237510" w:rsidRDefault="00E96085" w:rsidP="007F4023">
      <w:pPr>
        <w:pStyle w:val="ListParagraph"/>
        <w:numPr>
          <w:ilvl w:val="0"/>
          <w:numId w:val="15"/>
        </w:numPr>
      </w:pPr>
      <w:r w:rsidRPr="00237510">
        <w:rPr>
          <w:b/>
          <w:bCs/>
        </w:rPr>
        <w:t>Dwarf galaxias</w:t>
      </w:r>
      <w:r w:rsidRPr="00237510">
        <w:t xml:space="preserve"> (</w:t>
      </w:r>
      <w:r w:rsidRPr="00237510">
        <w:rPr>
          <w:i/>
          <w:iCs/>
        </w:rPr>
        <w:t>Galaxiella pusilla</w:t>
      </w:r>
      <w:r w:rsidRPr="00237510">
        <w:t>) – list</w:t>
      </w:r>
      <w:r w:rsidR="002D50E8" w:rsidRPr="00237510">
        <w:t>ed</w:t>
      </w:r>
      <w:r w:rsidRPr="00237510">
        <w:t xml:space="preserve"> as vulnerable, this short-lived species prefers areas of dense submerged macrophytes and completes its life cycle within a single year. Maintaining adequate conditions (water quality, aquatic vegetation), is therefore important for maintaining populations of this species </w:t>
      </w:r>
      <w:r w:rsidRPr="00237510">
        <w:fldChar w:fldCharType="begin"/>
      </w:r>
      <w:r w:rsidRPr="00237510">
        <w:instrText xml:space="preserve"> ADDIN ZOTERO_ITEM CSL_CITATION {"citationID":"slz4fFRd","properties":{"formattedCitation":"(Saddlier et al. 2010)","plainCitation":"(Saddlier et al. 2010)","noteIndex":0},"citationItems":[{"id":5296,"uris":["http://zotero.org/users/2336876/items/AW9DDRP9"],"uri":["http://zotero.org/users/2336876/items/AW9DDRP9"],"itemData":{"id":5296,"type":"book","publisher":"Department of Sustainability and Environment Melbourne, Victoria, Australia","source":"Google Scholar","title":"National Recovery Plan for the Dwarf Galaxias: Galaxiella Pusilla","title-short":"National Recovery Plan for the Dwarf Galaxias","author":[{"family":"Saddlier","given":"Stephen"},{"family":"Jackson","given":"Jean"},{"family":"Hammer","given":"Michael"}],"issued":{"date-parts":[["2010"]]}}}],"schema":"https://github.com/citation-style-language/schema/raw/master/csl-citation.json"} </w:instrText>
      </w:r>
      <w:r w:rsidRPr="00237510">
        <w:fldChar w:fldCharType="separate"/>
      </w:r>
      <w:r w:rsidRPr="00237510">
        <w:t>(Saddlier et al. 2010)</w:t>
      </w:r>
      <w:r w:rsidRPr="00237510">
        <w:fldChar w:fldCharType="end"/>
      </w:r>
      <w:r w:rsidRPr="00237510">
        <w:t>.</w:t>
      </w:r>
    </w:p>
    <w:p w14:paraId="49D29085" w14:textId="50AC542F" w:rsidR="00E96085" w:rsidRPr="00237510" w:rsidRDefault="00E96085" w:rsidP="007F4023">
      <w:pPr>
        <w:pStyle w:val="ListParagraph"/>
        <w:numPr>
          <w:ilvl w:val="0"/>
          <w:numId w:val="15"/>
        </w:numPr>
      </w:pPr>
      <w:r w:rsidRPr="00237510">
        <w:rPr>
          <w:b/>
          <w:bCs/>
        </w:rPr>
        <w:t>Macquarie perch</w:t>
      </w:r>
      <w:r w:rsidRPr="00237510">
        <w:t xml:space="preserve"> (</w:t>
      </w:r>
      <w:r w:rsidRPr="00237510">
        <w:rPr>
          <w:i/>
          <w:iCs/>
        </w:rPr>
        <w:t>Macquaria australasica</w:t>
      </w:r>
      <w:r w:rsidRPr="00237510">
        <w:t xml:space="preserve">) – listed as endangered, is a medium sized, long-lived fish that is heavily reliant on large flow events in late spring or early summer for recruitment </w:t>
      </w:r>
      <w:r w:rsidRPr="00237510">
        <w:fldChar w:fldCharType="begin"/>
      </w:r>
      <w:r w:rsidRPr="00237510">
        <w:instrText xml:space="preserve"> ADDIN ZOTERO_ITEM CSL_CITATION {"citationID":"nvK70Ujv","properties":{"formattedCitation":"(Tonkin et al. 2017)","plainCitation":"(Tonkin et al. 2017)","noteIndex":0},"citationItems":[{"id":4353,"uris":["http://zotero.org/users/2336876/items/HBSI6YSH"],"uri":["http://zotero.org/users/2336876/items/HBSI6YSH"],"itemData":{"id":4353,"type":"article-journal","container-title":"Ecohydrology","issue":"6","page":"e1842","source":"Google Scholar","title":"Regional-scale extremes in river discharge and localised spawning stock abundance influence recruitment dynamics of a threatened freshwater fish","volume":"10","author":[{"family":"Tonkin","given":"Zeb"},{"family":"Kearns","given":"Joanne"},{"family":"Lyon","given":"Jarod"},{"family":"Balcombe","given":"Stephen R."},{"family":"King","given":"Alison J."},{"family":"Bond","given":"Nick R."}],"issued":{"date-parts":[["2017"]]}}}],"schema":"https://github.com/citation-style-language/schema/raw/master/csl-citation.json"} </w:instrText>
      </w:r>
      <w:r w:rsidRPr="00237510">
        <w:fldChar w:fldCharType="separate"/>
      </w:r>
      <w:r w:rsidRPr="00237510">
        <w:t>(Tonkin et al. 2017)</w:t>
      </w:r>
      <w:r w:rsidRPr="00237510">
        <w:fldChar w:fldCharType="end"/>
      </w:r>
      <w:r w:rsidRPr="00237510">
        <w:t xml:space="preserve">. </w:t>
      </w:r>
      <w:r w:rsidR="00237510">
        <w:t xml:space="preserve">The Latrobe population was translocated from its natural range within the Murray-Darling Basin. </w:t>
      </w:r>
      <w:r w:rsidRPr="00237510">
        <w:t>It has not been recorded in the system since the 1990s (Victorian Biodiversity Atlas) and flow modification may mean that this species is no longer sustained in the river system.</w:t>
      </w:r>
    </w:p>
    <w:p w14:paraId="0FD1D3B1" w14:textId="3291D592" w:rsidR="00E96085" w:rsidRPr="00237510" w:rsidRDefault="00E96085" w:rsidP="00245C08">
      <w:r w:rsidRPr="00237510">
        <w:t>There are several exotic fish species present in the aquatic ecosystems of the study area. This includes goldfish (</w:t>
      </w:r>
      <w:r w:rsidRPr="00237510">
        <w:rPr>
          <w:i/>
          <w:iCs/>
        </w:rPr>
        <w:t>Carassius auratus</w:t>
      </w:r>
      <w:r w:rsidRPr="00237510">
        <w:t>), common carp (</w:t>
      </w:r>
      <w:r w:rsidRPr="00237510">
        <w:rPr>
          <w:i/>
          <w:iCs/>
        </w:rPr>
        <w:t>Cyprinus carpio</w:t>
      </w:r>
      <w:r w:rsidRPr="00237510">
        <w:t>), eastern gambusia (</w:t>
      </w:r>
      <w:r w:rsidRPr="00237510">
        <w:rPr>
          <w:i/>
          <w:iCs/>
        </w:rPr>
        <w:t>Gambusia holbrooki</w:t>
      </w:r>
      <w:r w:rsidRPr="00237510">
        <w:t>), oriental weather loach (</w:t>
      </w:r>
      <w:r w:rsidRPr="00237510">
        <w:rPr>
          <w:i/>
          <w:iCs/>
        </w:rPr>
        <w:t>Misgurnus anguillicaudatus</w:t>
      </w:r>
      <w:r w:rsidRPr="00237510">
        <w:t>), redfin (</w:t>
      </w:r>
      <w:r w:rsidRPr="00237510">
        <w:rPr>
          <w:i/>
          <w:iCs/>
        </w:rPr>
        <w:t>Perca fluviatilis</w:t>
      </w:r>
      <w:r w:rsidRPr="00237510">
        <w:t>), rainbow trout (</w:t>
      </w:r>
      <w:r w:rsidRPr="00237510">
        <w:rPr>
          <w:i/>
          <w:iCs/>
        </w:rPr>
        <w:t>Oncorhynchus mykiss</w:t>
      </w:r>
      <w:r w:rsidRPr="00237510">
        <w:t>) and brown trout (</w:t>
      </w:r>
      <w:r w:rsidRPr="00237510">
        <w:rPr>
          <w:i/>
          <w:iCs/>
        </w:rPr>
        <w:t>Salmo trutta</w:t>
      </w:r>
      <w:r w:rsidRPr="00237510">
        <w:t xml:space="preserve">). These species are found mostly in the freshwater reaches of the rivers and impact on native fish through predation, competition and habitat alteration. </w:t>
      </w:r>
    </w:p>
    <w:p w14:paraId="79B51973" w14:textId="2CFF1A69" w:rsidR="00E96085" w:rsidRPr="00237510" w:rsidRDefault="00E96085" w:rsidP="00E96085">
      <w:r w:rsidRPr="00237510">
        <w:t xml:space="preserve">Common </w:t>
      </w:r>
      <w:proofErr w:type="gramStart"/>
      <w:r w:rsidRPr="00237510">
        <w:t>carp in particular</w:t>
      </w:r>
      <w:r w:rsidR="002D50E8" w:rsidRPr="00237510">
        <w:t>,</w:t>
      </w:r>
      <w:r w:rsidRPr="00237510">
        <w:t xml:space="preserve"> are</w:t>
      </w:r>
      <w:proofErr w:type="gramEnd"/>
      <w:r w:rsidRPr="00237510">
        <w:t xml:space="preserve"> known throughout the system and can occur in large numbers in Lake Wellington. Lake Wellington has supported commercial carp fishing with reports from spring 2017 of very large carp spawning event (http://www.carp.gov.au/-/media/Fish-NCCP/News/2017--October--Media-Release--Gippsland-Lakes-Overrun-with-CarpFINAL31102017.ashx). The species spawned in the river, but large numbers of eggs and juvenile occurred in Lake Wellington.</w:t>
      </w:r>
    </w:p>
    <w:p w14:paraId="671C7093" w14:textId="77777777" w:rsidR="00E96085" w:rsidRPr="00237510" w:rsidRDefault="00E96085" w:rsidP="00E96085"/>
    <w:p w14:paraId="6D3C1EAD" w14:textId="06DCBD19" w:rsidR="0073646B" w:rsidRPr="00237510" w:rsidRDefault="0073646B" w:rsidP="0073646B">
      <w:pPr>
        <w:pStyle w:val="Heading3"/>
        <w:ind w:left="709"/>
      </w:pPr>
      <w:bookmarkStart w:id="49" w:name="_Toc42001387"/>
      <w:r w:rsidRPr="00237510">
        <w:t>Waterbirds</w:t>
      </w:r>
      <w:bookmarkEnd w:id="49"/>
    </w:p>
    <w:p w14:paraId="089FE351" w14:textId="1F15ED47" w:rsidR="00E96085" w:rsidRPr="00237510" w:rsidRDefault="00B73A6C" w:rsidP="0073646B">
      <w:r w:rsidRPr="00237510">
        <w:t xml:space="preserve">Over </w:t>
      </w:r>
      <w:r w:rsidR="00E96085" w:rsidRPr="00237510">
        <w:t>85</w:t>
      </w:r>
      <w:r w:rsidRPr="00237510">
        <w:t xml:space="preserve"> species of waterbird have been observed in the study area (Atlas of Living Australia</w:t>
      </w:r>
      <w:r w:rsidR="0086372B" w:rsidRPr="00237510">
        <w:t>; Appendix A</w:t>
      </w:r>
      <w:r w:rsidRPr="00237510">
        <w:t>) although this list includes several vagrants and old records</w:t>
      </w:r>
      <w:r w:rsidR="0079751C" w:rsidRPr="00237510">
        <w:t xml:space="preserve">, such as the single Australian painted snipe </w:t>
      </w:r>
      <w:r w:rsidR="00E96085" w:rsidRPr="00237510">
        <w:t>(</w:t>
      </w:r>
      <w:r w:rsidR="00E96085" w:rsidRPr="00237510">
        <w:rPr>
          <w:i/>
          <w:iCs/>
        </w:rPr>
        <w:t>Rostratula australis</w:t>
      </w:r>
      <w:r w:rsidR="00E96085" w:rsidRPr="00237510">
        <w:t xml:space="preserve">) </w:t>
      </w:r>
      <w:r w:rsidR="0079751C" w:rsidRPr="00237510">
        <w:t>at Sale Common in 1970.</w:t>
      </w:r>
      <w:r w:rsidR="00E96085" w:rsidRPr="00237510">
        <w:t xml:space="preserve"> Waterbirds, or more correctly birds that rely on inundated habitat, can be divided into ecohydrological groups in accordance with habitat preferences:</w:t>
      </w:r>
    </w:p>
    <w:p w14:paraId="15ACC5B1" w14:textId="6E2DF5A7" w:rsidR="0079751C" w:rsidRPr="00237510" w:rsidRDefault="0086372B" w:rsidP="007F4023">
      <w:pPr>
        <w:pStyle w:val="ListParagraph"/>
        <w:numPr>
          <w:ilvl w:val="0"/>
          <w:numId w:val="16"/>
        </w:numPr>
      </w:pPr>
      <w:r w:rsidRPr="00237510">
        <w:rPr>
          <w:b/>
          <w:bCs/>
        </w:rPr>
        <w:t>Emergent vegetation dependent</w:t>
      </w:r>
      <w:r w:rsidRPr="00237510">
        <w:t xml:space="preserve"> – species that prefer to forage in dense emergent vegetation such as bitterns, or reed inhabiting birds such as the Australian reed warbler (</w:t>
      </w:r>
      <w:r w:rsidR="007E6EC3" w:rsidRPr="00237510">
        <w:rPr>
          <w:i/>
          <w:iCs/>
        </w:rPr>
        <w:t>Acrocephalus australis</w:t>
      </w:r>
      <w:r w:rsidRPr="00237510">
        <w:t>).</w:t>
      </w:r>
    </w:p>
    <w:p w14:paraId="00CD4841" w14:textId="638620EA" w:rsidR="0086372B" w:rsidRPr="00237510" w:rsidRDefault="0086372B" w:rsidP="007F4023">
      <w:pPr>
        <w:pStyle w:val="ListParagraph"/>
        <w:numPr>
          <w:ilvl w:val="0"/>
          <w:numId w:val="16"/>
        </w:numPr>
      </w:pPr>
      <w:r w:rsidRPr="00237510">
        <w:rPr>
          <w:b/>
          <w:bCs/>
        </w:rPr>
        <w:t>Herbivore</w:t>
      </w:r>
      <w:r w:rsidRPr="00237510">
        <w:t xml:space="preserve"> – species that rely on wetland vegetation as a food source such as grazing waterfowl who eat algae, wetland vegetation, or terrestrial vegetation adjacent to waterbodies.</w:t>
      </w:r>
    </w:p>
    <w:p w14:paraId="19E0F183" w14:textId="52A14266" w:rsidR="0086372B" w:rsidRPr="00237510" w:rsidRDefault="0086372B" w:rsidP="007F4023">
      <w:pPr>
        <w:pStyle w:val="ListParagraph"/>
        <w:numPr>
          <w:ilvl w:val="0"/>
          <w:numId w:val="16"/>
        </w:numPr>
      </w:pPr>
      <w:r w:rsidRPr="00237510">
        <w:rPr>
          <w:b/>
          <w:bCs/>
        </w:rPr>
        <w:t>Large wader</w:t>
      </w:r>
      <w:r w:rsidRPr="00237510">
        <w:t xml:space="preserve"> – walking foragers that prefer less dense macrophytes or open shallow water </w:t>
      </w:r>
      <w:r w:rsidR="00B9047A" w:rsidRPr="00237510">
        <w:t>as feeding habitat</w:t>
      </w:r>
      <w:r w:rsidRPr="00237510">
        <w:t>. This group includes fish eating species as herons and egrets as well as species with a diet of mainly insects such as glossy ibis (</w:t>
      </w:r>
      <w:r w:rsidR="007E6EC3" w:rsidRPr="00237510">
        <w:rPr>
          <w:i/>
          <w:iCs/>
        </w:rPr>
        <w:t>Plegadis falcinellus</w:t>
      </w:r>
      <w:r w:rsidRPr="00237510">
        <w:t>).</w:t>
      </w:r>
    </w:p>
    <w:p w14:paraId="2090A293" w14:textId="3928563C" w:rsidR="0086372B" w:rsidRPr="00237510" w:rsidRDefault="0086372B" w:rsidP="007F4023">
      <w:pPr>
        <w:pStyle w:val="ListParagraph"/>
        <w:numPr>
          <w:ilvl w:val="0"/>
          <w:numId w:val="16"/>
        </w:numPr>
      </w:pPr>
      <w:r w:rsidRPr="00237510">
        <w:rPr>
          <w:b/>
          <w:bCs/>
        </w:rPr>
        <w:t>Open water forager</w:t>
      </w:r>
      <w:r w:rsidRPr="00237510">
        <w:t xml:space="preserve"> – </w:t>
      </w:r>
      <w:r w:rsidR="00887D72" w:rsidRPr="00237510">
        <w:t>species that forage in areas of low or very low vegetation density either by aerially diving for fish such as terns, gulls and cormorants, or by swimming</w:t>
      </w:r>
      <w:r w:rsidR="00F36E6B" w:rsidRPr="00237510">
        <w:t>,</w:t>
      </w:r>
      <w:r w:rsidR="00887D72" w:rsidRPr="00237510">
        <w:t xml:space="preserve"> such as the diving ducks. Many of these species prefer deeper water.</w:t>
      </w:r>
    </w:p>
    <w:p w14:paraId="45A51184" w14:textId="0BFB51ED" w:rsidR="0086372B" w:rsidRPr="00237510" w:rsidRDefault="0086372B" w:rsidP="007F4023">
      <w:pPr>
        <w:pStyle w:val="ListParagraph"/>
        <w:numPr>
          <w:ilvl w:val="0"/>
          <w:numId w:val="16"/>
        </w:numPr>
      </w:pPr>
      <w:r w:rsidRPr="00237510">
        <w:rPr>
          <w:b/>
          <w:bCs/>
        </w:rPr>
        <w:t>Small wader</w:t>
      </w:r>
      <w:r w:rsidRPr="00237510">
        <w:t xml:space="preserve"> – </w:t>
      </w:r>
      <w:r w:rsidR="00887D72" w:rsidRPr="00237510">
        <w:t>Australian residents and international migratory shorebirds that feed in very shallow water or mudflats, typically with very low vegetation cover.</w:t>
      </w:r>
    </w:p>
    <w:p w14:paraId="67D7BA46" w14:textId="2B79189D" w:rsidR="0086372B" w:rsidRPr="00237510" w:rsidRDefault="0086372B" w:rsidP="007F4023">
      <w:pPr>
        <w:pStyle w:val="ListParagraph"/>
        <w:numPr>
          <w:ilvl w:val="0"/>
          <w:numId w:val="16"/>
        </w:numPr>
      </w:pPr>
      <w:r w:rsidRPr="00237510">
        <w:rPr>
          <w:b/>
          <w:bCs/>
        </w:rPr>
        <w:t>Wetland generalist</w:t>
      </w:r>
      <w:r w:rsidRPr="00237510">
        <w:t xml:space="preserve"> </w:t>
      </w:r>
      <w:r w:rsidR="00887D72" w:rsidRPr="00237510">
        <w:t>–</w:t>
      </w:r>
      <w:r w:rsidRPr="00237510">
        <w:t xml:space="preserve"> </w:t>
      </w:r>
      <w:r w:rsidR="00887D72" w:rsidRPr="00237510">
        <w:t xml:space="preserve">opportunistic foragers that can </w:t>
      </w:r>
      <w:r w:rsidR="00B9047A" w:rsidRPr="00237510">
        <w:t>feed</w:t>
      </w:r>
      <w:r w:rsidR="00887D72" w:rsidRPr="00237510">
        <w:t xml:space="preserve"> over a large range of aquatic habitats with no preference necessarily for water depth or cover of macrophytes. This group includes species that often occur in large numbers such as grey teal (</w:t>
      </w:r>
      <w:r w:rsidR="007E6EC3" w:rsidRPr="00237510">
        <w:rPr>
          <w:i/>
          <w:iCs/>
        </w:rPr>
        <w:t>Anas gracilis</w:t>
      </w:r>
      <w:r w:rsidR="00887D72" w:rsidRPr="00237510">
        <w:t>) as well as adaptable species like white-bellied sea eagles (</w:t>
      </w:r>
      <w:r w:rsidR="007E6EC3" w:rsidRPr="00237510">
        <w:rPr>
          <w:i/>
          <w:iCs/>
        </w:rPr>
        <w:t>Haliaeetus leucogaster</w:t>
      </w:r>
      <w:r w:rsidR="00887D72" w:rsidRPr="00237510">
        <w:t>).</w:t>
      </w:r>
    </w:p>
    <w:p w14:paraId="14364D3B" w14:textId="05AFD9AE" w:rsidR="007E6EC3" w:rsidRPr="00237510" w:rsidRDefault="007E6EC3" w:rsidP="007E6EC3">
      <w:r w:rsidRPr="00237510">
        <w:t xml:space="preserve">While all of the ecosystems in the study area play a role in supporting waterbirds, it is the wetland and lake ecosystems that are most important in terms of both diversity of species </w:t>
      </w:r>
      <w:r w:rsidR="00BF49E2" w:rsidRPr="00237510">
        <w:t>(</w:t>
      </w:r>
      <w:r w:rsidR="00BF49E2" w:rsidRPr="00237510">
        <w:fldChar w:fldCharType="begin"/>
      </w:r>
      <w:r w:rsidR="00BF49E2" w:rsidRPr="00237510">
        <w:instrText xml:space="preserve"> REF _Ref41132904 \h </w:instrText>
      </w:r>
      <w:r w:rsidR="00BF49E2" w:rsidRPr="00237510">
        <w:fldChar w:fldCharType="separate"/>
      </w:r>
      <w:r w:rsidR="008C72C8" w:rsidRPr="00237510">
        <w:t>Figure 23</w:t>
      </w:r>
      <w:r w:rsidR="00BF49E2" w:rsidRPr="00237510">
        <w:fldChar w:fldCharType="end"/>
      </w:r>
      <w:r w:rsidR="00BF49E2" w:rsidRPr="00237510">
        <w:t xml:space="preserve">) </w:t>
      </w:r>
      <w:r w:rsidRPr="00237510">
        <w:t>and abundance</w:t>
      </w:r>
      <w:r w:rsidR="00BF49E2" w:rsidRPr="00237510">
        <w:t>.</w:t>
      </w:r>
      <w:r w:rsidRPr="00237510">
        <w:t xml:space="preserve"> </w:t>
      </w:r>
      <w:r w:rsidR="00BF49E2" w:rsidRPr="00237510">
        <w:t xml:space="preserve">The Lower Latrobe Wetlands also support </w:t>
      </w:r>
      <w:proofErr w:type="gramStart"/>
      <w:r w:rsidR="00BF49E2" w:rsidRPr="00237510">
        <w:t>a number of</w:t>
      </w:r>
      <w:proofErr w:type="gramEnd"/>
      <w:r w:rsidR="00BF49E2" w:rsidRPr="00237510">
        <w:t xml:space="preserve"> listed threatened waterbird species including:</w:t>
      </w:r>
    </w:p>
    <w:p w14:paraId="569FA716" w14:textId="29D9787D" w:rsidR="00BF49E2" w:rsidRPr="00237510" w:rsidRDefault="00BF49E2" w:rsidP="007F4023">
      <w:pPr>
        <w:pStyle w:val="ListParagraph"/>
        <w:numPr>
          <w:ilvl w:val="0"/>
          <w:numId w:val="5"/>
        </w:numPr>
        <w:rPr>
          <w:lang w:eastAsia="en-US"/>
        </w:rPr>
      </w:pPr>
      <w:r w:rsidRPr="00237510">
        <w:rPr>
          <w:lang w:eastAsia="en-US"/>
        </w:rPr>
        <w:t>Australasian bittern (</w:t>
      </w:r>
      <w:r w:rsidRPr="00237510">
        <w:rPr>
          <w:i/>
          <w:lang w:eastAsia="en-US"/>
        </w:rPr>
        <w:t>Botaurus poiciloptilus</w:t>
      </w:r>
      <w:r w:rsidRPr="00237510">
        <w:rPr>
          <w:lang w:eastAsia="en-US"/>
        </w:rPr>
        <w:t>) – endangered nationally and in Victoria</w:t>
      </w:r>
    </w:p>
    <w:p w14:paraId="42C51839" w14:textId="215F4E72" w:rsidR="00BF49E2" w:rsidRPr="00237510" w:rsidRDefault="00BF49E2" w:rsidP="007F4023">
      <w:pPr>
        <w:pStyle w:val="ListParagraph"/>
        <w:numPr>
          <w:ilvl w:val="0"/>
          <w:numId w:val="5"/>
        </w:numPr>
        <w:rPr>
          <w:lang w:eastAsia="en-US"/>
        </w:rPr>
      </w:pPr>
      <w:r w:rsidRPr="00237510">
        <w:rPr>
          <w:lang w:eastAsia="en-US"/>
        </w:rPr>
        <w:t>Australasian shoveler (</w:t>
      </w:r>
      <w:r w:rsidRPr="00237510">
        <w:rPr>
          <w:i/>
          <w:lang w:eastAsia="en-US"/>
        </w:rPr>
        <w:t>Anas rhynchotis</w:t>
      </w:r>
      <w:r w:rsidRPr="00237510">
        <w:rPr>
          <w:lang w:eastAsia="en-US"/>
        </w:rPr>
        <w:t>) – listed as vulnerable in Victoria</w:t>
      </w:r>
    </w:p>
    <w:p w14:paraId="04F8E112" w14:textId="3F4ECB1B" w:rsidR="00BF49E2" w:rsidRPr="00237510" w:rsidRDefault="00BF49E2" w:rsidP="007F4023">
      <w:pPr>
        <w:pStyle w:val="ListParagraph"/>
        <w:numPr>
          <w:ilvl w:val="0"/>
          <w:numId w:val="5"/>
        </w:numPr>
        <w:rPr>
          <w:lang w:eastAsia="en-US"/>
        </w:rPr>
      </w:pPr>
      <w:r w:rsidRPr="00237510">
        <w:rPr>
          <w:lang w:eastAsia="en-US"/>
        </w:rPr>
        <w:t>Common greenshank (</w:t>
      </w:r>
      <w:r w:rsidRPr="00237510">
        <w:rPr>
          <w:i/>
          <w:lang w:eastAsia="en-US"/>
        </w:rPr>
        <w:t>Tringa nebularia</w:t>
      </w:r>
      <w:r w:rsidRPr="00237510">
        <w:rPr>
          <w:lang w:eastAsia="en-US"/>
        </w:rPr>
        <w:t xml:space="preserve">) – listed as vulnerable in Victoria </w:t>
      </w:r>
    </w:p>
    <w:p w14:paraId="631911E5" w14:textId="473FCEC5" w:rsidR="00BF49E2" w:rsidRPr="00237510" w:rsidRDefault="00BF49E2" w:rsidP="007F4023">
      <w:pPr>
        <w:pStyle w:val="ListParagraph"/>
        <w:numPr>
          <w:ilvl w:val="0"/>
          <w:numId w:val="5"/>
        </w:numPr>
        <w:rPr>
          <w:lang w:eastAsia="en-US"/>
        </w:rPr>
      </w:pPr>
      <w:r w:rsidRPr="00237510">
        <w:rPr>
          <w:lang w:eastAsia="en-US"/>
        </w:rPr>
        <w:t>Eastern great egret (</w:t>
      </w:r>
      <w:r w:rsidRPr="00237510">
        <w:rPr>
          <w:i/>
          <w:lang w:eastAsia="en-US"/>
        </w:rPr>
        <w:t>Ardea modesta</w:t>
      </w:r>
      <w:r w:rsidRPr="00237510">
        <w:rPr>
          <w:lang w:eastAsia="en-US"/>
        </w:rPr>
        <w:t>) – listed as vulnerable in Victoria</w:t>
      </w:r>
    </w:p>
    <w:p w14:paraId="53D06524" w14:textId="4D924F21" w:rsidR="00BF49E2" w:rsidRPr="00237510" w:rsidRDefault="00BF49E2" w:rsidP="007F4023">
      <w:pPr>
        <w:pStyle w:val="ListParagraph"/>
        <w:numPr>
          <w:ilvl w:val="0"/>
          <w:numId w:val="5"/>
        </w:numPr>
        <w:rPr>
          <w:lang w:eastAsia="en-US"/>
        </w:rPr>
      </w:pPr>
      <w:r w:rsidRPr="00237510">
        <w:rPr>
          <w:lang w:eastAsia="en-US"/>
        </w:rPr>
        <w:t>Hardhead (</w:t>
      </w:r>
      <w:r w:rsidRPr="00237510">
        <w:rPr>
          <w:i/>
          <w:lang w:eastAsia="en-US"/>
        </w:rPr>
        <w:t>Aythya australis</w:t>
      </w:r>
      <w:r w:rsidRPr="00237510">
        <w:rPr>
          <w:lang w:eastAsia="en-US"/>
        </w:rPr>
        <w:t>) – listed as vulnerable in Victoria</w:t>
      </w:r>
    </w:p>
    <w:p w14:paraId="7CC505F1" w14:textId="4E224B35" w:rsidR="00BF49E2" w:rsidRPr="00237510" w:rsidRDefault="00BF49E2" w:rsidP="007F4023">
      <w:pPr>
        <w:pStyle w:val="ListParagraph"/>
        <w:numPr>
          <w:ilvl w:val="0"/>
          <w:numId w:val="5"/>
        </w:numPr>
        <w:rPr>
          <w:lang w:eastAsia="en-US"/>
        </w:rPr>
      </w:pPr>
      <w:r w:rsidRPr="00237510">
        <w:rPr>
          <w:lang w:eastAsia="en-US"/>
        </w:rPr>
        <w:t>Intermediate egret (</w:t>
      </w:r>
      <w:r w:rsidRPr="00237510">
        <w:rPr>
          <w:i/>
          <w:lang w:eastAsia="en-US"/>
        </w:rPr>
        <w:t>Ardea intermedia</w:t>
      </w:r>
      <w:r w:rsidRPr="00237510">
        <w:rPr>
          <w:lang w:eastAsia="en-US"/>
        </w:rPr>
        <w:t>) – listed as endangered in Victoria</w:t>
      </w:r>
    </w:p>
    <w:p w14:paraId="2D81F606" w14:textId="7A64C708" w:rsidR="00BF49E2" w:rsidRPr="00237510" w:rsidRDefault="00BF49E2" w:rsidP="007F4023">
      <w:pPr>
        <w:pStyle w:val="ListParagraph"/>
        <w:numPr>
          <w:ilvl w:val="0"/>
          <w:numId w:val="5"/>
        </w:numPr>
        <w:rPr>
          <w:lang w:eastAsia="en-US"/>
        </w:rPr>
      </w:pPr>
      <w:r w:rsidRPr="00237510">
        <w:rPr>
          <w:lang w:eastAsia="en-US"/>
        </w:rPr>
        <w:t>Little egret (</w:t>
      </w:r>
      <w:r w:rsidRPr="00237510">
        <w:rPr>
          <w:i/>
          <w:lang w:eastAsia="en-US"/>
        </w:rPr>
        <w:t>Egretta garzetta</w:t>
      </w:r>
      <w:r w:rsidRPr="00237510">
        <w:rPr>
          <w:lang w:eastAsia="en-US"/>
        </w:rPr>
        <w:t>) – listed as endangered in Victoria</w:t>
      </w:r>
    </w:p>
    <w:p w14:paraId="6DC8073D" w14:textId="0086D000" w:rsidR="00BF49E2" w:rsidRPr="00237510" w:rsidRDefault="00BF49E2" w:rsidP="007F4023">
      <w:pPr>
        <w:pStyle w:val="ListParagraph"/>
        <w:numPr>
          <w:ilvl w:val="0"/>
          <w:numId w:val="5"/>
        </w:numPr>
        <w:rPr>
          <w:lang w:eastAsia="en-US"/>
        </w:rPr>
      </w:pPr>
      <w:r w:rsidRPr="00237510">
        <w:rPr>
          <w:lang w:eastAsia="en-US"/>
        </w:rPr>
        <w:t>Musk duck (</w:t>
      </w:r>
      <w:r w:rsidRPr="00237510">
        <w:rPr>
          <w:i/>
          <w:lang w:eastAsia="en-US"/>
        </w:rPr>
        <w:t>Biziura lobata</w:t>
      </w:r>
      <w:r w:rsidRPr="00237510">
        <w:rPr>
          <w:lang w:eastAsia="en-US"/>
        </w:rPr>
        <w:t>) – listed as vulnerable in Victoria</w:t>
      </w:r>
    </w:p>
    <w:p w14:paraId="19B883A9" w14:textId="77777777" w:rsidR="00BF49E2" w:rsidRPr="00237510" w:rsidRDefault="00BF49E2" w:rsidP="007E6EC3"/>
    <w:p w14:paraId="26969BFD" w14:textId="77777777" w:rsidR="00BF49E2" w:rsidRPr="00237510" w:rsidRDefault="0079751C" w:rsidP="0073646B">
      <w:r w:rsidRPr="00237510">
        <w:rPr>
          <w:noProof/>
        </w:rPr>
        <w:drawing>
          <wp:inline distT="0" distB="0" distL="0" distR="0" wp14:anchorId="79E93893" wp14:editId="3B7C514C">
            <wp:extent cx="5231423" cy="2727911"/>
            <wp:effectExtent l="0" t="0" r="1270" b="3175"/>
            <wp:docPr id="456" name="Picture 456" descr="Stacked column graph showing the number of waterbird species in each of the classified groupings described above. The study areas are Sale Common, Dowd Morass, Heart Morass, Lake Wellington, Latrobe Estuary, Latrobe River and Tributa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5241244" cy="2733032"/>
                    </a:xfrm>
                    <a:prstGeom prst="rect">
                      <a:avLst/>
                    </a:prstGeom>
                  </pic:spPr>
                </pic:pic>
              </a:graphicData>
            </a:graphic>
          </wp:inline>
        </w:drawing>
      </w:r>
      <w:r w:rsidRPr="00237510">
        <w:t xml:space="preserve"> </w:t>
      </w:r>
    </w:p>
    <w:p w14:paraId="7C79F7D0" w14:textId="60D9ECC1" w:rsidR="00BF49E2" w:rsidRPr="00237510" w:rsidRDefault="00BF49E2" w:rsidP="00BF49E2">
      <w:pPr>
        <w:pStyle w:val="Caption"/>
      </w:pPr>
      <w:bookmarkStart w:id="50" w:name="_Ref41132904"/>
      <w:r w:rsidRPr="00237510">
        <w:t xml:space="preserve">Figure </w:t>
      </w:r>
      <w:r>
        <w:fldChar w:fldCharType="begin"/>
      </w:r>
      <w:r>
        <w:instrText>SEQ Figure \* ARABIC</w:instrText>
      </w:r>
      <w:r>
        <w:fldChar w:fldCharType="separate"/>
      </w:r>
      <w:r w:rsidR="00DE4513">
        <w:rPr>
          <w:noProof/>
        </w:rPr>
        <w:t>23</w:t>
      </w:r>
      <w:r>
        <w:fldChar w:fldCharType="end"/>
      </w:r>
      <w:bookmarkEnd w:id="50"/>
      <w:r w:rsidRPr="00237510">
        <w:t xml:space="preserve">: Species richness of waterbird by functional group and location (data from </w:t>
      </w:r>
      <w:r w:rsidR="00823299" w:rsidRPr="00237510">
        <w:t>Atlas of Living Australia, DELWP unpublished and Field and Game Australia</w:t>
      </w:r>
      <w:r w:rsidRPr="00237510">
        <w:t>).</w:t>
      </w:r>
    </w:p>
    <w:p w14:paraId="68F1FD7C" w14:textId="4F548BBB" w:rsidR="00823299" w:rsidRPr="00237510" w:rsidRDefault="00BF49E2" w:rsidP="00BF49E2">
      <w:r w:rsidRPr="00237510">
        <w:t xml:space="preserve">There are several international migratory species, protected by international treaties that are regularly recorded in the </w:t>
      </w:r>
      <w:r w:rsidR="00B9047A" w:rsidRPr="00237510">
        <w:t>L</w:t>
      </w:r>
      <w:r w:rsidRPr="00237510">
        <w:t xml:space="preserve">ower Latrobe </w:t>
      </w:r>
      <w:r w:rsidR="00B9047A" w:rsidRPr="00237510">
        <w:t>W</w:t>
      </w:r>
      <w:r w:rsidRPr="00237510">
        <w:t>etlands including common greenshank (</w:t>
      </w:r>
      <w:r w:rsidR="00D907B5" w:rsidRPr="00237510">
        <w:rPr>
          <w:i/>
          <w:iCs/>
        </w:rPr>
        <w:t>Tringa nebularia</w:t>
      </w:r>
      <w:r w:rsidRPr="00237510">
        <w:t>), Latham’s snipe (</w:t>
      </w:r>
      <w:r w:rsidR="00D907B5" w:rsidRPr="00237510">
        <w:rPr>
          <w:i/>
          <w:iCs/>
        </w:rPr>
        <w:t>Gallinago hardwickii</w:t>
      </w:r>
      <w:r w:rsidRPr="00237510">
        <w:t>), red-necked stint (</w:t>
      </w:r>
      <w:r w:rsidR="00D907B5" w:rsidRPr="00237510">
        <w:rPr>
          <w:i/>
          <w:iCs/>
        </w:rPr>
        <w:t>Calidris ruficollis</w:t>
      </w:r>
      <w:r w:rsidRPr="00237510">
        <w:t>) and sharp-tailed sandpiper (</w:t>
      </w:r>
      <w:r w:rsidR="00D907B5" w:rsidRPr="00237510">
        <w:rPr>
          <w:i/>
          <w:iCs/>
        </w:rPr>
        <w:t>Calidris acuminata</w:t>
      </w:r>
      <w:r w:rsidRPr="00237510">
        <w:t xml:space="preserve">). </w:t>
      </w:r>
      <w:r w:rsidR="00823299" w:rsidRPr="00237510">
        <w:t>There are international obligations to protect these species, which are also protected under the EPBC Act.</w:t>
      </w:r>
    </w:p>
    <w:p w14:paraId="0099FD02" w14:textId="77777777" w:rsidR="00823299" w:rsidRPr="00237510" w:rsidRDefault="00823299" w:rsidP="00BF49E2">
      <w:r w:rsidRPr="00237510">
        <w:rPr>
          <w:noProof/>
          <w:lang w:eastAsia="en-US"/>
        </w:rPr>
        <mc:AlternateContent>
          <mc:Choice Requires="wps">
            <w:drawing>
              <wp:inline distT="0" distB="0" distL="0" distR="0" wp14:anchorId="7B91E27B" wp14:editId="0E012F1A">
                <wp:extent cx="5547946" cy="7948246"/>
                <wp:effectExtent l="0" t="0" r="15240" b="15240"/>
                <wp:docPr id="87" name="Text Box 87"/>
                <wp:cNvGraphicFramePr/>
                <a:graphic xmlns:a="http://schemas.openxmlformats.org/drawingml/2006/main">
                  <a:graphicData uri="http://schemas.microsoft.com/office/word/2010/wordprocessingShape">
                    <wps:wsp>
                      <wps:cNvSpPr txBox="1"/>
                      <wps:spPr>
                        <a:xfrm>
                          <a:off x="0" y="0"/>
                          <a:ext cx="5547946" cy="7948246"/>
                        </a:xfrm>
                        <a:prstGeom prst="rect">
                          <a:avLst/>
                        </a:prstGeom>
                        <a:solidFill>
                          <a:schemeClr val="accent5">
                            <a:lumMod val="40000"/>
                            <a:lumOff val="60000"/>
                          </a:schemeClr>
                        </a:solidFill>
                        <a:ln>
                          <a:solidFill>
                            <a:srgbClr val="000000"/>
                          </a:solidFill>
                        </a:ln>
                        <a:effectLst/>
                        <a:extLst>
                          <a:ext uri="{C572A759-6A51-4108-AA02-DFA0A04FC94B}">
                            <ma14:wrappingTextBoxFlag xmlns:pic="http://schemas.openxmlformats.org/drawingml/2006/picture" xmlns:a16="http://schemas.microsoft.com/office/drawing/2014/main"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6967748" w14:textId="77777777" w:rsidR="00AF508C" w:rsidRPr="003F1FC3" w:rsidRDefault="00AF508C" w:rsidP="00823299">
                            <w:pPr>
                              <w:rPr>
                                <w:b/>
                                <w:sz w:val="22"/>
                                <w:szCs w:val="22"/>
                              </w:rPr>
                            </w:pPr>
                            <w:r>
                              <w:rPr>
                                <w:b/>
                                <w:sz w:val="22"/>
                                <w:szCs w:val="22"/>
                              </w:rPr>
                              <w:t>Ramsar: A network of sites</w:t>
                            </w:r>
                          </w:p>
                          <w:p w14:paraId="1F5E754B" w14:textId="0F86541A" w:rsidR="00AF508C" w:rsidRPr="00E94850" w:rsidRDefault="00AF508C" w:rsidP="00823299">
                            <w:pPr>
                              <w:rPr>
                                <w:sz w:val="18"/>
                                <w:szCs w:val="18"/>
                              </w:rPr>
                            </w:pPr>
                            <w:r w:rsidRPr="00E94850">
                              <w:rPr>
                                <w:sz w:val="18"/>
                                <w:szCs w:val="18"/>
                              </w:rPr>
                              <w:t>There is a network of over 2000 Ramsar wetlands across the globe that is dedicated to sustaining biodiversity and wise use. One of the important functions, and a primary purpose for the establishment of the Convention, is to protect sites in different countries that are important for migratory birds.</w:t>
                            </w:r>
                          </w:p>
                          <w:p w14:paraId="2D8EE3A2" w14:textId="2F551C06" w:rsidR="00AF508C" w:rsidRPr="00E94850" w:rsidRDefault="00AF508C" w:rsidP="00823299">
                            <w:pPr>
                              <w:rPr>
                                <w:sz w:val="18"/>
                                <w:szCs w:val="18"/>
                              </w:rPr>
                            </w:pPr>
                            <w:r w:rsidRPr="00E94850">
                              <w:rPr>
                                <w:sz w:val="18"/>
                                <w:szCs w:val="18"/>
                              </w:rPr>
                              <w:t xml:space="preserve">The </w:t>
                            </w:r>
                            <w:r>
                              <w:rPr>
                                <w:sz w:val="18"/>
                                <w:szCs w:val="18"/>
                              </w:rPr>
                              <w:t>migratory</w:t>
                            </w:r>
                            <w:r w:rsidRPr="00E94850">
                              <w:rPr>
                                <w:sz w:val="18"/>
                                <w:szCs w:val="18"/>
                              </w:rPr>
                              <w:t xml:space="preserve"> birds that visit Australia are part of the East Asian-Australasian Flyway and most of them migrate from breeding grounds in North-east Asia and Alaska to non-breeding grounds in Australia and New Zealand, covering the journey of 10 000 kilometres twice in a single year.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6"/>
                              <w:gridCol w:w="4004"/>
                            </w:tblGrid>
                            <w:tr w:rsidR="00AF508C" w:rsidRPr="00E94850" w14:paraId="2405C17D" w14:textId="77777777" w:rsidTr="00823299">
                              <w:tc>
                                <w:tcPr>
                                  <w:tcW w:w="4003" w:type="dxa"/>
                                </w:tcPr>
                                <w:p w14:paraId="5DBF87F4" w14:textId="77777777" w:rsidR="00AF508C" w:rsidRPr="00E94850" w:rsidRDefault="00AF508C" w:rsidP="00823299">
                                  <w:pPr>
                                    <w:rPr>
                                      <w:sz w:val="18"/>
                                      <w:szCs w:val="18"/>
                                    </w:rPr>
                                  </w:pPr>
                                  <w:r w:rsidRPr="00E94850">
                                    <w:rPr>
                                      <w:noProof/>
                                      <w:sz w:val="18"/>
                                      <w:szCs w:val="18"/>
                                      <w:lang w:eastAsia="en-US"/>
                                    </w:rPr>
                                    <w:drawing>
                                      <wp:inline distT="0" distB="0" distL="0" distR="0" wp14:anchorId="60DE22DA" wp14:editId="501CA9C2">
                                        <wp:extent cx="2455628" cy="3763478"/>
                                        <wp:effectExtent l="0" t="0" r="8255" b="0"/>
                                        <wp:docPr id="92" name="Picture 92" descr="A map showing the extent of the Ramsar network of sites. This includes New Zealand, Australia, Indonesia, Japan, Korea, China, Mongolia, Russia and the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enifer:Business:Finished Projects:GLES:Flyway.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55856" cy="3763827"/>
                                                </a:xfrm>
                                                <a:prstGeom prst="rect">
                                                  <a:avLst/>
                                                </a:prstGeom>
                                                <a:noFill/>
                                                <a:ln>
                                                  <a:noFill/>
                                                </a:ln>
                                              </pic:spPr>
                                            </pic:pic>
                                          </a:graphicData>
                                        </a:graphic>
                                      </wp:inline>
                                    </w:drawing>
                                  </w:r>
                                </w:p>
                              </w:tc>
                              <w:tc>
                                <w:tcPr>
                                  <w:tcW w:w="4004" w:type="dxa"/>
                                </w:tcPr>
                                <w:p w14:paraId="17CF8E22" w14:textId="77777777" w:rsidR="00AF508C" w:rsidRPr="00E94850" w:rsidRDefault="00AF508C" w:rsidP="00823299">
                                  <w:pPr>
                                    <w:rPr>
                                      <w:sz w:val="18"/>
                                      <w:szCs w:val="18"/>
                                    </w:rPr>
                                  </w:pPr>
                                  <w:r w:rsidRPr="00E94850">
                                    <w:rPr>
                                      <w:sz w:val="18"/>
                                      <w:szCs w:val="18"/>
                                    </w:rPr>
                                    <w:t>The lifecycle of most international migratory shorebirds involves (Bamford et al. 2008):</w:t>
                                  </w:r>
                                </w:p>
                                <w:p w14:paraId="108C76CF" w14:textId="77777777" w:rsidR="00AF508C" w:rsidRPr="00E94850" w:rsidRDefault="00AF508C" w:rsidP="00823299">
                                  <w:pPr>
                                    <w:numPr>
                                      <w:ilvl w:val="0"/>
                                      <w:numId w:val="17"/>
                                    </w:numPr>
                                    <w:spacing w:after="0"/>
                                    <w:rPr>
                                      <w:sz w:val="18"/>
                                      <w:szCs w:val="18"/>
                                    </w:rPr>
                                  </w:pPr>
                                  <w:r w:rsidRPr="00E94850">
                                    <w:rPr>
                                      <w:sz w:val="18"/>
                                      <w:szCs w:val="18"/>
                                    </w:rPr>
                                    <w:t xml:space="preserve">breeding in May to August (northern hemisphere); </w:t>
                                  </w:r>
                                </w:p>
                                <w:p w14:paraId="77B6AF79" w14:textId="77777777" w:rsidR="00AF508C" w:rsidRPr="00E94850" w:rsidRDefault="00AF508C" w:rsidP="00823299">
                                  <w:pPr>
                                    <w:numPr>
                                      <w:ilvl w:val="0"/>
                                      <w:numId w:val="17"/>
                                    </w:numPr>
                                    <w:spacing w:after="0"/>
                                    <w:rPr>
                                      <w:sz w:val="18"/>
                                      <w:szCs w:val="18"/>
                                    </w:rPr>
                                  </w:pPr>
                                  <w:r w:rsidRPr="00E94850">
                                    <w:rPr>
                                      <w:sz w:val="18"/>
                                      <w:szCs w:val="18"/>
                                    </w:rPr>
                                    <w:t xml:space="preserve">southward migration to the southern hemisphere (August to November); </w:t>
                                  </w:r>
                                </w:p>
                                <w:p w14:paraId="3676B1B7" w14:textId="77777777" w:rsidR="00AF508C" w:rsidRPr="00E94850" w:rsidRDefault="00AF508C" w:rsidP="00823299">
                                  <w:pPr>
                                    <w:numPr>
                                      <w:ilvl w:val="0"/>
                                      <w:numId w:val="17"/>
                                    </w:numPr>
                                    <w:spacing w:after="0"/>
                                    <w:rPr>
                                      <w:sz w:val="18"/>
                                      <w:szCs w:val="18"/>
                                    </w:rPr>
                                  </w:pPr>
                                  <w:r w:rsidRPr="00E94850">
                                    <w:rPr>
                                      <w:sz w:val="18"/>
                                      <w:szCs w:val="18"/>
                                    </w:rPr>
                                    <w:t>feeding and foraging in the southern hemisphere (August to April); and</w:t>
                                  </w:r>
                                </w:p>
                                <w:p w14:paraId="028C7D98" w14:textId="77777777" w:rsidR="00AF508C" w:rsidRPr="00E94850" w:rsidRDefault="00AF508C" w:rsidP="00823299">
                                  <w:pPr>
                                    <w:numPr>
                                      <w:ilvl w:val="0"/>
                                      <w:numId w:val="17"/>
                                    </w:numPr>
                                    <w:spacing w:after="0"/>
                                    <w:rPr>
                                      <w:sz w:val="18"/>
                                      <w:szCs w:val="18"/>
                                    </w:rPr>
                                  </w:pPr>
                                  <w:r w:rsidRPr="00E94850">
                                    <w:rPr>
                                      <w:sz w:val="18"/>
                                      <w:szCs w:val="18"/>
                                    </w:rPr>
                                    <w:t>northward migration to breeding grounds (March to May).</w:t>
                                  </w:r>
                                </w:p>
                                <w:p w14:paraId="62BAE7F7" w14:textId="77777777" w:rsidR="00AF508C" w:rsidRPr="00E94850" w:rsidRDefault="00AF508C" w:rsidP="00823299">
                                  <w:pPr>
                                    <w:rPr>
                                      <w:sz w:val="18"/>
                                      <w:szCs w:val="18"/>
                                    </w:rPr>
                                  </w:pPr>
                                </w:p>
                                <w:p w14:paraId="08DD11EF" w14:textId="63AE09B2" w:rsidR="00AF508C" w:rsidRPr="00E94850" w:rsidRDefault="00AF508C" w:rsidP="00823299">
                                  <w:pPr>
                                    <w:rPr>
                                      <w:sz w:val="18"/>
                                      <w:szCs w:val="18"/>
                                    </w:rPr>
                                  </w:pPr>
                                  <w:r>
                                    <w:rPr>
                                      <w:sz w:val="18"/>
                                      <w:szCs w:val="18"/>
                                    </w:rPr>
                                    <w:t>The Lower Latrobe Wetlands regular support moderate numbers of at least four species of international migratory wader. Migratory waders in Australia need to build up their energy reserves for the homeward journey. This means that they not only require abundant food sources, but they need to minimise their activity. Populations of many migratory wader species are in decline, primarily through loss of habitat in breeding and staging areas outside Australia. This makes them more vulnerable while in Australia and increases the importance of doing everything in our power to maintain habitat and conditions.</w:t>
                                  </w:r>
                                </w:p>
                              </w:tc>
                            </w:tr>
                          </w:tbl>
                          <w:p w14:paraId="0A741916" w14:textId="59916A44" w:rsidR="00AF508C" w:rsidRDefault="00AF508C" w:rsidP="00823299">
                            <w:pPr>
                              <w:rPr>
                                <w:lang w:val="en-US"/>
                              </w:rPr>
                            </w:pPr>
                            <w:r>
                              <w:rPr>
                                <w:noProof/>
                                <w:lang w:val="en-US"/>
                              </w:rPr>
                              <w:drawing>
                                <wp:inline distT="0" distB="0" distL="0" distR="0" wp14:anchorId="73FB03DA" wp14:editId="5623989B">
                                  <wp:extent cx="5363824" cy="2628900"/>
                                  <wp:effectExtent l="0" t="0" r="0" b="0"/>
                                  <wp:docPr id="9" name="Picture 9" descr="A flock of Waders (birds) standing amongst inundated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eart Morass 5.JPG"/>
                                          <pic:cNvPicPr/>
                                        </pic:nvPicPr>
                                        <pic:blipFill rotWithShape="1">
                                          <a:blip r:embed="rId52"/>
                                          <a:srcRect t="10572" b="15911"/>
                                          <a:stretch/>
                                        </pic:blipFill>
                                        <pic:spPr bwMode="auto">
                                          <a:xfrm>
                                            <a:off x="0" y="0"/>
                                            <a:ext cx="5364480" cy="2629221"/>
                                          </a:xfrm>
                                          <a:prstGeom prst="rect">
                                            <a:avLst/>
                                          </a:prstGeom>
                                          <a:ln>
                                            <a:noFill/>
                                          </a:ln>
                                          <a:extLst>
                                            <a:ext uri="{53640926-AAD7-44D8-BBD7-CCE9431645EC}">
                                              <a14:shadowObscured xmlns:a14="http://schemas.microsoft.com/office/drawing/2010/main"/>
                                            </a:ext>
                                          </a:extLst>
                                        </pic:spPr>
                                      </pic:pic>
                                    </a:graphicData>
                                  </a:graphic>
                                </wp:inline>
                              </w:drawing>
                            </w:r>
                          </w:p>
                          <w:p w14:paraId="3AA68D4B" w14:textId="0125251A" w:rsidR="00AF508C" w:rsidRPr="00823299" w:rsidRDefault="00AF508C" w:rsidP="00823299">
                            <w:pPr>
                              <w:pStyle w:val="Caption"/>
                              <w:rPr>
                                <w:lang w:val="en-US"/>
                              </w:rPr>
                            </w:pPr>
                            <w:r w:rsidRPr="00823299">
                              <w:rPr>
                                <w:lang w:val="en-US"/>
                              </w:rPr>
                              <w:t>Waders in Heart Morass (photo Sean Phillipson).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7B91E27B" id="_x0000_t202" coordsize="21600,21600" o:spt="202" path="m,l,21600r21600,l21600,xe">
                <v:stroke joinstyle="miter"/>
                <v:path gradientshapeok="t" o:connecttype="rect"/>
              </v:shapetype>
              <v:shape id="Text Box 87" o:spid="_x0000_s1027" type="#_x0000_t202" style="width:436.85pt;height:62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" fillcolor="#b6dde8 [1304]">
                <v:textbox>
                  <w:txbxContent>
                    <w:p w14:paraId="26967748" w14:textId="77777777" w:rsidR="00AF508C" w:rsidRPr="003F1FC3" w:rsidRDefault="00AF508C" w:rsidP="00823299">
                      <w:pPr>
                        <w:rPr>
                          <w:b/>
                          <w:sz w:val="22"/>
                          <w:szCs w:val="22"/>
                        </w:rPr>
                      </w:pPr>
                      <w:r>
                        <w:rPr>
                          <w:b/>
                          <w:sz w:val="22"/>
                          <w:szCs w:val="22"/>
                        </w:rPr>
                        <w:t>Ramsar: A network of sites</w:t>
                      </w:r>
                    </w:p>
                    <w:p w14:paraId="1F5E754B" w14:textId="0F86541A" w:rsidR="00AF508C" w:rsidRPr="00E94850" w:rsidRDefault="00AF508C" w:rsidP="00823299">
                      <w:pPr>
                        <w:rPr>
                          <w:sz w:val="18"/>
                          <w:szCs w:val="18"/>
                        </w:rPr>
                      </w:pPr>
                      <w:r w:rsidRPr="00E94850">
                        <w:rPr>
                          <w:sz w:val="18"/>
                          <w:szCs w:val="18"/>
                        </w:rPr>
                        <w:t>There is a network of over 2000 Ramsar wetlands across the globe that is dedicated to sustaining biodiversity and wise use. One of the important functions, and a primary purpose for the establishment of the Convention, is to protect sites in different countries that are important for migratory birds.</w:t>
                      </w:r>
                    </w:p>
                    <w:p w14:paraId="2D8EE3A2" w14:textId="2F551C06" w:rsidR="00AF508C" w:rsidRPr="00E94850" w:rsidRDefault="00AF508C" w:rsidP="00823299">
                      <w:pPr>
                        <w:rPr>
                          <w:sz w:val="18"/>
                          <w:szCs w:val="18"/>
                        </w:rPr>
                      </w:pPr>
                      <w:r w:rsidRPr="00E94850">
                        <w:rPr>
                          <w:sz w:val="18"/>
                          <w:szCs w:val="18"/>
                        </w:rPr>
                        <w:t xml:space="preserve">The </w:t>
                      </w:r>
                      <w:r>
                        <w:rPr>
                          <w:sz w:val="18"/>
                          <w:szCs w:val="18"/>
                        </w:rPr>
                        <w:t>migratory</w:t>
                      </w:r>
                      <w:r w:rsidRPr="00E94850">
                        <w:rPr>
                          <w:sz w:val="18"/>
                          <w:szCs w:val="18"/>
                        </w:rPr>
                        <w:t xml:space="preserve"> birds that visit Australia are part of the East Asian-Australasian Flyway and most of them migrate from breeding grounds in North-east Asia and Alaska to non-breeding grounds in Australia and New Zealand, covering the journey of 10 000 kilometres twice in a single year.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6"/>
                        <w:gridCol w:w="4004"/>
                      </w:tblGrid>
                      <w:tr w:rsidR="00AF508C" w:rsidRPr="00E94850" w14:paraId="2405C17D" w14:textId="77777777" w:rsidTr="00823299">
                        <w:tc>
                          <w:tcPr>
                            <w:tcW w:w="4003" w:type="dxa"/>
                          </w:tcPr>
                          <w:p w14:paraId="5DBF87F4" w14:textId="77777777" w:rsidR="00AF508C" w:rsidRPr="00E94850" w:rsidRDefault="00AF508C" w:rsidP="00823299">
                            <w:pPr>
                              <w:rPr>
                                <w:sz w:val="18"/>
                                <w:szCs w:val="18"/>
                              </w:rPr>
                            </w:pPr>
                            <w:r w:rsidRPr="00E94850">
                              <w:rPr>
                                <w:noProof/>
                                <w:sz w:val="18"/>
                                <w:szCs w:val="18"/>
                                <w:lang w:eastAsia="en-US"/>
                              </w:rPr>
                              <w:drawing>
                                <wp:inline distT="0" distB="0" distL="0" distR="0" wp14:anchorId="60DE22DA" wp14:editId="501CA9C2">
                                  <wp:extent cx="2455628" cy="3763478"/>
                                  <wp:effectExtent l="0" t="0" r="8255" b="0"/>
                                  <wp:docPr id="92" name="Picture 92" descr="A map showing the extent of the Ramsar network of sites. This includes New Zealand, Australia, Indonesia, Japan, Korea, China, Mongolia, Russia and the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enifer:Business:Finished Projects:GLES:Flyway.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55856" cy="3763827"/>
                                          </a:xfrm>
                                          <a:prstGeom prst="rect">
                                            <a:avLst/>
                                          </a:prstGeom>
                                          <a:noFill/>
                                          <a:ln>
                                            <a:noFill/>
                                          </a:ln>
                                        </pic:spPr>
                                      </pic:pic>
                                    </a:graphicData>
                                  </a:graphic>
                                </wp:inline>
                              </w:drawing>
                            </w:r>
                          </w:p>
                        </w:tc>
                        <w:tc>
                          <w:tcPr>
                            <w:tcW w:w="4004" w:type="dxa"/>
                          </w:tcPr>
                          <w:p w14:paraId="17CF8E22" w14:textId="77777777" w:rsidR="00AF508C" w:rsidRPr="00E94850" w:rsidRDefault="00AF508C" w:rsidP="00823299">
                            <w:pPr>
                              <w:rPr>
                                <w:sz w:val="18"/>
                                <w:szCs w:val="18"/>
                              </w:rPr>
                            </w:pPr>
                            <w:r w:rsidRPr="00E94850">
                              <w:rPr>
                                <w:sz w:val="18"/>
                                <w:szCs w:val="18"/>
                              </w:rPr>
                              <w:t>The lifecycle of most international migratory shorebirds involves (Bamford et al. 2008):</w:t>
                            </w:r>
                          </w:p>
                          <w:p w14:paraId="108C76CF" w14:textId="77777777" w:rsidR="00AF508C" w:rsidRPr="00E94850" w:rsidRDefault="00AF508C" w:rsidP="00823299">
                            <w:pPr>
                              <w:numPr>
                                <w:ilvl w:val="0"/>
                                <w:numId w:val="17"/>
                              </w:numPr>
                              <w:spacing w:after="0"/>
                              <w:rPr>
                                <w:sz w:val="18"/>
                                <w:szCs w:val="18"/>
                              </w:rPr>
                            </w:pPr>
                            <w:r w:rsidRPr="00E94850">
                              <w:rPr>
                                <w:sz w:val="18"/>
                                <w:szCs w:val="18"/>
                              </w:rPr>
                              <w:t xml:space="preserve">breeding in May to August (northern hemisphere); </w:t>
                            </w:r>
                          </w:p>
                          <w:p w14:paraId="77B6AF79" w14:textId="77777777" w:rsidR="00AF508C" w:rsidRPr="00E94850" w:rsidRDefault="00AF508C" w:rsidP="00823299">
                            <w:pPr>
                              <w:numPr>
                                <w:ilvl w:val="0"/>
                                <w:numId w:val="17"/>
                              </w:numPr>
                              <w:spacing w:after="0"/>
                              <w:rPr>
                                <w:sz w:val="18"/>
                                <w:szCs w:val="18"/>
                              </w:rPr>
                            </w:pPr>
                            <w:r w:rsidRPr="00E94850">
                              <w:rPr>
                                <w:sz w:val="18"/>
                                <w:szCs w:val="18"/>
                              </w:rPr>
                              <w:t xml:space="preserve">southward migration to the southern hemisphere (August to November); </w:t>
                            </w:r>
                          </w:p>
                          <w:p w14:paraId="3676B1B7" w14:textId="77777777" w:rsidR="00AF508C" w:rsidRPr="00E94850" w:rsidRDefault="00AF508C" w:rsidP="00823299">
                            <w:pPr>
                              <w:numPr>
                                <w:ilvl w:val="0"/>
                                <w:numId w:val="17"/>
                              </w:numPr>
                              <w:spacing w:after="0"/>
                              <w:rPr>
                                <w:sz w:val="18"/>
                                <w:szCs w:val="18"/>
                              </w:rPr>
                            </w:pPr>
                            <w:r w:rsidRPr="00E94850">
                              <w:rPr>
                                <w:sz w:val="18"/>
                                <w:szCs w:val="18"/>
                              </w:rPr>
                              <w:t>feeding and foraging in the southern hemisphere (August to April); and</w:t>
                            </w:r>
                          </w:p>
                          <w:p w14:paraId="028C7D98" w14:textId="77777777" w:rsidR="00AF508C" w:rsidRPr="00E94850" w:rsidRDefault="00AF508C" w:rsidP="00823299">
                            <w:pPr>
                              <w:numPr>
                                <w:ilvl w:val="0"/>
                                <w:numId w:val="17"/>
                              </w:numPr>
                              <w:spacing w:after="0"/>
                              <w:rPr>
                                <w:sz w:val="18"/>
                                <w:szCs w:val="18"/>
                              </w:rPr>
                            </w:pPr>
                            <w:r w:rsidRPr="00E94850">
                              <w:rPr>
                                <w:sz w:val="18"/>
                                <w:szCs w:val="18"/>
                              </w:rPr>
                              <w:t>northward migration to breeding grounds (March to May).</w:t>
                            </w:r>
                          </w:p>
                          <w:p w14:paraId="62BAE7F7" w14:textId="77777777" w:rsidR="00AF508C" w:rsidRPr="00E94850" w:rsidRDefault="00AF508C" w:rsidP="00823299">
                            <w:pPr>
                              <w:rPr>
                                <w:sz w:val="18"/>
                                <w:szCs w:val="18"/>
                              </w:rPr>
                            </w:pPr>
                          </w:p>
                          <w:p w14:paraId="08DD11EF" w14:textId="63AE09B2" w:rsidR="00AF508C" w:rsidRPr="00E94850" w:rsidRDefault="00AF508C" w:rsidP="00823299">
                            <w:pPr>
                              <w:rPr>
                                <w:sz w:val="18"/>
                                <w:szCs w:val="18"/>
                              </w:rPr>
                            </w:pPr>
                            <w:r>
                              <w:rPr>
                                <w:sz w:val="18"/>
                                <w:szCs w:val="18"/>
                              </w:rPr>
                              <w:t>The Lower Latrobe Wetlands regular support moderate numbers of at least four species of international migratory wader. Migratory waders in Australia need to build up their energy reserves for the homeward journey. This means that they not only require abundant food sources, but they need to minimise their activity. Populations of many migratory wader species are in decline, primarily through loss of habitat in breeding and staging areas outside Australia. This makes them more vulnerable while in Australia and increases the importance of doing everything in our power to maintain habitat and conditions.</w:t>
                            </w:r>
                          </w:p>
                        </w:tc>
                      </w:tr>
                    </w:tbl>
                    <w:p w14:paraId="0A741916" w14:textId="59916A44" w:rsidR="00AF508C" w:rsidRDefault="00AF508C" w:rsidP="00823299">
                      <w:pPr>
                        <w:rPr>
                          <w:lang w:val="en-US"/>
                        </w:rPr>
                      </w:pPr>
                      <w:r>
                        <w:rPr>
                          <w:noProof/>
                          <w:lang w:val="en-US"/>
                        </w:rPr>
                        <w:drawing>
                          <wp:inline distT="0" distB="0" distL="0" distR="0" wp14:anchorId="73FB03DA" wp14:editId="5623989B">
                            <wp:extent cx="5363824" cy="2628900"/>
                            <wp:effectExtent l="0" t="0" r="0" b="0"/>
                            <wp:docPr id="9" name="Picture 9" descr="A flock of Waders (birds) standing amongst inundated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eart Morass 5.JPG"/>
                                    <pic:cNvPicPr/>
                                  </pic:nvPicPr>
                                  <pic:blipFill rotWithShape="1">
                                    <a:blip r:embed="rId52"/>
                                    <a:srcRect t="10572" b="15911"/>
                                    <a:stretch/>
                                  </pic:blipFill>
                                  <pic:spPr bwMode="auto">
                                    <a:xfrm>
                                      <a:off x="0" y="0"/>
                                      <a:ext cx="5364480" cy="2629221"/>
                                    </a:xfrm>
                                    <a:prstGeom prst="rect">
                                      <a:avLst/>
                                    </a:prstGeom>
                                    <a:ln>
                                      <a:noFill/>
                                    </a:ln>
                                    <a:extLst>
                                      <a:ext uri="{53640926-AAD7-44D8-BBD7-CCE9431645EC}">
                                        <a14:shadowObscured xmlns:a14="http://schemas.microsoft.com/office/drawing/2010/main"/>
                                      </a:ext>
                                    </a:extLst>
                                  </pic:spPr>
                                </pic:pic>
                              </a:graphicData>
                            </a:graphic>
                          </wp:inline>
                        </w:drawing>
                      </w:r>
                    </w:p>
                    <w:p w14:paraId="3AA68D4B" w14:textId="0125251A" w:rsidR="00AF508C" w:rsidRPr="00823299" w:rsidRDefault="00AF508C" w:rsidP="00823299">
                      <w:pPr>
                        <w:pStyle w:val="Caption"/>
                        <w:rPr>
                          <w:lang w:val="en-US"/>
                        </w:rPr>
                      </w:pPr>
                      <w:r w:rsidRPr="00823299">
                        <w:rPr>
                          <w:lang w:val="en-US"/>
                        </w:rPr>
                        <w:t>Waders in Heart Morass (photo Sean Phillipson).</w:t>
                      </w:r>
                    </w:p>
                  </w:txbxContent>
                </v:textbox>
                <w10:anchorlock/>
              </v:shape>
            </w:pict>
          </mc:Fallback>
        </mc:AlternateContent>
      </w:r>
    </w:p>
    <w:p w14:paraId="2BA525D9" w14:textId="77777777" w:rsidR="00D907B5" w:rsidRPr="00237510" w:rsidRDefault="00D907B5" w:rsidP="00BF49E2"/>
    <w:p w14:paraId="5ADD9D9C" w14:textId="1CB8669C" w:rsidR="00D907B5" w:rsidRPr="00237510" w:rsidRDefault="00D907B5" w:rsidP="00BF49E2">
      <w:r w:rsidRPr="00237510">
        <w:t xml:space="preserve">The Lower Latrobe wetlands are also important with respect to breeding waterbirds. Heart Morass supports waterbird breeding </w:t>
      </w:r>
      <w:r w:rsidR="00237510">
        <w:t xml:space="preserve">which previously </w:t>
      </w:r>
      <w:r w:rsidRPr="00237510">
        <w:t>includ</w:t>
      </w:r>
      <w:r w:rsidR="00237510">
        <w:t>ed</w:t>
      </w:r>
      <w:r w:rsidRPr="00237510">
        <w:t xml:space="preserve"> colonial nesting species such as royal spoonbill and eastern great egret </w:t>
      </w:r>
      <w:r w:rsidRPr="00237510">
        <w:fldChar w:fldCharType="begin"/>
      </w:r>
      <w:r w:rsidRPr="00237510">
        <w:instrText xml:space="preserve"> ADDIN ZOTERO_ITEM CSL_CITATION {"citationID":"R6PThd4R","properties":{"formattedCitation":"(Borg and Savage 2005)","plainCitation":"(Borg and Savage 2005)","noteIndex":0},"citationItems":[{"id":2323,"uris":["http://zotero.org/users/2336876/items/8C2GVU8F"],"uri":["http://zotero.org/users/2336876/items/8C2GVU8F"],"itemData":{"id":2323,"type":"book","event-place":"Morwell, Victoria","publisher":"GHD","publisher-place":"Morwell, Victoria","title":"Heart Morass Feasibility Study","author":[{"family":"Borg","given":"D."},{"family":"Savage","given":"G."}],"issued":{"date-parts":[["2005"]]}}}],"schema":"https://github.com/citation-style-language/schema/raw/master/csl-citation.json"} </w:instrText>
      </w:r>
      <w:r w:rsidRPr="00237510">
        <w:fldChar w:fldCharType="separate"/>
      </w:r>
      <w:r w:rsidRPr="00237510">
        <w:t>(Borg and Savage 2005)</w:t>
      </w:r>
      <w:r w:rsidRPr="00237510">
        <w:fldChar w:fldCharType="end"/>
      </w:r>
      <w:r w:rsidRPr="00237510">
        <w:t xml:space="preserve">. Sale </w:t>
      </w:r>
      <w:r w:rsidR="00B9047A" w:rsidRPr="00237510">
        <w:t>C</w:t>
      </w:r>
      <w:r w:rsidRPr="00237510">
        <w:t xml:space="preserve">ommon also supports breeding of several </w:t>
      </w:r>
      <w:r w:rsidR="00B9047A" w:rsidRPr="00237510">
        <w:t xml:space="preserve">waterfowl </w:t>
      </w:r>
      <w:r w:rsidRPr="00237510">
        <w:t>species, including large numbers of black swans</w:t>
      </w:r>
      <w:r w:rsidR="00237510">
        <w:t xml:space="preserve"> and a small colony of Australasian darters</w:t>
      </w:r>
      <w:r w:rsidRPr="00237510">
        <w:t>.  Dowd Morass supports a breeding colony of colonial nesting waterbirds, mainly Australian white ibis and straw-necked ibis (</w:t>
      </w:r>
      <w:r w:rsidRPr="00237510">
        <w:rPr>
          <w:i/>
        </w:rPr>
        <w:t>Threskiornis spinicollis</w:t>
      </w:r>
      <w:r w:rsidRPr="00237510">
        <w:t>) with smaller numbers of royal spoonbills (</w:t>
      </w:r>
      <w:r w:rsidRPr="00237510">
        <w:rPr>
          <w:i/>
        </w:rPr>
        <w:t>Platalea regia</w:t>
      </w:r>
      <w:r w:rsidRPr="00237510">
        <w:t>). Historically it has also supported cormorant and egret breeding but not in recent decades. These colonial nesting species use the swamp paperbarks in the west end of Dowd Morass as nesting habitat. Thousands of birds have been recorded breeding at the wetland in the 1970s, 80s and 90s and there are records of thousands of nests as recently as 2017 (Atlas of Living Australia). These waterbirds have continental scale distributions and are likely to use Dowd Morass as a nesting site, particularly when surrounding landscapes are dry.</w:t>
      </w:r>
    </w:p>
    <w:p w14:paraId="28F99BD4" w14:textId="69454284" w:rsidR="00F36E6B" w:rsidRPr="00237510" w:rsidRDefault="00F36E6B" w:rsidP="00BF49E2">
      <w:r w:rsidRPr="00237510">
        <w:t xml:space="preserve">Waterbird breeding requirements with respect to water regimes vary </w:t>
      </w:r>
      <w:r w:rsidR="00B9047A" w:rsidRPr="00237510">
        <w:t>according</w:t>
      </w:r>
      <w:r w:rsidRPr="00237510">
        <w:t xml:space="preserve"> to species. Typically, however, colonial nesting species such as the ibis, cormorants, spoonbill and egrets that breed in the Lower Latrobe Wetlands require inundation under nest habitat (trees, shrubs, dense reeds, standing dead trees) for the duration of nesting, until chicks are fledge</w:t>
      </w:r>
      <w:r w:rsidR="00B9047A" w:rsidRPr="00237510">
        <w:t>d</w:t>
      </w:r>
      <w:r w:rsidRPr="00237510">
        <w:t xml:space="preserve"> (three to four months). Drops in water levels can lead to nest abandonment and breeding failure </w:t>
      </w:r>
      <w:r w:rsidRPr="00237510">
        <w:fldChar w:fldCharType="begin"/>
      </w:r>
      <w:r w:rsidRPr="00237510">
        <w:instrText xml:space="preserve"> ADDIN ZOTERO_ITEM CSL_CITATION {"citationID":"OCdBxXlJ","properties":{"formattedCitation":"(Brandis 2010, Arthur et al. 2012)","plainCitation":"(Brandis 2010, Arthur et al. 2012)","noteIndex":0},"citationItems":[{"id":1362,"uris":["http://zotero.org/users/2336876/items/JNU2C8IA"],"uri":["http://zotero.org/users/2336876/items/JNU2C8IA"],"itemData":{"id":1362,"type":"thesis","publisher":"University of NSW","title":"Colonial waterbird breeding in Australia: Wetlands, water requirements and environmental flows","author":[{"family":"Brandis","given":"Kate"}],"issued":{"date-parts":[["2010"]]}}},{"id":1405,"uris":["http://zotero.org/users/2336876/items/V8WVSTT6"],"uri":["http://zotero.org/users/2336876/items/V8WVSTT6"],"itemData":{"id":1405,"type":"article-journal","abstract":"Biodiversity on floodplains is under increasing pressure as demand for water for human needs expands. Understanding how waterbirds respond to river flows feeding floodplain wetlands is critical for successful management. We analysed data on breeding by colonial breeding large waders—Eastern Great Egret Ardea modesta, Intermediate Egret Ardea intermedia, Little Egret Egretta garzetta, Nankeen Night Heron Nycticorax caledonicus, Australian White Ibis Threskiornis molucca, Glossy Ibis Plegadis falcinellus, Straw-necked Ibis Threskiornis spinicollis, and Royal Spoonbill Platalea regia—in response to river flow for three wetlands in the Murray-Darling Basin, Australia. Each wetland, which included Barmah-Millewa, the Macquarie Marshes, and Lake Merreti, has a distinctive geomorphology and hydrology. There were clear consistent thresholds of flow producing a &gt;0.7 probability of attempted breeding by most species when a daily flow threshold was exceeded for 30–50 days. Flow characteristics were highly correlated and thresholds could also be expressed in terms of the total flow volume July–December and peak flow in September or October. Below thresholds, there was zero probability of breeding for most species. These minimum thresholds provide critical information for management of these wetlands. Our approach provides an analytical framework for estimating thresholds for other floodplains.","container-title":"Wetlands","DOI":"10.1007/s13157-011-0235-y","ISSN":"0277-5212, 1943-6246","issue":"2","journalAbbreviation":"Wetlands","language":"en","page":"257-265","source":"link.springer.com","title":"Breeding Flow Thresholds of Colonial Breeding Waterbirds in the Murray-Darling Basin, Australia","volume":"32","author":[{"family":"Arthur","given":"Anthony D."},{"family":"Reid","given":"Julian R. W."},{"family":"Kingsford","given":"Richard T."},{"family":"McGinness","given":"Heather M."},{"family":"Ward","given":"Keith A."},{"family":"Harper","given":"Mike J."}],"issued":{"date-parts":[["2012",4,1]]}}}],"schema":"https://github.com/citation-style-language/schema/raw/master/csl-citation.json"} </w:instrText>
      </w:r>
      <w:r w:rsidRPr="00237510">
        <w:fldChar w:fldCharType="separate"/>
      </w:r>
      <w:r w:rsidRPr="00237510">
        <w:t>(Brandis 2010, Arthur et al. 2012)</w:t>
      </w:r>
      <w:r w:rsidRPr="00237510">
        <w:fldChar w:fldCharType="end"/>
      </w:r>
      <w:r w:rsidRPr="00237510">
        <w:t xml:space="preserve">. In addition to water under nests, breeding waterbirds require adequate foraging habitat and moderate to high productivity to ensure recruitment of nestlings into the adult population </w:t>
      </w:r>
      <w:r w:rsidRPr="00237510">
        <w:fldChar w:fldCharType="begin"/>
      </w:r>
      <w:r w:rsidRPr="00237510">
        <w:instrText xml:space="preserve"> ADDIN ZOTERO_ITEM CSL_CITATION {"citationID":"XqOKD5WS","properties":{"formattedCitation":"(McGinness et al. 2019)","plainCitation":"(McGinness et al. 2019)","noteIndex":0},"citationItems":[{"id":5270,"uris":["http://zotero.org/users/2336876/items/XMDK9TLY"],"uri":["http://zotero.org/users/2336876/items/XMDK9TLY"],"itemData":{"id":5270,"type":"book","event-place":"Albury, NSW","publisher":"Centre for Freshwater Ecosystems, Latrobe University","publisher-place":"Albury, NSW","title":"Murray‒Darling Basin Environmental Water Knowledge and Research Project Waterbird Theme Research Report","author":[{"family":"McGinness","given":"H."},{"family":"Brandis","given":"K."},{"family":"Robinson","given":"F."},{"family":"Piper","given":"M."},{"family":"O'Brien","given":"L."},{"family":"Langston","given":"A."},{"family":"Hodgson","given":"J."},{"family":"Wenger","given":"L."},{"family":"Martin","given":"J."},{"family":"Bellio","given":"M."},{"family":"Callaghan","given":"D."},{"family":"Webster","given":"E."},{"family":"Francis","given":"R."},{"family":"McCann","given":"J."},{"family":"Lyons","given":"M."},{"family":"Doerr","given":"V."},{"family":"Kingsford","given":"R."},{"family":"Mac Nally","given":"R."}],"issued":{"date-parts":[["2019"]]}}}],"schema":"https://github.com/citation-style-language/schema/raw/master/csl-citation.json"} </w:instrText>
      </w:r>
      <w:r w:rsidRPr="00237510">
        <w:fldChar w:fldCharType="separate"/>
      </w:r>
      <w:r w:rsidRPr="00237510">
        <w:t>(McGinness et al. 2019)</w:t>
      </w:r>
      <w:r w:rsidRPr="00237510">
        <w:fldChar w:fldCharType="end"/>
      </w:r>
      <w:r w:rsidR="00237510">
        <w:t>.</w:t>
      </w:r>
    </w:p>
    <w:p w14:paraId="29263022" w14:textId="77777777" w:rsidR="00D907B5" w:rsidRPr="00237510" w:rsidRDefault="00D907B5" w:rsidP="00BF49E2">
      <w:r>
        <w:rPr>
          <w:noProof/>
        </w:rPr>
        <w:drawing>
          <wp:inline distT="0" distB="0" distL="0" distR="0" wp14:anchorId="1DBE347F" wp14:editId="116ABD69">
            <wp:extent cx="5333604" cy="4000500"/>
            <wp:effectExtent l="0" t="0" r="635" b="0"/>
            <wp:docPr id="16" name="Picture 16" descr="A black swan, looking at the camera, perched atop a nest of reeds amongst marshy wetland at Heart Mo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53" cstate="email">
                      <a:extLst>
                        <a:ext uri="{28A0092B-C50C-407E-A947-70E740481C1C}">
                          <a14:useLocalDpi xmlns:a14="http://schemas.microsoft.com/office/drawing/2010/main"/>
                        </a:ext>
                      </a:extLst>
                    </a:blip>
                    <a:stretch>
                      <a:fillRect/>
                    </a:stretch>
                  </pic:blipFill>
                  <pic:spPr>
                    <a:xfrm>
                      <a:off x="0" y="0"/>
                      <a:ext cx="5333604" cy="4000500"/>
                    </a:xfrm>
                    <a:prstGeom prst="rect">
                      <a:avLst/>
                    </a:prstGeom>
                  </pic:spPr>
                </pic:pic>
              </a:graphicData>
            </a:graphic>
          </wp:inline>
        </w:drawing>
      </w:r>
    </w:p>
    <w:p w14:paraId="2E022E55" w14:textId="08C9D05F" w:rsidR="00D907B5" w:rsidRPr="00237510" w:rsidRDefault="00D907B5" w:rsidP="00D907B5">
      <w:pPr>
        <w:pStyle w:val="Caption"/>
      </w:pPr>
      <w:r w:rsidRPr="00237510">
        <w:t xml:space="preserve">Figure </w:t>
      </w:r>
      <w:r>
        <w:fldChar w:fldCharType="begin"/>
      </w:r>
      <w:r>
        <w:instrText>SEQ Figure \* ARABIC</w:instrText>
      </w:r>
      <w:r>
        <w:fldChar w:fldCharType="separate"/>
      </w:r>
      <w:r w:rsidR="00DE4513">
        <w:rPr>
          <w:noProof/>
        </w:rPr>
        <w:t>24</w:t>
      </w:r>
      <w:r>
        <w:fldChar w:fldCharType="end"/>
      </w:r>
      <w:r w:rsidRPr="00237510">
        <w:t>: Black swan nest in Heart Morass in 2018 (Photo West Gippsland CMA).</w:t>
      </w:r>
    </w:p>
    <w:p w14:paraId="0676B4ED" w14:textId="4543C401" w:rsidR="002B0156" w:rsidRPr="00237510" w:rsidRDefault="002B0156" w:rsidP="002B0156">
      <w:pPr>
        <w:pStyle w:val="Heading3"/>
        <w:ind w:left="709"/>
      </w:pPr>
      <w:bookmarkStart w:id="51" w:name="_Toc42001388"/>
      <w:r w:rsidRPr="00237510">
        <w:t>Other aquatic fauna</w:t>
      </w:r>
      <w:bookmarkEnd w:id="51"/>
    </w:p>
    <w:p w14:paraId="0D80AB13" w14:textId="64731964" w:rsidR="00DC06A6" w:rsidRPr="00237510" w:rsidRDefault="002B0156" w:rsidP="002B0156">
      <w:r w:rsidRPr="00237510">
        <w:t xml:space="preserve">The aquatic ecosystems of the study area support a range of other aquatic fauna including frogs, turtles, platypus, rakali </w:t>
      </w:r>
      <w:r w:rsidR="005C0A2A" w:rsidRPr="00237510">
        <w:t xml:space="preserve">(water rat) </w:t>
      </w:r>
      <w:r w:rsidRPr="00237510">
        <w:t xml:space="preserve">and </w:t>
      </w:r>
      <w:r w:rsidR="005C0A2A" w:rsidRPr="00237510">
        <w:t xml:space="preserve">a diversity of </w:t>
      </w:r>
      <w:r w:rsidRPr="00237510">
        <w:t>macroinvertebrates. Of note is the two nationally listed frog species that are present in the Lower Latrobe Wetlands, the green and golden bell frog (</w:t>
      </w:r>
      <w:r w:rsidRPr="00237510">
        <w:rPr>
          <w:i/>
          <w:iCs/>
        </w:rPr>
        <w:t>Litoria aurea</w:t>
      </w:r>
      <w:r w:rsidRPr="00237510">
        <w:t>) and the growling grass frog (</w:t>
      </w:r>
      <w:r w:rsidRPr="00237510">
        <w:rPr>
          <w:i/>
        </w:rPr>
        <w:t>L. raniformis</w:t>
      </w:r>
      <w:r w:rsidRPr="00237510">
        <w:t xml:space="preserve">). </w:t>
      </w:r>
    </w:p>
    <w:p w14:paraId="1307A205" w14:textId="2115A59C" w:rsidR="002B0156" w:rsidRPr="00237510" w:rsidRDefault="002B0156" w:rsidP="002B0156">
      <w:r w:rsidRPr="00237510">
        <w:t>In addition, all aquatic ecosystems in the study area support a diversity and abundance of macroinvertebrates. These are important components of the food chain, but also have inherent biodiversity values. The Latrobe River and tributaries support two Victorian endangered crustaceans: South Gippsland spiny crayfish (</w:t>
      </w:r>
      <w:r w:rsidRPr="00237510">
        <w:rPr>
          <w:i/>
          <w:iCs/>
        </w:rPr>
        <w:t>Euastacus neodiversus</w:t>
      </w:r>
      <w:r w:rsidRPr="00237510">
        <w:t>) and Strzelecki burrowing crayfish (</w:t>
      </w:r>
      <w:r w:rsidRPr="00237510">
        <w:rPr>
          <w:i/>
          <w:iCs/>
        </w:rPr>
        <w:t>Engaeus rostrogaleatus</w:t>
      </w:r>
      <w:r w:rsidRPr="00237510">
        <w:t>)</w:t>
      </w:r>
      <w:r w:rsidR="00237510">
        <w:t>.</w:t>
      </w:r>
    </w:p>
    <w:p w14:paraId="45924A07" w14:textId="5A8DEFBA" w:rsidR="008B39C3" w:rsidRPr="00237510" w:rsidRDefault="00B43BFD" w:rsidP="00B43BFD">
      <w:pPr>
        <w:pStyle w:val="Heading2"/>
      </w:pPr>
      <w:bookmarkStart w:id="52" w:name="_Toc42001389"/>
      <w:r w:rsidRPr="00237510">
        <w:t>Water related requirements of ecological values</w:t>
      </w:r>
      <w:bookmarkEnd w:id="52"/>
    </w:p>
    <w:p w14:paraId="1232A0A5" w14:textId="16540F2F" w:rsidR="00B43BFD" w:rsidRPr="00237510" w:rsidRDefault="00B43BFD" w:rsidP="00B43BFD">
      <w:pPr>
        <w:rPr>
          <w:lang w:eastAsia="en-US"/>
        </w:rPr>
      </w:pPr>
      <w:r w:rsidRPr="00237510">
        <w:rPr>
          <w:lang w:eastAsia="en-US"/>
        </w:rPr>
        <w:t xml:space="preserve">The water requirements for the ecosystems of the Latrobe River system, including the tributaries, Lower Latrobe Wetlands and Estuary have been described in detail </w:t>
      </w:r>
      <w:r w:rsidR="00B9047A" w:rsidRPr="00237510">
        <w:rPr>
          <w:lang w:eastAsia="en-US"/>
        </w:rPr>
        <w:t>in the Latrobe Flows Study</w:t>
      </w:r>
      <w:r w:rsidRPr="00237510">
        <w:rPr>
          <w:lang w:eastAsia="en-US"/>
        </w:rPr>
        <w:t xml:space="preserve"> </w:t>
      </w:r>
      <w:r w:rsidRPr="00237510">
        <w:rPr>
          <w:lang w:eastAsia="en-US"/>
        </w:rPr>
        <w:fldChar w:fldCharType="begin"/>
      </w:r>
      <w:r w:rsidRPr="00237510">
        <w:rPr>
          <w:lang w:eastAsia="en-US"/>
        </w:rPr>
        <w:instrText xml:space="preserve"> ADDIN ZOTERO_ITEM CSL_CITATION {"citationID":"qv3T0ELP","properties":{"formattedCitation":"(Alluvium 2020)","plainCitation":"(Alluvium 2020)","noteIndex":0},"citationItems":[{"id":5301,"uris":["http://zotero.org/users/2336876/items/EVBP8A5E"],"uri":["http://zotero.org/users/2336876/items/EVBP8A5E"],"itemData":{"id":5301,"type":"book","event-place":"Richmond, Victoria","publisher":"Alluvium Consulting Australia","publisher-place":"Richmond, Victoria","title":"Latrobe Environmntal Water Requirements Investigation","author":[{"family":"Alluvium","given":""}],"issued":{"date-parts":[["2020"]]}}}],"schema":"https://github.com/citation-style-language/schema/raw/master/csl-citation.json"} </w:instrText>
      </w:r>
      <w:r w:rsidRPr="00237510">
        <w:rPr>
          <w:lang w:eastAsia="en-US"/>
        </w:rPr>
        <w:fldChar w:fldCharType="separate"/>
      </w:r>
      <w:r w:rsidRPr="00237510">
        <w:rPr>
          <w:lang w:eastAsia="en-US"/>
        </w:rPr>
        <w:t>(Alluvium 2020)</w:t>
      </w:r>
      <w:r w:rsidRPr="00237510">
        <w:rPr>
          <w:lang w:eastAsia="en-US"/>
        </w:rPr>
        <w:fldChar w:fldCharType="end"/>
      </w:r>
      <w:r w:rsidRPr="00237510">
        <w:rPr>
          <w:lang w:eastAsia="en-US"/>
        </w:rPr>
        <w:t xml:space="preserve">, together with quantitative flow recommendations to meet those requirements. These are not duplicated </w:t>
      </w:r>
      <w:r w:rsidR="0063080D" w:rsidRPr="00237510">
        <w:rPr>
          <w:lang w:eastAsia="en-US"/>
        </w:rPr>
        <w:t>here but</w:t>
      </w:r>
      <w:r w:rsidRPr="00237510">
        <w:rPr>
          <w:lang w:eastAsia="en-US"/>
        </w:rPr>
        <w:t xml:space="preserve"> can be summarised in terms of the linkages with the important flow components</w:t>
      </w:r>
      <w:r w:rsidR="00193313" w:rsidRPr="00237510">
        <w:rPr>
          <w:lang w:eastAsia="en-US"/>
        </w:rPr>
        <w:t xml:space="preserve"> as illustrated in </w:t>
      </w:r>
      <w:r w:rsidR="00193313" w:rsidRPr="00237510">
        <w:rPr>
          <w:lang w:eastAsia="en-US"/>
        </w:rPr>
        <w:fldChar w:fldCharType="begin"/>
      </w:r>
      <w:r w:rsidR="00193313" w:rsidRPr="00237510">
        <w:rPr>
          <w:lang w:eastAsia="en-US"/>
        </w:rPr>
        <w:instrText xml:space="preserve"> REF _Ref526247 \h </w:instrText>
      </w:r>
      <w:r w:rsidR="00193313" w:rsidRPr="00237510">
        <w:rPr>
          <w:lang w:eastAsia="en-US"/>
        </w:rPr>
      </w:r>
      <w:r w:rsidR="00193313" w:rsidRPr="00237510">
        <w:rPr>
          <w:lang w:eastAsia="en-US"/>
        </w:rPr>
        <w:fldChar w:fldCharType="separate"/>
      </w:r>
      <w:r w:rsidR="008C72C8" w:rsidRPr="00237510">
        <w:t>Figure 25</w:t>
      </w:r>
      <w:r w:rsidR="00193313" w:rsidRPr="00237510">
        <w:rPr>
          <w:lang w:eastAsia="en-US"/>
        </w:rPr>
        <w:fldChar w:fldCharType="end"/>
      </w:r>
      <w:r w:rsidR="00193313" w:rsidRPr="00237510">
        <w:rPr>
          <w:lang w:eastAsia="en-US"/>
        </w:rPr>
        <w:t>.</w:t>
      </w:r>
    </w:p>
    <w:p w14:paraId="05738135" w14:textId="77777777" w:rsidR="00193313" w:rsidRPr="00237510" w:rsidRDefault="00193313" w:rsidP="00193313">
      <w:pPr>
        <w:rPr>
          <w:lang w:eastAsia="en-US"/>
        </w:rPr>
      </w:pPr>
      <w:r>
        <w:rPr>
          <w:noProof/>
        </w:rPr>
        <w:drawing>
          <wp:inline distT="0" distB="0" distL="0" distR="0" wp14:anchorId="4F8EAD5D" wp14:editId="3BBB8067">
            <wp:extent cx="5136203" cy="2052537"/>
            <wp:effectExtent l="0" t="0" r="0" b="5080"/>
            <wp:docPr id="30" name="Picture 1" descr="A diagrammatic ecosystem cross section showing the water levels of 5 flow components; Cease-to-flow, base flow, freshes, bankfull and overbank flow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4" cstate="email">
                      <a:extLst>
                        <a:ext uri="{28A0092B-C50C-407E-A947-70E740481C1C}">
                          <a14:useLocalDpi xmlns:a14="http://schemas.microsoft.com/office/drawing/2010/main"/>
                        </a:ext>
                      </a:extLst>
                    </a:blip>
                    <a:stretch>
                      <a:fillRect/>
                    </a:stretch>
                  </pic:blipFill>
                  <pic:spPr>
                    <a:xfrm>
                      <a:off x="0" y="0"/>
                      <a:ext cx="5136203" cy="2052537"/>
                    </a:xfrm>
                    <a:prstGeom prst="rect">
                      <a:avLst/>
                    </a:prstGeom>
                  </pic:spPr>
                </pic:pic>
              </a:graphicData>
            </a:graphic>
          </wp:inline>
        </w:drawing>
      </w:r>
    </w:p>
    <w:p w14:paraId="3B3085ED" w14:textId="02D42D39" w:rsidR="00193313" w:rsidRPr="00237510" w:rsidRDefault="00193313" w:rsidP="00193313">
      <w:pPr>
        <w:pStyle w:val="Caption"/>
      </w:pPr>
      <w:bookmarkStart w:id="53" w:name="_Ref526247"/>
      <w:r w:rsidRPr="00237510">
        <w:t xml:space="preserve">Figure </w:t>
      </w:r>
      <w:r>
        <w:fldChar w:fldCharType="begin"/>
      </w:r>
      <w:r>
        <w:instrText>SEQ Figure \* ARABIC</w:instrText>
      </w:r>
      <w:r>
        <w:fldChar w:fldCharType="separate"/>
      </w:r>
      <w:r w:rsidR="00DE4513">
        <w:rPr>
          <w:noProof/>
        </w:rPr>
        <w:t>25</w:t>
      </w:r>
      <w:r>
        <w:fldChar w:fldCharType="end"/>
      </w:r>
      <w:bookmarkEnd w:id="53"/>
      <w:r w:rsidRPr="00237510">
        <w:t xml:space="preserve">: Flow component types and their influence on different parts of the river channel, wetlands and floodplains </w:t>
      </w:r>
      <w:r w:rsidRPr="00237510">
        <w:fldChar w:fldCharType="begin"/>
      </w:r>
      <w:r w:rsidR="00F36E6B" w:rsidRPr="00237510">
        <w:instrText xml:space="preserve"> ADDIN ZOTERO_ITEM CSL_CITATION {"citationID":"uGDZ6A1h","properties":{"formattedCitation":"(Young et al. 2011)","plainCitation":"(Young et al. 2011)","noteIndex":0},"citationItems":[{"id":1611,"uris":["http://zotero.org/users/2336876/items/PWTWM9RC"],"uri":["http://zotero.org/users/2336876/items/PWTWM9RC"],"itemData":{"id":1611,"type":"book","publisher":"CSIRO Water for a Healthy Country","title":"Science Review of the Estimation of an Enironmentally Sustainable Level of Take for the Murray-Darling Basin","author":[{"family":"Young","given":"W. J."},{"family":"Bond","given":"Nick"},{"family":"Brookes","given":"J."},{"family":"Gawne","given":"B."},{"family":"Jones","given":"G."}],"issued":{"date-parts":[["2011"]]}}}],"schema":"https://github.com/citation-style-language/schema/raw/master/csl-citation.json"} </w:instrText>
      </w:r>
      <w:r w:rsidRPr="00237510">
        <w:fldChar w:fldCharType="separate"/>
      </w:r>
      <w:r w:rsidRPr="00237510">
        <w:t>(Young et al. 2011)</w:t>
      </w:r>
      <w:r w:rsidRPr="00237510">
        <w:fldChar w:fldCharType="end"/>
      </w:r>
      <w:r w:rsidRPr="00237510">
        <w:t>.</w:t>
      </w:r>
    </w:p>
    <w:p w14:paraId="3132D072" w14:textId="11C76345" w:rsidR="00193313" w:rsidRPr="00237510" w:rsidRDefault="00193313" w:rsidP="00B43BFD">
      <w:pPr>
        <w:rPr>
          <w:lang w:eastAsia="en-US"/>
        </w:rPr>
      </w:pPr>
      <w:r w:rsidRPr="00237510">
        <w:rPr>
          <w:b/>
          <w:bCs/>
          <w:lang w:eastAsia="en-US"/>
        </w:rPr>
        <w:t>Base flows</w:t>
      </w:r>
      <w:r w:rsidRPr="00237510">
        <w:rPr>
          <w:lang w:eastAsia="en-US"/>
        </w:rPr>
        <w:t xml:space="preserve"> – </w:t>
      </w:r>
      <w:r w:rsidR="005C0A2A" w:rsidRPr="00237510">
        <w:rPr>
          <w:lang w:eastAsia="en-US"/>
        </w:rPr>
        <w:t>are low flows that maintain water movement through the channel, maintaining longitudinal connectivity along the waterway and keeping in-stream habitats wet and in channel pools full. These flows occur even after prolonged periods without rain and are often due to groundwater inputs into the stream channel. These are essential for obligate aquatic species such as fish, some species of aquatic plants, and macroinvertebrates for maintaining wetted habitat and ensuring adequate water quality, particularly dissolved oxygen</w:t>
      </w:r>
      <w:r w:rsidRPr="00237510">
        <w:rPr>
          <w:lang w:eastAsia="en-US"/>
        </w:rPr>
        <w:t>.</w:t>
      </w:r>
    </w:p>
    <w:p w14:paraId="756570C5" w14:textId="5CF0AF75" w:rsidR="00193313" w:rsidRPr="00237510" w:rsidRDefault="00193313" w:rsidP="00B43BFD">
      <w:pPr>
        <w:rPr>
          <w:lang w:eastAsia="en-US"/>
        </w:rPr>
      </w:pPr>
      <w:r w:rsidRPr="00237510">
        <w:rPr>
          <w:b/>
          <w:bCs/>
          <w:lang w:eastAsia="en-US"/>
        </w:rPr>
        <w:t>Freshes</w:t>
      </w:r>
      <w:r w:rsidRPr="00237510">
        <w:rPr>
          <w:lang w:eastAsia="en-US"/>
        </w:rPr>
        <w:t xml:space="preserve"> – are in channel pulses that may be short duration (days) in summer or longer (several weeks), typically in winter. These are important for inundating in-channel benches and stimulating productivity, they act as triggers for reproductive behaviours (migration, spawning) in many native fish species and maintain water quality by flushing salts and nutrients and oxygenating the water</w:t>
      </w:r>
      <w:r w:rsidR="00FA5D34" w:rsidRPr="00237510">
        <w:rPr>
          <w:lang w:eastAsia="en-US"/>
        </w:rPr>
        <w:t>. If adequately large they can also maintain channel form such as through scouring pools of fine-grained sediments and depositing sediments on banks and benches.</w:t>
      </w:r>
    </w:p>
    <w:p w14:paraId="23DB57DB" w14:textId="2242F8C5" w:rsidR="00193313" w:rsidRPr="00237510" w:rsidRDefault="00193313" w:rsidP="00B43BFD">
      <w:pPr>
        <w:rPr>
          <w:lang w:eastAsia="en-US"/>
        </w:rPr>
      </w:pPr>
      <w:r w:rsidRPr="00237510">
        <w:rPr>
          <w:b/>
          <w:bCs/>
          <w:lang w:eastAsia="en-US"/>
        </w:rPr>
        <w:t>Bankfull flows</w:t>
      </w:r>
      <w:r w:rsidRPr="00237510">
        <w:rPr>
          <w:lang w:eastAsia="en-US"/>
        </w:rPr>
        <w:t xml:space="preserve"> – </w:t>
      </w:r>
      <w:r w:rsidR="00FA5D34" w:rsidRPr="00237510">
        <w:rPr>
          <w:lang w:eastAsia="en-US"/>
        </w:rPr>
        <w:t>large in-channel flows typically in late winter and spring that scour the channel, restoring geomorphic diversity and habitat. They provide water for riparian vegetation and provide nesting habitat for turtles. These flows move sediments, nutrients and salts out of the system, into downstream reaches and ultimately into the ocean. In the Latrobe Estuary they are vital for flushing the river system and for pushing freshwater through Lake Wellington, maintaining low salinity conditions in the fringing wetlands</w:t>
      </w:r>
      <w:r w:rsidR="0063080D" w:rsidRPr="00237510">
        <w:rPr>
          <w:lang w:eastAsia="en-US"/>
        </w:rPr>
        <w:t xml:space="preserve">. </w:t>
      </w:r>
    </w:p>
    <w:p w14:paraId="1D7FCB12" w14:textId="42A83CB8" w:rsidR="00193313" w:rsidRPr="00237510" w:rsidRDefault="00193313" w:rsidP="00B43BFD">
      <w:pPr>
        <w:rPr>
          <w:lang w:eastAsia="en-US"/>
        </w:rPr>
      </w:pPr>
      <w:r w:rsidRPr="00237510">
        <w:rPr>
          <w:b/>
          <w:bCs/>
          <w:lang w:eastAsia="en-US"/>
        </w:rPr>
        <w:t>Overbank flows</w:t>
      </w:r>
      <w:r w:rsidRPr="00237510">
        <w:rPr>
          <w:lang w:eastAsia="en-US"/>
        </w:rPr>
        <w:t xml:space="preserve"> – large flows, typically in late winter or early spring that spill out of the channel and inundate the floodplain. These flows are important for </w:t>
      </w:r>
      <w:r w:rsidR="0063080D" w:rsidRPr="00237510">
        <w:rPr>
          <w:lang w:eastAsia="en-US"/>
        </w:rPr>
        <w:t xml:space="preserve">the movement of carbon from the floodplain to the river for maintaining productivity, for riparian and floodplain vegetation, </w:t>
      </w:r>
      <w:r w:rsidRPr="00237510">
        <w:rPr>
          <w:lang w:eastAsia="en-US"/>
        </w:rPr>
        <w:t xml:space="preserve">flushing wetlands, </w:t>
      </w:r>
      <w:r w:rsidR="0063080D" w:rsidRPr="00237510">
        <w:rPr>
          <w:lang w:eastAsia="en-US"/>
        </w:rPr>
        <w:t xml:space="preserve">and provision of large areas of habitat for fish, waterbirds, frogs and invertebrates. </w:t>
      </w:r>
      <w:r w:rsidRPr="00237510">
        <w:rPr>
          <w:lang w:eastAsia="en-US"/>
        </w:rPr>
        <w:t xml:space="preserve"> </w:t>
      </w:r>
      <w:r w:rsidR="0063080D" w:rsidRPr="00237510">
        <w:rPr>
          <w:lang w:eastAsia="en-US"/>
        </w:rPr>
        <w:t>They connect the wetlands, floodplains and river systems to allow for the movement and dispersal of biota. These very large flows allow for the complete flushing of Lake Wellington, restoring freshwater conditions and resetting the system to maintain values in the long term.</w:t>
      </w:r>
    </w:p>
    <w:p w14:paraId="5FE84E0A" w14:textId="654DEDEF" w:rsidR="00DC06A6" w:rsidRPr="00237510" w:rsidRDefault="00DC06A6" w:rsidP="00B43BFD">
      <w:pPr>
        <w:rPr>
          <w:lang w:eastAsia="en-US"/>
        </w:rPr>
      </w:pPr>
      <w:r w:rsidRPr="00237510">
        <w:rPr>
          <w:b/>
          <w:bCs/>
          <w:lang w:eastAsia="en-US"/>
        </w:rPr>
        <w:t>Wetland water regimes</w:t>
      </w:r>
      <w:r w:rsidRPr="00237510">
        <w:rPr>
          <w:lang w:eastAsia="en-US"/>
        </w:rPr>
        <w:t xml:space="preserve"> – </w:t>
      </w:r>
      <w:r w:rsidR="00FA5D34" w:rsidRPr="00237510">
        <w:rPr>
          <w:lang w:eastAsia="en-US"/>
        </w:rPr>
        <w:t xml:space="preserve">almost all </w:t>
      </w:r>
      <w:r w:rsidRPr="00237510">
        <w:rPr>
          <w:lang w:eastAsia="en-US"/>
        </w:rPr>
        <w:t xml:space="preserve">wetlands in Australia are adapted to periods of wet and dry and prolonged inundation can be as much of a problem as prolonged periods of </w:t>
      </w:r>
      <w:r w:rsidR="00237510" w:rsidRPr="00237510">
        <w:rPr>
          <w:lang w:eastAsia="en-US"/>
        </w:rPr>
        <w:t>desiccation</w:t>
      </w:r>
      <w:r w:rsidRPr="00237510">
        <w:rPr>
          <w:lang w:eastAsia="en-US"/>
        </w:rPr>
        <w:t>.  There are several aspects to wetland water regime that are important ecologically:</w:t>
      </w:r>
    </w:p>
    <w:p w14:paraId="4B2E38C2" w14:textId="20960BBC" w:rsidR="00DC06A6" w:rsidRPr="00237510" w:rsidRDefault="00A77211" w:rsidP="00D81C74">
      <w:pPr>
        <w:ind w:left="61"/>
        <w:rPr>
          <w:lang w:eastAsia="en-US"/>
        </w:rPr>
      </w:pPr>
      <w:r w:rsidRPr="00237510">
        <w:rPr>
          <w:i/>
          <w:iCs/>
          <w:lang w:eastAsia="en-US"/>
        </w:rPr>
        <w:t>Depth</w:t>
      </w:r>
      <w:r w:rsidRPr="00237510">
        <w:rPr>
          <w:lang w:eastAsia="en-US"/>
        </w:rPr>
        <w:t xml:space="preserve"> – different waterbird foraging groups have specific water depth requirements, for example small waders require very shallow water or wet mud to forage, while aerial diving, fish eating species like cormorants require deeper water. Water depth is also a determinant of vegetation growth-form and size.</w:t>
      </w:r>
      <w:r w:rsidR="00D81C74" w:rsidRPr="00237510">
        <w:rPr>
          <w:lang w:eastAsia="en-US"/>
        </w:rPr>
        <w:t xml:space="preserve"> Wetland plants species often occur along a gradient of water depth and duration of inundation and have been classified into functions groups according to their preferences and tolerances (</w:t>
      </w:r>
      <w:r w:rsidR="00D81C74" w:rsidRPr="00237510">
        <w:rPr>
          <w:lang w:eastAsia="en-US"/>
        </w:rPr>
        <w:fldChar w:fldCharType="begin"/>
      </w:r>
      <w:r w:rsidR="00D81C74" w:rsidRPr="00237510">
        <w:rPr>
          <w:lang w:eastAsia="en-US"/>
        </w:rPr>
        <w:instrText xml:space="preserve"> REF _Ref41211197 \h </w:instrText>
      </w:r>
      <w:r w:rsidR="00D81C74" w:rsidRPr="00237510">
        <w:rPr>
          <w:lang w:eastAsia="en-US"/>
        </w:rPr>
      </w:r>
      <w:r w:rsidR="00D81C74" w:rsidRPr="00237510">
        <w:rPr>
          <w:lang w:eastAsia="en-US"/>
        </w:rPr>
        <w:fldChar w:fldCharType="separate"/>
      </w:r>
      <w:r w:rsidR="008C72C8" w:rsidRPr="00237510">
        <w:t>Figure 26</w:t>
      </w:r>
      <w:r w:rsidR="00D81C74" w:rsidRPr="00237510">
        <w:rPr>
          <w:lang w:eastAsia="en-US"/>
        </w:rPr>
        <w:fldChar w:fldCharType="end"/>
      </w:r>
      <w:r w:rsidR="00D81C74" w:rsidRPr="00237510">
        <w:rPr>
          <w:lang w:eastAsia="en-US"/>
        </w:rPr>
        <w:t>).</w:t>
      </w:r>
    </w:p>
    <w:p w14:paraId="58A13116" w14:textId="5B91E75E" w:rsidR="00A77211" w:rsidRPr="00237510" w:rsidRDefault="00A77211" w:rsidP="00D81C74">
      <w:pPr>
        <w:ind w:left="61"/>
        <w:rPr>
          <w:lang w:eastAsia="en-US"/>
        </w:rPr>
      </w:pPr>
      <w:r w:rsidRPr="00237510">
        <w:rPr>
          <w:i/>
          <w:iCs/>
          <w:lang w:eastAsia="en-US"/>
        </w:rPr>
        <w:t>Duration of inundation</w:t>
      </w:r>
      <w:r w:rsidRPr="00237510">
        <w:rPr>
          <w:lang w:eastAsia="en-US"/>
        </w:rPr>
        <w:t xml:space="preserve"> – is important for plants and animals that require the presence of surface water to complete reproductive cycles (i.e. to grow, flower, and set seed, or to nest and fledge). For example, growling grass frogs require extended durations of inundation, particularly in cooler climates as they have a long larval stage </w:t>
      </w:r>
      <w:r w:rsidRPr="00237510">
        <w:rPr>
          <w:lang w:eastAsia="en-US"/>
        </w:rPr>
        <w:fldChar w:fldCharType="begin"/>
      </w:r>
      <w:r w:rsidRPr="00237510">
        <w:rPr>
          <w:lang w:eastAsia="en-US"/>
        </w:rPr>
        <w:instrText xml:space="preserve"> ADDIN ZOTERO_ITEM CSL_CITATION {"citationID":"twvuxKdl","properties":{"formattedCitation":"(Clemann and Gillespie 2012)","plainCitation":"(Clemann and Gillespie 2012)","noteIndex":0},"citationItems":[{"id":4471,"uris":["http://zotero.org/users/2336876/items/5JYMTW4F"],"uri":["http://zotero.org/users/2336876/items/5JYMTW4F"],"itemData":{"id":4471,"type":"article-journal","container-title":"Department of Sustainability and Environment, Melbourne","source":"Google Scholar","title":"National recovery plan for the southern bell frog Litoria raniformis","author":[{"family":"Clemann","given":"Nick"},{"family":"Gillespie","given":"Graeme R."}],"issued":{"date-parts":[["2012"]]}}}],"schema":"https://github.com/citation-style-language/schema/raw/master/csl-citation.json"} </w:instrText>
      </w:r>
      <w:r w:rsidRPr="00237510">
        <w:rPr>
          <w:lang w:eastAsia="en-US"/>
        </w:rPr>
        <w:fldChar w:fldCharType="separate"/>
      </w:r>
      <w:r w:rsidRPr="00237510">
        <w:rPr>
          <w:lang w:eastAsia="en-US"/>
        </w:rPr>
        <w:t>(Clemann and Gillespie 2012)</w:t>
      </w:r>
      <w:r w:rsidRPr="00237510">
        <w:rPr>
          <w:lang w:eastAsia="en-US"/>
        </w:rPr>
        <w:fldChar w:fldCharType="end"/>
      </w:r>
      <w:r w:rsidRPr="00237510">
        <w:rPr>
          <w:lang w:eastAsia="en-US"/>
        </w:rPr>
        <w:t>.</w:t>
      </w:r>
    </w:p>
    <w:p w14:paraId="0765E16F" w14:textId="56C9F228" w:rsidR="00D81C74" w:rsidRPr="00237510" w:rsidRDefault="00D81C74" w:rsidP="00D81C74">
      <w:pPr>
        <w:rPr>
          <w:lang w:eastAsia="en-US"/>
        </w:rPr>
      </w:pPr>
      <w:r>
        <w:rPr>
          <w:noProof/>
        </w:rPr>
        <w:drawing>
          <wp:inline distT="0" distB="0" distL="0" distR="0" wp14:anchorId="276767C9" wp14:editId="192951A9">
            <wp:extent cx="5087566" cy="1700100"/>
            <wp:effectExtent l="0" t="0" r="5715" b="1905"/>
            <wp:docPr id="59" name="Picture 59" descr="Ecosystem diagram showing the effect of elevation and duration of inundation on the zonation of wetland plants, including (from lower to higher elevation) obligate aquatic, faculative aquatic, flood-tolerant terrestrial, and flood intolerant terrestrial spec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pic:nvPicPr>
                  <pic:blipFill>
                    <a:blip r:embed="rId55" cstate="email">
                      <a:extLst>
                        <a:ext uri="{28A0092B-C50C-407E-A947-70E740481C1C}">
                          <a14:useLocalDpi xmlns:a14="http://schemas.microsoft.com/office/drawing/2010/main"/>
                        </a:ext>
                      </a:extLst>
                    </a:blip>
                    <a:stretch>
                      <a:fillRect/>
                    </a:stretch>
                  </pic:blipFill>
                  <pic:spPr>
                    <a:xfrm>
                      <a:off x="0" y="0"/>
                      <a:ext cx="5087566" cy="1700100"/>
                    </a:xfrm>
                    <a:prstGeom prst="rect">
                      <a:avLst/>
                    </a:prstGeom>
                  </pic:spPr>
                </pic:pic>
              </a:graphicData>
            </a:graphic>
          </wp:inline>
        </w:drawing>
      </w:r>
    </w:p>
    <w:p w14:paraId="1C5BBFFA" w14:textId="4F6C89B8" w:rsidR="00D81C74" w:rsidRPr="00237510" w:rsidRDefault="00D81C74" w:rsidP="00D81C74">
      <w:pPr>
        <w:pStyle w:val="Caption"/>
        <w:rPr>
          <w:lang w:eastAsia="en-US"/>
        </w:rPr>
      </w:pPr>
      <w:bookmarkStart w:id="54" w:name="_Ref41211197"/>
      <w:r w:rsidRPr="00237510">
        <w:t xml:space="preserve">Figure </w:t>
      </w:r>
      <w:r>
        <w:fldChar w:fldCharType="begin"/>
      </w:r>
      <w:r>
        <w:instrText>SEQ Figure \* ARABIC</w:instrText>
      </w:r>
      <w:r>
        <w:fldChar w:fldCharType="separate"/>
      </w:r>
      <w:r w:rsidR="00DE4513">
        <w:rPr>
          <w:noProof/>
        </w:rPr>
        <w:t>26</w:t>
      </w:r>
      <w:r>
        <w:fldChar w:fldCharType="end"/>
      </w:r>
      <w:bookmarkEnd w:id="54"/>
      <w:r w:rsidRPr="00237510">
        <w:t xml:space="preserve">: Effect of elevation and duration of inundation on the zonation of wetland plants </w:t>
      </w:r>
      <w:r w:rsidRPr="00237510">
        <w:fldChar w:fldCharType="begin"/>
      </w:r>
      <w:r w:rsidRPr="00237510">
        <w:instrText xml:space="preserve"> ADDIN ZOTERO_ITEM CSL_CITATION {"citationID":"PgLgGZIc","properties":{"formattedCitation":"(adapted from Brock and Casanova 1997)","plainCitation":"(adapted from Brock and Casanova 1997)","noteIndex":0},"citationItems":[{"id":1783,"uris":["http://zotero.org/users/2336876/items/FKNMDDG4"],"uri":["http://zotero.org/users/2336876/items/FKNMDDG4"],"itemData":{"id":1783,"type":"chapter","container-title":"Frontiers in Ecology: Building the Links","event-place":"Oxford","page":"181-192","publisher":"Elsevier Science","publisher-place":"Oxford","title":"Plant life at the edge of wetlands: ecological responses to wetting and drying patterns","author":[{"family":"Brock","given":"M. A."},{"family":"Casanova","given":"M.T."}],"editor":[{"family":"Klomp","given":"N."},{"family":"Lunt","given":""}],"issued":{"date-parts":[["1997"]]}},"prefix":"adapted from"}],"schema":"https://github.com/citation-style-language/schema/raw/master/csl-citation.json"} </w:instrText>
      </w:r>
      <w:r w:rsidRPr="00237510">
        <w:fldChar w:fldCharType="separate"/>
      </w:r>
      <w:r w:rsidRPr="00237510">
        <w:t>(adapted from Brock and Casanova 1997)</w:t>
      </w:r>
      <w:r w:rsidRPr="00237510">
        <w:fldChar w:fldCharType="end"/>
      </w:r>
      <w:r w:rsidRPr="00237510">
        <w:t>.</w:t>
      </w:r>
    </w:p>
    <w:p w14:paraId="4315E889" w14:textId="39AA926B" w:rsidR="00A77211" w:rsidRPr="00237510" w:rsidRDefault="00A77211" w:rsidP="00D81C74">
      <w:pPr>
        <w:ind w:left="61"/>
        <w:rPr>
          <w:lang w:eastAsia="en-US"/>
        </w:rPr>
      </w:pPr>
      <w:r w:rsidRPr="00237510">
        <w:rPr>
          <w:i/>
          <w:iCs/>
          <w:lang w:eastAsia="en-US"/>
        </w:rPr>
        <w:t xml:space="preserve">Season of flooding </w:t>
      </w:r>
      <w:r w:rsidRPr="00237510">
        <w:rPr>
          <w:lang w:eastAsia="en-US"/>
        </w:rPr>
        <w:t xml:space="preserve">– </w:t>
      </w:r>
      <w:r w:rsidR="00B141DB" w:rsidRPr="00237510">
        <w:rPr>
          <w:lang w:eastAsia="en-US"/>
        </w:rPr>
        <w:t>season of inundation is important mostly due to seasonal effects on temperature. Inundation in spring, as temperatures are warming</w:t>
      </w:r>
      <w:r w:rsidR="0090073A" w:rsidRPr="00237510">
        <w:rPr>
          <w:lang w:eastAsia="en-US"/>
        </w:rPr>
        <w:t>,</w:t>
      </w:r>
      <w:r w:rsidR="00B141DB" w:rsidRPr="00237510">
        <w:rPr>
          <w:lang w:eastAsia="en-US"/>
        </w:rPr>
        <w:t xml:space="preserve"> speeds physiological processes. Productivity is higher in warmer temperatures and some species of plant have germination temperature thresholds </w:t>
      </w:r>
      <w:r w:rsidR="00B141DB" w:rsidRPr="00237510">
        <w:rPr>
          <w:lang w:eastAsia="en-US"/>
        </w:rPr>
        <w:fldChar w:fldCharType="begin"/>
      </w:r>
      <w:r w:rsidR="00B141DB" w:rsidRPr="00237510">
        <w:rPr>
          <w:lang w:eastAsia="en-US"/>
        </w:rPr>
        <w:instrText xml:space="preserve"> ADDIN ZOTERO_ITEM CSL_CITATION {"citationID":"ekyu5R7z","properties":{"formattedCitation":"(Roberts and Marston 2011)","plainCitation":"(Roberts and Marston 2011)","noteIndex":0},"citationItems":[{"id":435,"uris":["http://zotero.org/users/2336876/items/JUJ2XN6Q"],"uri":["http://zotero.org/users/2336876/items/JUJ2XN6Q"],"itemData":{"id":435,"type":"book","event-place":"Canberra","ISBN":"978-1-921853-03-6","language":"English","publisher":"National Water Commission","publisher-place":"Canberra","source":"Open WorldCat","title":"Water regime for wetland and floodplain plants : a source book for the Murray-Darling Basin","title-short":"Water regime for wetland and floodplain plants","author":[{"family":"Roberts","given":"Jane"},{"family":"Marston","given":"Frances"}],"issued":{"date-parts":[["2011"]]}}}],"schema":"https://github.com/citation-style-language/schema/raw/master/csl-citation.json"} </w:instrText>
      </w:r>
      <w:r w:rsidR="00B141DB" w:rsidRPr="00237510">
        <w:rPr>
          <w:lang w:eastAsia="en-US"/>
        </w:rPr>
        <w:fldChar w:fldCharType="separate"/>
      </w:r>
      <w:r w:rsidR="00B141DB" w:rsidRPr="00237510">
        <w:rPr>
          <w:lang w:eastAsia="en-US"/>
        </w:rPr>
        <w:t>(Roberts and Marston 2011)</w:t>
      </w:r>
      <w:r w:rsidR="00B141DB" w:rsidRPr="00237510">
        <w:rPr>
          <w:lang w:eastAsia="en-US"/>
        </w:rPr>
        <w:fldChar w:fldCharType="end"/>
      </w:r>
      <w:r w:rsidR="00B141DB" w:rsidRPr="00237510">
        <w:rPr>
          <w:lang w:eastAsia="en-US"/>
        </w:rPr>
        <w:t xml:space="preserve"> </w:t>
      </w:r>
      <w:r w:rsidR="0090073A" w:rsidRPr="00237510">
        <w:rPr>
          <w:lang w:eastAsia="en-US"/>
        </w:rPr>
        <w:t>Aseasonal</w:t>
      </w:r>
      <w:r w:rsidR="00B141DB" w:rsidRPr="00237510">
        <w:rPr>
          <w:lang w:eastAsia="en-US"/>
        </w:rPr>
        <w:t xml:space="preserve"> inundation has proven to be determinantal to some wetland species </w:t>
      </w:r>
      <w:r w:rsidR="0090073A" w:rsidRPr="00237510">
        <w:rPr>
          <w:lang w:eastAsia="en-US"/>
        </w:rPr>
        <w:t>for</w:t>
      </w:r>
      <w:r w:rsidR="00B141DB" w:rsidRPr="00237510">
        <w:rPr>
          <w:lang w:eastAsia="en-US"/>
        </w:rPr>
        <w:t xml:space="preserve"> example, spring inundation has been shown to improve frog recruitment success, compared to inundation in winter </w:t>
      </w:r>
      <w:r w:rsidR="00B141DB" w:rsidRPr="00237510">
        <w:rPr>
          <w:lang w:eastAsia="en-US"/>
        </w:rPr>
        <w:fldChar w:fldCharType="begin"/>
      </w:r>
      <w:r w:rsidR="00B141DB" w:rsidRPr="00237510">
        <w:rPr>
          <w:lang w:eastAsia="en-US"/>
        </w:rPr>
        <w:instrText xml:space="preserve"> ADDIN ZOTERO_ITEM CSL_CITATION {"citationID":"HGfYtONs","properties":{"formattedCitation":"(Wassens et al. 2017)","plainCitation":"(Wassens et al. 2017)","noteIndex":0},"citationItems":[{"id":4286,"uris":["http://zotero.org/users/2336876/items/NJDA223D"],"uri":["http://zotero.org/users/2336876/items/NJDA223D"],"itemData":{"id":4286,"type":"book","event-place":"Canberra, ACT","publisher":"Commonwealth of Australia","publisher-place":"Canberra, ACT","title":"Commonwealth Environmental Water Office Long-Term Intervention Monitoring project Murrumbidgee River system Selected Area evaluation report, 2014-17. December 2017","author":[{"family":"Wassens","given":"S."},{"family":"Spencer","given":"J."},{"family":"Wolfenden","given":"B."},{"family":"Thiem","given":"J."},{"family":"Thomas","given":"R."},{"family":"Jenkins","given":"K."},{"family":"Brandis","given":"K."},{"family":"Lenon","given":"E."},{"family":"Hall","given":"A."},{"family":"Ocock","given":"J. F."},{"family":"Kobayashi","given":"T."},{"family":"Bino","given":"G."},{"family":"Heath","given":"J."},{"family":"Callaghan","given":"D."}],"issued":{"date-parts":[["2017"]]}}}],"schema":"https://github.com/citation-style-language/schema/raw/master/csl-citation.json"} </w:instrText>
      </w:r>
      <w:r w:rsidR="00B141DB" w:rsidRPr="00237510">
        <w:rPr>
          <w:lang w:eastAsia="en-US"/>
        </w:rPr>
        <w:fldChar w:fldCharType="separate"/>
      </w:r>
      <w:r w:rsidR="00B141DB" w:rsidRPr="00237510">
        <w:rPr>
          <w:lang w:eastAsia="en-US"/>
        </w:rPr>
        <w:t>(Wassens et al. 2017)</w:t>
      </w:r>
      <w:r w:rsidR="00B141DB" w:rsidRPr="00237510">
        <w:rPr>
          <w:lang w:eastAsia="en-US"/>
        </w:rPr>
        <w:fldChar w:fldCharType="end"/>
      </w:r>
      <w:r w:rsidR="00B141DB" w:rsidRPr="00237510">
        <w:rPr>
          <w:lang w:eastAsia="en-US"/>
        </w:rPr>
        <w:t>.</w:t>
      </w:r>
    </w:p>
    <w:p w14:paraId="60101F3A" w14:textId="5F74D470" w:rsidR="00073B99" w:rsidRPr="00237510" w:rsidRDefault="00B141DB" w:rsidP="00D81C74">
      <w:pPr>
        <w:ind w:left="61"/>
        <w:rPr>
          <w:lang w:eastAsia="en-US"/>
        </w:rPr>
      </w:pPr>
      <w:r w:rsidRPr="00237510">
        <w:rPr>
          <w:i/>
          <w:iCs/>
          <w:lang w:eastAsia="en-US"/>
        </w:rPr>
        <w:t xml:space="preserve">Rate of rise or fall </w:t>
      </w:r>
      <w:r w:rsidRPr="00237510">
        <w:rPr>
          <w:lang w:eastAsia="en-US"/>
        </w:rPr>
        <w:t>- rapidly rising water levels can drown out aquatic plants before they can grow to keep leaves or stems above the water line. Rapid rates of fall can prevent the completion of lifecycle stages such as storing of energy in underground vegetated states, fledging of waterbirds, metamorphosis of tadpoles to adult frogs, or movement of fish back into the river system.</w:t>
      </w:r>
    </w:p>
    <w:p w14:paraId="2006B7C3" w14:textId="259F430C" w:rsidR="00073B99" w:rsidRPr="00237510" w:rsidRDefault="00073B99" w:rsidP="00D81C74">
      <w:pPr>
        <w:ind w:left="61"/>
        <w:rPr>
          <w:lang w:eastAsia="en-US"/>
        </w:rPr>
      </w:pPr>
      <w:r w:rsidRPr="00237510">
        <w:rPr>
          <w:i/>
          <w:iCs/>
          <w:lang w:eastAsia="en-US"/>
        </w:rPr>
        <w:t xml:space="preserve">Magnitude of inundation </w:t>
      </w:r>
      <w:r w:rsidRPr="00237510">
        <w:rPr>
          <w:lang w:eastAsia="en-US"/>
        </w:rPr>
        <w:t xml:space="preserve">– the extent and force of an inundation event is particularly important for the Lower Latrobe Wetlands, where wetland beds are </w:t>
      </w:r>
      <w:r w:rsidR="00237510">
        <w:rPr>
          <w:lang w:eastAsia="en-US"/>
        </w:rPr>
        <w:t>low</w:t>
      </w:r>
      <w:r w:rsidRPr="00237510">
        <w:rPr>
          <w:lang w:eastAsia="en-US"/>
        </w:rPr>
        <w:t>, requiring large flows to flush the system. This means, that in the absence of large flood events, salts, and nutrients accumulate.</w:t>
      </w:r>
    </w:p>
    <w:p w14:paraId="384EC955" w14:textId="45D4B760" w:rsidR="00073B99" w:rsidRPr="00237510" w:rsidRDefault="00B141DB" w:rsidP="00D81C74">
      <w:pPr>
        <w:ind w:left="61"/>
        <w:rPr>
          <w:lang w:eastAsia="en-US"/>
        </w:rPr>
      </w:pPr>
      <w:r w:rsidRPr="00237510">
        <w:rPr>
          <w:i/>
          <w:iCs/>
          <w:lang w:eastAsia="en-US"/>
        </w:rPr>
        <w:t xml:space="preserve">Period of dry </w:t>
      </w:r>
      <w:r w:rsidRPr="00237510">
        <w:rPr>
          <w:lang w:eastAsia="en-US"/>
        </w:rPr>
        <w:t xml:space="preserve">– many wetland biota and ecological processes are reliant on a dry phase. Several species of wetland plant require dry periods to survive (e.g. aeriation of soils for floodplain and riparian trees Roberts and Marston 2011) or to reproduce sexually (e.g. swamp paperbark; </w:t>
      </w:r>
      <w:r w:rsidR="00073B99" w:rsidRPr="00237510">
        <w:rPr>
          <w:lang w:eastAsia="en-US"/>
        </w:rPr>
        <w:t>Salter et al. 2007). Extended periods of dry conditions can also cause impacts. For example, the native species giant rush (</w:t>
      </w:r>
      <w:r w:rsidR="00073B99" w:rsidRPr="00237510">
        <w:rPr>
          <w:i/>
          <w:iCs/>
          <w:lang w:eastAsia="en-US"/>
        </w:rPr>
        <w:t>Juncus ingens</w:t>
      </w:r>
      <w:r w:rsidR="00073B99" w:rsidRPr="00237510">
        <w:rPr>
          <w:lang w:eastAsia="en-US"/>
        </w:rPr>
        <w:t xml:space="preserve">) can become invasive under prolonged dry conditions </w:t>
      </w:r>
      <w:r w:rsidR="00073B99" w:rsidRPr="00237510">
        <w:rPr>
          <w:lang w:eastAsia="en-US"/>
        </w:rPr>
        <w:fldChar w:fldCharType="begin"/>
      </w:r>
      <w:r w:rsidR="00073B99" w:rsidRPr="00237510">
        <w:rPr>
          <w:lang w:eastAsia="en-US"/>
        </w:rPr>
        <w:instrText xml:space="preserve"> ADDIN ZOTERO_ITEM CSL_CITATION {"citationID":"5wNfUmUX","properties":{"formattedCitation":"(Mayence et al. 2010)","plainCitation":"(Mayence et al. 2010)","noteIndex":0},"citationItems":[{"id":4466,"uris":["http://zotero.org/users/2336876/items/D8FVYF47"],"uri":["http://zotero.org/users/2336876/items/D8FVYF47"],"itemData":{"id":4466,"type":"article-journal","container-title":"Wetlands Ecology and Management","issue":"6","page":"717–730","source":"Google Scholar","title":"Hydrologic and mechanical control for an invasive wetland plant, Juncus ingens, and implications for rehabilitating and managing Murray River floodplain wetlands, Australia","volume":"18","author":[{"family":"Mayence","given":"C. Ellery"},{"family":"Marshall","given":"David J."},{"family":"Godfree","given":"Robert C."}],"issued":{"date-parts":[["2010"]]}}}],"schema":"https://github.com/citation-style-language/schema/raw/master/csl-citation.json"} </w:instrText>
      </w:r>
      <w:r w:rsidR="00073B99" w:rsidRPr="00237510">
        <w:rPr>
          <w:lang w:eastAsia="en-US"/>
        </w:rPr>
        <w:fldChar w:fldCharType="separate"/>
      </w:r>
      <w:r w:rsidR="00073B99" w:rsidRPr="00237510">
        <w:rPr>
          <w:lang w:eastAsia="en-US"/>
        </w:rPr>
        <w:t>(Mayence et al. 2010)</w:t>
      </w:r>
      <w:r w:rsidR="00073B99" w:rsidRPr="00237510">
        <w:rPr>
          <w:lang w:eastAsia="en-US"/>
        </w:rPr>
        <w:fldChar w:fldCharType="end"/>
      </w:r>
      <w:r w:rsidR="00073B99" w:rsidRPr="00237510">
        <w:rPr>
          <w:lang w:eastAsia="en-US"/>
        </w:rPr>
        <w:t xml:space="preserve">. Prolonged periods of dry and disturbance of wetland sediments can lead to the acidic condition upon re-wetting when acid </w:t>
      </w:r>
      <w:r w:rsidR="00336EFB" w:rsidRPr="00237510">
        <w:rPr>
          <w:lang w:eastAsia="en-US"/>
        </w:rPr>
        <w:t>sulfate</w:t>
      </w:r>
      <w:r w:rsidR="00073B99" w:rsidRPr="00237510">
        <w:rPr>
          <w:lang w:eastAsia="en-US"/>
        </w:rPr>
        <w:t xml:space="preserve"> soils are present. There is evidence of acid </w:t>
      </w:r>
      <w:r w:rsidR="00336EFB" w:rsidRPr="00237510">
        <w:rPr>
          <w:lang w:eastAsia="en-US"/>
        </w:rPr>
        <w:t>sulfate</w:t>
      </w:r>
      <w:r w:rsidR="00073B99" w:rsidRPr="00237510">
        <w:rPr>
          <w:lang w:eastAsia="en-US"/>
        </w:rPr>
        <w:t xml:space="preserve"> soils in both Heart and Dowd Morass, with periods of acidity common after long dry conditions </w:t>
      </w:r>
      <w:r w:rsidR="00073B99" w:rsidRPr="00237510">
        <w:rPr>
          <w:lang w:eastAsia="en-US"/>
        </w:rPr>
        <w:fldChar w:fldCharType="begin"/>
      </w:r>
      <w:r w:rsidR="00073B99" w:rsidRPr="00237510">
        <w:rPr>
          <w:lang w:eastAsia="en-US"/>
        </w:rPr>
        <w:instrText xml:space="preserve"> ADDIN ZOTERO_ITEM CSL_CITATION {"citationID":"Z8cuanxv","properties":{"formattedCitation":"(Taylor 2011, Unland 2015)","plainCitation":"(Taylor 2011, Unland 2015)","noteIndex":0},"citationItems":[{"id":2364,"uris":["http://zotero.org/users/2336876/items/W2WDMJDM"],"uri":["http://zotero.org/users/2336876/items/W2WDMJDM"],"itemData":{"id":2364,"type":"book","event-place":"Clayton, Victoria","publisher":"Monash University","publisher-place":"Clayton, Victoria","title":"The current status of acid sulfate soils, their severity and associated environmental implications from the Heart Morass and Dowd Morass, West Gippsland, Victoria","author":[{"family":"Taylor","given":"H.L."}],"issued":{"date-parts":[["2011"]]}}},{"id":4800,"uris":["http://zotero.org/users/2336876/items/UNV9IHNQ"],"uri":["http://zotero.org/users/2336876/items/UNV9IHNQ"],"itemData":{"id":4800,"type":"book","event-place":"Adelaide, SA","publisher":"Jacobs Group Australia","publisher-place":"Adelaide, SA","title":"Engineering options for the Gippsland Lakes","author":[{"family":"Unland","given":"N.P."}],"issued":{"date-parts":[["2015"]]}}}],"schema":"https://github.com/citation-style-language/schema/raw/master/csl-citation.json"} </w:instrText>
      </w:r>
      <w:r w:rsidR="00073B99" w:rsidRPr="00237510">
        <w:rPr>
          <w:lang w:eastAsia="en-US"/>
        </w:rPr>
        <w:fldChar w:fldCharType="separate"/>
      </w:r>
      <w:r w:rsidR="00073B99" w:rsidRPr="00237510">
        <w:rPr>
          <w:lang w:eastAsia="en-US"/>
        </w:rPr>
        <w:t>(Taylor 2011, Unland 2015)</w:t>
      </w:r>
      <w:r w:rsidR="00073B99" w:rsidRPr="00237510">
        <w:rPr>
          <w:lang w:eastAsia="en-US"/>
        </w:rPr>
        <w:fldChar w:fldCharType="end"/>
      </w:r>
      <w:r w:rsidR="00073B99" w:rsidRPr="00237510">
        <w:rPr>
          <w:lang w:eastAsia="en-US"/>
        </w:rPr>
        <w:t>.</w:t>
      </w:r>
    </w:p>
    <w:tbl>
      <w:tblPr>
        <w:tblStyle w:val="TableGrid"/>
        <w:tblW w:w="0" w:type="auto"/>
        <w:tblInd w:w="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40"/>
        <w:gridCol w:w="2988"/>
      </w:tblGrid>
      <w:tr w:rsidR="00FA5D34" w:rsidRPr="00237510" w14:paraId="01263086" w14:textId="77777777" w:rsidTr="0090073A">
        <w:tc>
          <w:tcPr>
            <w:tcW w:w="4389" w:type="dxa"/>
            <w:tcMar>
              <w:left w:w="0" w:type="dxa"/>
              <w:right w:w="0" w:type="dxa"/>
            </w:tcMar>
          </w:tcPr>
          <w:p w14:paraId="62FAEBAC" w14:textId="28E6C253" w:rsidR="0090073A" w:rsidRPr="00237510" w:rsidRDefault="0090073A" w:rsidP="00D81C74">
            <w:pPr>
              <w:rPr>
                <w:lang w:val="en-AU" w:eastAsia="en-US"/>
              </w:rPr>
            </w:pPr>
            <w:r>
              <w:rPr>
                <w:noProof/>
              </w:rPr>
              <w:drawing>
                <wp:inline distT="0" distB="0" distL="0" distR="0" wp14:anchorId="37B9C138" wp14:editId="43364AA3">
                  <wp:extent cx="3644628" cy="2733574"/>
                  <wp:effectExtent l="0" t="0" r="635" b="0"/>
                  <wp:docPr id="62" name="Picture 62" descr="Zonation of wetland plants at Sale Common, with submerged macrophytes in the foreground, emergent species further back and grading to flood tolerant speci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56" cstate="email">
                            <a:extLst>
                              <a:ext uri="{28A0092B-C50C-407E-A947-70E740481C1C}">
                                <a14:useLocalDpi xmlns:a14="http://schemas.microsoft.com/office/drawing/2010/main"/>
                              </a:ext>
                            </a:extLst>
                          </a:blip>
                          <a:stretch>
                            <a:fillRect/>
                          </a:stretch>
                        </pic:blipFill>
                        <pic:spPr>
                          <a:xfrm>
                            <a:off x="0" y="0"/>
                            <a:ext cx="3644628" cy="2733574"/>
                          </a:xfrm>
                          <a:prstGeom prst="rect">
                            <a:avLst/>
                          </a:prstGeom>
                        </pic:spPr>
                      </pic:pic>
                    </a:graphicData>
                  </a:graphic>
                </wp:inline>
              </w:drawing>
            </w:r>
          </w:p>
        </w:tc>
        <w:tc>
          <w:tcPr>
            <w:tcW w:w="4390" w:type="dxa"/>
            <w:tcMar>
              <w:left w:w="108" w:type="dxa"/>
              <w:right w:w="0" w:type="dxa"/>
            </w:tcMar>
            <w:vAlign w:val="bottom"/>
          </w:tcPr>
          <w:p w14:paraId="4F300B16" w14:textId="50A7FA48" w:rsidR="0090073A" w:rsidRPr="00237510" w:rsidRDefault="0090073A" w:rsidP="0090073A">
            <w:pPr>
              <w:pStyle w:val="Caption"/>
              <w:rPr>
                <w:i w:val="0"/>
                <w:iCs/>
                <w:lang w:val="en-AU" w:eastAsia="en-US"/>
              </w:rPr>
            </w:pPr>
            <w:r w:rsidRPr="00237510">
              <w:rPr>
                <w:i w:val="0"/>
                <w:iCs/>
                <w:color w:val="000000" w:themeColor="text1"/>
                <w:lang w:val="en-AU" w:eastAsia="en-US"/>
              </w:rPr>
              <w:t>Zonation of wetland plants at Sale Common, with submerged macrophytes in the foreground, emergent species further back and grading to flood tolerant species in the background (photo: West Gippsland CMA).</w:t>
            </w:r>
          </w:p>
        </w:tc>
      </w:tr>
    </w:tbl>
    <w:p w14:paraId="5D4E238D" w14:textId="1FED4483" w:rsidR="008B39C3" w:rsidRPr="00237510" w:rsidRDefault="008B39C3" w:rsidP="008B39C3">
      <w:pPr>
        <w:pStyle w:val="Heading1"/>
      </w:pPr>
      <w:bookmarkStart w:id="55" w:name="_Toc42001390"/>
      <w:r w:rsidRPr="00237510">
        <w:t>Environmental effects assessment</w:t>
      </w:r>
      <w:bookmarkEnd w:id="55"/>
    </w:p>
    <w:p w14:paraId="1D3AC9BF" w14:textId="517539F4" w:rsidR="008B39C3" w:rsidRPr="00237510" w:rsidRDefault="008B39C3" w:rsidP="008B39C3">
      <w:pPr>
        <w:pStyle w:val="Heading2"/>
      </w:pPr>
      <w:bookmarkStart w:id="56" w:name="_Toc42001391"/>
      <w:r w:rsidRPr="00237510">
        <w:t>Current operations</w:t>
      </w:r>
      <w:bookmarkEnd w:id="56"/>
    </w:p>
    <w:p w14:paraId="7AA6ECDC" w14:textId="345BC147" w:rsidR="008B39C3" w:rsidRPr="00237510" w:rsidRDefault="008B39C3" w:rsidP="008B39C3">
      <w:pPr>
        <w:rPr>
          <w:lang w:eastAsia="en-US"/>
        </w:rPr>
      </w:pPr>
      <w:r w:rsidRPr="00237510">
        <w:rPr>
          <w:lang w:eastAsia="en-US"/>
        </w:rPr>
        <w:t xml:space="preserve">The mines and power stations of the Latrobe Valley have significant interactions with the rivers of the region.  The generation of electricity requires large volumes of good quality water. Water is used in </w:t>
      </w:r>
      <w:r w:rsidRPr="00237510">
        <w:rPr>
          <w:lang w:eastAsia="en-US"/>
        </w:rPr>
        <w:fldChar w:fldCharType="begin"/>
      </w:r>
      <w:r w:rsidR="00E11576" w:rsidRPr="00237510">
        <w:rPr>
          <w:lang w:eastAsia="en-US"/>
        </w:rPr>
        <w:instrText xml:space="preserve"> ADDIN ZOTERO_ITEM CSL_CITATION {"citationID":"XcMkAaxz","properties":{"formattedCitation":"(Smart and Aspinall 2009)","plainCitation":"(Smart and Aspinall 2009)","noteIndex":0},"citationItems":[{"id":4460,"uris":["http://zotero.org/users/2336876/items/H2SF8FPS"],"uri":["http://zotero.org/users/2336876/items/H2SF8FPS"],"itemData":{"id":4460,"type":"book","event-place":"Canberra","ISBN":"978-1-921107-78-8","language":"English","note":"OCLC: 682915999","publisher":"National Water Commission","publisher-place":"Canberra","source":"Open WorldCat","title":"Water and the electricity generation industry: implications of use","title-short":"Water and the electricity generation industry","author":[{"family":"Smart","given":"Alan"},{"family":"Aspinall","given":"Adam"}],"issued":{"date-parts":[["2009"]]}}}],"schema":"https://github.com/citation-style-language/schema/raw/master/csl-citation.json"} </w:instrText>
      </w:r>
      <w:r w:rsidRPr="00237510">
        <w:rPr>
          <w:lang w:eastAsia="en-US"/>
        </w:rPr>
        <w:fldChar w:fldCharType="separate"/>
      </w:r>
      <w:r w:rsidRPr="00237510">
        <w:rPr>
          <w:lang w:eastAsia="en-US"/>
        </w:rPr>
        <w:t>(Smart and Aspinall 2009)</w:t>
      </w:r>
      <w:r w:rsidRPr="00237510">
        <w:rPr>
          <w:lang w:eastAsia="en-US"/>
        </w:rPr>
        <w:fldChar w:fldCharType="end"/>
      </w:r>
      <w:r w:rsidRPr="00237510">
        <w:rPr>
          <w:lang w:eastAsia="en-US"/>
        </w:rPr>
        <w:t>:</w:t>
      </w:r>
    </w:p>
    <w:p w14:paraId="70D9AD87" w14:textId="77777777" w:rsidR="008B39C3" w:rsidRPr="00237510" w:rsidRDefault="008B39C3" w:rsidP="008B39C3">
      <w:pPr>
        <w:pStyle w:val="ListParagraph"/>
        <w:numPr>
          <w:ilvl w:val="0"/>
          <w:numId w:val="18"/>
        </w:numPr>
        <w:rPr>
          <w:lang w:eastAsia="en-US"/>
        </w:rPr>
      </w:pPr>
      <w:r w:rsidRPr="00237510">
        <w:rPr>
          <w:lang w:eastAsia="en-US"/>
        </w:rPr>
        <w:t>the boiler for steam raising</w:t>
      </w:r>
    </w:p>
    <w:p w14:paraId="69E30CC0" w14:textId="77777777" w:rsidR="008B39C3" w:rsidRPr="00237510" w:rsidRDefault="008B39C3" w:rsidP="008B39C3">
      <w:pPr>
        <w:pStyle w:val="ListParagraph"/>
        <w:numPr>
          <w:ilvl w:val="0"/>
          <w:numId w:val="18"/>
        </w:numPr>
        <w:rPr>
          <w:lang w:eastAsia="en-US"/>
        </w:rPr>
      </w:pPr>
      <w:r w:rsidRPr="00237510">
        <w:rPr>
          <w:lang w:eastAsia="en-US"/>
        </w:rPr>
        <w:t>the cooling system</w:t>
      </w:r>
    </w:p>
    <w:p w14:paraId="466D1391" w14:textId="77777777" w:rsidR="008B39C3" w:rsidRPr="00237510" w:rsidRDefault="008B39C3" w:rsidP="008B39C3">
      <w:pPr>
        <w:pStyle w:val="ListParagraph"/>
        <w:numPr>
          <w:ilvl w:val="0"/>
          <w:numId w:val="18"/>
        </w:numPr>
        <w:rPr>
          <w:lang w:eastAsia="en-US"/>
        </w:rPr>
      </w:pPr>
      <w:r w:rsidRPr="00237510">
        <w:rPr>
          <w:lang w:eastAsia="en-US"/>
        </w:rPr>
        <w:t>managing and disposing of ash</w:t>
      </w:r>
    </w:p>
    <w:p w14:paraId="61947824" w14:textId="77777777" w:rsidR="008B39C3" w:rsidRPr="00237510" w:rsidRDefault="008B39C3" w:rsidP="008B39C3">
      <w:pPr>
        <w:pStyle w:val="ListParagraph"/>
        <w:numPr>
          <w:ilvl w:val="0"/>
          <w:numId w:val="18"/>
        </w:numPr>
        <w:rPr>
          <w:lang w:eastAsia="en-US"/>
        </w:rPr>
      </w:pPr>
      <w:r w:rsidRPr="00237510">
        <w:rPr>
          <w:lang w:eastAsia="en-US"/>
        </w:rPr>
        <w:t>services and potable water supplies.</w:t>
      </w:r>
    </w:p>
    <w:p w14:paraId="17D1EE73" w14:textId="384F8E76" w:rsidR="008B39C3" w:rsidRPr="00237510" w:rsidRDefault="00237510" w:rsidP="008B39C3">
      <w:pPr>
        <w:rPr>
          <w:lang w:eastAsia="en-US"/>
        </w:rPr>
      </w:pPr>
      <w:r w:rsidRPr="000E66AE">
        <w:rPr>
          <w:lang w:eastAsia="en-US"/>
        </w:rPr>
        <w:t xml:space="preserve">The water arrangements for the brown coal-fired plants included in the mine rehabilitation assessment are summarised in </w:t>
      </w:r>
      <w:r w:rsidRPr="000E66AE">
        <w:rPr>
          <w:lang w:eastAsia="en-US"/>
        </w:rPr>
        <w:fldChar w:fldCharType="begin"/>
      </w:r>
      <w:r w:rsidRPr="000E66AE">
        <w:rPr>
          <w:lang w:eastAsia="en-US"/>
        </w:rPr>
        <w:instrText xml:space="preserve"> REF _Ref536870013 \h </w:instrText>
      </w:r>
      <w:r w:rsidRPr="000E66AE">
        <w:rPr>
          <w:lang w:eastAsia="en-US"/>
        </w:rPr>
      </w:r>
      <w:r w:rsidRPr="000E66AE">
        <w:rPr>
          <w:lang w:eastAsia="en-US"/>
        </w:rPr>
        <w:fldChar w:fldCharType="separate"/>
      </w:r>
      <w:r w:rsidRPr="000E66AE">
        <w:t xml:space="preserve">Table </w:t>
      </w:r>
      <w:r>
        <w:rPr>
          <w:noProof/>
        </w:rPr>
        <w:t>5</w:t>
      </w:r>
      <w:r w:rsidRPr="000E66AE">
        <w:rPr>
          <w:lang w:eastAsia="en-US"/>
        </w:rPr>
        <w:fldChar w:fldCharType="end"/>
      </w:r>
      <w:r w:rsidRPr="000E66AE">
        <w:rPr>
          <w:lang w:eastAsia="en-US"/>
        </w:rPr>
        <w:t xml:space="preserve"> and illustrated in </w:t>
      </w:r>
      <w:r w:rsidRPr="000E66AE">
        <w:rPr>
          <w:lang w:eastAsia="en-US"/>
        </w:rPr>
        <w:fldChar w:fldCharType="begin"/>
      </w:r>
      <w:r w:rsidRPr="000E66AE">
        <w:rPr>
          <w:lang w:eastAsia="en-US"/>
        </w:rPr>
        <w:instrText xml:space="preserve"> REF _Ref536870014 \h </w:instrText>
      </w:r>
      <w:r w:rsidRPr="000E66AE">
        <w:rPr>
          <w:lang w:eastAsia="en-US"/>
        </w:rPr>
      </w:r>
      <w:r w:rsidRPr="000E66AE">
        <w:rPr>
          <w:lang w:eastAsia="en-US"/>
        </w:rPr>
        <w:fldChar w:fldCharType="separate"/>
      </w:r>
      <w:r w:rsidR="004E1696">
        <w:t xml:space="preserve">Figure </w:t>
      </w:r>
      <w:r w:rsidR="004E1696">
        <w:rPr>
          <w:noProof/>
        </w:rPr>
        <w:t>27</w:t>
      </w:r>
      <w:r w:rsidR="004E1696">
        <w:t>: Schematic of water use and average discharges to the rivers of the Latrobe Valley.</w:t>
      </w:r>
      <w:r w:rsidRPr="000E66AE">
        <w:rPr>
          <w:lang w:eastAsia="en-US"/>
        </w:rPr>
        <w:fldChar w:fldCharType="end"/>
      </w:r>
      <w:r w:rsidRPr="000E66AE">
        <w:rPr>
          <w:lang w:eastAsia="en-US"/>
        </w:rPr>
        <w:t xml:space="preserve">. It should be noted that while the Hazelwood mine and power station ceased operation on </w:t>
      </w:r>
      <w:r w:rsidR="001E3808">
        <w:rPr>
          <w:lang w:eastAsia="en-US"/>
        </w:rPr>
        <w:t xml:space="preserve">31 </w:t>
      </w:r>
      <w:r w:rsidRPr="000E66AE">
        <w:rPr>
          <w:lang w:eastAsia="en-US"/>
        </w:rPr>
        <w:t xml:space="preserve">March 2017 </w:t>
      </w:r>
      <w:r w:rsidRPr="000E66AE">
        <w:rPr>
          <w:lang w:eastAsia="en-US"/>
        </w:rPr>
        <w:fldChar w:fldCharType="begin"/>
      </w:r>
      <w:r>
        <w:rPr>
          <w:lang w:eastAsia="en-US"/>
        </w:rPr>
        <w:instrText xml:space="preserve"> ADDIN ZOTERO_ITEM CSL_CITATION {"citationID":"2P0BPM3q","properties":{"formattedCitation":"(Department of Economic Development, Jobs, Transport and Resources and Victoria 2018)","plainCitation":"(Department of Economic Development, Jobs, Transport and Resources and Victoria 2018)","noteIndex":0},"citationItems":[{"id":4446,"uris":["http://zotero.org/users/2336876/items/IZZ4UEA6"],"uri":["http://zotero.org/users/2336876/items/IZZ4UEA6"],"itemData":{"id":4446,"type":"book","event-place":"Melbourne, Australia","ISBN":"978-1-925733-63-1","language":"English","note":"OCLC: 1057410303","publisher":"State Government of Victoria","publisher-place":"Melbourne, Australia","source":"Open WorldCat","title":"Latrobe Valley Regional Rehabilitation Strategy: Program summary.","title-short":"Latrobe valley regional rehabilitation strategy","author":[{"literal":"Department of Economic Development, Jobs, Transport and Resources"},{"literal":"Victoria"}],"issued":{"date-parts":[["2018"]]}}}],"schema":"https://github.com/citation-style-language/schema/raw/master/csl-citation.json"} </w:instrText>
      </w:r>
      <w:r w:rsidRPr="000E66AE">
        <w:rPr>
          <w:lang w:eastAsia="en-US"/>
        </w:rPr>
        <w:fldChar w:fldCharType="separate"/>
      </w:r>
      <w:r w:rsidRPr="000E66AE">
        <w:rPr>
          <w:lang w:eastAsia="en-US"/>
        </w:rPr>
        <w:t>(Department of Economic Development, Jobs, Transport and Resources and Victoria 2018)</w:t>
      </w:r>
      <w:r w:rsidRPr="000E66AE">
        <w:rPr>
          <w:lang w:eastAsia="en-US"/>
        </w:rPr>
        <w:fldChar w:fldCharType="end"/>
      </w:r>
      <w:r w:rsidRPr="000E66AE">
        <w:rPr>
          <w:lang w:eastAsia="en-US"/>
        </w:rPr>
        <w:t>, mine de-watering continues as do discharges to the Latrobe River.</w:t>
      </w:r>
      <w:r>
        <w:rPr>
          <w:lang w:eastAsia="en-US"/>
        </w:rPr>
        <w:t xml:space="preserve"> Average groundwater extraction for the three mines is 28 GL/year.</w:t>
      </w:r>
    </w:p>
    <w:p w14:paraId="6BB55E6F" w14:textId="75C757B3" w:rsidR="008B39C3" w:rsidRPr="00237510" w:rsidRDefault="008B39C3" w:rsidP="008B39C3">
      <w:pPr>
        <w:pStyle w:val="Caption"/>
        <w:rPr>
          <w:lang w:eastAsia="en-US"/>
        </w:rPr>
      </w:pPr>
      <w:bookmarkStart w:id="57" w:name="_Ref536870013"/>
      <w:r w:rsidRPr="00237510">
        <w:t xml:space="preserve">Table </w:t>
      </w:r>
      <w:r>
        <w:fldChar w:fldCharType="begin"/>
      </w:r>
      <w:r>
        <w:instrText>SEQ Table \* ARABIC</w:instrText>
      </w:r>
      <w:r>
        <w:fldChar w:fldCharType="separate"/>
      </w:r>
      <w:r w:rsidR="008C72C8" w:rsidRPr="00237510">
        <w:t>5</w:t>
      </w:r>
      <w:r>
        <w:fldChar w:fldCharType="end"/>
      </w:r>
      <w:bookmarkEnd w:id="57"/>
      <w:r w:rsidRPr="00237510">
        <w:t xml:space="preserve">: Water access arrangements for Latrobe Valley power generators </w:t>
      </w:r>
      <w:r w:rsidRPr="00237510">
        <w:fldChar w:fldCharType="begin"/>
      </w:r>
      <w:r w:rsidR="00E11576" w:rsidRPr="00237510">
        <w:instrText xml:space="preserve"> ADDIN ZOTERO_ITEM CSL_CITATION {"citationID":"Tu4fGTo0","properties":{"formattedCitation":"(Smart and Aspinall 2009)","plainCitation":"(Smart and Aspinall 2009)","noteIndex":0},"citationItems":[{"id":4460,"uris":["http://zotero.org/users/2336876/items/H2SF8FPS"],"uri":["http://zotero.org/users/2336876/items/H2SF8FPS"],"itemData":{"id":4460,"type":"book","event-place":"Canberra","ISBN":"978-1-921107-78-8","language":"English","note":"OCLC: 682915999","publisher":"National Water Commission","publisher-place":"Canberra","source":"Open WorldCat","title":"Water and the electricity generation industry: implications of use","title-short":"Water and the electricity generation industry","author":[{"family":"Smart","given":"Alan"},{"family":"Aspinall","given":"Adam"}],"issued":{"date-parts":[["2009"]]}}}],"schema":"https://github.com/citation-style-language/schema/raw/master/csl-citation.json"} </w:instrText>
      </w:r>
      <w:r w:rsidRPr="00237510">
        <w:fldChar w:fldCharType="separate"/>
      </w:r>
      <w:r w:rsidRPr="00237510">
        <w:t>(Smart and Aspinall 2009)</w:t>
      </w:r>
      <w:r w:rsidRPr="00237510">
        <w:fldChar w:fldCharType="end"/>
      </w:r>
    </w:p>
    <w:tbl>
      <w:tblPr>
        <w:tblStyle w:val="ListTable3-Accent52"/>
        <w:tblW w:w="0" w:type="auto"/>
        <w:tblLayout w:type="fixed"/>
        <w:tblLook w:val="04A0" w:firstRow="1" w:lastRow="0" w:firstColumn="1" w:lastColumn="0" w:noHBand="0" w:noVBand="1"/>
      </w:tblPr>
      <w:tblGrid>
        <w:gridCol w:w="1271"/>
        <w:gridCol w:w="2693"/>
        <w:gridCol w:w="2127"/>
        <w:gridCol w:w="2409"/>
      </w:tblGrid>
      <w:tr w:rsidR="003E21CF" w:rsidRPr="000E66AE" w14:paraId="5688C4CC" w14:textId="77777777" w:rsidTr="003E21C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1" w:type="dxa"/>
            <w:tcMar>
              <w:left w:w="57" w:type="dxa"/>
              <w:right w:w="57" w:type="dxa"/>
            </w:tcMar>
          </w:tcPr>
          <w:p w14:paraId="33A49945" w14:textId="77777777" w:rsidR="003E21CF" w:rsidRPr="000E66AE" w:rsidRDefault="003E21CF" w:rsidP="001312B7">
            <w:pPr>
              <w:rPr>
                <w:sz w:val="18"/>
                <w:szCs w:val="18"/>
                <w:lang w:eastAsia="en-US"/>
              </w:rPr>
            </w:pPr>
            <w:r w:rsidRPr="000E66AE">
              <w:rPr>
                <w:sz w:val="18"/>
                <w:szCs w:val="18"/>
                <w:lang w:eastAsia="en-US"/>
              </w:rPr>
              <w:t>Generator</w:t>
            </w:r>
          </w:p>
        </w:tc>
        <w:tc>
          <w:tcPr>
            <w:tcW w:w="2693" w:type="dxa"/>
            <w:tcMar>
              <w:left w:w="57" w:type="dxa"/>
              <w:right w:w="57" w:type="dxa"/>
            </w:tcMar>
          </w:tcPr>
          <w:p w14:paraId="4C98ACA7" w14:textId="4D132CF9" w:rsidR="003E21CF" w:rsidRPr="000E66AE" w:rsidRDefault="003E21CF" w:rsidP="001312B7">
            <w:pPr>
              <w:cnfStyle w:val="100000000000" w:firstRow="1"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Water use</w:t>
            </w:r>
            <w:r w:rsidR="00813C9B">
              <w:rPr>
                <w:sz w:val="18"/>
                <w:szCs w:val="18"/>
                <w:lang w:eastAsia="en-US"/>
              </w:rPr>
              <w:t>*</w:t>
            </w:r>
          </w:p>
        </w:tc>
        <w:tc>
          <w:tcPr>
            <w:tcW w:w="2127" w:type="dxa"/>
            <w:tcMar>
              <w:left w:w="57" w:type="dxa"/>
              <w:right w:w="57" w:type="dxa"/>
            </w:tcMar>
          </w:tcPr>
          <w:p w14:paraId="1824728A" w14:textId="77777777" w:rsidR="003E21CF" w:rsidRPr="000E66AE" w:rsidRDefault="003E21CF" w:rsidP="001312B7">
            <w:pPr>
              <w:cnfStyle w:val="100000000000" w:firstRow="1"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Source</w:t>
            </w:r>
          </w:p>
        </w:tc>
        <w:tc>
          <w:tcPr>
            <w:tcW w:w="2409" w:type="dxa"/>
            <w:tcMar>
              <w:left w:w="57" w:type="dxa"/>
              <w:right w:w="57" w:type="dxa"/>
            </w:tcMar>
          </w:tcPr>
          <w:p w14:paraId="494AD2E0" w14:textId="77777777" w:rsidR="003E21CF" w:rsidRPr="000E66AE" w:rsidRDefault="003E21CF" w:rsidP="001312B7">
            <w:pPr>
              <w:cnfStyle w:val="100000000000" w:firstRow="1"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Contractual arrangements</w:t>
            </w:r>
          </w:p>
        </w:tc>
      </w:tr>
      <w:tr w:rsidR="003E21CF" w:rsidRPr="000E66AE" w14:paraId="54787989" w14:textId="77777777" w:rsidTr="003E21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Mar>
              <w:left w:w="57" w:type="dxa"/>
              <w:right w:w="57" w:type="dxa"/>
            </w:tcMar>
          </w:tcPr>
          <w:p w14:paraId="57F2B5C0" w14:textId="77777777" w:rsidR="003E21CF" w:rsidRPr="000E66AE" w:rsidRDefault="003E21CF" w:rsidP="001312B7">
            <w:pPr>
              <w:rPr>
                <w:sz w:val="18"/>
                <w:szCs w:val="18"/>
                <w:lang w:eastAsia="en-US"/>
              </w:rPr>
            </w:pPr>
            <w:r w:rsidRPr="000E66AE">
              <w:rPr>
                <w:sz w:val="18"/>
                <w:szCs w:val="18"/>
                <w:lang w:eastAsia="en-US"/>
              </w:rPr>
              <w:t xml:space="preserve">Yallourn Power Station </w:t>
            </w:r>
          </w:p>
        </w:tc>
        <w:tc>
          <w:tcPr>
            <w:tcW w:w="2693" w:type="dxa"/>
            <w:tcMar>
              <w:left w:w="57" w:type="dxa"/>
              <w:right w:w="57" w:type="dxa"/>
            </w:tcMar>
          </w:tcPr>
          <w:p w14:paraId="15337951" w14:textId="77777777" w:rsidR="003E21CF" w:rsidRPr="000E66AE" w:rsidRDefault="003E21CF" w:rsidP="001312B7">
            <w:pPr>
              <w:cnfStyle w:val="000000100000" w:firstRow="0" w:lastRow="0" w:firstColumn="0" w:lastColumn="0" w:oddVBand="0" w:evenVBand="0" w:oddHBand="1" w:evenHBand="0" w:firstRowFirstColumn="0" w:firstRowLastColumn="0" w:lastRowFirstColumn="0" w:lastRowLastColumn="0"/>
              <w:rPr>
                <w:sz w:val="18"/>
                <w:szCs w:val="18"/>
                <w:lang w:eastAsia="en-US"/>
              </w:rPr>
            </w:pPr>
            <w:r w:rsidRPr="000E66AE">
              <w:rPr>
                <w:sz w:val="18"/>
                <w:szCs w:val="18"/>
                <w:lang w:eastAsia="en-US"/>
              </w:rPr>
              <w:t xml:space="preserve">Low quality water </w:t>
            </w:r>
            <w:r w:rsidRPr="000E66AE">
              <w:rPr>
                <w:rFonts w:ascii="Cambria Math" w:hAnsi="Cambria Math" w:cs="Cambria Math"/>
                <w:sz w:val="18"/>
                <w:szCs w:val="18"/>
                <w:lang w:eastAsia="en-US"/>
              </w:rPr>
              <w:t>‐</w:t>
            </w:r>
            <w:r w:rsidRPr="000E66AE">
              <w:rPr>
                <w:sz w:val="18"/>
                <w:szCs w:val="18"/>
                <w:lang w:eastAsia="en-US"/>
              </w:rPr>
              <w:t xml:space="preserve"> </w:t>
            </w:r>
            <w:r>
              <w:rPr>
                <w:sz w:val="18"/>
                <w:szCs w:val="18"/>
                <w:lang w:eastAsia="en-US"/>
              </w:rPr>
              <w:t>27.4</w:t>
            </w:r>
            <w:r w:rsidRPr="000E66AE">
              <w:rPr>
                <w:sz w:val="18"/>
                <w:szCs w:val="18"/>
                <w:lang w:eastAsia="en-US"/>
              </w:rPr>
              <w:t> GL/year with around 1</w:t>
            </w:r>
            <w:r>
              <w:rPr>
                <w:sz w:val="18"/>
                <w:szCs w:val="18"/>
                <w:lang w:eastAsia="en-US"/>
              </w:rPr>
              <w:t>3.</w:t>
            </w:r>
            <w:r w:rsidRPr="000E66AE">
              <w:rPr>
                <w:sz w:val="18"/>
                <w:szCs w:val="18"/>
                <w:lang w:eastAsia="en-US"/>
              </w:rPr>
              <w:t xml:space="preserve">1 GL/year returned to the river system – a net consumption of </w:t>
            </w:r>
            <w:r>
              <w:rPr>
                <w:sz w:val="18"/>
                <w:szCs w:val="18"/>
                <w:lang w:eastAsia="en-US"/>
              </w:rPr>
              <w:t>14.3</w:t>
            </w:r>
            <w:r w:rsidRPr="000E66AE">
              <w:rPr>
                <w:sz w:val="18"/>
                <w:szCs w:val="18"/>
                <w:lang w:eastAsia="en-US"/>
              </w:rPr>
              <w:t xml:space="preserve"> GL/year.</w:t>
            </w:r>
          </w:p>
        </w:tc>
        <w:tc>
          <w:tcPr>
            <w:tcW w:w="2127" w:type="dxa"/>
            <w:tcMar>
              <w:left w:w="57" w:type="dxa"/>
              <w:right w:w="57" w:type="dxa"/>
            </w:tcMar>
          </w:tcPr>
          <w:p w14:paraId="72C1E7D9" w14:textId="77777777" w:rsidR="003E21CF" w:rsidRPr="000E66AE" w:rsidRDefault="003E21CF" w:rsidP="001312B7">
            <w:pPr>
              <w:cnfStyle w:val="000000100000" w:firstRow="0" w:lastRow="0" w:firstColumn="0" w:lastColumn="0" w:oddVBand="0" w:evenVBand="0" w:oddHBand="1" w:evenHBand="0" w:firstRowFirstColumn="0" w:firstRowLastColumn="0" w:lastRowFirstColumn="0" w:lastRowLastColumn="0"/>
              <w:rPr>
                <w:sz w:val="18"/>
                <w:szCs w:val="18"/>
                <w:lang w:eastAsia="en-US"/>
              </w:rPr>
            </w:pPr>
            <w:r w:rsidRPr="000E66AE">
              <w:rPr>
                <w:sz w:val="18"/>
                <w:szCs w:val="18"/>
                <w:lang w:eastAsia="en-US"/>
              </w:rPr>
              <w:t xml:space="preserve">Blue Rock Dam, Lake Narracan plus Latrobe River </w:t>
            </w:r>
            <w:r>
              <w:rPr>
                <w:sz w:val="18"/>
                <w:szCs w:val="18"/>
                <w:lang w:eastAsia="en-US"/>
              </w:rPr>
              <w:t>unregulated</w:t>
            </w:r>
            <w:r w:rsidRPr="000E66AE">
              <w:rPr>
                <w:sz w:val="18"/>
                <w:szCs w:val="18"/>
                <w:lang w:eastAsia="en-US"/>
              </w:rPr>
              <w:t xml:space="preserve"> </w:t>
            </w:r>
            <w:r>
              <w:rPr>
                <w:sz w:val="18"/>
                <w:szCs w:val="18"/>
                <w:lang w:eastAsia="en-US"/>
              </w:rPr>
              <w:t>– 36.5 GL/year bulk water entitlement</w:t>
            </w:r>
            <w:r w:rsidRPr="000E66AE">
              <w:rPr>
                <w:sz w:val="18"/>
                <w:szCs w:val="18"/>
                <w:lang w:eastAsia="en-US"/>
              </w:rPr>
              <w:t>.</w:t>
            </w:r>
          </w:p>
        </w:tc>
        <w:tc>
          <w:tcPr>
            <w:tcW w:w="2409" w:type="dxa"/>
            <w:tcMar>
              <w:left w:w="57" w:type="dxa"/>
              <w:right w:w="57" w:type="dxa"/>
            </w:tcMar>
          </w:tcPr>
          <w:p w14:paraId="13E85E5B" w14:textId="77777777" w:rsidR="003E21CF" w:rsidRPr="000E66AE" w:rsidRDefault="003E21CF" w:rsidP="001312B7">
            <w:pPr>
              <w:cnfStyle w:val="000000100000" w:firstRow="0" w:lastRow="0" w:firstColumn="0" w:lastColumn="0" w:oddVBand="0" w:evenVBand="0" w:oddHBand="1" w:evenHBand="0" w:firstRowFirstColumn="0" w:firstRowLastColumn="0" w:lastRowFirstColumn="0" w:lastRowLastColumn="0"/>
              <w:rPr>
                <w:sz w:val="18"/>
                <w:szCs w:val="18"/>
                <w:lang w:eastAsia="en-US"/>
              </w:rPr>
            </w:pPr>
            <w:r w:rsidRPr="000E66AE">
              <w:rPr>
                <w:sz w:val="18"/>
                <w:szCs w:val="18"/>
                <w:lang w:eastAsia="en-US"/>
              </w:rPr>
              <w:t>Bulk water entitlement</w:t>
            </w:r>
          </w:p>
        </w:tc>
      </w:tr>
      <w:tr w:rsidR="003E21CF" w:rsidRPr="000E66AE" w14:paraId="3744235A" w14:textId="77777777" w:rsidTr="003E21CF">
        <w:tc>
          <w:tcPr>
            <w:cnfStyle w:val="001000000000" w:firstRow="0" w:lastRow="0" w:firstColumn="1" w:lastColumn="0" w:oddVBand="0" w:evenVBand="0" w:oddHBand="0" w:evenHBand="0" w:firstRowFirstColumn="0" w:firstRowLastColumn="0" w:lastRowFirstColumn="0" w:lastRowLastColumn="0"/>
            <w:tcW w:w="1271" w:type="dxa"/>
            <w:tcMar>
              <w:left w:w="57" w:type="dxa"/>
              <w:right w:w="57" w:type="dxa"/>
            </w:tcMar>
          </w:tcPr>
          <w:p w14:paraId="2CDB6A9E" w14:textId="77777777" w:rsidR="003E21CF" w:rsidRPr="000E66AE" w:rsidRDefault="003E21CF" w:rsidP="001312B7">
            <w:pPr>
              <w:rPr>
                <w:sz w:val="18"/>
                <w:szCs w:val="18"/>
                <w:lang w:eastAsia="en-US"/>
              </w:rPr>
            </w:pPr>
            <w:r w:rsidRPr="000E66AE">
              <w:rPr>
                <w:sz w:val="18"/>
                <w:szCs w:val="18"/>
                <w:lang w:eastAsia="en-US"/>
              </w:rPr>
              <w:t xml:space="preserve">Loy Yang A Power Station </w:t>
            </w:r>
          </w:p>
        </w:tc>
        <w:tc>
          <w:tcPr>
            <w:tcW w:w="2693" w:type="dxa"/>
            <w:tcMar>
              <w:left w:w="57" w:type="dxa"/>
              <w:right w:w="57" w:type="dxa"/>
            </w:tcMar>
          </w:tcPr>
          <w:p w14:paraId="7895EDD0"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High quality water around 1 GL/year</w:t>
            </w:r>
            <w:r>
              <w:rPr>
                <w:sz w:val="18"/>
                <w:szCs w:val="18"/>
                <w:lang w:eastAsia="en-US"/>
              </w:rPr>
              <w:t>.</w:t>
            </w:r>
            <w:r w:rsidRPr="000E66AE">
              <w:rPr>
                <w:sz w:val="18"/>
                <w:szCs w:val="18"/>
                <w:lang w:eastAsia="en-US"/>
              </w:rPr>
              <w:t xml:space="preserve"> </w:t>
            </w:r>
          </w:p>
          <w:p w14:paraId="2AD12A2B"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 xml:space="preserve">Low quality water – around </w:t>
            </w:r>
            <w:r>
              <w:rPr>
                <w:sz w:val="18"/>
                <w:szCs w:val="18"/>
                <w:lang w:eastAsia="en-US"/>
              </w:rPr>
              <w:t>21.8</w:t>
            </w:r>
            <w:r w:rsidRPr="000E66AE">
              <w:rPr>
                <w:sz w:val="18"/>
                <w:szCs w:val="18"/>
                <w:lang w:eastAsia="en-US"/>
              </w:rPr>
              <w:t xml:space="preserve"> GL/year</w:t>
            </w:r>
            <w:r>
              <w:rPr>
                <w:sz w:val="18"/>
                <w:szCs w:val="18"/>
                <w:lang w:eastAsia="en-US"/>
              </w:rPr>
              <w:t xml:space="preserve"> with 4.6 GL/year returned to the river system by Loy Yang A and Loy Yang B.</w:t>
            </w:r>
          </w:p>
          <w:p w14:paraId="354B72C9" w14:textId="39874169"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w:t>
            </w:r>
          </w:p>
        </w:tc>
        <w:tc>
          <w:tcPr>
            <w:tcW w:w="2127" w:type="dxa"/>
            <w:tcMar>
              <w:left w:w="57" w:type="dxa"/>
              <w:right w:w="57" w:type="dxa"/>
            </w:tcMar>
          </w:tcPr>
          <w:p w14:paraId="2A7F6795"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High quality water from Moondarra reservoir</w:t>
            </w:r>
          </w:p>
          <w:p w14:paraId="74B57B71"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Low quality water from Blue Rock Dam, Lake Narracan and Latrobe River – 40 GL/year bulk water entitlement.</w:t>
            </w:r>
          </w:p>
          <w:p w14:paraId="714DA6B8"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Groundwater from mine dewatering.</w:t>
            </w:r>
          </w:p>
        </w:tc>
        <w:tc>
          <w:tcPr>
            <w:tcW w:w="2409" w:type="dxa"/>
            <w:tcMar>
              <w:left w:w="57" w:type="dxa"/>
              <w:right w:w="57" w:type="dxa"/>
            </w:tcMar>
          </w:tcPr>
          <w:p w14:paraId="4B01C6AC"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High quality water supplied under contract from Gippsland Water on a volumetric basis.</w:t>
            </w:r>
          </w:p>
          <w:p w14:paraId="1E2F88A2"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Low quality water supplied under a bulk water entitlement.</w:t>
            </w:r>
          </w:p>
          <w:p w14:paraId="209961A8"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p>
        </w:tc>
      </w:tr>
      <w:tr w:rsidR="003E21CF" w:rsidRPr="000E66AE" w14:paraId="1547076A" w14:textId="77777777" w:rsidTr="003E21C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Mar>
              <w:left w:w="57" w:type="dxa"/>
              <w:right w:w="57" w:type="dxa"/>
            </w:tcMar>
          </w:tcPr>
          <w:p w14:paraId="4C0D0BD0" w14:textId="77777777" w:rsidR="003E21CF" w:rsidRPr="000E66AE" w:rsidRDefault="003E21CF" w:rsidP="001312B7">
            <w:pPr>
              <w:rPr>
                <w:sz w:val="18"/>
                <w:szCs w:val="18"/>
                <w:lang w:eastAsia="en-US"/>
              </w:rPr>
            </w:pPr>
            <w:r w:rsidRPr="000E66AE">
              <w:rPr>
                <w:sz w:val="18"/>
                <w:szCs w:val="18"/>
                <w:lang w:eastAsia="en-US"/>
              </w:rPr>
              <w:t xml:space="preserve">Loy Yang B Power Station </w:t>
            </w:r>
          </w:p>
        </w:tc>
        <w:tc>
          <w:tcPr>
            <w:tcW w:w="2693" w:type="dxa"/>
            <w:tcMar>
              <w:left w:w="57" w:type="dxa"/>
              <w:right w:w="57" w:type="dxa"/>
            </w:tcMar>
          </w:tcPr>
          <w:p w14:paraId="2B8AF56B" w14:textId="77777777" w:rsidR="003E21CF" w:rsidRPr="000E66AE" w:rsidRDefault="003E21CF" w:rsidP="001312B7">
            <w:pPr>
              <w:cnfStyle w:val="000000100000" w:firstRow="0" w:lastRow="0" w:firstColumn="0" w:lastColumn="0" w:oddVBand="0" w:evenVBand="0" w:oddHBand="1" w:evenHBand="0" w:firstRowFirstColumn="0" w:firstRowLastColumn="0" w:lastRowFirstColumn="0" w:lastRowLastColumn="0"/>
              <w:rPr>
                <w:sz w:val="18"/>
                <w:szCs w:val="18"/>
                <w:lang w:eastAsia="en-US"/>
              </w:rPr>
            </w:pPr>
            <w:r>
              <w:rPr>
                <w:sz w:val="18"/>
                <w:szCs w:val="18"/>
                <w:lang w:eastAsia="en-US"/>
              </w:rPr>
              <w:t xml:space="preserve">High quality water - </w:t>
            </w:r>
            <w:r w:rsidRPr="000E66AE">
              <w:rPr>
                <w:sz w:val="18"/>
                <w:szCs w:val="18"/>
                <w:lang w:eastAsia="en-US"/>
              </w:rPr>
              <w:t>1 GL/year</w:t>
            </w:r>
            <w:r>
              <w:rPr>
                <w:sz w:val="18"/>
                <w:szCs w:val="18"/>
                <w:lang w:eastAsia="en-US"/>
              </w:rPr>
              <w:t>.</w:t>
            </w:r>
          </w:p>
          <w:p w14:paraId="0CF5CEF5" w14:textId="77777777" w:rsidR="003E21CF" w:rsidRPr="000E66AE" w:rsidRDefault="003E21CF" w:rsidP="001312B7">
            <w:pPr>
              <w:cnfStyle w:val="000000100000" w:firstRow="0" w:lastRow="0" w:firstColumn="0" w:lastColumn="0" w:oddVBand="0" w:evenVBand="0" w:oddHBand="1" w:evenHBand="0" w:firstRowFirstColumn="0" w:firstRowLastColumn="0" w:lastRowFirstColumn="0" w:lastRowLastColumn="0"/>
              <w:rPr>
                <w:sz w:val="18"/>
                <w:szCs w:val="18"/>
                <w:lang w:eastAsia="en-US"/>
              </w:rPr>
            </w:pPr>
            <w:r>
              <w:rPr>
                <w:sz w:val="18"/>
                <w:szCs w:val="18"/>
                <w:lang w:eastAsia="en-US"/>
              </w:rPr>
              <w:t>Low quality water 14.8</w:t>
            </w:r>
            <w:r w:rsidRPr="000E66AE">
              <w:rPr>
                <w:sz w:val="18"/>
                <w:szCs w:val="18"/>
                <w:lang w:eastAsia="en-US"/>
              </w:rPr>
              <w:t xml:space="preserve"> GL/year.</w:t>
            </w:r>
          </w:p>
        </w:tc>
        <w:tc>
          <w:tcPr>
            <w:tcW w:w="2127" w:type="dxa"/>
            <w:tcMar>
              <w:left w:w="57" w:type="dxa"/>
              <w:right w:w="57" w:type="dxa"/>
            </w:tcMar>
          </w:tcPr>
          <w:p w14:paraId="4D11529D" w14:textId="77777777" w:rsidR="003E21CF" w:rsidRPr="000E66AE" w:rsidRDefault="003E21CF" w:rsidP="001312B7">
            <w:pPr>
              <w:cnfStyle w:val="000000100000" w:firstRow="0" w:lastRow="0" w:firstColumn="0" w:lastColumn="0" w:oddVBand="0" w:evenVBand="0" w:oddHBand="1" w:evenHBand="0" w:firstRowFirstColumn="0" w:firstRowLastColumn="0" w:lastRowFirstColumn="0" w:lastRowLastColumn="0"/>
              <w:rPr>
                <w:sz w:val="18"/>
                <w:szCs w:val="18"/>
                <w:lang w:eastAsia="en-US"/>
              </w:rPr>
            </w:pPr>
            <w:r w:rsidRPr="000E66AE">
              <w:rPr>
                <w:sz w:val="18"/>
                <w:szCs w:val="18"/>
                <w:lang w:eastAsia="en-US"/>
              </w:rPr>
              <w:t>High quality water for domestic Services Water ex Moondarra Reservoir.</w:t>
            </w:r>
          </w:p>
          <w:p w14:paraId="2C9B210F" w14:textId="77777777" w:rsidR="003E21CF" w:rsidRPr="000E66AE" w:rsidRDefault="003E21CF" w:rsidP="001312B7">
            <w:pPr>
              <w:cnfStyle w:val="000000100000" w:firstRow="0" w:lastRow="0" w:firstColumn="0" w:lastColumn="0" w:oddVBand="0" w:evenVBand="0" w:oddHBand="1" w:evenHBand="0" w:firstRowFirstColumn="0" w:firstRowLastColumn="0" w:lastRowFirstColumn="0" w:lastRowLastColumn="0"/>
              <w:rPr>
                <w:sz w:val="18"/>
                <w:szCs w:val="18"/>
                <w:lang w:eastAsia="en-US"/>
              </w:rPr>
            </w:pPr>
            <w:r w:rsidRPr="000E66AE">
              <w:rPr>
                <w:sz w:val="18"/>
                <w:szCs w:val="18"/>
                <w:lang w:eastAsia="en-US"/>
              </w:rPr>
              <w:t>Low quality water from Blue Rock Dam, Lake Narracan &amp; Latrobe River under a 20 GL/year entitlement.</w:t>
            </w:r>
          </w:p>
        </w:tc>
        <w:tc>
          <w:tcPr>
            <w:tcW w:w="2409" w:type="dxa"/>
            <w:tcMar>
              <w:left w:w="57" w:type="dxa"/>
              <w:right w:w="57" w:type="dxa"/>
            </w:tcMar>
          </w:tcPr>
          <w:p w14:paraId="565015FD" w14:textId="77777777" w:rsidR="003E21CF" w:rsidRPr="000E66AE" w:rsidRDefault="003E21CF" w:rsidP="001312B7">
            <w:pPr>
              <w:cnfStyle w:val="000000100000" w:firstRow="0" w:lastRow="0" w:firstColumn="0" w:lastColumn="0" w:oddVBand="0" w:evenVBand="0" w:oddHBand="1" w:evenHBand="0" w:firstRowFirstColumn="0" w:firstRowLastColumn="0" w:lastRowFirstColumn="0" w:lastRowLastColumn="0"/>
              <w:rPr>
                <w:sz w:val="18"/>
                <w:szCs w:val="18"/>
                <w:lang w:eastAsia="en-US"/>
              </w:rPr>
            </w:pPr>
            <w:r w:rsidRPr="000E66AE">
              <w:rPr>
                <w:sz w:val="18"/>
                <w:szCs w:val="18"/>
                <w:lang w:eastAsia="en-US"/>
              </w:rPr>
              <w:t>High quality water supplied under contract from Gippsland Water.</w:t>
            </w:r>
          </w:p>
          <w:p w14:paraId="59686712" w14:textId="77777777" w:rsidR="003E21CF" w:rsidRPr="000E66AE" w:rsidRDefault="003E21CF" w:rsidP="001312B7">
            <w:pPr>
              <w:cnfStyle w:val="000000100000" w:firstRow="0" w:lastRow="0" w:firstColumn="0" w:lastColumn="0" w:oddVBand="0" w:evenVBand="0" w:oddHBand="1" w:evenHBand="0" w:firstRowFirstColumn="0" w:firstRowLastColumn="0" w:lastRowFirstColumn="0" w:lastRowLastColumn="0"/>
              <w:rPr>
                <w:sz w:val="18"/>
                <w:szCs w:val="18"/>
                <w:lang w:eastAsia="en-US"/>
              </w:rPr>
            </w:pPr>
            <w:r w:rsidRPr="000E66AE">
              <w:rPr>
                <w:sz w:val="18"/>
                <w:szCs w:val="18"/>
                <w:lang w:eastAsia="en-US"/>
              </w:rPr>
              <w:t>Low quality water supplied under licence from Southern Rural Water.</w:t>
            </w:r>
          </w:p>
        </w:tc>
      </w:tr>
      <w:tr w:rsidR="003E21CF" w:rsidRPr="000E66AE" w14:paraId="77B3F4FB" w14:textId="77777777" w:rsidTr="003E21CF">
        <w:tc>
          <w:tcPr>
            <w:cnfStyle w:val="001000000000" w:firstRow="0" w:lastRow="0" w:firstColumn="1" w:lastColumn="0" w:oddVBand="0" w:evenVBand="0" w:oddHBand="0" w:evenHBand="0" w:firstRowFirstColumn="0" w:firstRowLastColumn="0" w:lastRowFirstColumn="0" w:lastRowLastColumn="0"/>
            <w:tcW w:w="1271" w:type="dxa"/>
            <w:tcMar>
              <w:left w:w="57" w:type="dxa"/>
              <w:right w:w="57" w:type="dxa"/>
            </w:tcMar>
          </w:tcPr>
          <w:p w14:paraId="60F43A3C" w14:textId="77777777" w:rsidR="003E21CF" w:rsidRPr="000E66AE" w:rsidRDefault="003E21CF" w:rsidP="001312B7">
            <w:pPr>
              <w:rPr>
                <w:sz w:val="18"/>
                <w:szCs w:val="18"/>
                <w:lang w:eastAsia="en-US"/>
              </w:rPr>
            </w:pPr>
            <w:r w:rsidRPr="000E66AE">
              <w:rPr>
                <w:sz w:val="18"/>
                <w:szCs w:val="18"/>
                <w:lang w:eastAsia="en-US"/>
              </w:rPr>
              <w:t xml:space="preserve">Hazelwood Power Station </w:t>
            </w:r>
          </w:p>
        </w:tc>
        <w:tc>
          <w:tcPr>
            <w:tcW w:w="2693" w:type="dxa"/>
            <w:tcMar>
              <w:left w:w="57" w:type="dxa"/>
              <w:right w:w="57" w:type="dxa"/>
            </w:tcMar>
          </w:tcPr>
          <w:p w14:paraId="146AE9A4" w14:textId="77777777" w:rsidR="003E21CF"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Pr>
                <w:sz w:val="18"/>
                <w:szCs w:val="18"/>
                <w:lang w:eastAsia="en-US"/>
              </w:rPr>
              <w:t>High quality water 14 GL/year with around 3.7 GL/year returned to the river system – a net consumption of 10.3 GL/year.</w:t>
            </w:r>
          </w:p>
          <w:p w14:paraId="6491E3E3" w14:textId="14E52A5F"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p>
        </w:tc>
        <w:tc>
          <w:tcPr>
            <w:tcW w:w="2127" w:type="dxa"/>
            <w:tcMar>
              <w:left w:w="57" w:type="dxa"/>
              <w:right w:w="57" w:type="dxa"/>
            </w:tcMar>
          </w:tcPr>
          <w:p w14:paraId="4BE054DB"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Pr>
                <w:sz w:val="18"/>
                <w:szCs w:val="18"/>
                <w:lang w:eastAsia="en-US"/>
              </w:rPr>
              <w:t>High quality water</w:t>
            </w:r>
            <w:r w:rsidRPr="000E66AE">
              <w:rPr>
                <w:sz w:val="18"/>
                <w:szCs w:val="18"/>
                <w:lang w:eastAsia="en-US"/>
              </w:rPr>
              <w:t xml:space="preserve"> supplied from Moondarra Reservoir.</w:t>
            </w:r>
          </w:p>
          <w:p w14:paraId="782423C8"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Groundwater from mine dewatering.</w:t>
            </w:r>
          </w:p>
        </w:tc>
        <w:tc>
          <w:tcPr>
            <w:tcW w:w="2409" w:type="dxa"/>
            <w:tcMar>
              <w:left w:w="57" w:type="dxa"/>
              <w:right w:w="57" w:type="dxa"/>
            </w:tcMar>
          </w:tcPr>
          <w:p w14:paraId="1D7DA1C6" w14:textId="77777777" w:rsidR="003E21CF" w:rsidRPr="000E66AE" w:rsidRDefault="003E21CF" w:rsidP="001312B7">
            <w:pPr>
              <w:cnfStyle w:val="000000000000" w:firstRow="0" w:lastRow="0" w:firstColumn="0" w:lastColumn="0" w:oddVBand="0" w:evenVBand="0" w:oddHBand="0" w:evenHBand="0" w:firstRowFirstColumn="0" w:firstRowLastColumn="0" w:lastRowFirstColumn="0" w:lastRowLastColumn="0"/>
              <w:rPr>
                <w:sz w:val="18"/>
                <w:szCs w:val="18"/>
                <w:lang w:eastAsia="en-US"/>
              </w:rPr>
            </w:pPr>
            <w:r w:rsidRPr="000E66AE">
              <w:rPr>
                <w:sz w:val="18"/>
                <w:szCs w:val="18"/>
                <w:lang w:eastAsia="en-US"/>
              </w:rPr>
              <w:t xml:space="preserve">Supplied </w:t>
            </w:r>
            <w:r>
              <w:rPr>
                <w:sz w:val="18"/>
                <w:szCs w:val="18"/>
                <w:lang w:eastAsia="en-US"/>
              </w:rPr>
              <w:t>by agreement with</w:t>
            </w:r>
            <w:r w:rsidRPr="000E66AE">
              <w:rPr>
                <w:sz w:val="18"/>
                <w:szCs w:val="18"/>
                <w:lang w:eastAsia="en-US"/>
              </w:rPr>
              <w:t xml:space="preserve"> Gippsland Water</w:t>
            </w:r>
            <w:r>
              <w:rPr>
                <w:sz w:val="18"/>
                <w:szCs w:val="18"/>
                <w:lang w:eastAsia="en-US"/>
              </w:rPr>
              <w:t>.</w:t>
            </w:r>
          </w:p>
        </w:tc>
      </w:tr>
    </w:tbl>
    <w:p w14:paraId="050B19DC" w14:textId="135304BC" w:rsidR="008B39C3" w:rsidRPr="00237510" w:rsidRDefault="00813C9B" w:rsidP="008B39C3">
      <w:pPr>
        <w:rPr>
          <w:lang w:eastAsia="en-US"/>
        </w:rPr>
      </w:pPr>
      <w:r>
        <w:rPr>
          <w:lang w:eastAsia="en-US"/>
        </w:rPr>
        <w:t xml:space="preserve">* </w:t>
      </w:r>
      <w:r w:rsidRPr="00B439D8">
        <w:rPr>
          <w:sz w:val="16"/>
          <w:szCs w:val="16"/>
          <w:lang w:eastAsia="en-US"/>
        </w:rPr>
        <w:t xml:space="preserve">Water use </w:t>
      </w:r>
      <w:r w:rsidR="005B5FF0" w:rsidRPr="00B439D8">
        <w:rPr>
          <w:sz w:val="16"/>
          <w:szCs w:val="16"/>
          <w:lang w:eastAsia="en-US"/>
        </w:rPr>
        <w:t xml:space="preserve">and return flow </w:t>
      </w:r>
      <w:r w:rsidRPr="00B439D8">
        <w:rPr>
          <w:sz w:val="16"/>
          <w:szCs w:val="16"/>
          <w:lang w:eastAsia="en-US"/>
        </w:rPr>
        <w:t>data from Smart and Aspinall (2009) ha</w:t>
      </w:r>
      <w:r w:rsidR="005B5FF0" w:rsidRPr="00B439D8">
        <w:rPr>
          <w:sz w:val="16"/>
          <w:szCs w:val="16"/>
          <w:lang w:eastAsia="en-US"/>
        </w:rPr>
        <w:t>s</w:t>
      </w:r>
      <w:r w:rsidRPr="00B439D8">
        <w:rPr>
          <w:sz w:val="16"/>
          <w:szCs w:val="16"/>
          <w:lang w:eastAsia="en-US"/>
        </w:rPr>
        <w:t xml:space="preserve"> been updated with </w:t>
      </w:r>
      <w:r w:rsidR="00724FDB" w:rsidRPr="00B439D8">
        <w:rPr>
          <w:sz w:val="16"/>
          <w:szCs w:val="16"/>
          <w:lang w:eastAsia="en-US"/>
        </w:rPr>
        <w:t xml:space="preserve">the average </w:t>
      </w:r>
      <w:r w:rsidR="005B5FF0" w:rsidRPr="00B439D8">
        <w:rPr>
          <w:sz w:val="16"/>
          <w:szCs w:val="16"/>
          <w:lang w:eastAsia="en-US"/>
        </w:rPr>
        <w:t>volume between 2006/07 to 2018/19</w:t>
      </w:r>
      <w:r w:rsidR="00B439D8" w:rsidRPr="00B439D8">
        <w:rPr>
          <w:sz w:val="16"/>
          <w:szCs w:val="16"/>
          <w:lang w:eastAsia="en-US"/>
        </w:rPr>
        <w:t xml:space="preserve"> as recorded in the Victorian Water Register.</w:t>
      </w:r>
    </w:p>
    <w:p w14:paraId="15EBCE69" w14:textId="0784025D" w:rsidR="008B39C3" w:rsidRPr="00237510" w:rsidRDefault="00663AE9" w:rsidP="008B39C3">
      <w:pPr>
        <w:rPr>
          <w:lang w:eastAsia="en-US"/>
        </w:rPr>
      </w:pPr>
      <w:r>
        <w:rPr>
          <w:noProof/>
        </w:rPr>
        <w:drawing>
          <wp:inline distT="0" distB="0" distL="0" distR="0" wp14:anchorId="6E5B4F2C" wp14:editId="3E596227">
            <wp:extent cx="5581013" cy="2376170"/>
            <wp:effectExtent l="0" t="0" r="0" b="0"/>
            <wp:docPr id="3" name="Picture 3" descr="Schematic of water use and average discharges to the rivers of the Latrobe V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57" cstate="email">
                      <a:extLst>
                        <a:ext uri="{28A0092B-C50C-407E-A947-70E740481C1C}">
                          <a14:useLocalDpi xmlns:a14="http://schemas.microsoft.com/office/drawing/2010/main"/>
                        </a:ext>
                      </a:extLst>
                    </a:blip>
                    <a:stretch>
                      <a:fillRect/>
                    </a:stretch>
                  </pic:blipFill>
                  <pic:spPr>
                    <a:xfrm>
                      <a:off x="0" y="0"/>
                      <a:ext cx="5581013" cy="2376170"/>
                    </a:xfrm>
                    <a:prstGeom prst="rect">
                      <a:avLst/>
                    </a:prstGeom>
                  </pic:spPr>
                </pic:pic>
              </a:graphicData>
            </a:graphic>
          </wp:inline>
        </w:drawing>
      </w:r>
    </w:p>
    <w:p w14:paraId="125A628C" w14:textId="69C0D00C" w:rsidR="008B39C3" w:rsidRPr="00237510" w:rsidRDefault="008B39C3" w:rsidP="008B39C3">
      <w:pPr>
        <w:pStyle w:val="Caption"/>
      </w:pPr>
      <w:bookmarkStart w:id="58" w:name="_Ref536870014"/>
      <w:r>
        <w:t xml:space="preserve">Figure </w:t>
      </w:r>
      <w:r>
        <w:fldChar w:fldCharType="begin"/>
      </w:r>
      <w:r>
        <w:instrText>SEQ Figure \* ARABIC</w:instrText>
      </w:r>
      <w:r>
        <w:fldChar w:fldCharType="separate"/>
      </w:r>
      <w:r w:rsidR="00DE4513">
        <w:rPr>
          <w:noProof/>
        </w:rPr>
        <w:t>27</w:t>
      </w:r>
      <w:r>
        <w:fldChar w:fldCharType="end"/>
      </w:r>
      <w:r>
        <w:t>: Schematic of water use and average discharges to the rivers of the Latrobe Valley.</w:t>
      </w:r>
      <w:bookmarkEnd w:id="58"/>
    </w:p>
    <w:p w14:paraId="30834484" w14:textId="15989AFE" w:rsidR="008B39C3" w:rsidRPr="00237510" w:rsidRDefault="008B39C3" w:rsidP="008B39C3">
      <w:r w:rsidRPr="00237510">
        <w:t>All power stations discharge water to the rivers and streams of the study region. Although these discharges are subject to EPA licence conditions, there is undoubtedly an effect on both the quantity and quality of water within the rivers as a result. In comparison with river water, discharges (particularly from Hazelwood) are warm (6</w:t>
      </w:r>
      <w:r w:rsidRPr="00237510">
        <w:rPr>
          <w:vertAlign w:val="superscript"/>
        </w:rPr>
        <w:t>o</w:t>
      </w:r>
      <w:r w:rsidRPr="00237510">
        <w:t>C on average above ambient), alkaline, turbid and salty (</w:t>
      </w:r>
      <w:r w:rsidRPr="00237510">
        <w:fldChar w:fldCharType="begin"/>
      </w:r>
      <w:r w:rsidRPr="00237510">
        <w:instrText xml:space="preserve"> REF _Ref536870015 \h </w:instrText>
      </w:r>
      <w:r w:rsidRPr="00237510">
        <w:fldChar w:fldCharType="separate"/>
      </w:r>
      <w:r w:rsidR="008C72C8" w:rsidRPr="00237510">
        <w:t>Table 6</w:t>
      </w:r>
      <w:r w:rsidRPr="00237510">
        <w:fldChar w:fldCharType="end"/>
      </w:r>
      <w:r w:rsidRPr="00237510">
        <w:t>). In 2017-2018, there was a combined load of approximately 17 tonnes of salt discharged to the rivers of the region from the power stations, 65% of which came from Hazelwood</w:t>
      </w:r>
      <w:r w:rsidR="00C52213">
        <w:t xml:space="preserve"> (data from EPA Annual Performance Statements)</w:t>
      </w:r>
      <w:r w:rsidRPr="00237510">
        <w:t>.</w:t>
      </w:r>
    </w:p>
    <w:p w14:paraId="36E84383" w14:textId="514DFAEA" w:rsidR="008B39C3" w:rsidRPr="00237510" w:rsidRDefault="008B39C3" w:rsidP="008B39C3">
      <w:pPr>
        <w:pStyle w:val="Caption"/>
      </w:pPr>
      <w:bookmarkStart w:id="59" w:name="_Ref536870015"/>
      <w:r w:rsidRPr="00237510">
        <w:t xml:space="preserve">Table </w:t>
      </w:r>
      <w:r>
        <w:fldChar w:fldCharType="begin"/>
      </w:r>
      <w:r>
        <w:instrText>SEQ Table \* ARABIC</w:instrText>
      </w:r>
      <w:r>
        <w:fldChar w:fldCharType="separate"/>
      </w:r>
      <w:r w:rsidR="008C72C8" w:rsidRPr="00237510">
        <w:t>6</w:t>
      </w:r>
      <w:r>
        <w:fldChar w:fldCharType="end"/>
      </w:r>
      <w:bookmarkEnd w:id="59"/>
      <w:r w:rsidRPr="00237510">
        <w:t>: Annual average water quality of discharges to rivers from Hazelwood, Yallourn and Loy Yang from July 2017 – June 2018 (data from EPA Annual Performance Statements).</w:t>
      </w:r>
    </w:p>
    <w:tbl>
      <w:tblPr>
        <w:tblStyle w:val="ListTable3-Accent52"/>
        <w:tblW w:w="8926" w:type="dxa"/>
        <w:tblLook w:val="04A0" w:firstRow="1" w:lastRow="0" w:firstColumn="1" w:lastColumn="0" w:noHBand="0" w:noVBand="1"/>
      </w:tblPr>
      <w:tblGrid>
        <w:gridCol w:w="3256"/>
        <w:gridCol w:w="1984"/>
        <w:gridCol w:w="2126"/>
        <w:gridCol w:w="1560"/>
      </w:tblGrid>
      <w:tr w:rsidR="008B39C3" w:rsidRPr="00237510" w14:paraId="2AF6B0C5" w14:textId="77777777" w:rsidTr="00E1157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56" w:type="dxa"/>
          </w:tcPr>
          <w:p w14:paraId="0772BDFA" w14:textId="77777777" w:rsidR="008B39C3" w:rsidRPr="00237510" w:rsidRDefault="008B39C3" w:rsidP="00E11576">
            <w:pPr>
              <w:rPr>
                <w:sz w:val="18"/>
                <w:szCs w:val="18"/>
              </w:rPr>
            </w:pPr>
            <w:r w:rsidRPr="00237510">
              <w:rPr>
                <w:sz w:val="18"/>
                <w:szCs w:val="18"/>
              </w:rPr>
              <w:t>Parameter</w:t>
            </w:r>
          </w:p>
        </w:tc>
        <w:tc>
          <w:tcPr>
            <w:tcW w:w="1984" w:type="dxa"/>
          </w:tcPr>
          <w:p w14:paraId="57EEDAF0" w14:textId="77777777" w:rsidR="008B39C3" w:rsidRPr="00237510" w:rsidRDefault="008B39C3" w:rsidP="00E11576">
            <w:pPr>
              <w:cnfStyle w:val="100000000000" w:firstRow="1" w:lastRow="0" w:firstColumn="0" w:lastColumn="0" w:oddVBand="0" w:evenVBand="0" w:oddHBand="0" w:evenHBand="0" w:firstRowFirstColumn="0" w:firstRowLastColumn="0" w:lastRowFirstColumn="0" w:lastRowLastColumn="0"/>
              <w:rPr>
                <w:sz w:val="18"/>
                <w:szCs w:val="18"/>
              </w:rPr>
            </w:pPr>
            <w:r w:rsidRPr="00237510">
              <w:rPr>
                <w:sz w:val="18"/>
                <w:szCs w:val="18"/>
              </w:rPr>
              <w:t>Hazelwood</w:t>
            </w:r>
          </w:p>
        </w:tc>
        <w:tc>
          <w:tcPr>
            <w:tcW w:w="2126" w:type="dxa"/>
          </w:tcPr>
          <w:p w14:paraId="01520F18" w14:textId="77777777" w:rsidR="008B39C3" w:rsidRPr="00237510" w:rsidRDefault="008B39C3" w:rsidP="00E11576">
            <w:pPr>
              <w:cnfStyle w:val="100000000000" w:firstRow="1" w:lastRow="0" w:firstColumn="0" w:lastColumn="0" w:oddVBand="0" w:evenVBand="0" w:oddHBand="0" w:evenHBand="0" w:firstRowFirstColumn="0" w:firstRowLastColumn="0" w:lastRowFirstColumn="0" w:lastRowLastColumn="0"/>
              <w:rPr>
                <w:sz w:val="18"/>
                <w:szCs w:val="18"/>
              </w:rPr>
            </w:pPr>
            <w:r w:rsidRPr="00237510">
              <w:rPr>
                <w:sz w:val="18"/>
                <w:szCs w:val="18"/>
              </w:rPr>
              <w:t>Yallourn</w:t>
            </w:r>
          </w:p>
        </w:tc>
        <w:tc>
          <w:tcPr>
            <w:tcW w:w="1560" w:type="dxa"/>
          </w:tcPr>
          <w:p w14:paraId="4419C065" w14:textId="77777777" w:rsidR="008B39C3" w:rsidRPr="00237510" w:rsidRDefault="008B39C3" w:rsidP="00E11576">
            <w:pPr>
              <w:cnfStyle w:val="100000000000" w:firstRow="1" w:lastRow="0" w:firstColumn="0" w:lastColumn="0" w:oddVBand="0" w:evenVBand="0" w:oddHBand="0" w:evenHBand="0" w:firstRowFirstColumn="0" w:firstRowLastColumn="0" w:lastRowFirstColumn="0" w:lastRowLastColumn="0"/>
              <w:rPr>
                <w:sz w:val="18"/>
                <w:szCs w:val="18"/>
              </w:rPr>
            </w:pPr>
            <w:r w:rsidRPr="00237510">
              <w:rPr>
                <w:sz w:val="18"/>
                <w:szCs w:val="18"/>
              </w:rPr>
              <w:t xml:space="preserve">Loy Yang </w:t>
            </w:r>
          </w:p>
        </w:tc>
      </w:tr>
      <w:tr w:rsidR="008B39C3" w:rsidRPr="00237510" w14:paraId="12160E0F" w14:textId="77777777" w:rsidTr="00E115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4E83ED8" w14:textId="77777777" w:rsidR="008B39C3" w:rsidRPr="00237510" w:rsidRDefault="008B39C3" w:rsidP="00E11576">
            <w:pPr>
              <w:rPr>
                <w:sz w:val="18"/>
                <w:szCs w:val="18"/>
              </w:rPr>
            </w:pPr>
            <w:r w:rsidRPr="00237510">
              <w:rPr>
                <w:sz w:val="18"/>
                <w:szCs w:val="18"/>
              </w:rPr>
              <w:t>Annual discharge (ML)</w:t>
            </w:r>
          </w:p>
        </w:tc>
        <w:tc>
          <w:tcPr>
            <w:tcW w:w="1984" w:type="dxa"/>
          </w:tcPr>
          <w:p w14:paraId="6CBFD708"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14,099</w:t>
            </w:r>
          </w:p>
        </w:tc>
        <w:tc>
          <w:tcPr>
            <w:tcW w:w="2126" w:type="dxa"/>
          </w:tcPr>
          <w:p w14:paraId="16A943B2"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12,640</w:t>
            </w:r>
          </w:p>
        </w:tc>
        <w:tc>
          <w:tcPr>
            <w:tcW w:w="1560" w:type="dxa"/>
          </w:tcPr>
          <w:p w14:paraId="7696CBD1"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3931</w:t>
            </w:r>
          </w:p>
        </w:tc>
      </w:tr>
      <w:tr w:rsidR="008B39C3" w:rsidRPr="00237510" w14:paraId="2739D810" w14:textId="77777777" w:rsidTr="00E11576">
        <w:tc>
          <w:tcPr>
            <w:cnfStyle w:val="001000000000" w:firstRow="0" w:lastRow="0" w:firstColumn="1" w:lastColumn="0" w:oddVBand="0" w:evenVBand="0" w:oddHBand="0" w:evenHBand="0" w:firstRowFirstColumn="0" w:firstRowLastColumn="0" w:lastRowFirstColumn="0" w:lastRowLastColumn="0"/>
            <w:tcW w:w="3256" w:type="dxa"/>
          </w:tcPr>
          <w:p w14:paraId="7326161C" w14:textId="77777777" w:rsidR="008B39C3" w:rsidRPr="00237510" w:rsidRDefault="008B39C3" w:rsidP="00E11576">
            <w:pPr>
              <w:rPr>
                <w:sz w:val="18"/>
                <w:szCs w:val="18"/>
              </w:rPr>
            </w:pPr>
            <w:r w:rsidRPr="00237510">
              <w:rPr>
                <w:sz w:val="18"/>
                <w:szCs w:val="18"/>
              </w:rPr>
              <w:t>Temperature (</w:t>
            </w:r>
            <w:r w:rsidRPr="00237510">
              <w:rPr>
                <w:rFonts w:ascii="Symbol" w:eastAsia="Symbol" w:hAnsi="Symbol" w:cs="Symbol"/>
                <w:sz w:val="18"/>
                <w:szCs w:val="18"/>
              </w:rPr>
              <w:t></w:t>
            </w:r>
            <w:r w:rsidRPr="00237510">
              <w:rPr>
                <w:sz w:val="18"/>
                <w:szCs w:val="18"/>
              </w:rPr>
              <w:t>C above ambient)</w:t>
            </w:r>
          </w:p>
        </w:tc>
        <w:tc>
          <w:tcPr>
            <w:tcW w:w="1984" w:type="dxa"/>
          </w:tcPr>
          <w:p w14:paraId="172B2703" w14:textId="77777777" w:rsidR="008B39C3" w:rsidRPr="00237510" w:rsidRDefault="008B39C3" w:rsidP="00E11576">
            <w:pPr>
              <w:cnfStyle w:val="000000000000" w:firstRow="0" w:lastRow="0" w:firstColumn="0" w:lastColumn="0" w:oddVBand="0" w:evenVBand="0" w:oddHBand="0" w:evenHBand="0" w:firstRowFirstColumn="0" w:firstRowLastColumn="0" w:lastRowFirstColumn="0" w:lastRowLastColumn="0"/>
              <w:rPr>
                <w:sz w:val="18"/>
                <w:szCs w:val="18"/>
              </w:rPr>
            </w:pPr>
            <w:r w:rsidRPr="00237510">
              <w:rPr>
                <w:sz w:val="18"/>
                <w:szCs w:val="18"/>
              </w:rPr>
              <w:t>6</w:t>
            </w:r>
          </w:p>
        </w:tc>
        <w:tc>
          <w:tcPr>
            <w:tcW w:w="2126" w:type="dxa"/>
          </w:tcPr>
          <w:p w14:paraId="6D8454DC" w14:textId="77777777" w:rsidR="008B39C3" w:rsidRPr="00237510" w:rsidRDefault="008B39C3" w:rsidP="00E11576">
            <w:pPr>
              <w:cnfStyle w:val="000000000000" w:firstRow="0" w:lastRow="0" w:firstColumn="0" w:lastColumn="0" w:oddVBand="0" w:evenVBand="0" w:oddHBand="0" w:evenHBand="0" w:firstRowFirstColumn="0" w:firstRowLastColumn="0" w:lastRowFirstColumn="0" w:lastRowLastColumn="0"/>
              <w:rPr>
                <w:sz w:val="18"/>
                <w:szCs w:val="18"/>
              </w:rPr>
            </w:pPr>
          </w:p>
        </w:tc>
        <w:tc>
          <w:tcPr>
            <w:tcW w:w="1560" w:type="dxa"/>
          </w:tcPr>
          <w:p w14:paraId="08B873A9" w14:textId="77777777" w:rsidR="008B39C3" w:rsidRPr="00237510" w:rsidRDefault="008B39C3" w:rsidP="00E11576">
            <w:pPr>
              <w:cnfStyle w:val="000000000000" w:firstRow="0" w:lastRow="0" w:firstColumn="0" w:lastColumn="0" w:oddVBand="0" w:evenVBand="0" w:oddHBand="0" w:evenHBand="0" w:firstRowFirstColumn="0" w:firstRowLastColumn="0" w:lastRowFirstColumn="0" w:lastRowLastColumn="0"/>
              <w:rPr>
                <w:sz w:val="18"/>
                <w:szCs w:val="18"/>
              </w:rPr>
            </w:pPr>
            <w:r w:rsidRPr="00237510">
              <w:rPr>
                <w:sz w:val="18"/>
                <w:szCs w:val="18"/>
              </w:rPr>
              <w:t>6</w:t>
            </w:r>
          </w:p>
        </w:tc>
      </w:tr>
      <w:tr w:rsidR="008B39C3" w:rsidRPr="00237510" w14:paraId="123B45A0" w14:textId="77777777" w:rsidTr="00E115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122A418" w14:textId="77777777" w:rsidR="008B39C3" w:rsidRPr="00237510" w:rsidRDefault="008B39C3" w:rsidP="00E11576">
            <w:pPr>
              <w:rPr>
                <w:sz w:val="18"/>
                <w:szCs w:val="18"/>
              </w:rPr>
            </w:pPr>
            <w:r w:rsidRPr="00237510">
              <w:rPr>
                <w:sz w:val="18"/>
                <w:szCs w:val="18"/>
              </w:rPr>
              <w:t xml:space="preserve">pH </w:t>
            </w:r>
          </w:p>
        </w:tc>
        <w:tc>
          <w:tcPr>
            <w:tcW w:w="1984" w:type="dxa"/>
          </w:tcPr>
          <w:p w14:paraId="58FE1518"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8.5</w:t>
            </w:r>
          </w:p>
        </w:tc>
        <w:tc>
          <w:tcPr>
            <w:tcW w:w="2126" w:type="dxa"/>
          </w:tcPr>
          <w:p w14:paraId="267C149C"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7.1</w:t>
            </w:r>
          </w:p>
        </w:tc>
        <w:tc>
          <w:tcPr>
            <w:tcW w:w="1560" w:type="dxa"/>
          </w:tcPr>
          <w:p w14:paraId="012F64D1"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7.4</w:t>
            </w:r>
          </w:p>
        </w:tc>
      </w:tr>
      <w:tr w:rsidR="008B39C3" w:rsidRPr="00237510" w14:paraId="4FC5E51E" w14:textId="77777777" w:rsidTr="00E11576">
        <w:tc>
          <w:tcPr>
            <w:cnfStyle w:val="001000000000" w:firstRow="0" w:lastRow="0" w:firstColumn="1" w:lastColumn="0" w:oddVBand="0" w:evenVBand="0" w:oddHBand="0" w:evenHBand="0" w:firstRowFirstColumn="0" w:firstRowLastColumn="0" w:lastRowFirstColumn="0" w:lastRowLastColumn="0"/>
            <w:tcW w:w="3256" w:type="dxa"/>
          </w:tcPr>
          <w:p w14:paraId="06EAB83D" w14:textId="77777777" w:rsidR="008B39C3" w:rsidRPr="00237510" w:rsidRDefault="008B39C3" w:rsidP="00E11576">
            <w:pPr>
              <w:rPr>
                <w:sz w:val="18"/>
                <w:szCs w:val="18"/>
              </w:rPr>
            </w:pPr>
            <w:r w:rsidRPr="00237510">
              <w:rPr>
                <w:sz w:val="18"/>
                <w:szCs w:val="18"/>
              </w:rPr>
              <w:t>Colour (pt-Co)</w:t>
            </w:r>
          </w:p>
        </w:tc>
        <w:tc>
          <w:tcPr>
            <w:tcW w:w="1984" w:type="dxa"/>
          </w:tcPr>
          <w:p w14:paraId="75AAA21C" w14:textId="77777777" w:rsidR="008B39C3" w:rsidRPr="00237510" w:rsidRDefault="008B39C3" w:rsidP="00E11576">
            <w:pPr>
              <w:cnfStyle w:val="000000000000" w:firstRow="0" w:lastRow="0" w:firstColumn="0" w:lastColumn="0" w:oddVBand="0" w:evenVBand="0" w:oddHBand="0" w:evenHBand="0" w:firstRowFirstColumn="0" w:firstRowLastColumn="0" w:lastRowFirstColumn="0" w:lastRowLastColumn="0"/>
              <w:rPr>
                <w:sz w:val="18"/>
                <w:szCs w:val="18"/>
              </w:rPr>
            </w:pPr>
            <w:r w:rsidRPr="00237510">
              <w:rPr>
                <w:sz w:val="18"/>
                <w:szCs w:val="18"/>
              </w:rPr>
              <w:t>36</w:t>
            </w:r>
          </w:p>
        </w:tc>
        <w:tc>
          <w:tcPr>
            <w:tcW w:w="2126" w:type="dxa"/>
          </w:tcPr>
          <w:p w14:paraId="2E19F93B" w14:textId="77777777" w:rsidR="008B39C3" w:rsidRPr="00237510" w:rsidRDefault="008B39C3" w:rsidP="00E11576">
            <w:pPr>
              <w:cnfStyle w:val="000000000000" w:firstRow="0" w:lastRow="0" w:firstColumn="0" w:lastColumn="0" w:oddVBand="0" w:evenVBand="0" w:oddHBand="0" w:evenHBand="0" w:firstRowFirstColumn="0" w:firstRowLastColumn="0" w:lastRowFirstColumn="0" w:lastRowLastColumn="0"/>
              <w:rPr>
                <w:sz w:val="18"/>
                <w:szCs w:val="18"/>
              </w:rPr>
            </w:pPr>
            <w:r w:rsidRPr="00237510">
              <w:rPr>
                <w:sz w:val="18"/>
                <w:szCs w:val="18"/>
              </w:rPr>
              <w:t>30</w:t>
            </w:r>
          </w:p>
        </w:tc>
        <w:tc>
          <w:tcPr>
            <w:tcW w:w="1560" w:type="dxa"/>
          </w:tcPr>
          <w:p w14:paraId="357B21A1" w14:textId="77777777" w:rsidR="008B39C3" w:rsidRPr="00237510" w:rsidRDefault="008B39C3" w:rsidP="00E11576">
            <w:pPr>
              <w:cnfStyle w:val="000000000000" w:firstRow="0" w:lastRow="0" w:firstColumn="0" w:lastColumn="0" w:oddVBand="0" w:evenVBand="0" w:oddHBand="0" w:evenHBand="0" w:firstRowFirstColumn="0" w:firstRowLastColumn="0" w:lastRowFirstColumn="0" w:lastRowLastColumn="0"/>
              <w:rPr>
                <w:sz w:val="18"/>
                <w:szCs w:val="18"/>
              </w:rPr>
            </w:pPr>
            <w:r w:rsidRPr="00237510">
              <w:rPr>
                <w:sz w:val="18"/>
                <w:szCs w:val="18"/>
              </w:rPr>
              <w:t>45</w:t>
            </w:r>
          </w:p>
        </w:tc>
      </w:tr>
      <w:tr w:rsidR="008B39C3" w:rsidRPr="00237510" w14:paraId="2BD6EF4A" w14:textId="77777777" w:rsidTr="00E115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5F3A29C" w14:textId="77777777" w:rsidR="008B39C3" w:rsidRPr="00237510" w:rsidRDefault="008B39C3" w:rsidP="00E11576">
            <w:pPr>
              <w:rPr>
                <w:sz w:val="18"/>
                <w:szCs w:val="18"/>
              </w:rPr>
            </w:pPr>
            <w:r w:rsidRPr="00237510">
              <w:rPr>
                <w:sz w:val="18"/>
                <w:szCs w:val="18"/>
              </w:rPr>
              <w:t>Turbidity (NTU)</w:t>
            </w:r>
          </w:p>
        </w:tc>
        <w:tc>
          <w:tcPr>
            <w:tcW w:w="1984" w:type="dxa"/>
          </w:tcPr>
          <w:p w14:paraId="1EB23E66"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14</w:t>
            </w:r>
          </w:p>
        </w:tc>
        <w:tc>
          <w:tcPr>
            <w:tcW w:w="2126" w:type="dxa"/>
          </w:tcPr>
          <w:p w14:paraId="37108F1F"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29</w:t>
            </w:r>
          </w:p>
        </w:tc>
        <w:tc>
          <w:tcPr>
            <w:tcW w:w="1560" w:type="dxa"/>
          </w:tcPr>
          <w:p w14:paraId="114F575B"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4</w:t>
            </w:r>
          </w:p>
        </w:tc>
      </w:tr>
      <w:tr w:rsidR="008B39C3" w:rsidRPr="00237510" w14:paraId="3322BF89" w14:textId="77777777" w:rsidTr="00E11576">
        <w:tc>
          <w:tcPr>
            <w:cnfStyle w:val="001000000000" w:firstRow="0" w:lastRow="0" w:firstColumn="1" w:lastColumn="0" w:oddVBand="0" w:evenVBand="0" w:oddHBand="0" w:evenHBand="0" w:firstRowFirstColumn="0" w:firstRowLastColumn="0" w:lastRowFirstColumn="0" w:lastRowLastColumn="0"/>
            <w:tcW w:w="3256" w:type="dxa"/>
          </w:tcPr>
          <w:p w14:paraId="6FA6AA52" w14:textId="36972E18" w:rsidR="008B39C3" w:rsidRPr="00237510" w:rsidRDefault="008B39C3" w:rsidP="00E11576">
            <w:pPr>
              <w:rPr>
                <w:sz w:val="18"/>
                <w:szCs w:val="18"/>
              </w:rPr>
            </w:pPr>
            <w:r w:rsidRPr="00237510">
              <w:rPr>
                <w:sz w:val="18"/>
                <w:szCs w:val="18"/>
              </w:rPr>
              <w:t>T</w:t>
            </w:r>
            <w:r w:rsidR="00FB06FF">
              <w:rPr>
                <w:sz w:val="18"/>
                <w:szCs w:val="18"/>
              </w:rPr>
              <w:t xml:space="preserve">otal </w:t>
            </w:r>
            <w:r w:rsidRPr="00237510">
              <w:rPr>
                <w:sz w:val="18"/>
                <w:szCs w:val="18"/>
              </w:rPr>
              <w:t>S</w:t>
            </w:r>
            <w:r w:rsidR="00FB06FF">
              <w:rPr>
                <w:sz w:val="18"/>
                <w:szCs w:val="18"/>
              </w:rPr>
              <w:t>uspended Solids</w:t>
            </w:r>
            <w:r w:rsidRPr="00237510">
              <w:rPr>
                <w:sz w:val="18"/>
                <w:szCs w:val="18"/>
              </w:rPr>
              <w:t xml:space="preserve"> (mg/l)</w:t>
            </w:r>
          </w:p>
        </w:tc>
        <w:tc>
          <w:tcPr>
            <w:tcW w:w="1984" w:type="dxa"/>
          </w:tcPr>
          <w:p w14:paraId="67E0EDB8" w14:textId="77777777" w:rsidR="008B39C3" w:rsidRPr="00237510" w:rsidRDefault="008B39C3" w:rsidP="00E11576">
            <w:pPr>
              <w:cnfStyle w:val="000000000000" w:firstRow="0" w:lastRow="0" w:firstColumn="0" w:lastColumn="0" w:oddVBand="0" w:evenVBand="0" w:oddHBand="0" w:evenHBand="0" w:firstRowFirstColumn="0" w:firstRowLastColumn="0" w:lastRowFirstColumn="0" w:lastRowLastColumn="0"/>
              <w:rPr>
                <w:sz w:val="18"/>
                <w:szCs w:val="18"/>
              </w:rPr>
            </w:pPr>
            <w:r w:rsidRPr="00237510">
              <w:rPr>
                <w:sz w:val="18"/>
                <w:szCs w:val="18"/>
              </w:rPr>
              <w:t>8</w:t>
            </w:r>
          </w:p>
        </w:tc>
        <w:tc>
          <w:tcPr>
            <w:tcW w:w="2126" w:type="dxa"/>
          </w:tcPr>
          <w:p w14:paraId="3B0C9545" w14:textId="77777777" w:rsidR="008B39C3" w:rsidRPr="00237510" w:rsidRDefault="008B39C3" w:rsidP="00E11576">
            <w:pPr>
              <w:cnfStyle w:val="000000000000" w:firstRow="0" w:lastRow="0" w:firstColumn="0" w:lastColumn="0" w:oddVBand="0" w:evenVBand="0" w:oddHBand="0" w:evenHBand="0" w:firstRowFirstColumn="0" w:firstRowLastColumn="0" w:lastRowFirstColumn="0" w:lastRowLastColumn="0"/>
              <w:rPr>
                <w:sz w:val="18"/>
                <w:szCs w:val="18"/>
              </w:rPr>
            </w:pPr>
            <w:r w:rsidRPr="00237510">
              <w:rPr>
                <w:sz w:val="18"/>
                <w:szCs w:val="18"/>
              </w:rPr>
              <w:t>13</w:t>
            </w:r>
          </w:p>
        </w:tc>
        <w:tc>
          <w:tcPr>
            <w:tcW w:w="1560" w:type="dxa"/>
          </w:tcPr>
          <w:p w14:paraId="6CC74158" w14:textId="77777777" w:rsidR="008B39C3" w:rsidRPr="00237510" w:rsidRDefault="008B39C3" w:rsidP="00E11576">
            <w:pPr>
              <w:cnfStyle w:val="000000000000" w:firstRow="0" w:lastRow="0" w:firstColumn="0" w:lastColumn="0" w:oddVBand="0" w:evenVBand="0" w:oddHBand="0" w:evenHBand="0" w:firstRowFirstColumn="0" w:firstRowLastColumn="0" w:lastRowFirstColumn="0" w:lastRowLastColumn="0"/>
              <w:rPr>
                <w:sz w:val="18"/>
                <w:szCs w:val="18"/>
              </w:rPr>
            </w:pPr>
            <w:r w:rsidRPr="00237510">
              <w:rPr>
                <w:sz w:val="18"/>
                <w:szCs w:val="18"/>
              </w:rPr>
              <w:t>2.5</w:t>
            </w:r>
          </w:p>
        </w:tc>
      </w:tr>
      <w:tr w:rsidR="008B39C3" w:rsidRPr="00237510" w14:paraId="71157D22" w14:textId="77777777" w:rsidTr="00E115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71ABA44" w14:textId="77777777" w:rsidR="008B39C3" w:rsidRPr="00237510" w:rsidRDefault="008B39C3" w:rsidP="00E11576">
            <w:pPr>
              <w:rPr>
                <w:sz w:val="18"/>
                <w:szCs w:val="18"/>
              </w:rPr>
            </w:pPr>
            <w:r w:rsidRPr="00237510">
              <w:rPr>
                <w:sz w:val="18"/>
                <w:szCs w:val="18"/>
              </w:rPr>
              <w:t>Salinity (ppt)</w:t>
            </w:r>
          </w:p>
        </w:tc>
        <w:tc>
          <w:tcPr>
            <w:tcW w:w="1984" w:type="dxa"/>
          </w:tcPr>
          <w:p w14:paraId="3768B831"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0.78</w:t>
            </w:r>
          </w:p>
        </w:tc>
        <w:tc>
          <w:tcPr>
            <w:tcW w:w="2126" w:type="dxa"/>
          </w:tcPr>
          <w:p w14:paraId="476F0272"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0.41</w:t>
            </w:r>
          </w:p>
        </w:tc>
        <w:tc>
          <w:tcPr>
            <w:tcW w:w="1560" w:type="dxa"/>
          </w:tcPr>
          <w:p w14:paraId="08BDB6AB" w14:textId="77777777" w:rsidR="008B39C3" w:rsidRPr="00237510" w:rsidRDefault="008B39C3" w:rsidP="00E11576">
            <w:pPr>
              <w:cnfStyle w:val="000000100000" w:firstRow="0" w:lastRow="0" w:firstColumn="0" w:lastColumn="0" w:oddVBand="0" w:evenVBand="0" w:oddHBand="1" w:evenHBand="0" w:firstRowFirstColumn="0" w:firstRowLastColumn="0" w:lastRowFirstColumn="0" w:lastRowLastColumn="0"/>
              <w:rPr>
                <w:sz w:val="18"/>
                <w:szCs w:val="18"/>
              </w:rPr>
            </w:pPr>
            <w:r w:rsidRPr="00237510">
              <w:rPr>
                <w:sz w:val="18"/>
                <w:szCs w:val="18"/>
              </w:rPr>
              <w:t>0.37</w:t>
            </w:r>
          </w:p>
        </w:tc>
      </w:tr>
    </w:tbl>
    <w:p w14:paraId="0D972659" w14:textId="114FCD89" w:rsidR="008B39C3" w:rsidRPr="00237510" w:rsidRDefault="008B39C3" w:rsidP="008B39C3">
      <w:pPr>
        <w:rPr>
          <w:lang w:eastAsia="en-US"/>
        </w:rPr>
      </w:pPr>
    </w:p>
    <w:p w14:paraId="5CD704EF" w14:textId="77082035" w:rsidR="008B39C3" w:rsidRPr="00237510" w:rsidRDefault="008B39C3" w:rsidP="008B39C3">
      <w:pPr>
        <w:pStyle w:val="Heading2"/>
      </w:pPr>
      <w:bookmarkStart w:id="60" w:name="_Toc42001392"/>
      <w:r w:rsidRPr="00237510">
        <w:t>Large scale d</w:t>
      </w:r>
      <w:r w:rsidR="008C0F84">
        <w:t>r</w:t>
      </w:r>
      <w:r w:rsidRPr="00237510">
        <w:t>ivers of change</w:t>
      </w:r>
      <w:bookmarkEnd w:id="60"/>
      <w:r w:rsidRPr="00237510">
        <w:t xml:space="preserve"> </w:t>
      </w:r>
    </w:p>
    <w:p w14:paraId="591BDB0E" w14:textId="77777777" w:rsidR="00E11576" w:rsidRPr="00237510" w:rsidRDefault="008B39C3" w:rsidP="00915118">
      <w:r w:rsidRPr="00237510">
        <w:rPr>
          <w:lang w:eastAsia="en-US"/>
        </w:rPr>
        <w:t xml:space="preserve">The potential ecological effects of mine rehabilitation must be considered in the context of current and future factors that are impacting on the condition of the aquatic ecosystems of the study area. </w:t>
      </w:r>
      <w:r w:rsidR="00915118" w:rsidRPr="00237510">
        <w:t xml:space="preserve">The Millennium Ecosystem Assessment identified human population growth and associated increases in resource use as the major driver of change for aquatic ecosystems systems on a global scale </w:t>
      </w:r>
      <w:r w:rsidR="00915118" w:rsidRPr="00237510">
        <w:fldChar w:fldCharType="begin"/>
      </w:r>
      <w:r w:rsidR="00915118" w:rsidRPr="00237510">
        <w:instrText xml:space="preserve"> ADDIN ZOTERO_ITEM CSL_CITATION {"citationID":"1jio5nsdk0","properties":{"formattedCitation":"(Millennium Ecosystem Assessment Program 2005)","plainCitation":"(Millennium Ecosystem Assessment Program 2005)","noteIndex":0},"citationItems":[{"id":1310,"uris":["http://zotero.org/users/2336876/items/43G47U7A"],"uri":["http://zotero.org/users/2336876/items/43G47U7A"],"itemData":{"id":1310,"type":"book","call-number":"QH541.5.M3 E275 2005","event-place":"Washington, DC","ISBN":"1-56973-597-2","number-of-pages":"68","publisher":"World Resources Institute","publisher-place":"Washington, DC","source":"Library of Congress ISBN","title":"Ecosystems and human well-being: wetlands and water synthesis: a report of the Millennium Ecosystem Assessment","title-short":"Ecosystems and human well-being","author":[{"literal":"Millennium Ecosystem Assessment Program"}],"issued":{"date-parts":[["2005"]]}}}],"schema":"https://github.com/citation-style-language/schema/raw/master/csl-citation.json"} </w:instrText>
      </w:r>
      <w:r w:rsidR="00915118" w:rsidRPr="00237510">
        <w:fldChar w:fldCharType="separate"/>
      </w:r>
      <w:r w:rsidR="00915118" w:rsidRPr="00237510">
        <w:t>(Millennium Ecosystem Assessment Program 2005)</w:t>
      </w:r>
      <w:r w:rsidR="00915118" w:rsidRPr="00237510">
        <w:fldChar w:fldCharType="end"/>
      </w:r>
      <w:r w:rsidR="00915118" w:rsidRPr="00237510">
        <w:t xml:space="preserve">. More recently, climate change has been predicted to be the second most important driver of global biodiversity change in the 21st century (second only to land use change associated with population growth) </w:t>
      </w:r>
      <w:r w:rsidR="00915118" w:rsidRPr="00237510">
        <w:fldChar w:fldCharType="begin"/>
      </w:r>
      <w:r w:rsidR="00915118" w:rsidRPr="00237510">
        <w:instrText xml:space="preserve"> ADDIN ZOTERO_ITEM CSL_CITATION {"citationID":"1d5baidvr3","properties":{"formattedCitation":"(Elmhagen et al. 2015)","plainCitation":"(Elmhagen et al. 2015)","noteIndex":0},"citationItems":[{"id":3413,"uris":["http://zotero.org/users/2336876/items/K7NFG87G"],"uri":["http://zotero.org/users/2336876/items/K7NFG87G"],"itemData":{"id":3413,"type":"article-journal","abstract":"This introduction to the Special Issue summarizes the results of 14 scientific articles from the interdisciplinary research program Ekoklim at Stockholm University, Sweden. In this program, we investigate effects of changing climate and land use on landscape processes, biodiversity, and ecosystem services, and analyze issues related to adaptive governance in the face of climate and land-use change. We not only have a research focus on the 22 650 km2 Norrström catchment surrounding lake Mälaren in south-central Sweden, but we also conduct research in other Swedish regions. The articles presented here show complex interactions between multiple drivers of change, as well as feedback processes at different spatiotemporal scales. Thus, the Ekoklim program highlights and deals with issues relevant for the future challenges society will face when land-use change interacts with climate change.","container-title":"AMBIO","DOI":"10.1007/s13280-014-0596-6","ISSN":"0044-7447, 1654-7209","issue":"1","journalAbbreviation":"AMBIO","language":"en","page":"1-5","source":"link.springer.com","title":"Implications of climate and land-use change for landscape processes, biodiversity, ecosystem services, and governance","volume":"44","author":[{"family":"Elmhagen","given":"Bodil"},{"family":"Eriksson","given":"Ove"},{"family":"Lindborg","given":"Regina"}],"issued":{"date-parts":[["2015",1,1]]}}}],"schema":"https://github.com/citation-style-language/schema/raw/master/csl-citation.json"} </w:instrText>
      </w:r>
      <w:r w:rsidR="00915118" w:rsidRPr="00237510">
        <w:fldChar w:fldCharType="separate"/>
      </w:r>
      <w:r w:rsidR="00915118" w:rsidRPr="00237510">
        <w:t>(Elmhagen et al. 2015)</w:t>
      </w:r>
      <w:r w:rsidR="00915118" w:rsidRPr="00237510">
        <w:fldChar w:fldCharType="end"/>
      </w:r>
      <w:r w:rsidR="00915118" w:rsidRPr="00237510">
        <w:t>. While these two drivers of change result in a wide range of threats and stressors to the aquatic ecosystems of the region (e.g. land use change, increased nutrients and sediments), the focus of this assessment is the potential effects of continued or increasing water resource use in the context of a changing climate.</w:t>
      </w:r>
    </w:p>
    <w:p w14:paraId="1562C3E6" w14:textId="2281732F" w:rsidR="00E11576" w:rsidRPr="00237510" w:rsidRDefault="00E11576" w:rsidP="00E11576">
      <w:pPr>
        <w:pStyle w:val="Heading3"/>
        <w:ind w:left="709"/>
      </w:pPr>
      <w:bookmarkStart w:id="61" w:name="_Toc42001393"/>
      <w:r w:rsidRPr="00237510">
        <w:t>Population growth and water resource use</w:t>
      </w:r>
      <w:bookmarkEnd w:id="61"/>
    </w:p>
    <w:p w14:paraId="6AF0E255" w14:textId="681BC5BB" w:rsidR="00915118" w:rsidRPr="00237510" w:rsidRDefault="00915118" w:rsidP="00915118">
      <w:r w:rsidRPr="00237510">
        <w:rPr>
          <w:lang w:eastAsia="en-US"/>
        </w:rPr>
        <w:t xml:space="preserve">Population in the Latrobe Valley has grown and is </w:t>
      </w:r>
      <w:r w:rsidR="00B9047A" w:rsidRPr="00237510">
        <w:rPr>
          <w:lang w:eastAsia="en-US"/>
        </w:rPr>
        <w:t>continuing</w:t>
      </w:r>
      <w:r w:rsidRPr="00237510">
        <w:rPr>
          <w:lang w:eastAsia="en-US"/>
        </w:rPr>
        <w:t xml:space="preserve"> to grow. </w:t>
      </w:r>
      <w:r w:rsidRPr="00237510">
        <w:t>The regional population in the Latrobe Valley has increased from around 100,000 in 1988 to almost 150,000 in 2019 (data from the Australian Bureau of Statistics). One of the consequences of increases in population has been an increase in the demand for and abstraction of water from the rivers of the Latrobe Basin. There are several major dams in the Latrobe system (</w:t>
      </w:r>
      <w:r w:rsidRPr="00237510">
        <w:fldChar w:fldCharType="begin"/>
      </w:r>
      <w:r w:rsidRPr="00237510">
        <w:instrText xml:space="preserve"> REF _Ref15732815 \h </w:instrText>
      </w:r>
      <w:r w:rsidRPr="00237510">
        <w:fldChar w:fldCharType="separate"/>
      </w:r>
      <w:r w:rsidR="008C72C8" w:rsidRPr="00237510">
        <w:t>Table 7</w:t>
      </w:r>
      <w:r w:rsidRPr="00237510">
        <w:fldChar w:fldCharType="end"/>
      </w:r>
      <w:r w:rsidRPr="00237510">
        <w:t xml:space="preserve">). The consumptive uses are for industry and power generation, as mentioned above, for agriculture as well as domestic water supply </w:t>
      </w:r>
      <w:r w:rsidRPr="00237510">
        <w:fldChar w:fldCharType="begin"/>
      </w:r>
      <w:r w:rsidRPr="00237510">
        <w:instrText xml:space="preserve"> ADDIN ZOTERO_ITEM CSL_CITATION {"citationID":"i4HPxJ8o","properties":{"formattedCitation":"(Department of Sustainability and Environment 2011)","plainCitation":"(Department of Sustainability and Environment 2011)","noteIndex":0},"citationItems":[{"id":4459,"uris":["http://zotero.org/users/2336876/items/SYNYZW5H"],"uri":["http://zotero.org/users/2336876/items/SYNYZW5H"],"itemData":{"id":4459,"type":"book","event-place":"Melbourne, Vic.","ISBN":"978-1-74287-315-2","language":"English","note":"OCLC: 773838822","publisher":"Dept. Of Sustainability and Environment","publisher-place":"Melbourne, Vic.","source":"Open WorldCat","title":"Gippsland region sustainable water strategy","author":[{"literal":"Department of Sustainability and Environment"}],"issued":{"date-parts":[["2011"]]}}}],"schema":"https://github.com/citation-style-language/schema/raw/master/csl-citation.json"} </w:instrText>
      </w:r>
      <w:r w:rsidRPr="00237510">
        <w:fldChar w:fldCharType="separate"/>
      </w:r>
      <w:r w:rsidRPr="00237510">
        <w:t>(Department of Sustainability and Environment 2011)</w:t>
      </w:r>
      <w:r w:rsidRPr="00237510">
        <w:fldChar w:fldCharType="end"/>
      </w:r>
      <w:r w:rsidRPr="00237510">
        <w:t>. From 2002 to 2017, an average of 157,000 ML was extracted from the Latrobe for consumptive use ranging from 141,000 ML in 2013/14 to 185,000 ML in 200</w:t>
      </w:r>
      <w:r w:rsidR="008C0F84">
        <w:t>6</w:t>
      </w:r>
      <w:r w:rsidRPr="00237510">
        <w:t>/</w:t>
      </w:r>
      <w:r w:rsidR="008C0F84">
        <w:t>7</w:t>
      </w:r>
      <w:r w:rsidRPr="00237510">
        <w:t xml:space="preserve"> (Victorian Water Register).</w:t>
      </w:r>
    </w:p>
    <w:p w14:paraId="42CFD0DF" w14:textId="49B246A9" w:rsidR="00915118" w:rsidRPr="00237510" w:rsidRDefault="00915118" w:rsidP="00915118">
      <w:pPr>
        <w:pStyle w:val="Caption"/>
      </w:pPr>
      <w:bookmarkStart w:id="62" w:name="_Ref15732815"/>
      <w:r w:rsidRPr="00237510">
        <w:t xml:space="preserve">Table </w:t>
      </w:r>
      <w:r>
        <w:fldChar w:fldCharType="begin"/>
      </w:r>
      <w:r>
        <w:instrText>SEQ Table \* ARABIC</w:instrText>
      </w:r>
      <w:r>
        <w:fldChar w:fldCharType="separate"/>
      </w:r>
      <w:r w:rsidR="008C72C8" w:rsidRPr="00237510">
        <w:t>7</w:t>
      </w:r>
      <w:r>
        <w:fldChar w:fldCharType="end"/>
      </w:r>
      <w:bookmarkEnd w:id="62"/>
      <w:r w:rsidRPr="00237510">
        <w:t xml:space="preserve">: Major storages in the </w:t>
      </w:r>
      <w:r w:rsidR="008C0F84">
        <w:t>Latrobe Basin</w:t>
      </w:r>
      <w:r w:rsidRPr="00237510">
        <w:t>.</w:t>
      </w:r>
    </w:p>
    <w:tbl>
      <w:tblPr>
        <w:tblStyle w:val="DELWPTable"/>
        <w:tblW w:w="0" w:type="auto"/>
        <w:tblLook w:val="04A0" w:firstRow="1" w:lastRow="0" w:firstColumn="1" w:lastColumn="0" w:noHBand="0" w:noVBand="1"/>
      </w:tblPr>
      <w:tblGrid>
        <w:gridCol w:w="1026"/>
        <w:gridCol w:w="1560"/>
        <w:gridCol w:w="2976"/>
        <w:gridCol w:w="1560"/>
        <w:gridCol w:w="1070"/>
      </w:tblGrid>
      <w:tr w:rsidR="00915118" w:rsidRPr="00237510" w14:paraId="1967F2D0" w14:textId="77777777" w:rsidTr="00E11576">
        <w:trPr>
          <w:cnfStyle w:val="100000000000" w:firstRow="1" w:lastRow="0" w:firstColumn="0" w:lastColumn="0" w:oddVBand="0" w:evenVBand="0" w:oddHBand="0" w:evenHBand="0" w:firstRowFirstColumn="0" w:firstRowLastColumn="0" w:lastRowFirstColumn="0" w:lastRowLastColumn="0"/>
        </w:trPr>
        <w:tc>
          <w:tcPr>
            <w:tcW w:w="1026" w:type="dxa"/>
            <w:shd w:val="clear" w:color="auto" w:fill="4BACC6" w:themeFill="accent5"/>
          </w:tcPr>
          <w:p w14:paraId="398CE197" w14:textId="77777777" w:rsidR="00915118" w:rsidRPr="00237510" w:rsidRDefault="00915118" w:rsidP="00E11576">
            <w:pPr>
              <w:rPr>
                <w:sz w:val="18"/>
                <w:szCs w:val="18"/>
              </w:rPr>
            </w:pPr>
            <w:r w:rsidRPr="00237510">
              <w:rPr>
                <w:sz w:val="18"/>
                <w:szCs w:val="18"/>
              </w:rPr>
              <w:t>Basin</w:t>
            </w:r>
          </w:p>
        </w:tc>
        <w:tc>
          <w:tcPr>
            <w:tcW w:w="1560" w:type="dxa"/>
            <w:shd w:val="clear" w:color="auto" w:fill="4BACC6" w:themeFill="accent5"/>
          </w:tcPr>
          <w:p w14:paraId="6CB72AE1" w14:textId="77777777" w:rsidR="00915118" w:rsidRPr="00237510" w:rsidRDefault="00915118" w:rsidP="00E11576">
            <w:pPr>
              <w:rPr>
                <w:sz w:val="18"/>
                <w:szCs w:val="18"/>
              </w:rPr>
            </w:pPr>
            <w:r w:rsidRPr="00237510">
              <w:rPr>
                <w:sz w:val="18"/>
                <w:szCs w:val="18"/>
              </w:rPr>
              <w:t>River</w:t>
            </w:r>
          </w:p>
        </w:tc>
        <w:tc>
          <w:tcPr>
            <w:tcW w:w="2976" w:type="dxa"/>
            <w:shd w:val="clear" w:color="auto" w:fill="4BACC6" w:themeFill="accent5"/>
          </w:tcPr>
          <w:p w14:paraId="49F4EF73" w14:textId="77777777" w:rsidR="00915118" w:rsidRPr="00237510" w:rsidRDefault="00915118" w:rsidP="00E11576">
            <w:pPr>
              <w:rPr>
                <w:sz w:val="18"/>
                <w:szCs w:val="18"/>
              </w:rPr>
            </w:pPr>
            <w:r w:rsidRPr="00237510">
              <w:rPr>
                <w:sz w:val="18"/>
                <w:szCs w:val="18"/>
              </w:rPr>
              <w:t>Dam</w:t>
            </w:r>
          </w:p>
        </w:tc>
        <w:tc>
          <w:tcPr>
            <w:tcW w:w="1560" w:type="dxa"/>
            <w:shd w:val="clear" w:color="auto" w:fill="4BACC6" w:themeFill="accent5"/>
          </w:tcPr>
          <w:p w14:paraId="5492F667" w14:textId="77777777" w:rsidR="00915118" w:rsidRPr="00237510" w:rsidRDefault="00915118" w:rsidP="00E11576">
            <w:pPr>
              <w:rPr>
                <w:sz w:val="18"/>
                <w:szCs w:val="18"/>
              </w:rPr>
            </w:pPr>
            <w:r w:rsidRPr="00237510">
              <w:rPr>
                <w:sz w:val="18"/>
                <w:szCs w:val="18"/>
              </w:rPr>
              <w:t>Capacity (ML)</w:t>
            </w:r>
          </w:p>
        </w:tc>
        <w:tc>
          <w:tcPr>
            <w:tcW w:w="1070" w:type="dxa"/>
            <w:shd w:val="clear" w:color="auto" w:fill="4BACC6" w:themeFill="accent5"/>
          </w:tcPr>
          <w:p w14:paraId="2503AF47" w14:textId="77777777" w:rsidR="00915118" w:rsidRPr="00237510" w:rsidRDefault="00915118" w:rsidP="00E11576">
            <w:pPr>
              <w:rPr>
                <w:sz w:val="18"/>
                <w:szCs w:val="18"/>
              </w:rPr>
            </w:pPr>
            <w:r w:rsidRPr="00237510">
              <w:rPr>
                <w:sz w:val="18"/>
                <w:szCs w:val="18"/>
              </w:rPr>
              <w:t>Date</w:t>
            </w:r>
          </w:p>
        </w:tc>
      </w:tr>
      <w:tr w:rsidR="00915118" w:rsidRPr="00237510" w14:paraId="16678A98" w14:textId="77777777" w:rsidTr="00E11576">
        <w:tc>
          <w:tcPr>
            <w:tcW w:w="1026" w:type="dxa"/>
          </w:tcPr>
          <w:p w14:paraId="43DADBFF" w14:textId="77777777" w:rsidR="00915118" w:rsidRPr="00237510" w:rsidRDefault="00915118" w:rsidP="00E11576">
            <w:pPr>
              <w:rPr>
                <w:sz w:val="18"/>
                <w:szCs w:val="18"/>
              </w:rPr>
            </w:pPr>
            <w:r w:rsidRPr="00237510">
              <w:rPr>
                <w:sz w:val="18"/>
                <w:szCs w:val="18"/>
              </w:rPr>
              <w:t>Latrobe</w:t>
            </w:r>
          </w:p>
        </w:tc>
        <w:tc>
          <w:tcPr>
            <w:tcW w:w="1560" w:type="dxa"/>
          </w:tcPr>
          <w:p w14:paraId="3E369596" w14:textId="77777777" w:rsidR="00915118" w:rsidRPr="00237510" w:rsidRDefault="00915118" w:rsidP="00E11576">
            <w:pPr>
              <w:rPr>
                <w:sz w:val="18"/>
                <w:szCs w:val="18"/>
              </w:rPr>
            </w:pPr>
            <w:r w:rsidRPr="00237510">
              <w:rPr>
                <w:sz w:val="18"/>
                <w:szCs w:val="18"/>
              </w:rPr>
              <w:t>Latrobe</w:t>
            </w:r>
          </w:p>
        </w:tc>
        <w:tc>
          <w:tcPr>
            <w:tcW w:w="2976" w:type="dxa"/>
          </w:tcPr>
          <w:p w14:paraId="4F156E10" w14:textId="77777777" w:rsidR="00915118" w:rsidRPr="00237510" w:rsidRDefault="00915118" w:rsidP="00E11576">
            <w:pPr>
              <w:rPr>
                <w:sz w:val="18"/>
                <w:szCs w:val="18"/>
              </w:rPr>
            </w:pPr>
            <w:r w:rsidRPr="00237510">
              <w:rPr>
                <w:sz w:val="18"/>
                <w:szCs w:val="18"/>
              </w:rPr>
              <w:t>Lake Narracan</w:t>
            </w:r>
          </w:p>
        </w:tc>
        <w:tc>
          <w:tcPr>
            <w:tcW w:w="1560" w:type="dxa"/>
          </w:tcPr>
          <w:p w14:paraId="042C3C19" w14:textId="6A9C0C6B" w:rsidR="00915118" w:rsidRPr="00237510" w:rsidRDefault="00915118" w:rsidP="00E11576">
            <w:pPr>
              <w:jc w:val="center"/>
              <w:rPr>
                <w:sz w:val="18"/>
                <w:szCs w:val="18"/>
              </w:rPr>
            </w:pPr>
            <w:r w:rsidRPr="00237510">
              <w:rPr>
                <w:sz w:val="18"/>
                <w:szCs w:val="18"/>
              </w:rPr>
              <w:t>8</w:t>
            </w:r>
            <w:r w:rsidR="005F4608">
              <w:rPr>
                <w:sz w:val="18"/>
                <w:szCs w:val="18"/>
              </w:rPr>
              <w:t>,</w:t>
            </w:r>
            <w:r w:rsidRPr="00237510">
              <w:rPr>
                <w:sz w:val="18"/>
                <w:szCs w:val="18"/>
              </w:rPr>
              <w:t xml:space="preserve">600 </w:t>
            </w:r>
          </w:p>
        </w:tc>
        <w:tc>
          <w:tcPr>
            <w:tcW w:w="1070" w:type="dxa"/>
          </w:tcPr>
          <w:p w14:paraId="300A4E38" w14:textId="77777777" w:rsidR="00915118" w:rsidRPr="00237510" w:rsidRDefault="00915118" w:rsidP="00E11576">
            <w:pPr>
              <w:jc w:val="center"/>
              <w:rPr>
                <w:sz w:val="18"/>
                <w:szCs w:val="18"/>
              </w:rPr>
            </w:pPr>
            <w:r w:rsidRPr="00237510">
              <w:rPr>
                <w:sz w:val="18"/>
                <w:szCs w:val="18"/>
              </w:rPr>
              <w:t>1961</w:t>
            </w:r>
          </w:p>
        </w:tc>
      </w:tr>
      <w:tr w:rsidR="00915118" w:rsidRPr="00237510" w14:paraId="6A619D10" w14:textId="77777777" w:rsidTr="00E11576">
        <w:tc>
          <w:tcPr>
            <w:tcW w:w="1026" w:type="dxa"/>
          </w:tcPr>
          <w:p w14:paraId="1D3CB14D" w14:textId="77777777" w:rsidR="00915118" w:rsidRPr="00237510" w:rsidRDefault="00915118" w:rsidP="00E11576">
            <w:pPr>
              <w:rPr>
                <w:sz w:val="18"/>
                <w:szCs w:val="18"/>
              </w:rPr>
            </w:pPr>
          </w:p>
        </w:tc>
        <w:tc>
          <w:tcPr>
            <w:tcW w:w="1560" w:type="dxa"/>
          </w:tcPr>
          <w:p w14:paraId="3C6AA6C6" w14:textId="77777777" w:rsidR="00915118" w:rsidRPr="00237510" w:rsidRDefault="00915118" w:rsidP="00E11576">
            <w:pPr>
              <w:rPr>
                <w:sz w:val="18"/>
                <w:szCs w:val="18"/>
              </w:rPr>
            </w:pPr>
            <w:r w:rsidRPr="00237510">
              <w:rPr>
                <w:sz w:val="18"/>
                <w:szCs w:val="18"/>
              </w:rPr>
              <w:t>Tyers</w:t>
            </w:r>
          </w:p>
        </w:tc>
        <w:tc>
          <w:tcPr>
            <w:tcW w:w="2976" w:type="dxa"/>
          </w:tcPr>
          <w:p w14:paraId="628CBE90" w14:textId="77777777" w:rsidR="00915118" w:rsidRPr="00237510" w:rsidRDefault="00915118" w:rsidP="00E11576">
            <w:pPr>
              <w:rPr>
                <w:sz w:val="18"/>
                <w:szCs w:val="18"/>
              </w:rPr>
            </w:pPr>
            <w:r w:rsidRPr="00237510">
              <w:rPr>
                <w:sz w:val="18"/>
                <w:szCs w:val="18"/>
              </w:rPr>
              <w:t>Moondarra Reservoir</w:t>
            </w:r>
          </w:p>
        </w:tc>
        <w:tc>
          <w:tcPr>
            <w:tcW w:w="1560" w:type="dxa"/>
          </w:tcPr>
          <w:p w14:paraId="4C7782D6" w14:textId="77777777" w:rsidR="00915118" w:rsidRPr="00237510" w:rsidRDefault="00915118" w:rsidP="00E11576">
            <w:pPr>
              <w:jc w:val="center"/>
              <w:rPr>
                <w:sz w:val="18"/>
                <w:szCs w:val="18"/>
              </w:rPr>
            </w:pPr>
            <w:r w:rsidRPr="00237510">
              <w:rPr>
                <w:sz w:val="18"/>
                <w:szCs w:val="18"/>
              </w:rPr>
              <w:t>30,000</w:t>
            </w:r>
          </w:p>
        </w:tc>
        <w:tc>
          <w:tcPr>
            <w:tcW w:w="1070" w:type="dxa"/>
          </w:tcPr>
          <w:p w14:paraId="1FE3347F" w14:textId="77777777" w:rsidR="00915118" w:rsidRPr="00237510" w:rsidRDefault="00915118" w:rsidP="00E11576">
            <w:pPr>
              <w:jc w:val="center"/>
              <w:rPr>
                <w:sz w:val="18"/>
                <w:szCs w:val="18"/>
              </w:rPr>
            </w:pPr>
            <w:r w:rsidRPr="00237510">
              <w:rPr>
                <w:sz w:val="18"/>
                <w:szCs w:val="18"/>
              </w:rPr>
              <w:t>1962</w:t>
            </w:r>
          </w:p>
        </w:tc>
      </w:tr>
      <w:tr w:rsidR="00915118" w:rsidRPr="00237510" w14:paraId="6D677D1B" w14:textId="77777777" w:rsidTr="00E11576">
        <w:tc>
          <w:tcPr>
            <w:tcW w:w="1026" w:type="dxa"/>
          </w:tcPr>
          <w:p w14:paraId="3DD3601B" w14:textId="77777777" w:rsidR="00915118" w:rsidRPr="00237510" w:rsidRDefault="00915118" w:rsidP="00E11576">
            <w:pPr>
              <w:rPr>
                <w:sz w:val="18"/>
                <w:szCs w:val="18"/>
              </w:rPr>
            </w:pPr>
          </w:p>
        </w:tc>
        <w:tc>
          <w:tcPr>
            <w:tcW w:w="1560" w:type="dxa"/>
          </w:tcPr>
          <w:p w14:paraId="711AB7DC" w14:textId="77777777" w:rsidR="00915118" w:rsidRPr="00237510" w:rsidRDefault="00915118" w:rsidP="00E11576">
            <w:pPr>
              <w:rPr>
                <w:sz w:val="18"/>
                <w:szCs w:val="18"/>
              </w:rPr>
            </w:pPr>
            <w:r w:rsidRPr="00237510">
              <w:rPr>
                <w:sz w:val="18"/>
                <w:szCs w:val="18"/>
              </w:rPr>
              <w:t>Tanjil</w:t>
            </w:r>
          </w:p>
        </w:tc>
        <w:tc>
          <w:tcPr>
            <w:tcW w:w="2976" w:type="dxa"/>
          </w:tcPr>
          <w:p w14:paraId="290C5AC6" w14:textId="77777777" w:rsidR="00915118" w:rsidRPr="00237510" w:rsidRDefault="00915118" w:rsidP="00E11576">
            <w:pPr>
              <w:rPr>
                <w:sz w:val="18"/>
                <w:szCs w:val="18"/>
              </w:rPr>
            </w:pPr>
            <w:r w:rsidRPr="00237510">
              <w:rPr>
                <w:sz w:val="18"/>
                <w:szCs w:val="18"/>
              </w:rPr>
              <w:t>Blue Rock Reservoir</w:t>
            </w:r>
          </w:p>
        </w:tc>
        <w:tc>
          <w:tcPr>
            <w:tcW w:w="1560" w:type="dxa"/>
          </w:tcPr>
          <w:p w14:paraId="5A032E7A" w14:textId="77777777" w:rsidR="00915118" w:rsidRPr="00237510" w:rsidRDefault="00915118" w:rsidP="00E11576">
            <w:pPr>
              <w:jc w:val="center"/>
              <w:rPr>
                <w:sz w:val="18"/>
                <w:szCs w:val="18"/>
              </w:rPr>
            </w:pPr>
            <w:r w:rsidRPr="00237510">
              <w:rPr>
                <w:sz w:val="18"/>
                <w:szCs w:val="18"/>
              </w:rPr>
              <w:t>208,000</w:t>
            </w:r>
          </w:p>
        </w:tc>
        <w:tc>
          <w:tcPr>
            <w:tcW w:w="1070" w:type="dxa"/>
          </w:tcPr>
          <w:p w14:paraId="471AE246" w14:textId="77777777" w:rsidR="00915118" w:rsidRPr="00237510" w:rsidRDefault="00915118" w:rsidP="00E11576">
            <w:pPr>
              <w:jc w:val="center"/>
              <w:rPr>
                <w:sz w:val="18"/>
                <w:szCs w:val="18"/>
              </w:rPr>
            </w:pPr>
            <w:r w:rsidRPr="00237510">
              <w:rPr>
                <w:sz w:val="18"/>
                <w:szCs w:val="18"/>
              </w:rPr>
              <w:t>1984</w:t>
            </w:r>
          </w:p>
        </w:tc>
      </w:tr>
    </w:tbl>
    <w:p w14:paraId="3637614E" w14:textId="782A8046" w:rsidR="00915118" w:rsidRPr="00237510" w:rsidRDefault="00915118" w:rsidP="00915118"/>
    <w:p w14:paraId="1187FD43" w14:textId="48465DF2" w:rsidR="00E11576" w:rsidRPr="00237510" w:rsidRDefault="00E11576" w:rsidP="00915118">
      <w:r>
        <w:t xml:space="preserve">Licenced groundwater extraction from the surficial aquifers the Latrobe Basin is very small compared to surface water extraction </w:t>
      </w:r>
      <w:r>
        <w:fldChar w:fldCharType="begin"/>
      </w:r>
      <w:r>
        <w:instrText xml:space="preserve"> ADDIN ZOTERO_ITEM CSL_CITATION {"citationID":"Yi6IzRcR","properties":{"formattedCitation":"(Department of Environment, Land, Water and Planning 2019)","plainCitation":"(Department of Environment, Land, Water and Planning 2019)","noteIndex":0},"citationItems":[{"id":5175,"uris":["http://zotero.org/users/2336876/items/I74B3FX5"],"uri":["http://zotero.org/users/2336876/items/I74B3FX5"],"itemData":{"id":5175,"type":"book","event-place":"Melbourne, Australia","publisher":"State of Victoria","publisher-place":"Melbourne, Australia","title":"Long-Term Water Resource Assessment for Southern Victoria: Basin-by-Basin Results","author":[{"family":"Department of Environment, Land, Water and Planning","given":""}],"issued":{"date-parts":[["2019"]]}}}],"schema":"https://github.com/citation-style-language/schema/raw/master/csl-citation.json"} </w:instrText>
      </w:r>
      <w:r>
        <w:fldChar w:fldCharType="separate"/>
      </w:r>
      <w:r>
        <w:t>(Department of Environment, Land, Water and Planning 2019)</w:t>
      </w:r>
      <w:r>
        <w:fldChar w:fldCharType="end"/>
      </w:r>
      <w:r>
        <w:t xml:space="preserve">. Groundwater in the Latrobe region is being lowered, predominantly by Latrobe Valley coal mine dewatering, but these deep aquifers are also not </w:t>
      </w:r>
      <w:r w:rsidR="2EA57EE8">
        <w:t xml:space="preserve">well </w:t>
      </w:r>
      <w:r>
        <w:t xml:space="preserve">connected to rivers and wetlands </w:t>
      </w:r>
      <w:r>
        <w:fldChar w:fldCharType="begin"/>
      </w:r>
      <w:r>
        <w:instrText xml:space="preserve"> ADDIN ZOTERO_ITEM CSL_CITATION {"citationID":"c7sDT5sz","properties":{"formattedCitation":"(Department of Environment, Land, Water and Planning 2019)","plainCitation":"(Department of Environment, Land, Water and Planning 2019)","noteIndex":0},"citationItems":[{"id":5175,"uris":["http://zotero.org/users/2336876/items/I74B3FX5"],"uri":["http://zotero.org/users/2336876/items/I74B3FX5"],"itemData":{"id":5175,"type":"book","event-place":"Melbourne, Australia","publisher":"State of Victoria","publisher-place":"Melbourne, Australia","title":"Long-Term Water Resource Assessment for Southern Victoria: Basin-by-Basin Results","author":[{"family":"Department of Environment, Land, Water and Planning","given":""}],"issued":{"date-parts":[["2019"]]}}}],"schema":"https://github.com/citation-style-language/schema/raw/master/csl-citation.json"} </w:instrText>
      </w:r>
      <w:r>
        <w:fldChar w:fldCharType="separate"/>
      </w:r>
      <w:r>
        <w:t>(Department of Environment, Land, Water and Planning 2019)</w:t>
      </w:r>
      <w:r>
        <w:fldChar w:fldCharType="end"/>
      </w:r>
      <w:r>
        <w:t xml:space="preserve"> so the impact on </w:t>
      </w:r>
      <w:r w:rsidR="3C1F8E21">
        <w:t xml:space="preserve">major </w:t>
      </w:r>
      <w:r>
        <w:t>aquatic ecosystems is negligible.</w:t>
      </w:r>
    </w:p>
    <w:p w14:paraId="4C2C6347" w14:textId="5F5A65F6" w:rsidR="00B9047A" w:rsidRPr="00237510" w:rsidRDefault="00B9047A" w:rsidP="00915118">
      <w:r w:rsidRPr="00237510">
        <w:rPr>
          <w:noProof/>
        </w:rPr>
        <mc:AlternateContent>
          <mc:Choice Requires="wps">
            <w:drawing>
              <wp:inline distT="0" distB="0" distL="0" distR="0" wp14:anchorId="2A06880D" wp14:editId="7FF6E843">
                <wp:extent cx="5700408" cy="6352161"/>
                <wp:effectExtent l="0" t="0" r="14605" b="10795"/>
                <wp:docPr id="18" name="Text Box 18"/>
                <wp:cNvGraphicFramePr/>
                <a:graphic xmlns:a="http://schemas.openxmlformats.org/drawingml/2006/main">
                  <a:graphicData uri="http://schemas.microsoft.com/office/word/2010/wordprocessingShape">
                    <wps:wsp>
                      <wps:cNvSpPr txBox="1"/>
                      <wps:spPr>
                        <a:xfrm>
                          <a:off x="0" y="0"/>
                          <a:ext cx="5700408" cy="6352161"/>
                        </a:xfrm>
                        <a:prstGeom prst="rect">
                          <a:avLst/>
                        </a:prstGeom>
                        <a:solidFill>
                          <a:schemeClr val="accent5">
                            <a:lumMod val="20000"/>
                            <a:lumOff val="80000"/>
                          </a:schemeClr>
                        </a:solidFill>
                        <a:ln w="6350">
                          <a:solidFill>
                            <a:prstClr val="black"/>
                          </a:solidFill>
                        </a:ln>
                      </wps:spPr>
                      <wps:txbx>
                        <w:txbxContent>
                          <w:p w14:paraId="0316D2D1" w14:textId="2B165865" w:rsidR="00AF508C" w:rsidRPr="00B87457" w:rsidRDefault="00AF508C">
                            <w:pPr>
                              <w:rPr>
                                <w:b/>
                                <w:bCs/>
                                <w:i/>
                                <w:iCs/>
                                <w:color w:val="215868" w:themeColor="accent5" w:themeShade="80"/>
                              </w:rPr>
                            </w:pPr>
                            <w:r w:rsidRPr="00B87457">
                              <w:rPr>
                                <w:b/>
                                <w:bCs/>
                                <w:i/>
                                <w:iCs/>
                                <w:color w:val="215868" w:themeColor="accent5" w:themeShade="80"/>
                              </w:rPr>
                              <w:t>Water resource use in the Thomson</w:t>
                            </w:r>
                            <w:r>
                              <w:rPr>
                                <w:b/>
                                <w:bCs/>
                                <w:i/>
                                <w:iCs/>
                                <w:color w:val="215868" w:themeColor="accent5" w:themeShade="80"/>
                              </w:rPr>
                              <w:t xml:space="preserve"> River Basin</w:t>
                            </w:r>
                          </w:p>
                          <w:p w14:paraId="6532E11B" w14:textId="3E7937C3" w:rsidR="00AF508C" w:rsidRDefault="00AF508C" w:rsidP="00B87457">
                            <w:r>
                              <w:t xml:space="preserve">Although the focus of this ecological effects assessment is the Latrobe River Basin, the lower parts of the system including the Latrobe Estuary, Lake Wellington and the Lower Latrobe Wetlands, are also influenced by water from the Thomson River Basin and so the effects of mine rehabilitation, water resource use and climate change must be considered in the context of reduced flows down the Thomson River. </w:t>
                            </w:r>
                          </w:p>
                          <w:p w14:paraId="2DDB5F34" w14:textId="7F099C69" w:rsidR="00AF508C" w:rsidRDefault="00AF508C" w:rsidP="00B87457">
                            <w:r w:rsidRPr="00B87457">
                              <w:t xml:space="preserve">A large proportion of the water in the Thomson </w:t>
                            </w:r>
                            <w:r>
                              <w:t>River Basin</w:t>
                            </w:r>
                            <w:r w:rsidRPr="00B87457">
                              <w:t xml:space="preserve"> is diverted to supply Greater Me</w:t>
                            </w:r>
                            <w:r>
                              <w:t>tropolitan Me</w:t>
                            </w:r>
                            <w:r w:rsidRPr="00B87457">
                              <w:t xml:space="preserve">lbourne. Therefore, it is not only population growth in the </w:t>
                            </w:r>
                            <w:r>
                              <w:t>Latrobe River and Thomson River Basins</w:t>
                            </w:r>
                            <w:r w:rsidRPr="00B87457">
                              <w:t xml:space="preserve">, but </w:t>
                            </w:r>
                            <w:r>
                              <w:t>also</w:t>
                            </w:r>
                            <w:r w:rsidRPr="00B87457">
                              <w:t xml:space="preserve"> increased population in Greater Melbourne that has driven and continues to drive increased water resource use in the catchment of Lake Wellington. The population of Greater Melbourne has increased substantially over the past three decades, from around 3 million in 1988 to over 5 million in 2019. It is projected to increase to over 8 million by 2050. Over the same period, the regional population in the Latrobe Valley and Wellington area has increased from around 100,000 to almost 150,000 (data from the Australian Bureau of Statistics).</w:t>
                            </w:r>
                          </w:p>
                          <w:p w14:paraId="188915B2" w14:textId="59A45078" w:rsidR="00AF508C" w:rsidRPr="00B87457" w:rsidRDefault="00AF508C" w:rsidP="00B87457">
                            <w:r w:rsidRPr="00B87457">
                              <w:t xml:space="preserve">Data from the Victorian Water Register indicate that on average 316,000 ML are extracted from the Thomson Basin for consumptive use (2003 to 2017) ranging from a low of 148,000 ML in the wet year of 2011/12 to a high of 435,000 ML in 2015/16. Typically, about half the consumptive use is for Melbourne water supplies and half for irrigation in the Gippsland region (e.g. the Macalister Irrigation District), with other minor urban and industrial uses accounting for a small percentage </w:t>
                            </w:r>
                            <w:r w:rsidRPr="00B87457">
                              <w:fldChar w:fldCharType="begin"/>
                            </w:r>
                            <w:r w:rsidRPr="00B87457">
                              <w:instrText xml:space="preserve"> ADDIN ZOTERO_ITEM CSL_CITATION {"citationID":"tEgiXgro","properties":{"formattedCitation":"(DELWP 2005, 2007, 2009, 2014, 2015, 2016a)","plainCitation":"(DELWP 2005, 2007, 2009, 2014, 2015, 2016a)","noteIndex":0},"citationItems":[{"id":4790,"uris":["http://zotero.org/users/2336876/items/PEHLDDLA"],"uri":["http://zotero.org/users/2336876/items/PEHLDDLA"],"itemData":{"id":4790,"type":"book","title":"State Water Report 2003-2004: A Statementt of Victorian water resources","publisher":"State Government of Victoria","publisher-place":"Melbourne, Victoria","event-place":"Melbourne, Victoria","author":[{"family":"DELWP","given":""}],"issued":{"date-parts":[["2005"]]}}},{"id":4789,"uris":["http://zotero.org/users/2336876/items/2JDBYZE5"],"uri":["http://zotero.org/users/2336876/items/2JDBYZE5"],"itemData":{"id":4789,"type":"book","title":"Victorian Water Accounts 2005–2006: A statement of Victorian water resources","publisher":"State Government of Victoria","publisher-place":"Melbourne, Victoria","event-place":"Melbourne, Victoria","author":[{"family":"DELWP","given":""}],"issued":{"date-parts":[["2007"]]}}},{"id":4788,"uris":["http://zotero.org/users/2336876/items/QU79D7J4"],"uri":["http://zotero.org/users/2336876/items/QU79D7J4"],"itemData":{"id":4788,"type":"book","title":"Victorian Water Accounts 2007–2008: A statement of Victorian water resources","publisher":"State Government of Victoria","publisher-place":"Melbourne, Victoria","event-place":"Melbourne, Victoria","author":[{"family":"DELWP","given":""}],"issued":{"date-parts":[["2009"]]}}},{"id":4787,"uris":["http://zotero.org/users/2336876/items/NFGBCDYI"],"uri":["http://zotero.org/users/2336876/items/NFGBCDYI"],"itemData":{"id":4787,"type":"book","title":"Victorian Water Accounts 2012–2013: A statement of Victorian water resources","publisher":"State Government of Victoria","publisher-place":"Melbourne, Victoria","event-place":"Melbourne, Victoria","author":[{"family":"DELWP","given":""}],"issued":{"date-parts":[["2014"]]}}},{"id":4786,"uris":["http://zotero.org/users/2336876/items/Z96H5SJJ"],"uri":["http://zotero.org/users/2336876/items/Z96H5SJJ"],"itemData":{"id":4786,"type":"book","title":"Victorian Water Accounts 2013–2014: A statement of Victorian water resources","publisher":"State Government of Victoria","publisher-place":"Melbourne, Victoria","event-place":"Melbourne, Victoria","author":[{"family":"DELWP","given":""}],"issued":{"date-parts":[["2015"]]}}},{"id":4785,"uris":["http://zotero.org/users/2336876/items/VUCA4LRF"],"uri":["http://zotero.org/users/2336876/items/VUCA4LRF"],"itemData":{"id":4785,"type":"book","title":"Victorian Water Accounts 2014–2015: A statement of Victorian water resources","publisher":"State Government of Victoria","publisher-place":"Melbourne, Victoria","event-place":"Melbourne, Victoria","author":[{"family":"DELWP","given":""}],"issued":{"date-parts":[["2016"]]}}}],"schema":"https://github.com/citation-style-language/schema/raw/master/csl-citation.json"} </w:instrText>
                            </w:r>
                            <w:r w:rsidRPr="00B87457">
                              <w:fldChar w:fldCharType="separate"/>
                            </w:r>
                            <w:r w:rsidRPr="00B87457">
                              <w:t>(DELWP 2005, 2007, 2009, 2014, 2015, 2016a)</w:t>
                            </w:r>
                            <w:r w:rsidRPr="00B87457">
                              <w:fldChar w:fldCharType="end"/>
                            </w:r>
                            <w:r w:rsidRPr="00B87457">
                              <w:t>.</w:t>
                            </w:r>
                          </w:p>
                          <w:p w14:paraId="650C00D7" w14:textId="64E73EFF" w:rsidR="00AF508C" w:rsidRDefault="00AF508C" w:rsidP="00B87457">
                            <w:r w:rsidRPr="00B87457">
                              <w:t xml:space="preserve">It should be noted that although there are return flows (where a portion of the water extracted is returned to the river system), for irrigation and some commercial uses (such as power supply), the water diverted to the Yarra River for Melbourne water supplies is completely removed from the Lake Wellington system. The relatively high levels of water resource use in this system, particularly in dry years, results in more water being extracted </w:t>
                            </w:r>
                            <w:r>
                              <w:t xml:space="preserve">from the Thomson River Basin </w:t>
                            </w:r>
                            <w:r w:rsidRPr="00B87457">
                              <w:t>for consumptive use than is discharged to Lake Wellington in some years</w:t>
                            </w:r>
                            <w:r>
                              <w:t>.</w:t>
                            </w:r>
                          </w:p>
                          <w:p w14:paraId="74C5EBAB" w14:textId="6B8B9FD9" w:rsidR="00AF508C" w:rsidRPr="00B87457" w:rsidRDefault="00AF508C" w:rsidP="00B87457">
                            <w:pPr>
                              <w:spacing w:after="0"/>
                              <w:rPr>
                                <w:rFonts w:ascii="Times New Roman" w:eastAsia="Times New Roman" w:hAnsi="Times New Roman"/>
                                <w:sz w:val="24"/>
                                <w:szCs w:val="24"/>
                                <w:lang w:eastAsia="zh-CN"/>
                              </w:rPr>
                            </w:pPr>
                            <w:r w:rsidRPr="00B87457">
                              <w:rPr>
                                <w:rFonts w:ascii="Times New Roman" w:eastAsia="Times New Roman" w:hAnsi="Times New Roman"/>
                                <w:sz w:val="24"/>
                                <w:szCs w:val="24"/>
                                <w:lang w:eastAsia="zh-CN"/>
                              </w:rPr>
                              <w:fldChar w:fldCharType="begin"/>
                            </w:r>
                            <w:r w:rsidRPr="00B87457">
                              <w:rPr>
                                <w:rFonts w:ascii="Times New Roman" w:eastAsia="Times New Roman" w:hAnsi="Times New Roman"/>
                                <w:sz w:val="24"/>
                                <w:szCs w:val="24"/>
                                <w:lang w:eastAsia="zh-CN"/>
                              </w:rPr>
                              <w:instrText xml:space="preserve"> INCLUDEPICTURE "https://www.film.vic.gov.au/images/locations/Baw%20Baw%20Shire%20Council/Thomson%20Dam/rcbaw-la-ThomsonDam_001.JPG" \* MERGEFORMATINET </w:instrText>
                            </w:r>
                            <w:r w:rsidRPr="00B87457">
                              <w:rPr>
                                <w:rFonts w:ascii="Times New Roman" w:eastAsia="Times New Roman" w:hAnsi="Times New Roman"/>
                                <w:sz w:val="24"/>
                                <w:szCs w:val="24"/>
                                <w:lang w:eastAsia="zh-CN"/>
                              </w:rPr>
                              <w:fldChar w:fldCharType="separate"/>
                            </w:r>
                            <w:r w:rsidRPr="00B87457">
                              <w:rPr>
                                <w:rFonts w:ascii="Times New Roman" w:eastAsia="Times New Roman" w:hAnsi="Times New Roman"/>
                                <w:noProof/>
                                <w:sz w:val="24"/>
                                <w:szCs w:val="24"/>
                                <w:lang w:eastAsia="zh-CN"/>
                              </w:rPr>
                              <w:drawing>
                                <wp:inline distT="0" distB="0" distL="0" distR="0" wp14:anchorId="48796935" wp14:editId="3D25C862">
                                  <wp:extent cx="5510127" cy="2071479"/>
                                  <wp:effectExtent l="0" t="0" r="1905" b="0"/>
                                  <wp:docPr id="26" name="Picture 26" descr="An aerial view of the Thomson Reser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film.vic.gov.au/images/locations/Baw%20Baw%20Shire%20Council/Thomson%20Dam/rcbaw-la-ThomsonDam_001.JPG"/>
                                          <pic:cNvPicPr>
                                            <a:picLocks noChangeAspect="1" noChangeArrowheads="1"/>
                                          </pic:cNvPicPr>
                                        </pic:nvPicPr>
                                        <pic:blipFill rotWithShape="1">
                                          <a:blip r:embed="rId58">
                                            <a:extLst>
                                              <a:ext uri="{28A0092B-C50C-407E-A947-70E740481C1C}">
                                                <a14:useLocalDpi xmlns:a14="http://schemas.microsoft.com/office/drawing/2010/main" val="0"/>
                                              </a:ext>
                                            </a:extLst>
                                          </a:blip>
                                          <a:srcRect t="29071" b="14342"/>
                                          <a:stretch/>
                                        </pic:blipFill>
                                        <pic:spPr bwMode="auto">
                                          <a:xfrm>
                                            <a:off x="0" y="0"/>
                                            <a:ext cx="5511165" cy="2071869"/>
                                          </a:xfrm>
                                          <a:prstGeom prst="rect">
                                            <a:avLst/>
                                          </a:prstGeom>
                                          <a:noFill/>
                                          <a:ln>
                                            <a:noFill/>
                                          </a:ln>
                                          <a:extLst>
                                            <a:ext uri="{53640926-AAD7-44D8-BBD7-CCE9431645EC}">
                                              <a14:shadowObscured xmlns:a14="http://schemas.microsoft.com/office/drawing/2010/main"/>
                                            </a:ext>
                                          </a:extLst>
                                        </pic:spPr>
                                      </pic:pic>
                                    </a:graphicData>
                                  </a:graphic>
                                </wp:inline>
                              </w:drawing>
                            </w:r>
                            <w:r w:rsidRPr="00B87457">
                              <w:rPr>
                                <w:rFonts w:ascii="Times New Roman" w:eastAsia="Times New Roman" w:hAnsi="Times New Roman"/>
                                <w:sz w:val="24"/>
                                <w:szCs w:val="24"/>
                                <w:lang w:eastAsia="zh-CN"/>
                              </w:rPr>
                              <w:fldChar w:fldCharType="end"/>
                            </w:r>
                          </w:p>
                          <w:p w14:paraId="5BDF425B" w14:textId="77777777" w:rsidR="00AF508C" w:rsidRPr="00B87457" w:rsidRDefault="00AF508C" w:rsidP="00B87457"/>
                          <w:p w14:paraId="70734C46" w14:textId="42B827CB" w:rsidR="00AF508C" w:rsidRDefault="00AF50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arto="http://schemas.microsoft.com/office/word/2006/arto" xmlns:w16="http://schemas.microsoft.com/office/word/2018/wordml" xmlns:w16cex="http://schemas.microsoft.com/office/word/2018/wordml/cex">
            <w:pict>
              <v:shape w14:anchorId="2A06880D" id="Text Box 18" o:spid="_x0000_s1028" type="#_x0000_t202" style="width:448.85pt;height:50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" fillcolor="#daeef3 [664]" strokeweight=".5pt">
                <v:textbox>
                  <w:txbxContent>
                    <w:p w14:paraId="0316D2D1" w14:textId="2B165865" w:rsidR="00AF508C" w:rsidRPr="00B87457" w:rsidRDefault="00AF508C">
                      <w:pPr>
                        <w:rPr>
                          <w:b/>
                          <w:bCs/>
                          <w:i/>
                          <w:iCs/>
                          <w:color w:val="215868" w:themeColor="accent5" w:themeShade="80"/>
                        </w:rPr>
                      </w:pPr>
                      <w:r w:rsidRPr="00B87457">
                        <w:rPr>
                          <w:b/>
                          <w:bCs/>
                          <w:i/>
                          <w:iCs/>
                          <w:color w:val="215868" w:themeColor="accent5" w:themeShade="80"/>
                        </w:rPr>
                        <w:t>Water resource use in the Thomson</w:t>
                      </w:r>
                      <w:r>
                        <w:rPr>
                          <w:b/>
                          <w:bCs/>
                          <w:i/>
                          <w:iCs/>
                          <w:color w:val="215868" w:themeColor="accent5" w:themeShade="80"/>
                        </w:rPr>
                        <w:t xml:space="preserve"> River Basin</w:t>
                      </w:r>
                    </w:p>
                    <w:p w14:paraId="6532E11B" w14:textId="3E7937C3" w:rsidR="00AF508C" w:rsidRDefault="00AF508C" w:rsidP="00B87457">
                      <w:r>
                        <w:t xml:space="preserve">Although the focus of this ecological effects assessment is the Latrobe River Basin, the lower parts of the system including the Latrobe Estuary, Lake Wellington and the Lower Latrobe Wetlands, are also influenced by water from the Thomson River Basin and so the effects of mine rehabilitation, water resource use and climate change must be considered in the context of reduced flows down the Thomson River. </w:t>
                      </w:r>
                    </w:p>
                    <w:p w14:paraId="2DDB5F34" w14:textId="7F099C69" w:rsidR="00AF508C" w:rsidRDefault="00AF508C" w:rsidP="00B87457">
                      <w:r w:rsidRPr="00B87457">
                        <w:t xml:space="preserve">A large proportion of the water in the Thomson </w:t>
                      </w:r>
                      <w:r>
                        <w:t>River Basin</w:t>
                      </w:r>
                      <w:r w:rsidRPr="00B87457">
                        <w:t xml:space="preserve"> is diverted to supply Greater Me</w:t>
                      </w:r>
                      <w:r>
                        <w:t>tropolitan Me</w:t>
                      </w:r>
                      <w:r w:rsidRPr="00B87457">
                        <w:t xml:space="preserve">lbourne. Therefore, it is not only population growth in the </w:t>
                      </w:r>
                      <w:r>
                        <w:t>Latrobe River and Thomson River Basins</w:t>
                      </w:r>
                      <w:r w:rsidRPr="00B87457">
                        <w:t xml:space="preserve">, but </w:t>
                      </w:r>
                      <w:r>
                        <w:t>also</w:t>
                      </w:r>
                      <w:r w:rsidRPr="00B87457">
                        <w:t xml:space="preserve"> increased population in Greater Melbourne that has driven and continues to drive increased water resource use in the catchment of Lake Wellington. The population of Greater Melbourne has increased substantially over the past three decades, from around 3 million in 1988 to over 5 million in 2019. It is projected to increase to over 8 million by 2050. Over the same period, the regional population in the Latrobe Valley and Wellington area has increased from around 100,000 to almost 150,000 (data from the Australian Bureau of Statistics).</w:t>
                      </w:r>
                    </w:p>
                    <w:p w14:paraId="188915B2" w14:textId="59A45078" w:rsidR="00AF508C" w:rsidRPr="00B87457" w:rsidRDefault="00AF508C" w:rsidP="00B87457">
                      <w:r w:rsidRPr="00B87457">
                        <w:t xml:space="preserve">Data from the Victorian Water Register indicate that on average 316,000 ML are extracted from the Thomson Basin for consumptive use (2003 to 2017) ranging from a low of 148,000 ML in the wet year of 2011/12 to a high of 435,000 ML in 2015/16. Typically, about half the consumptive use is for Melbourne water supplies and half for irrigation in the Gippsland region (e.g. the Macalister Irrigation District), with other minor urban and industrial uses accounting for a small percentage </w:t>
                      </w:r>
                      <w:r w:rsidRPr="00B87457">
                        <w:fldChar w:fldCharType="begin"/>
                      </w:r>
                      <w:r w:rsidRPr="00B87457">
                        <w:instrText xml:space="preserve"> ADDIN ZOTERO_ITEM CSL_CITATION {"citationID":"tEgiXgro","properties":{"formattedCitation":"(DELWP 2005, 2007, 2009, 2014, 2015, 2016a)","plainCitation":"(DELWP 2005, 2007, 2009, 2014, 2015, 2016a)","noteIndex":0},"citationItems":[{"id":4790,"uris":["http://zotero.org/users/2336876/items/PEHLDDLA"],"uri":["http://zotero.org/users/2336876/items/PEHLDDLA"],"itemData":{"id":4790,"type":"book","title":"State Water Report 2003-2004: A Statementt of Victorian water resources","publisher":"State Government of Victoria","publisher-place":"Melbourne, Victoria","event-place":"Melbourne, Victoria","author":[{"family":"DELWP","given":""}],"issued":{"date-parts":[["2005"]]}}},{"id":4789,"uris":["http://zotero.org/users/2336876/items/2JDBYZE5"],"uri":["http://zotero.org/users/2336876/items/2JDBYZE5"],"itemData":{"id":4789,"type":"book","title":"Victorian Water Accounts 2005–2006: A statement of Victorian water resources","publisher":"State Government of Victoria","publisher-place":"Melbourne, Victoria","event-place":"Melbourne, Victoria","author":[{"family":"DELWP","given":""}],"issued":{"date-parts":[["2007"]]}}},{"id":4788,"uris":["http://zotero.org/users/2336876/items/QU79D7J4"],"uri":["http://zotero.org/users/2336876/items/QU79D7J4"],"itemData":{"id":4788,"type":"book","title":"Victorian Water Accounts 2007–2008: A statement of Victorian water resources","publisher":"State Government of Victoria","publisher-place":"Melbourne, Victoria","event-place":"Melbourne, Victoria","author":[{"family":"DELWP","given":""}],"issued":{"date-parts":[["2009"]]}}},{"id":4787,"uris":["http://zotero.org/users/2336876/items/NFGBCDYI"],"uri":["http://zotero.org/users/2336876/items/NFGBCDYI"],"itemData":{"id":4787,"type":"book","title":"Victorian Water Accounts 2012–2013: A statement of Victorian water resources","publisher":"State Government of Victoria","publisher-place":"Melbourne, Victoria","event-place":"Melbourne, Victoria","author":[{"family":"DELWP","given":""}],"issued":{"date-parts":[["2014"]]}}},{"id":4786,"uris":["http://zotero.org/users/2336876/items/Z96H5SJJ"],"uri":["http://zotero.org/users/2336876/items/Z96H5SJJ"],"itemData":{"id":4786,"type":"book","title":"Victorian Water Accounts 2013–2014: A statement of Victorian water resources","publisher":"State Government of Victoria","publisher-place":"Melbourne, Victoria","event-place":"Melbourne, Victoria","author":[{"family":"DELWP","given":""}],"issued":{"date-parts":[["2015"]]}}},{"id":4785,"uris":["http://zotero.org/users/2336876/items/VUCA4LRF"],"uri":["http://zotero.org/users/2336876/items/VUCA4LRF"],"itemData":{"id":4785,"type":"book","title":"Victorian Water Accounts 2014–2015: A statement of Victorian water resources","publisher":"State Government of Victoria","publisher-place":"Melbourne, Victoria","event-place":"Melbourne, Victoria","author":[{"family":"DELWP","given":""}],"issued":{"date-parts":[["2016"]]}}}],"schema":"https://github.com/citation-style-language/schema/raw/master/csl-citation.json"} </w:instrText>
                      </w:r>
                      <w:r w:rsidRPr="00B87457">
                        <w:fldChar w:fldCharType="separate"/>
                      </w:r>
                      <w:r w:rsidRPr="00B87457">
                        <w:t>(DELWP 2005, 2007, 2009, 2014, 2015, 2016a)</w:t>
                      </w:r>
                      <w:r w:rsidRPr="00B87457">
                        <w:fldChar w:fldCharType="end"/>
                      </w:r>
                      <w:r w:rsidRPr="00B87457">
                        <w:t>.</w:t>
                      </w:r>
                    </w:p>
                    <w:p w14:paraId="650C00D7" w14:textId="64E73EFF" w:rsidR="00AF508C" w:rsidRDefault="00AF508C" w:rsidP="00B87457">
                      <w:r w:rsidRPr="00B87457">
                        <w:t xml:space="preserve">It should be noted that although there are return flows (where a portion of the water extracted is returned to the river system), for irrigation and some commercial uses (such as power supply), the water diverted to the Yarra River for Melbourne water supplies is completely removed from the Lake Wellington system. The relatively high levels of water resource use in this system, particularly in dry years, results in more water being extracted </w:t>
                      </w:r>
                      <w:r>
                        <w:t xml:space="preserve">from the Thomson River Basin </w:t>
                      </w:r>
                      <w:r w:rsidRPr="00B87457">
                        <w:t>for consumptive use than is discharged to Lake Wellington in some years</w:t>
                      </w:r>
                      <w:r>
                        <w:t>.</w:t>
                      </w:r>
                    </w:p>
                    <w:p w14:paraId="74C5EBAB" w14:textId="6B8B9FD9" w:rsidR="00AF508C" w:rsidRPr="00B87457" w:rsidRDefault="00AF508C" w:rsidP="00B87457">
                      <w:pPr>
                        <w:spacing w:after="0"/>
                        <w:rPr>
                          <w:rFonts w:ascii="Times New Roman" w:eastAsia="Times New Roman" w:hAnsi="Times New Roman"/>
                          <w:sz w:val="24"/>
                          <w:szCs w:val="24"/>
                          <w:lang w:eastAsia="zh-CN"/>
                        </w:rPr>
                      </w:pPr>
                      <w:r w:rsidRPr="00B87457">
                        <w:rPr>
                          <w:rFonts w:ascii="Times New Roman" w:eastAsia="Times New Roman" w:hAnsi="Times New Roman"/>
                          <w:sz w:val="24"/>
                          <w:szCs w:val="24"/>
                          <w:lang w:eastAsia="zh-CN"/>
                        </w:rPr>
                        <w:fldChar w:fldCharType="begin"/>
                      </w:r>
                      <w:r w:rsidRPr="00B87457">
                        <w:rPr>
                          <w:rFonts w:ascii="Times New Roman" w:eastAsia="Times New Roman" w:hAnsi="Times New Roman"/>
                          <w:sz w:val="24"/>
                          <w:szCs w:val="24"/>
                          <w:lang w:eastAsia="zh-CN"/>
                        </w:rPr>
                        <w:instrText xml:space="preserve"> INCLUDEPICTURE "https://www.film.vic.gov.au/images/locations/Baw%20Baw%20Shire%20Council/Thomson%20Dam/rcbaw-la-ThomsonDam_001.JPG" \* MERGEFORMATINET </w:instrText>
                      </w:r>
                      <w:r w:rsidRPr="00B87457">
                        <w:rPr>
                          <w:rFonts w:ascii="Times New Roman" w:eastAsia="Times New Roman" w:hAnsi="Times New Roman"/>
                          <w:sz w:val="24"/>
                          <w:szCs w:val="24"/>
                          <w:lang w:eastAsia="zh-CN"/>
                        </w:rPr>
                        <w:fldChar w:fldCharType="separate"/>
                      </w:r>
                      <w:r w:rsidRPr="00B87457">
                        <w:rPr>
                          <w:rFonts w:ascii="Times New Roman" w:eastAsia="Times New Roman" w:hAnsi="Times New Roman"/>
                          <w:noProof/>
                          <w:sz w:val="24"/>
                          <w:szCs w:val="24"/>
                          <w:lang w:eastAsia="zh-CN"/>
                        </w:rPr>
                        <w:drawing>
                          <wp:inline distT="0" distB="0" distL="0" distR="0" wp14:anchorId="48796935" wp14:editId="3D25C862">
                            <wp:extent cx="5510127" cy="2071479"/>
                            <wp:effectExtent l="0" t="0" r="1905" b="0"/>
                            <wp:docPr id="26" name="Picture 26" descr="An aerial view of the Thomson Reservo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film.vic.gov.au/images/locations/Baw%20Baw%20Shire%20Council/Thomson%20Dam/rcbaw-la-ThomsonDam_001.JPG"/>
                                    <pic:cNvPicPr>
                                      <a:picLocks noChangeAspect="1" noChangeArrowheads="1"/>
                                    </pic:cNvPicPr>
                                  </pic:nvPicPr>
                                  <pic:blipFill rotWithShape="1">
                                    <a:blip r:embed="rId61">
                                      <a:extLst>
                                        <a:ext uri="{28A0092B-C50C-407E-A947-70E740481C1C}">
                                          <a14:useLocalDpi xmlns:a14="http://schemas.microsoft.com/office/drawing/2010/main" val="0"/>
                                        </a:ext>
                                      </a:extLst>
                                    </a:blip>
                                    <a:srcRect t="29071" b="14342"/>
                                    <a:stretch/>
                                  </pic:blipFill>
                                  <pic:spPr bwMode="auto">
                                    <a:xfrm>
                                      <a:off x="0" y="0"/>
                                      <a:ext cx="5511165" cy="2071869"/>
                                    </a:xfrm>
                                    <a:prstGeom prst="rect">
                                      <a:avLst/>
                                    </a:prstGeom>
                                    <a:noFill/>
                                    <a:ln>
                                      <a:noFill/>
                                    </a:ln>
                                    <a:extLst>
                                      <a:ext uri="{53640926-AAD7-44D8-BBD7-CCE9431645EC}">
                                        <a14:shadowObscured xmlns:a14="http://schemas.microsoft.com/office/drawing/2010/main"/>
                                      </a:ext>
                                    </a:extLst>
                                  </pic:spPr>
                                </pic:pic>
                              </a:graphicData>
                            </a:graphic>
                          </wp:inline>
                        </w:drawing>
                      </w:r>
                      <w:r w:rsidRPr="00B87457">
                        <w:rPr>
                          <w:rFonts w:ascii="Times New Roman" w:eastAsia="Times New Roman" w:hAnsi="Times New Roman"/>
                          <w:sz w:val="24"/>
                          <w:szCs w:val="24"/>
                          <w:lang w:eastAsia="zh-CN"/>
                        </w:rPr>
                        <w:fldChar w:fldCharType="end"/>
                      </w:r>
                    </w:p>
                    <w:p w14:paraId="5BDF425B" w14:textId="77777777" w:rsidR="00AF508C" w:rsidRPr="00B87457" w:rsidRDefault="00AF508C" w:rsidP="00B87457"/>
                    <w:p w14:paraId="70734C46" w14:textId="42B827CB" w:rsidR="00AF508C" w:rsidRDefault="00AF508C"/>
                  </w:txbxContent>
                </v:textbox>
                <w10:anchorlock/>
              </v:shape>
            </w:pict>
          </mc:Fallback>
        </mc:AlternateContent>
      </w:r>
    </w:p>
    <w:p w14:paraId="0F84F242" w14:textId="048C1441" w:rsidR="00E11576" w:rsidRPr="00237510" w:rsidRDefault="00E11576" w:rsidP="00E11576">
      <w:pPr>
        <w:pStyle w:val="Heading3"/>
        <w:ind w:left="709"/>
      </w:pPr>
      <w:bookmarkStart w:id="63" w:name="_Toc42001394"/>
      <w:r w:rsidRPr="00237510">
        <w:t>Climate change</w:t>
      </w:r>
      <w:bookmarkEnd w:id="63"/>
    </w:p>
    <w:p w14:paraId="65351077" w14:textId="0CD29D92" w:rsidR="00AC1EA6" w:rsidRDefault="00AC1EA6" w:rsidP="00AC1EA6">
      <w:r>
        <w:t xml:space="preserve">High resolution climate change projections for the Latrobe Valley </w:t>
      </w:r>
      <w:r>
        <w:fldChar w:fldCharType="begin"/>
      </w:r>
      <w:r>
        <w:instrText xml:space="preserve"> ADDIN ZOTERO_ITEM CSL_CITATION {"citationID":"uN31YNAy","properties":{"formattedCitation":"(Jacobs et al. 2017)","plainCitation":"(Jacobs et al. 2017)","noteIndex":0},"citationItems":[{"id":5383,"uris":["http://zotero.org/users/2336876/items/CYJM3Y7K"],"uri":["http://zotero.org/users/2336876/items/CYJM3Y7K"],"itemData":{"id":5383,"type":"book","event-place":"Melbourne, Victoria","publisher":"Department of Environment, Land, Water and Planning","publisher-place":"Melbourne, Victoria","title":"Climate Change Projections. Latrobe Valley Regional Rehabilitation Strategy. Method report and user guidance","author":[{"family":"Jacobs","given":""},{"family":"CSIRO","given":""},{"family":"University of Melbourne","given":""}],"issued":{"date-parts":[["2017"]]}}}],"schema":"https://github.com/citation-style-language/schema/raw/master/csl-citation.json"} </w:instrText>
      </w:r>
      <w:r>
        <w:fldChar w:fldCharType="separate"/>
      </w:r>
      <w:r>
        <w:rPr>
          <w:noProof/>
        </w:rPr>
        <w:t>(Jacobs et al. 2017)</w:t>
      </w:r>
      <w:r>
        <w:fldChar w:fldCharType="end"/>
      </w:r>
      <w:r>
        <w:t xml:space="preserve"> projected the following aggregated changes in hydroclimate variables under emission scenario RCP8.5 relative to the baseline period of 1975 – 2014: </w:t>
      </w:r>
    </w:p>
    <w:p w14:paraId="3FC5964C" w14:textId="77777777" w:rsidR="00AC1EA6" w:rsidRDefault="00AC1EA6" w:rsidP="00AC1EA6">
      <w:pPr>
        <w:pStyle w:val="ListParagraph"/>
        <w:numPr>
          <w:ilvl w:val="0"/>
          <w:numId w:val="19"/>
        </w:numPr>
      </w:pPr>
      <w:r>
        <w:t>Increase in average annual temperature of 1.53</w:t>
      </w:r>
      <w:r w:rsidRPr="00AB2117">
        <w:rPr>
          <w:vertAlign w:val="superscript"/>
        </w:rPr>
        <w:t>0</w:t>
      </w:r>
      <w:r>
        <w:t xml:space="preserve"> C for dry (90</w:t>
      </w:r>
      <w:r w:rsidRPr="00AF7891">
        <w:rPr>
          <w:vertAlign w:val="superscript"/>
        </w:rPr>
        <w:t>th</w:t>
      </w:r>
      <w:r>
        <w:t xml:space="preserve"> percentile) scenario and 1.21</w:t>
      </w:r>
      <w:r w:rsidRPr="00AB2117">
        <w:rPr>
          <w:vertAlign w:val="superscript"/>
        </w:rPr>
        <w:t>0</w:t>
      </w:r>
      <w:r>
        <w:t xml:space="preserve"> C for median (50</w:t>
      </w:r>
      <w:r w:rsidRPr="00AB2117">
        <w:rPr>
          <w:vertAlign w:val="superscript"/>
        </w:rPr>
        <w:t>th</w:t>
      </w:r>
      <w:r>
        <w:t xml:space="preserve"> percentile) scenario by 2040, with increases of 2.82</w:t>
      </w:r>
      <w:r w:rsidRPr="00AB2117">
        <w:rPr>
          <w:vertAlign w:val="superscript"/>
        </w:rPr>
        <w:t>0</w:t>
      </w:r>
      <w:r>
        <w:t xml:space="preserve"> C and 2.21</w:t>
      </w:r>
      <w:r w:rsidRPr="00AB2117">
        <w:rPr>
          <w:vertAlign w:val="superscript"/>
        </w:rPr>
        <w:t>0</w:t>
      </w:r>
      <w:r>
        <w:t xml:space="preserve"> C for respective scenarios by 2065.   </w:t>
      </w:r>
    </w:p>
    <w:p w14:paraId="1A23BF1F" w14:textId="77777777" w:rsidR="00AC1EA6" w:rsidRDefault="00AC1EA6" w:rsidP="00AC1EA6">
      <w:pPr>
        <w:pStyle w:val="ListParagraph"/>
        <w:numPr>
          <w:ilvl w:val="0"/>
          <w:numId w:val="19"/>
        </w:numPr>
      </w:pPr>
      <w:r>
        <w:t xml:space="preserve">Increase in annual potential evapotranspiration (PET) of 5.84% for dry scenario and 4.51% for median scenario by 2040, with increases of 11.47% and 7.6% for respective scenarios by 2065. </w:t>
      </w:r>
    </w:p>
    <w:p w14:paraId="6867D61C" w14:textId="77777777" w:rsidR="00AC1EA6" w:rsidRDefault="00AC1EA6" w:rsidP="00AC1EA6">
      <w:pPr>
        <w:pStyle w:val="ListParagraph"/>
        <w:numPr>
          <w:ilvl w:val="0"/>
          <w:numId w:val="19"/>
        </w:numPr>
      </w:pPr>
      <w:r>
        <w:t xml:space="preserve">Decrease in annual rainfall of 14.23% for dry scenario and 4.17% for median scenario by 2040, with decreases of 20.9% and 4.45% for respective scenarios by 2065. Reduction in cool-season rainfall has been predicted for Victoria. </w:t>
      </w:r>
    </w:p>
    <w:p w14:paraId="728DE5CE" w14:textId="77777777" w:rsidR="00AC1EA6" w:rsidRDefault="00AC1EA6" w:rsidP="00AC1EA6">
      <w:pPr>
        <w:pStyle w:val="ListParagraph"/>
        <w:numPr>
          <w:ilvl w:val="0"/>
          <w:numId w:val="19"/>
        </w:numPr>
      </w:pPr>
      <w:r>
        <w:t xml:space="preserve">Decrease in annual runoff of 35.46% for dry scenario and 10.0% for median scenario by 2040, with decreases of 49.21% and 17.86% for respective scenarios by 2065. </w:t>
      </w:r>
    </w:p>
    <w:p w14:paraId="12835669" w14:textId="0AB90216" w:rsidR="000A58C2" w:rsidRPr="00237510" w:rsidRDefault="00E11576" w:rsidP="00E11576">
      <w:r w:rsidRPr="00237510">
        <w:t>Although there is growing evidence for projected changes in surface water runoff in the future, there is also very strong evidence that many of these changes are already being realised currently. Recent assessments of water availability (i.e. the entire volume of water in the river system including rivers flows and consumptive use) in the Latrobe Basin indicate that there has already been a demonstrable decline in surface water due to warmer and drier conditions. The period 1975 to 2018, for example, saw a 5% decline in surface water in the Latrobe Basin, compared with the long-term historical record</w:t>
      </w:r>
      <w:r w:rsidR="000A58C2" w:rsidRPr="00237510">
        <w:t xml:space="preserve">. </w:t>
      </w:r>
      <w:r w:rsidRPr="00237510">
        <w:t>There have been further declines in surface water after 1997 (around 27% compared to the historical record), but this period includes the decade long Millennium Drought, which may not be indicative of a continuing trend</w:t>
      </w:r>
      <w:r w:rsidR="000A58C2" w:rsidRPr="00237510">
        <w:t xml:space="preserve"> </w:t>
      </w:r>
      <w:r w:rsidR="000A58C2" w:rsidRPr="00237510">
        <w:fldChar w:fldCharType="begin"/>
      </w:r>
      <w:r w:rsidR="000A58C2" w:rsidRPr="00237510">
        <w:instrText xml:space="preserve"> ADDIN ZOTERO_ITEM CSL_CITATION {"citationID":"Vaj1e9VK","properties":{"formattedCitation":"(DELWP 2020)","plainCitation":"(DELWP 2020)","noteIndex":0},"citationItems":[{"id":5300,"uris":["http://zotero.org/users/2336876/items/7SSZR58F"],"uri":["http://zotero.org/users/2336876/items/7SSZR58F"],"itemData":{"id":5300,"type":"book","event-place":"Melbourne, Australia","publisher":"Department of Environment, Land, Water and Planning","publisher-place":"Melbourne, Australia","title":"Long-Term Water Resource Assessment for Southern Victoria","author":[{"family":"DELWP","given":""}],"issued":{"date-parts":[["2020"]]}}}],"schema":"https://github.com/citation-style-language/schema/raw/master/csl-citation.json"} </w:instrText>
      </w:r>
      <w:r w:rsidR="000A58C2" w:rsidRPr="00237510">
        <w:fldChar w:fldCharType="separate"/>
      </w:r>
      <w:r w:rsidR="000A58C2" w:rsidRPr="00237510">
        <w:t>(DELWP 2020)</w:t>
      </w:r>
      <w:r w:rsidR="000A58C2" w:rsidRPr="00237510">
        <w:fldChar w:fldCharType="end"/>
      </w:r>
      <w:r w:rsidRPr="00237510">
        <w:t xml:space="preserve">. These quantifiable changes in regional hydrology are consistent with other reports from elsewhere in Australia that similarly indicate climate change is already having demonstrable impacts on rivers and wetlands </w:t>
      </w:r>
      <w:r w:rsidRPr="00237510">
        <w:fldChar w:fldCharType="begin"/>
      </w:r>
      <w:r w:rsidRPr="00237510">
        <w:instrText xml:space="preserve"> ADDIN ZOTERO_ITEM CSL_CITATION {"citationID":"CavwKiVB","properties":{"formattedCitation":"(e.g. Lough and Hobday 2011, Finlayson et al. 2013, 2017)","plainCitation":"(e.g. Lough and Hobday 2011, Finlayson et al. 2013, 2017)","noteIndex":0},"citationItems":[{"id":1254,"uris":["http://zotero.org/users/2336876/items/QBUXT8AW"],"uri":["http://zotero.org/users/2336876/items/QBUXT8AW"],"itemData":{"id":1254,"type":"article-journal","container-title":"Marine and Freshwater Research","DOI":"10.1071/MF10272","ISSN":"1323-1650","issue":"9","page":"984","source":"CrossRef","title":"Observed climate change in Australian marine and freshwater environments","volume":"62","author":[{"family":"Lough","given":"Janice M."},{"family":"Hobday","given":"Alistair J."}],"issued":{"date-parts":[["2011"]]}},"prefix":"e.g. "},{"id":1332,"uris":["http://zotero.org/users/2336876/items/7IIS63S6"],"uri":["http://zotero.org/users/2336876/items/7IIS63S6"],"itemData":{"id":1332,"type":"article-journal","container-title":"Aquatic Sciences","DOI":"10.1007/s00027-011-0232-5","ISSN":"1015-1621, 1420-9055","issue":"1","page":"73-93","source":"CrossRef","title":"The status of wetlands and the predicted effects of global climate change: the situation in Australia","title-short":"The status of wetlands and the predicted effects of global climate change","volume":"75","author":[{"family":"Finlayson","given":"C. M."},{"family":"Davis","given":"J. A."},{"family":"Gell","given":"P. A."},{"family":"Kingsford","given":"R. T."},{"family":"Parton","given":"K. A."}],"issued":{"date-parts":[["2013"]]}}},{"id":3768,"uris":["http://zotero.org/users/2336876/items/8P5AR8NN"],"uri":["http://zotero.org/users/2336876/items/8P5AR8NN"],"itemData":{"id":3768,"type":"article-journal","container-title":"Marine and Freshwater Research","issue":"10","page":"1803-1815","source":"Google Scholar","title":"Policy considerations for managing wetlands under a changing climate","volume":"68","author":[{"family":"Finlayson","given":"C. M."},{"family":"Capon","given":"S. J."},{"family":"Rissik","given":"D."},{"family":"Pittock","given":"J."},{"family":"Fisk","given":"G."},{"family":"Davidson","given":"N. C."},{"family":"Bodmin","given":"K. A."},{"family":"Papas","given":"P."},{"family":"Robertson","given":"H. A."},{"family":"Schallenberg","given":"M."},{"literal":"others"}],"issued":{"date-parts":[["2017"]]}}}],"schema":"https://github.com/citation-style-language/schema/raw/master/csl-citation.json"} </w:instrText>
      </w:r>
      <w:r w:rsidRPr="00237510">
        <w:fldChar w:fldCharType="separate"/>
      </w:r>
      <w:r w:rsidRPr="00237510">
        <w:t>(e.g. Lough and Hobday 2011, Finlayson et al. 2013, 2017)</w:t>
      </w:r>
      <w:r w:rsidRPr="00237510">
        <w:fldChar w:fldCharType="end"/>
      </w:r>
      <w:r w:rsidRPr="00237510">
        <w:t>.</w:t>
      </w:r>
    </w:p>
    <w:p w14:paraId="3E3EF977" w14:textId="09386894" w:rsidR="00B87457" w:rsidRPr="00237510" w:rsidRDefault="00B87457" w:rsidP="00B87457">
      <w:pPr>
        <w:spacing w:after="0"/>
        <w:rPr>
          <w:rFonts w:ascii="Times New Roman" w:eastAsia="Times New Roman" w:hAnsi="Times New Roman"/>
          <w:sz w:val="24"/>
          <w:szCs w:val="24"/>
          <w:lang w:eastAsia="zh-CN"/>
        </w:rPr>
      </w:pPr>
      <w:r w:rsidRPr="00237510">
        <w:rPr>
          <w:rFonts w:ascii="Times New Roman" w:eastAsia="Times New Roman" w:hAnsi="Times New Roman"/>
          <w:sz w:val="24"/>
          <w:szCs w:val="24"/>
          <w:lang w:eastAsia="zh-CN"/>
        </w:rPr>
        <w:t> </w:t>
      </w:r>
      <w:r>
        <w:rPr>
          <w:noProof/>
        </w:rPr>
        <w:drawing>
          <wp:inline distT="0" distB="0" distL="0" distR="0" wp14:anchorId="4A33BF4E" wp14:editId="0E3A57E1">
            <wp:extent cx="5581013" cy="2712085"/>
            <wp:effectExtent l="0" t="0" r="0" b="5715"/>
            <wp:docPr id="21" name="Picture 21" descr="Aerial view of the Latrobe River flowing into Dowd Mo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62" cstate="email">
                      <a:extLst>
                        <a:ext uri="{28A0092B-C50C-407E-A947-70E740481C1C}">
                          <a14:useLocalDpi xmlns:a14="http://schemas.microsoft.com/office/drawing/2010/main"/>
                        </a:ext>
                      </a:extLst>
                    </a:blip>
                    <a:stretch>
                      <a:fillRect/>
                    </a:stretch>
                  </pic:blipFill>
                  <pic:spPr>
                    <a:xfrm>
                      <a:off x="0" y="0"/>
                      <a:ext cx="5581013" cy="2712085"/>
                    </a:xfrm>
                    <a:prstGeom prst="rect">
                      <a:avLst/>
                    </a:prstGeom>
                  </pic:spPr>
                </pic:pic>
              </a:graphicData>
            </a:graphic>
          </wp:inline>
        </w:drawing>
      </w:r>
    </w:p>
    <w:p w14:paraId="05130D2A" w14:textId="39AEC599" w:rsidR="00B87457" w:rsidRPr="00237510" w:rsidRDefault="00B87457" w:rsidP="00B87457">
      <w:pPr>
        <w:pStyle w:val="Caption"/>
      </w:pPr>
      <w:r w:rsidRPr="00237510">
        <w:t>Latrobe River, West Gippsland CMA.</w:t>
      </w:r>
    </w:p>
    <w:p w14:paraId="212D7F2F" w14:textId="77777777" w:rsidR="00B87457" w:rsidRPr="00237510" w:rsidRDefault="00B87457" w:rsidP="00E11576"/>
    <w:p w14:paraId="1558748B" w14:textId="7D7BA6E0" w:rsidR="000A58C2" w:rsidRPr="00237510" w:rsidRDefault="000A58C2">
      <w:pPr>
        <w:spacing w:after="0"/>
      </w:pPr>
      <w:r w:rsidRPr="00237510">
        <w:br w:type="page"/>
      </w:r>
    </w:p>
    <w:p w14:paraId="3EA3021C" w14:textId="12011914" w:rsidR="00E11576" w:rsidRPr="00237510" w:rsidRDefault="00F46867" w:rsidP="00E11576">
      <w:pPr>
        <w:pStyle w:val="Heading2"/>
      </w:pPr>
      <w:bookmarkStart w:id="64" w:name="_Toc42001395"/>
      <w:r w:rsidRPr="00237510">
        <w:t xml:space="preserve">Potential effects on values and </w:t>
      </w:r>
      <w:r w:rsidR="00B43BFD" w:rsidRPr="00237510">
        <w:t>condition</w:t>
      </w:r>
      <w:bookmarkEnd w:id="64"/>
      <w:r w:rsidR="00E11576" w:rsidRPr="00237510">
        <w:t xml:space="preserve"> </w:t>
      </w:r>
    </w:p>
    <w:p w14:paraId="5834DCEA" w14:textId="3FF5D705" w:rsidR="00046234" w:rsidRPr="00237510" w:rsidRDefault="00046234" w:rsidP="00046234">
      <w:pPr>
        <w:pStyle w:val="Heading3"/>
        <w:ind w:left="709"/>
      </w:pPr>
      <w:bookmarkStart w:id="65" w:name="_Toc42001396"/>
      <w:r w:rsidRPr="00237510">
        <w:t>Hydrological analysis</w:t>
      </w:r>
      <w:bookmarkEnd w:id="65"/>
    </w:p>
    <w:p w14:paraId="6F90F950" w14:textId="2A343758" w:rsidR="00915118" w:rsidRPr="00237510" w:rsidRDefault="00E11576" w:rsidP="00E11576">
      <w:pPr>
        <w:rPr>
          <w:lang w:eastAsia="en-US"/>
        </w:rPr>
      </w:pPr>
      <w:r w:rsidRPr="00237510">
        <w:rPr>
          <w:lang w:eastAsia="en-US"/>
        </w:rPr>
        <w:t>Hydrological modelling has been conducted to investigate the impact of climate change and potential future demands on the environmental values of the Latrobe River system.</w:t>
      </w:r>
      <w:r w:rsidR="0063080D" w:rsidRPr="00237510">
        <w:rPr>
          <w:lang w:eastAsia="en-US"/>
        </w:rPr>
        <w:t xml:space="preserve"> Achievement of the flow recommendations</w:t>
      </w:r>
      <w:r w:rsidR="00046234" w:rsidRPr="00237510">
        <w:rPr>
          <w:lang w:eastAsia="en-US"/>
        </w:rPr>
        <w:t xml:space="preserve"> (as detailed in Alluvium 2020)</w:t>
      </w:r>
      <w:r w:rsidR="0063080D" w:rsidRPr="00237510">
        <w:rPr>
          <w:lang w:eastAsia="en-US"/>
        </w:rPr>
        <w:t xml:space="preserve"> for maintaining ecological values under several different scenarios has been explored</w:t>
      </w:r>
      <w:r w:rsidR="00046234" w:rsidRPr="00237510">
        <w:rPr>
          <w:lang w:eastAsia="en-US"/>
        </w:rPr>
        <w:t>. In recognition that the climate has already experienced change, scenarios have been ass</w:t>
      </w:r>
      <w:r w:rsidR="005D3FFC">
        <w:rPr>
          <w:lang w:eastAsia="en-US"/>
        </w:rPr>
        <w:t>ess</w:t>
      </w:r>
      <w:r w:rsidR="00046234" w:rsidRPr="00237510">
        <w:rPr>
          <w:lang w:eastAsia="en-US"/>
        </w:rPr>
        <w:t xml:space="preserve">ed relevant to the current climatic conditions (represented by post 1975 climate) and the potential future climate (represented by the post 1997 climate). This was completed in accordance with </w:t>
      </w:r>
      <w:r w:rsidR="00046234" w:rsidRPr="00237510">
        <w:t>DELWP’s Guidelines for Assessing the Impact of Climate Change on Water Supplies in Victoria (DELWP 2016). The five scenarios used here for comparison are</w:t>
      </w:r>
      <w:r w:rsidR="0090073A" w:rsidRPr="00237510">
        <w:rPr>
          <w:rStyle w:val="FootnoteReference"/>
        </w:rPr>
        <w:footnoteReference w:id="8"/>
      </w:r>
      <w:r w:rsidR="00046234" w:rsidRPr="00237510">
        <w:rPr>
          <w:lang w:eastAsia="en-US"/>
        </w:rPr>
        <w:t xml:space="preserve">: </w:t>
      </w:r>
    </w:p>
    <w:p w14:paraId="5797DC28" w14:textId="460D6F2E" w:rsidR="00046234" w:rsidRPr="00237510" w:rsidRDefault="00046234" w:rsidP="00046234">
      <w:pPr>
        <w:pStyle w:val="ListParagraph"/>
        <w:numPr>
          <w:ilvl w:val="0"/>
          <w:numId w:val="20"/>
        </w:numPr>
      </w:pPr>
      <w:r w:rsidRPr="00237510">
        <w:t>Natural (current climate) – what the system would look like under current climatic conditions but with no extraction</w:t>
      </w:r>
      <w:r w:rsidR="005D3FFC">
        <w:t xml:space="preserve"> from the Latrobe River</w:t>
      </w:r>
      <w:r w:rsidRPr="00237510">
        <w:t>. This is the base case against which we can evaluate the effects of water resource extraction and climate change.</w:t>
      </w:r>
    </w:p>
    <w:p w14:paraId="44D0DA02" w14:textId="2094356D" w:rsidR="00046234" w:rsidRPr="00237510" w:rsidRDefault="00046234" w:rsidP="00046234">
      <w:pPr>
        <w:pStyle w:val="ListParagraph"/>
        <w:numPr>
          <w:ilvl w:val="0"/>
          <w:numId w:val="20"/>
        </w:numPr>
      </w:pPr>
      <w:r w:rsidRPr="00237510">
        <w:t>Current conditions (current climate) – what the system is experiencing now, with current water use and current climatic conditions.</w:t>
      </w:r>
    </w:p>
    <w:p w14:paraId="7E56D8A9" w14:textId="4651A230" w:rsidR="00046234" w:rsidRPr="00237510" w:rsidRDefault="00046234" w:rsidP="00046234">
      <w:pPr>
        <w:pStyle w:val="ListParagraph"/>
        <w:numPr>
          <w:ilvl w:val="0"/>
          <w:numId w:val="20"/>
        </w:numPr>
      </w:pPr>
      <w:r w:rsidRPr="00237510">
        <w:t>Current conditions (future climate) – what if the amount of water extracted remained the same as today but the climate continues to dry.</w:t>
      </w:r>
    </w:p>
    <w:p w14:paraId="64C2BF9B" w14:textId="5047D30B" w:rsidR="00046234" w:rsidRPr="00237510" w:rsidRDefault="00046234" w:rsidP="00046234">
      <w:pPr>
        <w:pStyle w:val="ListParagraph"/>
        <w:numPr>
          <w:ilvl w:val="0"/>
          <w:numId w:val="20"/>
        </w:numPr>
      </w:pPr>
      <w:r w:rsidRPr="00237510">
        <w:t>Full uptake (current climate) – what would happen if we had full uptake of industrial demands for water and current climatic conditions.</w:t>
      </w:r>
    </w:p>
    <w:p w14:paraId="7F4F68A0" w14:textId="0B221187" w:rsidR="00046234" w:rsidRPr="00237510" w:rsidRDefault="00046234" w:rsidP="00046234">
      <w:pPr>
        <w:pStyle w:val="ListParagraph"/>
        <w:numPr>
          <w:ilvl w:val="0"/>
          <w:numId w:val="20"/>
        </w:numPr>
      </w:pPr>
      <w:r w:rsidRPr="00237510">
        <w:t>Full uptake (future climate) – what would happen if we had full uptake of industrial demands for water and the climate continues to dry.</w:t>
      </w:r>
    </w:p>
    <w:p w14:paraId="350721F7" w14:textId="78754C1A" w:rsidR="00095739" w:rsidRPr="00237510" w:rsidRDefault="00D81C74" w:rsidP="00095739">
      <w:r>
        <w:t>To enable a meaningful comparison of the provision of ecologically important flows under the different scenarios, achievement of recommended flows has been assessed relevant to the natural (unimpacted) historical climate</w:t>
      </w:r>
      <w:r w:rsidR="000A58C2">
        <w:t xml:space="preserve"> model outputs</w:t>
      </w:r>
      <w:r w:rsidR="005D3FFC">
        <w:t xml:space="preserve"> (1957 to 2016)</w:t>
      </w:r>
      <w:r>
        <w:t xml:space="preserve">. That is, the conditions that the ecosystems of the Latrobe </w:t>
      </w:r>
      <w:r w:rsidR="000A58C2">
        <w:t>Valley</w:t>
      </w:r>
      <w:r>
        <w:t xml:space="preserve"> would have experienced in the absence of extraction and climate change</w:t>
      </w:r>
      <w:r w:rsidR="0090073A">
        <w:t xml:space="preserve">. This is to account for flows that are not expected to occur in every year. For example, we would only expect overbank flows in wet years, and so the number of times the overbank flow recommendations have been achieved under each scenario have been compared over the 60-year model period, with the number of times this flow would have naturally occurred. The results are expressed as the proportion of natural. Therefore, if a flow component would naturally have occurred, on average, in half of the modelled years, and under </w:t>
      </w:r>
      <w:r w:rsidR="000A58C2">
        <w:t>scenario 3 (current extraction, future climate)</w:t>
      </w:r>
      <w:r w:rsidR="0090073A">
        <w:t xml:space="preserve"> it occurs in a quarter of years, this would be assessed as 50% achievement of the flow component.</w:t>
      </w:r>
    </w:p>
    <w:p w14:paraId="3B9020C4" w14:textId="66510B6C" w:rsidR="000A58C2" w:rsidRPr="00237510" w:rsidRDefault="00471E9C" w:rsidP="00095739">
      <w:r w:rsidRPr="00237510">
        <w:t>Model outputs were available for three reaches on the Latrobe River (all downstream of Lake Narracan), the Latrobe Estuary and the Tanjil River. Changes in hydrology for wetlands have been inferred from river flows.</w:t>
      </w:r>
    </w:p>
    <w:p w14:paraId="4FF81AAF" w14:textId="045F863C" w:rsidR="0090073A" w:rsidRPr="00237510" w:rsidRDefault="000A58C2" w:rsidP="00095739">
      <w:r w:rsidRPr="00237510">
        <w:rPr>
          <w:noProof/>
        </w:rPr>
        <w:drawing>
          <wp:inline distT="0" distB="0" distL="0" distR="0" wp14:anchorId="31E0E56C" wp14:editId="3A5B15CE">
            <wp:extent cx="5175115" cy="2337080"/>
            <wp:effectExtent l="0" t="0" r="0" b="0"/>
            <wp:docPr id="460" name="Picture 460" descr="Shorebirds in ankle-deep water at Heart Mo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Heart Morass 3.JPG"/>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5186483" cy="2342214"/>
                    </a:xfrm>
                    <a:prstGeom prst="rect">
                      <a:avLst/>
                    </a:prstGeom>
                    <a:ln>
                      <a:noFill/>
                    </a:ln>
                    <a:extLst>
                      <a:ext uri="{53640926-AAD7-44D8-BBD7-CCE9431645EC}">
                        <a14:shadowObscured xmlns:a14="http://schemas.microsoft.com/office/drawing/2010/main"/>
                      </a:ext>
                    </a:extLst>
                  </pic:spPr>
                </pic:pic>
              </a:graphicData>
            </a:graphic>
          </wp:inline>
        </w:drawing>
      </w:r>
    </w:p>
    <w:p w14:paraId="5FAD59E0" w14:textId="2345CA49" w:rsidR="000A58C2" w:rsidRPr="00237510" w:rsidRDefault="000A58C2" w:rsidP="000A58C2">
      <w:pPr>
        <w:pStyle w:val="Caption"/>
      </w:pPr>
      <w:r w:rsidRPr="00237510">
        <w:t>Shorebirds at Heart Morass (photo: Sean Phillipson).</w:t>
      </w:r>
    </w:p>
    <w:p w14:paraId="476E0625" w14:textId="77777777" w:rsidR="000A58C2" w:rsidRPr="00237510" w:rsidRDefault="000A58C2" w:rsidP="000A58C2"/>
    <w:p w14:paraId="78C87131" w14:textId="55D36C39" w:rsidR="00046234" w:rsidRPr="00237510" w:rsidRDefault="0055003B" w:rsidP="006A3DEB">
      <w:pPr>
        <w:pStyle w:val="Heading4nonumbers"/>
      </w:pPr>
      <w:bookmarkStart w:id="66" w:name="_Toc42001397"/>
      <w:r w:rsidRPr="00237510">
        <w:t>Effects on baseflows</w:t>
      </w:r>
      <w:bookmarkEnd w:id="66"/>
    </w:p>
    <w:p w14:paraId="2AEBB3A8" w14:textId="1FF8AD0D" w:rsidR="0055003B" w:rsidRPr="00237510" w:rsidRDefault="00C974AA" w:rsidP="0055003B">
      <w:pPr>
        <w:rPr>
          <w:lang w:eastAsia="en-US"/>
        </w:rPr>
      </w:pPr>
      <w:r w:rsidRPr="00237510">
        <w:rPr>
          <w:lang w:eastAsia="en-US"/>
        </w:rPr>
        <w:t xml:space="preserve">Although the effects of water extraction and climate change on the provision of baseflows in the Latrobe River system varies with location, all are lower </w:t>
      </w:r>
      <w:r w:rsidR="005D3FFC">
        <w:rPr>
          <w:lang w:eastAsia="en-US"/>
        </w:rPr>
        <w:t xml:space="preserve">under future </w:t>
      </w:r>
      <w:r w:rsidR="005D3FFC" w:rsidRPr="00237510">
        <w:rPr>
          <w:lang w:eastAsia="en-US"/>
        </w:rPr>
        <w:t>climates and with full uptake of water entitlements</w:t>
      </w:r>
      <w:r w:rsidR="005D3FFC">
        <w:rPr>
          <w:lang w:eastAsia="en-US"/>
        </w:rPr>
        <w:t xml:space="preserve"> </w:t>
      </w:r>
      <w:r w:rsidRPr="00237510">
        <w:rPr>
          <w:lang w:eastAsia="en-US"/>
        </w:rPr>
        <w:t xml:space="preserve">than experienced presently </w:t>
      </w:r>
      <w:r w:rsidR="00394B04" w:rsidRPr="00237510">
        <w:rPr>
          <w:lang w:eastAsia="en-US"/>
        </w:rPr>
        <w:t>(</w:t>
      </w:r>
      <w:r w:rsidR="005B2698" w:rsidRPr="00237510">
        <w:rPr>
          <w:lang w:eastAsia="en-US"/>
        </w:rPr>
        <w:fldChar w:fldCharType="begin"/>
      </w:r>
      <w:r w:rsidR="005B2698" w:rsidRPr="00237510">
        <w:rPr>
          <w:lang w:eastAsia="en-US"/>
        </w:rPr>
        <w:instrText xml:space="preserve"> REF _Ref41218156 \h </w:instrText>
      </w:r>
      <w:r w:rsidR="005B2698" w:rsidRPr="00237510">
        <w:rPr>
          <w:lang w:eastAsia="en-US"/>
        </w:rPr>
      </w:r>
      <w:r w:rsidR="005B2698" w:rsidRPr="00237510">
        <w:rPr>
          <w:lang w:eastAsia="en-US"/>
        </w:rPr>
        <w:fldChar w:fldCharType="separate"/>
      </w:r>
      <w:r w:rsidR="008C72C8" w:rsidRPr="00237510">
        <w:t>Figure 28</w:t>
      </w:r>
      <w:r w:rsidR="005B2698" w:rsidRPr="00237510">
        <w:rPr>
          <w:lang w:eastAsia="en-US"/>
        </w:rPr>
        <w:fldChar w:fldCharType="end"/>
      </w:r>
      <w:r w:rsidR="00394B04" w:rsidRPr="00237510">
        <w:rPr>
          <w:lang w:eastAsia="en-US"/>
        </w:rPr>
        <w:t>). Summer baseflows in the Latrobe River immediately downstream of Lake Narracan are provided currently only 60% of the time</w:t>
      </w:r>
      <w:r w:rsidRPr="00237510">
        <w:rPr>
          <w:lang w:eastAsia="en-US"/>
        </w:rPr>
        <w:t>. A similar situation holds for the lowest reach, the estuary</w:t>
      </w:r>
      <w:r w:rsidR="00394B04" w:rsidRPr="00237510">
        <w:rPr>
          <w:lang w:eastAsia="en-US"/>
        </w:rPr>
        <w:t xml:space="preserve">. In the sections of the Latrobe River between Scarnes Bridge and the confluence with the Thomson River, baseflow recommendations are almost always met. </w:t>
      </w:r>
      <w:r w:rsidR="005D3FFC">
        <w:rPr>
          <w:lang w:eastAsia="en-US"/>
        </w:rPr>
        <w:t>This may be partially explained by the constant discharge of water from the mine dewatering and power plant operations</w:t>
      </w:r>
      <w:r w:rsidR="005D3FFC" w:rsidRPr="37B96221">
        <w:rPr>
          <w:lang w:eastAsia="en-US"/>
        </w:rPr>
        <w:t xml:space="preserve"> and passing flows from Lake Narracan</w:t>
      </w:r>
      <w:r w:rsidR="005D3FFC">
        <w:rPr>
          <w:lang w:eastAsia="en-US"/>
        </w:rPr>
        <w:t>. It should be noted that the reduction in flows due to the cessation of discharge from power stations has not been incorporated into the modelling.  This would further reduce the provision of baseflows in the Latrobe River.</w:t>
      </w:r>
    </w:p>
    <w:p w14:paraId="2E2147C9" w14:textId="332E39FF" w:rsidR="00394B04" w:rsidRPr="00237510" w:rsidRDefault="00394B04" w:rsidP="0055003B">
      <w:pPr>
        <w:rPr>
          <w:lang w:eastAsia="en-US"/>
        </w:rPr>
      </w:pPr>
      <w:r w:rsidRPr="00237510">
        <w:rPr>
          <w:lang w:eastAsia="en-US"/>
        </w:rPr>
        <w:t xml:space="preserve">In the Tanjil River, </w:t>
      </w:r>
      <w:r w:rsidR="005B2698" w:rsidRPr="00237510">
        <w:rPr>
          <w:lang w:eastAsia="en-US"/>
        </w:rPr>
        <w:t xml:space="preserve">summer baseflows are nearly always provided as recommended, largely due to the release of water from Blue Rock over summer for consumptive use. In winter, however, baseflow recommendations are met less often, </w:t>
      </w:r>
      <w:r w:rsidR="00C974AA" w:rsidRPr="00237510">
        <w:rPr>
          <w:lang w:eastAsia="en-US"/>
        </w:rPr>
        <w:t>most likely</w:t>
      </w:r>
      <w:r w:rsidR="005B2698" w:rsidRPr="00237510">
        <w:rPr>
          <w:lang w:eastAsia="en-US"/>
        </w:rPr>
        <w:t xml:space="preserve"> due to the holding of winter flows in storage. Under the scenario of full uptake of entitlements and future climate, winter baseflows in the Tanjil River become highly impacted, and would likely result in substantial cease to flow periods</w:t>
      </w:r>
      <w:r w:rsidR="00C974AA" w:rsidRPr="00237510">
        <w:rPr>
          <w:lang w:eastAsia="en-US"/>
        </w:rPr>
        <w:t>. It is highly unlikely that the Tanjil River would ever have experienced cease-to-flow conditions in the natural past, most especially during winter (when flows would normally be high, due to seasonal rain and snow melt from the highlands parts of the catchment).</w:t>
      </w:r>
    </w:p>
    <w:p w14:paraId="1FFC7A17" w14:textId="4A70C821" w:rsidR="00CD3B3D" w:rsidRPr="00237510" w:rsidRDefault="00A84E77" w:rsidP="0055003B">
      <w:pPr>
        <w:rPr>
          <w:lang w:eastAsia="en-US"/>
        </w:rPr>
      </w:pPr>
      <w:r>
        <w:rPr>
          <w:noProof/>
        </w:rPr>
        <w:drawing>
          <wp:inline distT="0" distB="0" distL="0" distR="0" wp14:anchorId="7EEAC368" wp14:editId="51611182">
            <wp:extent cx="4437247" cy="4135843"/>
            <wp:effectExtent l="0" t="0" r="0" b="4445"/>
            <wp:docPr id="13" name="Picture 13" descr="Comparative column charts showing the provision of baseflows under the five modelled scenarios relative to natural. Top chart shows summer baseflows, bottom chart show winter basefl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4453927" cy="4151390"/>
                    </a:xfrm>
                    <a:prstGeom prst="rect">
                      <a:avLst/>
                    </a:prstGeom>
                  </pic:spPr>
                </pic:pic>
              </a:graphicData>
            </a:graphic>
          </wp:inline>
        </w:drawing>
      </w:r>
    </w:p>
    <w:p w14:paraId="1A6C7B1A" w14:textId="43055F97" w:rsidR="005B2698" w:rsidRPr="00237510" w:rsidRDefault="00660EA7" w:rsidP="00C974AA">
      <w:pPr>
        <w:pStyle w:val="Caption"/>
        <w:rPr>
          <w:lang w:eastAsia="en-US"/>
        </w:rPr>
      </w:pPr>
      <w:bookmarkStart w:id="67" w:name="_Ref41218156"/>
      <w:r w:rsidRPr="00237510">
        <w:t xml:space="preserve">Figure </w:t>
      </w:r>
      <w:r>
        <w:fldChar w:fldCharType="begin"/>
      </w:r>
      <w:r>
        <w:instrText>SEQ Figure \* ARABIC</w:instrText>
      </w:r>
      <w:r>
        <w:fldChar w:fldCharType="separate"/>
      </w:r>
      <w:r w:rsidR="00DE4513">
        <w:rPr>
          <w:noProof/>
        </w:rPr>
        <w:t>28</w:t>
      </w:r>
      <w:r>
        <w:fldChar w:fldCharType="end"/>
      </w:r>
      <w:bookmarkEnd w:id="67"/>
      <w:r w:rsidRPr="00237510">
        <w:t xml:space="preserve">: Provision of baseflows under the five modelled scenarios relevant to natural. Latrobe River Reaches </w:t>
      </w:r>
      <w:proofErr w:type="gramStart"/>
      <w:r w:rsidR="005B2698" w:rsidRPr="00237510">
        <w:t>comprise</w:t>
      </w:r>
      <w:r w:rsidRPr="00237510">
        <w:t>:</w:t>
      </w:r>
      <w:proofErr w:type="gramEnd"/>
      <w:r w:rsidR="00AD2B3C" w:rsidRPr="00237510">
        <w:t xml:space="preserve"> </w:t>
      </w:r>
      <w:r w:rsidRPr="00237510">
        <w:t xml:space="preserve">upstream (Lake Narracan to Scarnes Bridge); middle (Scarnes Bridge to Kilmany South) and lower (Kilmany South to the confluence with the Thomson River). </w:t>
      </w:r>
      <w:r w:rsidR="005D38A4">
        <w:t>Refer to Figure 29 for geographical location.</w:t>
      </w:r>
    </w:p>
    <w:p w14:paraId="70C7C80E" w14:textId="77777777" w:rsidR="00DE4513" w:rsidRDefault="00C77BB1" w:rsidP="5811BE46">
      <w:pPr>
        <w:pStyle w:val="Heading4nonumbers"/>
        <w:ind w:left="0" w:firstLine="0"/>
      </w:pPr>
      <w:bookmarkStart w:id="68" w:name="_Toc42001398"/>
      <w:r>
        <w:rPr>
          <w:noProof/>
        </w:rPr>
        <w:drawing>
          <wp:inline distT="0" distB="0" distL="0" distR="0" wp14:anchorId="648FB95E" wp14:editId="3B7207C6">
            <wp:extent cx="5581013" cy="3947160"/>
            <wp:effectExtent l="0" t="0" r="635" b="0"/>
            <wp:docPr id="5" name="Picture 5" descr="A schematic map showing the reaches of the Latrobe River system from Blue Rock Lake down to Lake Well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65" cstate="email">
                      <a:extLst>
                        <a:ext uri="{28A0092B-C50C-407E-A947-70E740481C1C}">
                          <a14:useLocalDpi xmlns:a14="http://schemas.microsoft.com/office/drawing/2010/main"/>
                        </a:ext>
                      </a:extLst>
                    </a:blip>
                    <a:stretch>
                      <a:fillRect/>
                    </a:stretch>
                  </pic:blipFill>
                  <pic:spPr>
                    <a:xfrm>
                      <a:off x="0" y="0"/>
                      <a:ext cx="5581013" cy="3947160"/>
                    </a:xfrm>
                    <a:prstGeom prst="rect">
                      <a:avLst/>
                    </a:prstGeom>
                  </pic:spPr>
                </pic:pic>
              </a:graphicData>
            </a:graphic>
          </wp:inline>
        </w:drawing>
      </w:r>
    </w:p>
    <w:p w14:paraId="15FF93C7" w14:textId="59452444" w:rsidR="00C77BB1" w:rsidRDefault="00DE4513" w:rsidP="00DE4513">
      <w:pPr>
        <w:pStyle w:val="Caption"/>
      </w:pPr>
      <w:r>
        <w:t xml:space="preserve">Figure </w:t>
      </w:r>
      <w:r>
        <w:fldChar w:fldCharType="begin"/>
      </w:r>
      <w:r>
        <w:instrText>SEQ Figure \* ARABIC</w:instrText>
      </w:r>
      <w:r>
        <w:fldChar w:fldCharType="separate"/>
      </w:r>
      <w:r>
        <w:rPr>
          <w:noProof/>
        </w:rPr>
        <w:t>29</w:t>
      </w:r>
      <w:r>
        <w:fldChar w:fldCharType="end"/>
      </w:r>
      <w:r>
        <w:t xml:space="preserve"> Reaches of the Latrobe system</w:t>
      </w:r>
    </w:p>
    <w:p w14:paraId="6C218C83" w14:textId="77777777" w:rsidR="00C77BB1" w:rsidRDefault="00C77BB1" w:rsidP="006A3DEB">
      <w:pPr>
        <w:pStyle w:val="Heading4nonumbers"/>
      </w:pPr>
    </w:p>
    <w:p w14:paraId="274208C9" w14:textId="08D4F0AB" w:rsidR="0055003B" w:rsidRPr="00237510" w:rsidRDefault="0055003B" w:rsidP="006A3DEB">
      <w:pPr>
        <w:pStyle w:val="Heading4nonumbers"/>
      </w:pPr>
      <w:r w:rsidRPr="00237510">
        <w:t>Effects on freshes</w:t>
      </w:r>
      <w:bookmarkEnd w:id="68"/>
    </w:p>
    <w:p w14:paraId="2B57D70B" w14:textId="6A7640D3" w:rsidR="0055003B" w:rsidRPr="00237510" w:rsidRDefault="005B2698" w:rsidP="0055003B">
      <w:pPr>
        <w:rPr>
          <w:lang w:eastAsia="en-US"/>
        </w:rPr>
      </w:pPr>
      <w:r w:rsidRPr="00237510">
        <w:rPr>
          <w:lang w:eastAsia="en-US"/>
        </w:rPr>
        <w:t xml:space="preserve">The impact of </w:t>
      </w:r>
      <w:r w:rsidR="005D3FFC">
        <w:rPr>
          <w:lang w:eastAsia="en-US"/>
        </w:rPr>
        <w:t xml:space="preserve">current and future </w:t>
      </w:r>
      <w:r w:rsidRPr="00237510">
        <w:rPr>
          <w:lang w:eastAsia="en-US"/>
        </w:rPr>
        <w:t>water resource use and climate change on the provision of fresh</w:t>
      </w:r>
      <w:r w:rsidR="00C974AA" w:rsidRPr="00237510">
        <w:rPr>
          <w:lang w:eastAsia="en-US"/>
        </w:rPr>
        <w:t>e</w:t>
      </w:r>
      <w:r w:rsidRPr="00237510">
        <w:rPr>
          <w:lang w:eastAsia="en-US"/>
        </w:rPr>
        <w:t>s is substantial (</w:t>
      </w:r>
      <w:r w:rsidRPr="00237510">
        <w:rPr>
          <w:lang w:eastAsia="en-US"/>
        </w:rPr>
        <w:fldChar w:fldCharType="begin"/>
      </w:r>
      <w:r w:rsidRPr="00237510">
        <w:rPr>
          <w:lang w:eastAsia="en-US"/>
        </w:rPr>
        <w:instrText xml:space="preserve"> REF _Ref41218170 \h </w:instrText>
      </w:r>
      <w:r w:rsidRPr="00237510">
        <w:rPr>
          <w:lang w:eastAsia="en-US"/>
        </w:rPr>
      </w:r>
      <w:r w:rsidRPr="00237510">
        <w:rPr>
          <w:lang w:eastAsia="en-US"/>
        </w:rPr>
        <w:fldChar w:fldCharType="separate"/>
      </w:r>
      <w:r w:rsidR="004E1696" w:rsidRPr="00237510">
        <w:t xml:space="preserve">Figure </w:t>
      </w:r>
      <w:r w:rsidR="004E1696">
        <w:rPr>
          <w:noProof/>
        </w:rPr>
        <w:t>30</w:t>
      </w:r>
      <w:r w:rsidRPr="00237510">
        <w:rPr>
          <w:lang w:eastAsia="en-US"/>
        </w:rPr>
        <w:fldChar w:fldCharType="end"/>
      </w:r>
      <w:r w:rsidRPr="00237510">
        <w:rPr>
          <w:lang w:eastAsia="en-US"/>
        </w:rPr>
        <w:t xml:space="preserve">). The provision of summer freshes in the Latrobe Estuary is very low under all scenarios, noting that this will be influenced also by the extraction of water from the Thomson River (for which large volumes of water are diverted to Melbourne for domestic supply). </w:t>
      </w:r>
      <w:r w:rsidR="004200F0" w:rsidRPr="00237510">
        <w:rPr>
          <w:lang w:eastAsia="en-US"/>
        </w:rPr>
        <w:t>So,</w:t>
      </w:r>
      <w:r w:rsidRPr="00237510">
        <w:rPr>
          <w:lang w:eastAsia="en-US"/>
        </w:rPr>
        <w:t xml:space="preserve"> while the </w:t>
      </w:r>
      <w:r w:rsidR="004200F0" w:rsidRPr="00237510">
        <w:rPr>
          <w:lang w:eastAsia="en-US"/>
        </w:rPr>
        <w:t>recommendations</w:t>
      </w:r>
      <w:r w:rsidRPr="00237510">
        <w:rPr>
          <w:lang w:eastAsia="en-US"/>
        </w:rPr>
        <w:t xml:space="preserve"> are met only a third of the time in summer, even without extraction from the Latrobe system</w:t>
      </w:r>
      <w:r w:rsidR="005D3FFC">
        <w:rPr>
          <w:lang w:eastAsia="en-US"/>
        </w:rPr>
        <w:t xml:space="preserve"> (natural- current climate)</w:t>
      </w:r>
      <w:r w:rsidRPr="00237510">
        <w:rPr>
          <w:lang w:eastAsia="en-US"/>
        </w:rPr>
        <w:t xml:space="preserve">, the situation under future </w:t>
      </w:r>
      <w:r w:rsidR="004200F0" w:rsidRPr="00237510">
        <w:rPr>
          <w:lang w:eastAsia="en-US"/>
        </w:rPr>
        <w:t>climate</w:t>
      </w:r>
      <w:r w:rsidRPr="00237510">
        <w:rPr>
          <w:lang w:eastAsia="en-US"/>
        </w:rPr>
        <w:t xml:space="preserve"> and full uptake of entitlements, is even worse</w:t>
      </w:r>
      <w:r w:rsidR="004200F0" w:rsidRPr="00237510">
        <w:rPr>
          <w:lang w:eastAsia="en-US"/>
        </w:rPr>
        <w:t>, with provision of less than 10</w:t>
      </w:r>
      <w:r w:rsidR="001A4F2B" w:rsidRPr="00237510">
        <w:rPr>
          <w:lang w:eastAsia="en-US"/>
        </w:rPr>
        <w:t xml:space="preserve"> </w:t>
      </w:r>
      <w:r w:rsidR="004200F0" w:rsidRPr="00237510">
        <w:rPr>
          <w:lang w:eastAsia="en-US"/>
        </w:rPr>
        <w:t>% of the required flows.</w:t>
      </w:r>
    </w:p>
    <w:p w14:paraId="5DEC3BBA" w14:textId="6AFCD44D" w:rsidR="004200F0" w:rsidRPr="00237510" w:rsidRDefault="004200F0" w:rsidP="0055003B">
      <w:pPr>
        <w:rPr>
          <w:lang w:eastAsia="en-US"/>
        </w:rPr>
      </w:pPr>
      <w:r w:rsidRPr="00237510">
        <w:rPr>
          <w:lang w:eastAsia="en-US"/>
        </w:rPr>
        <w:t>The provision of winter freshes in the two reaches downstream of storages (Latrobe below Lake Narracan and Tanjil below Blue Rock) are also heavily impacted by water resource use and climate change (</w:t>
      </w:r>
      <w:r w:rsidRPr="00237510">
        <w:rPr>
          <w:lang w:eastAsia="en-US"/>
        </w:rPr>
        <w:fldChar w:fldCharType="begin"/>
      </w:r>
      <w:r w:rsidRPr="00237510">
        <w:rPr>
          <w:lang w:eastAsia="en-US"/>
        </w:rPr>
        <w:instrText xml:space="preserve"> REF _Ref41218170 \h </w:instrText>
      </w:r>
      <w:r w:rsidRPr="00237510">
        <w:rPr>
          <w:lang w:eastAsia="en-US"/>
        </w:rPr>
      </w:r>
      <w:r w:rsidRPr="00237510">
        <w:rPr>
          <w:lang w:eastAsia="en-US"/>
        </w:rPr>
        <w:fldChar w:fldCharType="separate"/>
      </w:r>
      <w:r w:rsidR="004E1696" w:rsidRPr="00237510">
        <w:t xml:space="preserve">Figure </w:t>
      </w:r>
      <w:r w:rsidR="004E1696">
        <w:rPr>
          <w:noProof/>
        </w:rPr>
        <w:t>30</w:t>
      </w:r>
      <w:r w:rsidRPr="00237510">
        <w:rPr>
          <w:lang w:eastAsia="en-US"/>
        </w:rPr>
        <w:fldChar w:fldCharType="end"/>
      </w:r>
      <w:r w:rsidRPr="00237510">
        <w:rPr>
          <w:lang w:eastAsia="en-US"/>
        </w:rPr>
        <w:t>).</w:t>
      </w:r>
      <w:r w:rsidR="00C974AA" w:rsidRPr="00237510">
        <w:rPr>
          <w:lang w:eastAsia="en-US"/>
        </w:rPr>
        <w:t xml:space="preserve"> </w:t>
      </w:r>
      <w:r w:rsidR="005D3FFC" w:rsidRPr="00C974AA">
        <w:rPr>
          <w:lang w:eastAsia="en-US"/>
        </w:rPr>
        <w:t xml:space="preserve">Winter freshes </w:t>
      </w:r>
      <w:r w:rsidR="005D3FFC">
        <w:rPr>
          <w:lang w:eastAsia="en-US"/>
        </w:rPr>
        <w:t xml:space="preserve">in these two reaches </w:t>
      </w:r>
      <w:r w:rsidR="005D3FFC" w:rsidRPr="00C974AA">
        <w:rPr>
          <w:lang w:eastAsia="en-US"/>
        </w:rPr>
        <w:t>are so reduced over the natural flow regime</w:t>
      </w:r>
      <w:r w:rsidR="005D3FFC">
        <w:rPr>
          <w:lang w:eastAsia="en-US"/>
        </w:rPr>
        <w:t xml:space="preserve"> under full water use and future climate</w:t>
      </w:r>
      <w:r w:rsidR="005D3FFC" w:rsidRPr="00C974AA">
        <w:rPr>
          <w:lang w:eastAsia="en-US"/>
        </w:rPr>
        <w:t xml:space="preserve"> that they can be expected to occur &lt;15</w:t>
      </w:r>
      <w:r w:rsidR="005D3FFC">
        <w:rPr>
          <w:lang w:eastAsia="en-US"/>
        </w:rPr>
        <w:t xml:space="preserve"> </w:t>
      </w:r>
      <w:r w:rsidR="005D3FFC" w:rsidRPr="00C974AA">
        <w:rPr>
          <w:lang w:eastAsia="en-US"/>
        </w:rPr>
        <w:t>% of the required incidence. Even in the Latrobe River estuary, the incidence of</w:t>
      </w:r>
      <w:r w:rsidR="005D3FFC">
        <w:rPr>
          <w:lang w:eastAsia="en-US"/>
        </w:rPr>
        <w:t xml:space="preserve"> winter</w:t>
      </w:r>
      <w:r w:rsidR="005D3FFC" w:rsidRPr="00C974AA">
        <w:rPr>
          <w:lang w:eastAsia="en-US"/>
        </w:rPr>
        <w:t xml:space="preserve"> freshes is decreased </w:t>
      </w:r>
      <w:r w:rsidR="005D3FFC">
        <w:rPr>
          <w:lang w:eastAsia="en-US"/>
        </w:rPr>
        <w:t xml:space="preserve">under full water use and future climate </w:t>
      </w:r>
      <w:r w:rsidR="005D3FFC" w:rsidRPr="00C974AA">
        <w:rPr>
          <w:lang w:eastAsia="en-US"/>
        </w:rPr>
        <w:t>by about 30</w:t>
      </w:r>
      <w:r w:rsidR="005D3FFC">
        <w:rPr>
          <w:lang w:eastAsia="en-US"/>
        </w:rPr>
        <w:t xml:space="preserve"> </w:t>
      </w:r>
      <w:r w:rsidR="005D3FFC" w:rsidRPr="00C974AA">
        <w:rPr>
          <w:lang w:eastAsia="en-US"/>
        </w:rPr>
        <w:t>%</w:t>
      </w:r>
      <w:r w:rsidR="005D3FFC">
        <w:rPr>
          <w:lang w:eastAsia="en-US"/>
        </w:rPr>
        <w:t xml:space="preserve"> from natural</w:t>
      </w:r>
      <w:r w:rsidR="005D3FFC" w:rsidRPr="00C974AA">
        <w:rPr>
          <w:lang w:eastAsia="en-US"/>
        </w:rPr>
        <w:t>.</w:t>
      </w:r>
    </w:p>
    <w:p w14:paraId="70573E27" w14:textId="3CB8EC10" w:rsidR="00AA1003" w:rsidRPr="00237510" w:rsidRDefault="00A84E77" w:rsidP="0055003B">
      <w:pPr>
        <w:rPr>
          <w:lang w:eastAsia="en-US"/>
        </w:rPr>
      </w:pPr>
      <w:r>
        <w:rPr>
          <w:noProof/>
        </w:rPr>
        <w:drawing>
          <wp:inline distT="0" distB="0" distL="0" distR="0" wp14:anchorId="1D44E64D" wp14:editId="6A964ACA">
            <wp:extent cx="4552750" cy="4236767"/>
            <wp:effectExtent l="0" t="0" r="0" b="5080"/>
            <wp:docPr id="19" name="Picture 19" descr="Comparative column charts showing the provision of freshes under the five modelled scenarios relative to natural. Top chart shows summer freshes, bottom chart show winter fres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email">
                      <a:extLst>
                        <a:ext uri="{28A0092B-C50C-407E-A947-70E740481C1C}">
                          <a14:useLocalDpi xmlns:a14="http://schemas.microsoft.com/office/drawing/2010/main"/>
                        </a:ext>
                      </a:extLst>
                    </a:blip>
                    <a:stretch>
                      <a:fillRect/>
                    </a:stretch>
                  </pic:blipFill>
                  <pic:spPr>
                    <a:xfrm>
                      <a:off x="0" y="0"/>
                      <a:ext cx="4562401" cy="4245748"/>
                    </a:xfrm>
                    <a:prstGeom prst="rect">
                      <a:avLst/>
                    </a:prstGeom>
                  </pic:spPr>
                </pic:pic>
              </a:graphicData>
            </a:graphic>
          </wp:inline>
        </w:drawing>
      </w:r>
    </w:p>
    <w:p w14:paraId="1C493443" w14:textId="7F3CAF73" w:rsidR="00AA1003" w:rsidRPr="00237510" w:rsidRDefault="005B2698" w:rsidP="004200F0">
      <w:pPr>
        <w:pStyle w:val="Caption"/>
        <w:rPr>
          <w:lang w:eastAsia="en-US"/>
        </w:rPr>
      </w:pPr>
      <w:bookmarkStart w:id="69" w:name="_Ref41218170"/>
      <w:r w:rsidRPr="00237510">
        <w:t xml:space="preserve">Figure </w:t>
      </w:r>
      <w:r>
        <w:fldChar w:fldCharType="begin"/>
      </w:r>
      <w:r>
        <w:instrText>SEQ Figure \* ARABIC</w:instrText>
      </w:r>
      <w:r>
        <w:fldChar w:fldCharType="separate"/>
      </w:r>
      <w:r w:rsidR="00DE4513">
        <w:rPr>
          <w:noProof/>
        </w:rPr>
        <w:t>30</w:t>
      </w:r>
      <w:r>
        <w:fldChar w:fldCharType="end"/>
      </w:r>
      <w:bookmarkEnd w:id="69"/>
      <w:r w:rsidRPr="00237510">
        <w:t xml:space="preserve">: Provision of freshes under the five modelled scenarios relevant to natural. Latrobe River Reaches </w:t>
      </w:r>
      <w:proofErr w:type="gramStart"/>
      <w:r w:rsidRPr="00237510">
        <w:t>comprise:</w:t>
      </w:r>
      <w:proofErr w:type="gramEnd"/>
      <w:r w:rsidRPr="00237510">
        <w:t xml:space="preserve"> upstream (Lake Narracan to Scarnes Bridge); middle (Scarnes Bridge to Kilmany South) and lower (Kilmany South to the confluence with the Thomson River).</w:t>
      </w:r>
    </w:p>
    <w:p w14:paraId="33BF3728" w14:textId="1D59B5A8" w:rsidR="0055003B" w:rsidRPr="00237510" w:rsidRDefault="0055003B" w:rsidP="006A3DEB">
      <w:pPr>
        <w:pStyle w:val="Heading4nonumbers"/>
      </w:pPr>
      <w:bookmarkStart w:id="70" w:name="_Toc42001399"/>
      <w:r w:rsidRPr="00237510">
        <w:t>Effects on bankfull</w:t>
      </w:r>
      <w:bookmarkEnd w:id="70"/>
    </w:p>
    <w:p w14:paraId="159AAED9" w14:textId="186EB45D" w:rsidR="0055003B" w:rsidRPr="00237510" w:rsidRDefault="004200F0" w:rsidP="0055003B">
      <w:pPr>
        <w:rPr>
          <w:lang w:eastAsia="en-US"/>
        </w:rPr>
      </w:pPr>
      <w:r w:rsidRPr="00237510">
        <w:rPr>
          <w:lang w:eastAsia="en-US"/>
        </w:rPr>
        <w:t>Bankfu</w:t>
      </w:r>
      <w:r w:rsidR="0007138F" w:rsidRPr="00237510">
        <w:rPr>
          <w:lang w:eastAsia="en-US"/>
        </w:rPr>
        <w:t>l</w:t>
      </w:r>
      <w:r w:rsidRPr="00237510">
        <w:rPr>
          <w:lang w:eastAsia="en-US"/>
        </w:rPr>
        <w:t>l conditions occur regularly under conditions without extraction</w:t>
      </w:r>
      <w:r w:rsidR="0007138F" w:rsidRPr="00237510">
        <w:rPr>
          <w:lang w:eastAsia="en-US"/>
        </w:rPr>
        <w:t xml:space="preserve"> in most reaches, except the Latrobe Estuary. Impacts to the provision of bankfull flows from extraction and climate change are most keenly seen in the Estuary as well as the Latrobe below Lake Narracan and the Tanjil River (</w:t>
      </w:r>
      <w:r w:rsidR="0007138F" w:rsidRPr="00237510">
        <w:rPr>
          <w:lang w:eastAsia="en-US"/>
        </w:rPr>
        <w:fldChar w:fldCharType="begin"/>
      </w:r>
      <w:r w:rsidR="0007138F" w:rsidRPr="00237510">
        <w:rPr>
          <w:lang w:eastAsia="en-US"/>
        </w:rPr>
        <w:instrText xml:space="preserve"> REF _Ref41219084 \h </w:instrText>
      </w:r>
      <w:r w:rsidR="0007138F" w:rsidRPr="00237510">
        <w:rPr>
          <w:lang w:eastAsia="en-US"/>
        </w:rPr>
      </w:r>
      <w:r w:rsidR="0007138F" w:rsidRPr="00237510">
        <w:rPr>
          <w:lang w:eastAsia="en-US"/>
        </w:rPr>
        <w:fldChar w:fldCharType="separate"/>
      </w:r>
      <w:r w:rsidR="004E1696" w:rsidRPr="00237510">
        <w:t xml:space="preserve">Figure </w:t>
      </w:r>
      <w:r w:rsidR="004E1696">
        <w:rPr>
          <w:noProof/>
        </w:rPr>
        <w:t>31</w:t>
      </w:r>
      <w:r w:rsidR="0007138F" w:rsidRPr="00237510">
        <w:rPr>
          <w:lang w:eastAsia="en-US"/>
        </w:rPr>
        <w:fldChar w:fldCharType="end"/>
      </w:r>
      <w:r w:rsidR="0007138F" w:rsidRPr="00237510">
        <w:rPr>
          <w:lang w:eastAsia="en-US"/>
        </w:rPr>
        <w:t>)</w:t>
      </w:r>
      <w:r w:rsidR="005D3FFC">
        <w:rPr>
          <w:lang w:eastAsia="en-US"/>
        </w:rPr>
        <w:t>. In several reaches, the recommended maximum duration between has also been exceeded.</w:t>
      </w:r>
    </w:p>
    <w:p w14:paraId="2C6DF67C" w14:textId="03D770BB" w:rsidR="0055003B" w:rsidRPr="00237510" w:rsidRDefault="00A84E77" w:rsidP="0055003B">
      <w:pPr>
        <w:rPr>
          <w:lang w:eastAsia="en-US"/>
        </w:rPr>
      </w:pPr>
      <w:r>
        <w:rPr>
          <w:noProof/>
        </w:rPr>
        <w:drawing>
          <wp:inline distT="0" distB="0" distL="0" distR="0" wp14:anchorId="7B0C6DFA" wp14:editId="1534075A">
            <wp:extent cx="4082400" cy="1905802"/>
            <wp:effectExtent l="0" t="0" r="0" b="0"/>
            <wp:docPr id="15" name="Picture 15" descr="Comparative column charts showing the provision of bankfull under the five modelled scenarios relative to natur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4110183" cy="1918772"/>
                    </a:xfrm>
                    <a:prstGeom prst="rect">
                      <a:avLst/>
                    </a:prstGeom>
                  </pic:spPr>
                </pic:pic>
              </a:graphicData>
            </a:graphic>
          </wp:inline>
        </w:drawing>
      </w:r>
    </w:p>
    <w:p w14:paraId="35D2966C" w14:textId="4019BDAC" w:rsidR="00AA1003" w:rsidRDefault="004200F0" w:rsidP="004200F0">
      <w:pPr>
        <w:pStyle w:val="Caption"/>
      </w:pPr>
      <w:bookmarkStart w:id="71" w:name="_Ref41219084"/>
      <w:r w:rsidRPr="00237510">
        <w:t xml:space="preserve">Figure </w:t>
      </w:r>
      <w:r>
        <w:fldChar w:fldCharType="begin"/>
      </w:r>
      <w:r>
        <w:instrText>SEQ Figure \* ARABIC</w:instrText>
      </w:r>
      <w:r>
        <w:fldChar w:fldCharType="separate"/>
      </w:r>
      <w:r w:rsidR="00DE4513">
        <w:rPr>
          <w:noProof/>
        </w:rPr>
        <w:t>31</w:t>
      </w:r>
      <w:r>
        <w:fldChar w:fldCharType="end"/>
      </w:r>
      <w:bookmarkEnd w:id="71"/>
      <w:r w:rsidRPr="00237510">
        <w:t xml:space="preserve">: Provision of </w:t>
      </w:r>
      <w:r w:rsidR="0007138F" w:rsidRPr="00237510">
        <w:t>bankfull flows</w:t>
      </w:r>
      <w:r w:rsidRPr="00237510">
        <w:t xml:space="preserve"> under the five modelled scenarios relevant to natural. Latrobe River Reaches </w:t>
      </w:r>
      <w:proofErr w:type="gramStart"/>
      <w:r w:rsidRPr="00237510">
        <w:t>comprise:</w:t>
      </w:r>
      <w:proofErr w:type="gramEnd"/>
      <w:r w:rsidRPr="00237510">
        <w:t xml:space="preserve"> upstream (Lake Narracan to Scarnes Bridge); middle (Scarnes Bridge to Kilmany South) and lower (Kilmany South to the confluence with the Thomson River).</w:t>
      </w:r>
    </w:p>
    <w:p w14:paraId="7C916A7C" w14:textId="77777777" w:rsidR="00A84E77" w:rsidRPr="00A84E77" w:rsidRDefault="00A84E77" w:rsidP="00A84E77"/>
    <w:p w14:paraId="0B9577B5" w14:textId="43B1EA1C" w:rsidR="0055003B" w:rsidRPr="00237510" w:rsidRDefault="0055003B" w:rsidP="006A3DEB">
      <w:pPr>
        <w:pStyle w:val="Heading4nonumbers"/>
      </w:pPr>
      <w:bookmarkStart w:id="72" w:name="_Toc42001400"/>
      <w:r w:rsidRPr="00237510">
        <w:t>Effects on overbank flows</w:t>
      </w:r>
      <w:bookmarkEnd w:id="72"/>
    </w:p>
    <w:p w14:paraId="5A0A43E8" w14:textId="58F37C15" w:rsidR="00A84E77" w:rsidRPr="00237510" w:rsidRDefault="0007138F" w:rsidP="0055003B">
      <w:pPr>
        <w:rPr>
          <w:lang w:eastAsia="en-US"/>
        </w:rPr>
      </w:pPr>
      <w:r w:rsidRPr="00237510">
        <w:rPr>
          <w:lang w:eastAsia="en-US"/>
        </w:rPr>
        <w:t xml:space="preserve">Overbank flows are highly </w:t>
      </w:r>
      <w:r w:rsidR="00C974AA" w:rsidRPr="00237510">
        <w:rPr>
          <w:lang w:eastAsia="en-US"/>
        </w:rPr>
        <w:t>affected</w:t>
      </w:r>
      <w:r w:rsidRPr="00237510">
        <w:rPr>
          <w:lang w:eastAsia="en-US"/>
        </w:rPr>
        <w:t xml:space="preserve"> by both extraction and </w:t>
      </w:r>
      <w:r w:rsidR="00C974AA" w:rsidRPr="00237510">
        <w:rPr>
          <w:lang w:eastAsia="en-US"/>
        </w:rPr>
        <w:t xml:space="preserve">by </w:t>
      </w:r>
      <w:r w:rsidRPr="00237510">
        <w:rPr>
          <w:lang w:eastAsia="en-US"/>
        </w:rPr>
        <w:t>climate change in all rivers except the Latrobe River between Kilmany South and the confluence with the Thomson, where flow recommendations are met more often (</w:t>
      </w:r>
      <w:r w:rsidRPr="00237510">
        <w:rPr>
          <w:lang w:eastAsia="en-US"/>
        </w:rPr>
        <w:fldChar w:fldCharType="begin"/>
      </w:r>
      <w:r w:rsidRPr="00237510">
        <w:rPr>
          <w:lang w:eastAsia="en-US"/>
        </w:rPr>
        <w:instrText xml:space="preserve"> REF _Ref41219427 \h </w:instrText>
      </w:r>
      <w:r w:rsidRPr="00237510">
        <w:rPr>
          <w:lang w:eastAsia="en-US"/>
        </w:rPr>
      </w:r>
      <w:r w:rsidRPr="00237510">
        <w:rPr>
          <w:lang w:eastAsia="en-US"/>
        </w:rPr>
        <w:fldChar w:fldCharType="separate"/>
      </w:r>
      <w:r w:rsidR="004E1696" w:rsidRPr="00237510">
        <w:t xml:space="preserve">Figure </w:t>
      </w:r>
      <w:r w:rsidR="004E1696">
        <w:rPr>
          <w:noProof/>
        </w:rPr>
        <w:t>32</w:t>
      </w:r>
      <w:r w:rsidRPr="00237510">
        <w:rPr>
          <w:lang w:eastAsia="en-US"/>
        </w:rPr>
        <w:fldChar w:fldCharType="end"/>
      </w:r>
      <w:r w:rsidRPr="00237510">
        <w:rPr>
          <w:lang w:eastAsia="en-US"/>
        </w:rPr>
        <w:t xml:space="preserve">). The effect of climate change on overbank flows in the Tanjil is extreme, with no incidence of these flows in the </w:t>
      </w:r>
      <w:proofErr w:type="gramStart"/>
      <w:r w:rsidRPr="00237510">
        <w:rPr>
          <w:lang w:eastAsia="en-US"/>
        </w:rPr>
        <w:t>60 year</w:t>
      </w:r>
      <w:proofErr w:type="gramEnd"/>
      <w:r w:rsidRPr="00237510">
        <w:rPr>
          <w:lang w:eastAsia="en-US"/>
        </w:rPr>
        <w:t xml:space="preserve"> model record. The combined effects of full uptake of entitlements and future climates results in a 60</w:t>
      </w:r>
      <w:r w:rsidR="001A4F2B" w:rsidRPr="00237510">
        <w:rPr>
          <w:lang w:eastAsia="en-US"/>
        </w:rPr>
        <w:t xml:space="preserve"> </w:t>
      </w:r>
      <w:r w:rsidRPr="00237510">
        <w:rPr>
          <w:lang w:eastAsia="en-US"/>
        </w:rPr>
        <w:t>% reduction in overbank flows in most reaches.</w:t>
      </w:r>
    </w:p>
    <w:p w14:paraId="72BE19BC" w14:textId="148258D2" w:rsidR="00AA1003" w:rsidRPr="00237510" w:rsidRDefault="00394B04" w:rsidP="0055003B">
      <w:pPr>
        <w:rPr>
          <w:lang w:eastAsia="en-US"/>
        </w:rPr>
      </w:pPr>
      <w:r w:rsidRPr="00237510">
        <w:rPr>
          <w:noProof/>
        </w:rPr>
        <w:drawing>
          <wp:inline distT="0" distB="0" distL="0" distR="0" wp14:anchorId="67961EBE" wp14:editId="374AC311">
            <wp:extent cx="5188017" cy="2106728"/>
            <wp:effectExtent l="0" t="0" r="0" b="1905"/>
            <wp:docPr id="471" name="Picture 471" descr="Comparative column charts showing the provision of overbank under the five modelled scenarios relative to natur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5202909" cy="2112775"/>
                    </a:xfrm>
                    <a:prstGeom prst="rect">
                      <a:avLst/>
                    </a:prstGeom>
                  </pic:spPr>
                </pic:pic>
              </a:graphicData>
            </a:graphic>
          </wp:inline>
        </w:drawing>
      </w:r>
    </w:p>
    <w:p w14:paraId="289F07ED" w14:textId="63777E25" w:rsidR="00AA1003" w:rsidRPr="00237510" w:rsidRDefault="0007138F" w:rsidP="00583662">
      <w:pPr>
        <w:pStyle w:val="Caption"/>
      </w:pPr>
      <w:bookmarkStart w:id="73" w:name="_Ref41219427"/>
      <w:r w:rsidRPr="00237510">
        <w:t xml:space="preserve">Figure </w:t>
      </w:r>
      <w:r>
        <w:fldChar w:fldCharType="begin"/>
      </w:r>
      <w:r>
        <w:instrText>SEQ Figure \* ARABIC</w:instrText>
      </w:r>
      <w:r>
        <w:fldChar w:fldCharType="separate"/>
      </w:r>
      <w:r w:rsidR="00DE4513">
        <w:rPr>
          <w:noProof/>
        </w:rPr>
        <w:t>32</w:t>
      </w:r>
      <w:r>
        <w:fldChar w:fldCharType="end"/>
      </w:r>
      <w:bookmarkEnd w:id="73"/>
      <w:r w:rsidRPr="00237510">
        <w:t xml:space="preserve">: Provision of overbank flows under the five modelled scenarios relevant to natural. Latrobe River Reaches </w:t>
      </w:r>
      <w:proofErr w:type="gramStart"/>
      <w:r w:rsidRPr="00237510">
        <w:t>comprise:</w:t>
      </w:r>
      <w:proofErr w:type="gramEnd"/>
      <w:r w:rsidRPr="00237510">
        <w:t xml:space="preserve"> upstream (Lake Narracan to Scarnes Bridge); middle (Scarnes Bridge to Kilmany South) and lower (Kilmany South to the confluence with the Thomson River).</w:t>
      </w:r>
    </w:p>
    <w:p w14:paraId="029323E6" w14:textId="6C47BE77" w:rsidR="00394B04" w:rsidRPr="00237510" w:rsidRDefault="00394B04" w:rsidP="00394B04">
      <w:pPr>
        <w:pStyle w:val="Heading4nonumbers"/>
      </w:pPr>
      <w:bookmarkStart w:id="74" w:name="_Toc42001401"/>
      <w:r w:rsidRPr="00237510">
        <w:t>Effects on wetlands and lakes</w:t>
      </w:r>
      <w:bookmarkEnd w:id="74"/>
    </w:p>
    <w:p w14:paraId="415E6557" w14:textId="77777777" w:rsidR="0007138F" w:rsidRPr="00237510" w:rsidRDefault="0007138F" w:rsidP="00394B04">
      <w:pPr>
        <w:rPr>
          <w:lang w:eastAsia="en-US"/>
        </w:rPr>
      </w:pPr>
      <w:r w:rsidRPr="00237510">
        <w:rPr>
          <w:lang w:eastAsia="en-US"/>
        </w:rPr>
        <w:t>Filling and drawdown of the Lower Latrobe Wetlands is largely achieved by managed watering with environmental entitlements and infrastructure. There are, however, several important flows required to maintain the ecological character of these wetlands, and the condition of Lake Wellington.</w:t>
      </w:r>
    </w:p>
    <w:p w14:paraId="116A3B25" w14:textId="55C114E1" w:rsidR="00394B04" w:rsidRPr="00237510" w:rsidRDefault="0007138F" w:rsidP="0055003B">
      <w:pPr>
        <w:rPr>
          <w:lang w:eastAsia="en-US"/>
        </w:rPr>
      </w:pPr>
      <w:r w:rsidRPr="00237510">
        <w:rPr>
          <w:lang w:eastAsia="en-US"/>
        </w:rPr>
        <w:t xml:space="preserve">It is estimated that total flows of 130 GL/ month are required in the Latrobe Estuary to flush salts from Lake Wellington </w:t>
      </w:r>
      <w:r w:rsidRPr="00237510">
        <w:rPr>
          <w:lang w:eastAsia="en-US"/>
        </w:rPr>
        <w:fldChar w:fldCharType="begin"/>
      </w:r>
      <w:r w:rsidR="000571BF" w:rsidRPr="00237510">
        <w:rPr>
          <w:lang w:eastAsia="en-US"/>
        </w:rPr>
        <w:instrText xml:space="preserve"> ADDIN ZOTERO_ITEM CSL_CITATION {"citationID":"eOmuSW8O","properties":{"formattedCitation":"(Brizga et al. 2013)","plainCitation":"(Brizga et al. 2013)","noteIndex":0},"citationItems":[{"id":4374,"uris":["http://zotero.org/users/2336876/items/CUYZQV8Y"],"uri":["http://zotero.org/users/2336876/items/CUYZQV8Y"],"itemData":{"id":4374,"type":"book","publisher":"Water Technology Pty Ltd","title":"Latrobe Estuary: Environmental Water Requirements Report","author":[{"family":"Brizga","given":"S."},{"family":"Arrowsmith","given":"C."},{"family":"Tilleard","given":"J."},{"family":"Boon","given":"P."},{"family":"McMahon","given":"A."},{"family":"O'Connor","given":"N."},{"family":"Pope","given":"A."}],"issued":{"date-parts":[["2013"]]}}}],"schema":"https://github.com/citation-style-language/schema/raw/master/csl-citation.json"} </w:instrText>
      </w:r>
      <w:r w:rsidRPr="00237510">
        <w:rPr>
          <w:lang w:eastAsia="en-US"/>
        </w:rPr>
        <w:fldChar w:fldCharType="separate"/>
      </w:r>
      <w:r w:rsidR="000571BF" w:rsidRPr="00237510">
        <w:rPr>
          <w:lang w:eastAsia="en-US"/>
        </w:rPr>
        <w:t>(Brizga et al. 2013)</w:t>
      </w:r>
      <w:r w:rsidRPr="00237510">
        <w:rPr>
          <w:lang w:eastAsia="en-US"/>
        </w:rPr>
        <w:fldChar w:fldCharType="end"/>
      </w:r>
      <w:r w:rsidRPr="00237510">
        <w:rPr>
          <w:lang w:eastAsia="en-US"/>
        </w:rPr>
        <w:t xml:space="preserve">. This is not only relevant to the lake itself, but also for maintaining the low salinity conditions of the </w:t>
      </w:r>
      <w:r w:rsidR="00A84E77">
        <w:rPr>
          <w:lang w:eastAsia="en-US"/>
        </w:rPr>
        <w:t xml:space="preserve">lake’s </w:t>
      </w:r>
      <w:r w:rsidRPr="00237510">
        <w:rPr>
          <w:lang w:eastAsia="en-US"/>
        </w:rPr>
        <w:t>fringing wetlands.  Under natural (</w:t>
      </w:r>
      <w:r w:rsidR="00A84E77">
        <w:rPr>
          <w:lang w:eastAsia="en-US"/>
        </w:rPr>
        <w:t>current</w:t>
      </w:r>
      <w:r w:rsidRPr="00237510">
        <w:rPr>
          <w:lang w:eastAsia="en-US"/>
        </w:rPr>
        <w:t xml:space="preserve"> climate, no extraction) conditions, this flow is achieved in about 45</w:t>
      </w:r>
      <w:r w:rsidR="001A4F2B" w:rsidRPr="00237510">
        <w:rPr>
          <w:lang w:eastAsia="en-US"/>
        </w:rPr>
        <w:t xml:space="preserve"> </w:t>
      </w:r>
      <w:r w:rsidRPr="00237510">
        <w:rPr>
          <w:lang w:eastAsia="en-US"/>
        </w:rPr>
        <w:t>% of months. Under current conditions, this has been reduced by about one third to 30</w:t>
      </w:r>
      <w:r w:rsidR="001A4F2B" w:rsidRPr="00237510">
        <w:rPr>
          <w:lang w:eastAsia="en-US"/>
        </w:rPr>
        <w:t xml:space="preserve"> </w:t>
      </w:r>
      <w:r w:rsidRPr="00237510">
        <w:rPr>
          <w:lang w:eastAsia="en-US"/>
        </w:rPr>
        <w:t>% of months and under full uptake of entitlements and future climates this is reduced to just 18</w:t>
      </w:r>
      <w:r w:rsidR="001A4F2B" w:rsidRPr="00237510">
        <w:rPr>
          <w:lang w:eastAsia="en-US"/>
        </w:rPr>
        <w:t xml:space="preserve"> </w:t>
      </w:r>
      <w:r w:rsidRPr="00237510">
        <w:rPr>
          <w:lang w:eastAsia="en-US"/>
        </w:rPr>
        <w:t>% of months</w:t>
      </w:r>
      <w:r w:rsidR="00583662" w:rsidRPr="00237510">
        <w:rPr>
          <w:lang w:eastAsia="en-US"/>
        </w:rPr>
        <w:t xml:space="preserve"> (</w:t>
      </w:r>
      <w:r w:rsidR="00583662" w:rsidRPr="00237510">
        <w:rPr>
          <w:lang w:eastAsia="en-US"/>
        </w:rPr>
        <w:fldChar w:fldCharType="begin"/>
      </w:r>
      <w:r w:rsidR="00583662" w:rsidRPr="00237510">
        <w:rPr>
          <w:lang w:eastAsia="en-US"/>
        </w:rPr>
        <w:instrText xml:space="preserve"> REF _Ref41390462 \h </w:instrText>
      </w:r>
      <w:r w:rsidR="00583662" w:rsidRPr="00237510">
        <w:rPr>
          <w:lang w:eastAsia="en-US"/>
        </w:rPr>
      </w:r>
      <w:r w:rsidR="00583662" w:rsidRPr="00237510">
        <w:rPr>
          <w:lang w:eastAsia="en-US"/>
        </w:rPr>
        <w:fldChar w:fldCharType="separate"/>
      </w:r>
      <w:r w:rsidR="008C72C8" w:rsidRPr="00237510">
        <w:t>Table 8</w:t>
      </w:r>
      <w:r w:rsidR="00583662" w:rsidRPr="00237510">
        <w:rPr>
          <w:lang w:eastAsia="en-US"/>
        </w:rPr>
        <w:fldChar w:fldCharType="end"/>
      </w:r>
      <w:r w:rsidR="00583662" w:rsidRPr="00237510">
        <w:rPr>
          <w:lang w:eastAsia="en-US"/>
        </w:rPr>
        <w:t>)</w:t>
      </w:r>
      <w:r w:rsidRPr="00237510">
        <w:rPr>
          <w:lang w:eastAsia="en-US"/>
        </w:rPr>
        <w:t>.</w:t>
      </w:r>
    </w:p>
    <w:p w14:paraId="1FCA7CBC" w14:textId="4711972A" w:rsidR="0007138F" w:rsidRPr="00237510" w:rsidRDefault="00583662" w:rsidP="00583662">
      <w:pPr>
        <w:pStyle w:val="Caption"/>
        <w:rPr>
          <w:lang w:eastAsia="en-US"/>
        </w:rPr>
      </w:pPr>
      <w:bookmarkStart w:id="75" w:name="_Ref41390462"/>
      <w:r w:rsidRPr="00237510">
        <w:t xml:space="preserve">Table </w:t>
      </w:r>
      <w:r>
        <w:fldChar w:fldCharType="begin"/>
      </w:r>
      <w:r>
        <w:instrText>SEQ Table \* ARABIC</w:instrText>
      </w:r>
      <w:r>
        <w:fldChar w:fldCharType="separate"/>
      </w:r>
      <w:r w:rsidR="008C72C8" w:rsidRPr="00237510">
        <w:t>8</w:t>
      </w:r>
      <w:r>
        <w:fldChar w:fldCharType="end"/>
      </w:r>
      <w:bookmarkEnd w:id="75"/>
      <w:r w:rsidRPr="00237510">
        <w:t>: Flow statistics for wetland flows under the different water use and climate scenarios.</w:t>
      </w:r>
    </w:p>
    <w:tbl>
      <w:tblPr>
        <w:tblStyle w:val="ListTable3-Accent5"/>
        <w:tblW w:w="0" w:type="auto"/>
        <w:tblLook w:val="04A0" w:firstRow="1" w:lastRow="0" w:firstColumn="1" w:lastColumn="0" w:noHBand="0" w:noVBand="1"/>
      </w:tblPr>
      <w:tblGrid>
        <w:gridCol w:w="2547"/>
        <w:gridCol w:w="1134"/>
        <w:gridCol w:w="1417"/>
        <w:gridCol w:w="1418"/>
        <w:gridCol w:w="1134"/>
        <w:gridCol w:w="1129"/>
      </w:tblGrid>
      <w:tr w:rsidR="00C974AA" w:rsidRPr="00237510" w14:paraId="0DD8395C" w14:textId="77777777" w:rsidTr="007E086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47" w:type="dxa"/>
          </w:tcPr>
          <w:p w14:paraId="2C70E551" w14:textId="14FCC3CC" w:rsidR="00C974AA" w:rsidRPr="00237510" w:rsidRDefault="00C974AA" w:rsidP="00C974AA">
            <w:pPr>
              <w:rPr>
                <w:b w:val="0"/>
                <w:bCs w:val="0"/>
                <w:sz w:val="18"/>
                <w:szCs w:val="18"/>
                <w:lang w:eastAsia="en-US"/>
              </w:rPr>
            </w:pPr>
            <w:r w:rsidRPr="00237510">
              <w:rPr>
                <w:b w:val="0"/>
                <w:bCs w:val="0"/>
                <w:sz w:val="18"/>
                <w:szCs w:val="18"/>
                <w:lang w:eastAsia="en-US"/>
              </w:rPr>
              <w:t>Flow component</w:t>
            </w:r>
          </w:p>
        </w:tc>
        <w:tc>
          <w:tcPr>
            <w:tcW w:w="1134" w:type="dxa"/>
          </w:tcPr>
          <w:p w14:paraId="021A2CB2" w14:textId="19881E59" w:rsidR="00C974AA" w:rsidRPr="00237510" w:rsidRDefault="00C974AA" w:rsidP="007E0865">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en-US"/>
              </w:rPr>
            </w:pPr>
            <w:r w:rsidRPr="00237510">
              <w:rPr>
                <w:b w:val="0"/>
                <w:bCs w:val="0"/>
                <w:sz w:val="18"/>
                <w:szCs w:val="18"/>
                <w:lang w:eastAsia="en-US"/>
              </w:rPr>
              <w:t>Natural current climate</w:t>
            </w:r>
          </w:p>
        </w:tc>
        <w:tc>
          <w:tcPr>
            <w:tcW w:w="1417" w:type="dxa"/>
          </w:tcPr>
          <w:p w14:paraId="41315B17" w14:textId="4E1A306E" w:rsidR="00C974AA" w:rsidRPr="00237510" w:rsidRDefault="00C974AA" w:rsidP="007E0865">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en-US"/>
              </w:rPr>
            </w:pPr>
            <w:r w:rsidRPr="00237510">
              <w:rPr>
                <w:b w:val="0"/>
                <w:bCs w:val="0"/>
                <w:sz w:val="18"/>
                <w:szCs w:val="18"/>
                <w:lang w:eastAsia="en-US"/>
              </w:rPr>
              <w:t xml:space="preserve">Current water </w:t>
            </w:r>
            <w:proofErr w:type="gramStart"/>
            <w:r w:rsidRPr="00237510">
              <w:rPr>
                <w:b w:val="0"/>
                <w:bCs w:val="0"/>
                <w:sz w:val="18"/>
                <w:szCs w:val="18"/>
                <w:lang w:eastAsia="en-US"/>
              </w:rPr>
              <w:t>use</w:t>
            </w:r>
            <w:proofErr w:type="gramEnd"/>
            <w:r w:rsidRPr="00237510">
              <w:rPr>
                <w:b w:val="0"/>
                <w:bCs w:val="0"/>
                <w:sz w:val="18"/>
                <w:szCs w:val="18"/>
                <w:lang w:eastAsia="en-US"/>
              </w:rPr>
              <w:t xml:space="preserve"> current climate</w:t>
            </w:r>
          </w:p>
        </w:tc>
        <w:tc>
          <w:tcPr>
            <w:tcW w:w="1418" w:type="dxa"/>
          </w:tcPr>
          <w:p w14:paraId="1D806491" w14:textId="5EAB6297" w:rsidR="00C974AA" w:rsidRPr="00237510" w:rsidRDefault="00C974AA" w:rsidP="007E0865">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en-US"/>
              </w:rPr>
            </w:pPr>
            <w:r w:rsidRPr="00237510">
              <w:rPr>
                <w:b w:val="0"/>
                <w:bCs w:val="0"/>
                <w:sz w:val="18"/>
                <w:szCs w:val="18"/>
                <w:lang w:eastAsia="en-US"/>
              </w:rPr>
              <w:t xml:space="preserve">Current water </w:t>
            </w:r>
            <w:proofErr w:type="gramStart"/>
            <w:r w:rsidRPr="00237510">
              <w:rPr>
                <w:b w:val="0"/>
                <w:bCs w:val="0"/>
                <w:sz w:val="18"/>
                <w:szCs w:val="18"/>
                <w:lang w:eastAsia="en-US"/>
              </w:rPr>
              <w:t>use</w:t>
            </w:r>
            <w:proofErr w:type="gramEnd"/>
            <w:r w:rsidRPr="00237510">
              <w:rPr>
                <w:b w:val="0"/>
                <w:bCs w:val="0"/>
                <w:sz w:val="18"/>
                <w:szCs w:val="18"/>
                <w:lang w:eastAsia="en-US"/>
              </w:rPr>
              <w:t xml:space="preserve"> future climate</w:t>
            </w:r>
          </w:p>
        </w:tc>
        <w:tc>
          <w:tcPr>
            <w:tcW w:w="1134" w:type="dxa"/>
          </w:tcPr>
          <w:p w14:paraId="619EC5AC" w14:textId="31F78B49" w:rsidR="00C974AA" w:rsidRPr="00237510" w:rsidRDefault="00C974AA" w:rsidP="007E0865">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en-US"/>
              </w:rPr>
            </w:pPr>
            <w:r w:rsidRPr="00237510">
              <w:rPr>
                <w:b w:val="0"/>
                <w:bCs w:val="0"/>
                <w:sz w:val="18"/>
                <w:szCs w:val="18"/>
                <w:lang w:eastAsia="en-US"/>
              </w:rPr>
              <w:t xml:space="preserve">Full water </w:t>
            </w:r>
            <w:proofErr w:type="gramStart"/>
            <w:r w:rsidRPr="00237510">
              <w:rPr>
                <w:b w:val="0"/>
                <w:bCs w:val="0"/>
                <w:sz w:val="18"/>
                <w:szCs w:val="18"/>
                <w:lang w:eastAsia="en-US"/>
              </w:rPr>
              <w:t>use</w:t>
            </w:r>
            <w:proofErr w:type="gramEnd"/>
            <w:r w:rsidRPr="00237510">
              <w:rPr>
                <w:b w:val="0"/>
                <w:bCs w:val="0"/>
                <w:sz w:val="18"/>
                <w:szCs w:val="18"/>
                <w:lang w:eastAsia="en-US"/>
              </w:rPr>
              <w:t xml:space="preserve"> current climate</w:t>
            </w:r>
          </w:p>
        </w:tc>
        <w:tc>
          <w:tcPr>
            <w:tcW w:w="1129" w:type="dxa"/>
          </w:tcPr>
          <w:p w14:paraId="23123DC3" w14:textId="0EEF9DDF" w:rsidR="00C974AA" w:rsidRPr="00237510" w:rsidRDefault="00C974AA" w:rsidP="007E0865">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en-US"/>
              </w:rPr>
            </w:pPr>
            <w:r w:rsidRPr="00237510">
              <w:rPr>
                <w:b w:val="0"/>
                <w:bCs w:val="0"/>
                <w:sz w:val="18"/>
                <w:szCs w:val="18"/>
                <w:lang w:eastAsia="en-US"/>
              </w:rPr>
              <w:t xml:space="preserve">Full water </w:t>
            </w:r>
            <w:proofErr w:type="gramStart"/>
            <w:r w:rsidRPr="00237510">
              <w:rPr>
                <w:b w:val="0"/>
                <w:bCs w:val="0"/>
                <w:sz w:val="18"/>
                <w:szCs w:val="18"/>
                <w:lang w:eastAsia="en-US"/>
              </w:rPr>
              <w:t>use</w:t>
            </w:r>
            <w:proofErr w:type="gramEnd"/>
            <w:r w:rsidRPr="00237510">
              <w:rPr>
                <w:b w:val="0"/>
                <w:bCs w:val="0"/>
                <w:sz w:val="18"/>
                <w:szCs w:val="18"/>
                <w:lang w:eastAsia="en-US"/>
              </w:rPr>
              <w:t xml:space="preserve"> future climate</w:t>
            </w:r>
          </w:p>
        </w:tc>
      </w:tr>
      <w:tr w:rsidR="007E0865" w:rsidRPr="00237510" w14:paraId="4DADB230" w14:textId="77777777" w:rsidTr="007E08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9" w:type="dxa"/>
            <w:gridSpan w:val="6"/>
            <w:shd w:val="clear" w:color="auto" w:fill="B6DDE8" w:themeFill="accent5" w:themeFillTint="66"/>
          </w:tcPr>
          <w:p w14:paraId="504A4E61" w14:textId="77777777" w:rsidR="007E0865" w:rsidRPr="00237510" w:rsidRDefault="007E0865" w:rsidP="007E0865">
            <w:pPr>
              <w:rPr>
                <w:sz w:val="18"/>
                <w:szCs w:val="18"/>
                <w:lang w:eastAsia="en-US"/>
              </w:rPr>
            </w:pPr>
            <w:r w:rsidRPr="00237510">
              <w:rPr>
                <w:sz w:val="18"/>
                <w:szCs w:val="18"/>
                <w:lang w:eastAsia="en-US"/>
              </w:rPr>
              <w:t>130GL/month in the Latrobe Estuary, to flush Lake Wellington</w:t>
            </w:r>
          </w:p>
        </w:tc>
      </w:tr>
      <w:tr w:rsidR="00C974AA" w:rsidRPr="00237510" w14:paraId="21E81BAF" w14:textId="77777777" w:rsidTr="007E0865">
        <w:tc>
          <w:tcPr>
            <w:cnfStyle w:val="001000000000" w:firstRow="0" w:lastRow="0" w:firstColumn="1" w:lastColumn="0" w:oddVBand="0" w:evenVBand="0" w:oddHBand="0" w:evenHBand="0" w:firstRowFirstColumn="0" w:firstRowLastColumn="0" w:lastRowFirstColumn="0" w:lastRowLastColumn="0"/>
            <w:tcW w:w="2547" w:type="dxa"/>
          </w:tcPr>
          <w:p w14:paraId="7D8E70B1" w14:textId="7ABD29D1" w:rsidR="00C974AA" w:rsidRPr="00237510" w:rsidRDefault="007E0865" w:rsidP="0055003B">
            <w:pPr>
              <w:rPr>
                <w:b w:val="0"/>
                <w:bCs w:val="0"/>
                <w:sz w:val="18"/>
                <w:szCs w:val="18"/>
                <w:lang w:eastAsia="en-US"/>
              </w:rPr>
            </w:pPr>
            <w:r w:rsidRPr="00237510">
              <w:rPr>
                <w:b w:val="0"/>
                <w:bCs w:val="0"/>
                <w:sz w:val="18"/>
                <w:szCs w:val="18"/>
                <w:lang w:eastAsia="en-US"/>
              </w:rPr>
              <w:t>Percentage of months flow occurs</w:t>
            </w:r>
          </w:p>
        </w:tc>
        <w:tc>
          <w:tcPr>
            <w:tcW w:w="1134" w:type="dxa"/>
          </w:tcPr>
          <w:p w14:paraId="5C86202C" w14:textId="27F395FE" w:rsidR="00C974AA" w:rsidRPr="00237510" w:rsidRDefault="007E0865" w:rsidP="007E0865">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46</w:t>
            </w:r>
          </w:p>
        </w:tc>
        <w:tc>
          <w:tcPr>
            <w:tcW w:w="1417" w:type="dxa"/>
          </w:tcPr>
          <w:p w14:paraId="208D2B27" w14:textId="67EF3BD4" w:rsidR="00C974AA" w:rsidRPr="00237510" w:rsidRDefault="007E0865" w:rsidP="007E0865">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31</w:t>
            </w:r>
          </w:p>
        </w:tc>
        <w:tc>
          <w:tcPr>
            <w:tcW w:w="1418" w:type="dxa"/>
          </w:tcPr>
          <w:p w14:paraId="62BD319C" w14:textId="5ADBFDF8" w:rsidR="00C974AA" w:rsidRPr="00237510" w:rsidRDefault="007E0865" w:rsidP="007E0865">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20</w:t>
            </w:r>
          </w:p>
        </w:tc>
        <w:tc>
          <w:tcPr>
            <w:tcW w:w="1134" w:type="dxa"/>
          </w:tcPr>
          <w:p w14:paraId="0F252197" w14:textId="6B75E853" w:rsidR="00C974AA" w:rsidRPr="00237510" w:rsidRDefault="007E0865" w:rsidP="007E0865">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28</w:t>
            </w:r>
          </w:p>
        </w:tc>
        <w:tc>
          <w:tcPr>
            <w:tcW w:w="1129" w:type="dxa"/>
          </w:tcPr>
          <w:p w14:paraId="1E865142" w14:textId="38F3C4EF" w:rsidR="00C974AA" w:rsidRPr="00237510" w:rsidRDefault="007E0865" w:rsidP="007E0865">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18</w:t>
            </w:r>
          </w:p>
        </w:tc>
      </w:tr>
      <w:tr w:rsidR="00C974AA" w:rsidRPr="00237510" w14:paraId="6E53BD15" w14:textId="77777777" w:rsidTr="007E08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07ABFB8" w14:textId="26D2DB8D" w:rsidR="00C974AA" w:rsidRPr="00237510" w:rsidRDefault="00D0341D" w:rsidP="0055003B">
            <w:pPr>
              <w:rPr>
                <w:b w:val="0"/>
                <w:bCs w:val="0"/>
                <w:sz w:val="18"/>
                <w:szCs w:val="18"/>
                <w:lang w:eastAsia="en-US"/>
              </w:rPr>
            </w:pPr>
            <w:r w:rsidRPr="00237510">
              <w:rPr>
                <w:b w:val="0"/>
                <w:bCs w:val="0"/>
                <w:sz w:val="18"/>
                <w:szCs w:val="18"/>
                <w:lang w:eastAsia="en-US"/>
              </w:rPr>
              <w:t>Percentage of years flow not met</w:t>
            </w:r>
          </w:p>
        </w:tc>
        <w:tc>
          <w:tcPr>
            <w:tcW w:w="1134" w:type="dxa"/>
          </w:tcPr>
          <w:p w14:paraId="6019EA0E" w14:textId="0A0F45B8" w:rsidR="00C974AA" w:rsidRPr="00237510" w:rsidRDefault="00D0341D" w:rsidP="007E0865">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237510">
              <w:rPr>
                <w:sz w:val="18"/>
                <w:szCs w:val="18"/>
                <w:lang w:eastAsia="en-US"/>
              </w:rPr>
              <w:t>5</w:t>
            </w:r>
          </w:p>
        </w:tc>
        <w:tc>
          <w:tcPr>
            <w:tcW w:w="1417" w:type="dxa"/>
          </w:tcPr>
          <w:p w14:paraId="5D3510B9" w14:textId="0F893377" w:rsidR="00C974AA" w:rsidRPr="00237510" w:rsidRDefault="00D0341D" w:rsidP="007E0865">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237510">
              <w:rPr>
                <w:sz w:val="18"/>
                <w:szCs w:val="18"/>
                <w:lang w:eastAsia="en-US"/>
              </w:rPr>
              <w:t>20</w:t>
            </w:r>
          </w:p>
        </w:tc>
        <w:tc>
          <w:tcPr>
            <w:tcW w:w="1418" w:type="dxa"/>
          </w:tcPr>
          <w:p w14:paraId="57CF69CA" w14:textId="187A5F90" w:rsidR="00C974AA" w:rsidRPr="00237510" w:rsidRDefault="00D0341D" w:rsidP="007E0865">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237510">
              <w:rPr>
                <w:sz w:val="18"/>
                <w:szCs w:val="18"/>
                <w:lang w:eastAsia="en-US"/>
              </w:rPr>
              <w:t>32</w:t>
            </w:r>
          </w:p>
        </w:tc>
        <w:tc>
          <w:tcPr>
            <w:tcW w:w="1134" w:type="dxa"/>
          </w:tcPr>
          <w:p w14:paraId="4B1A4964" w14:textId="09679211" w:rsidR="00C974AA" w:rsidRPr="00237510" w:rsidRDefault="00D0341D" w:rsidP="007E0865">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237510">
              <w:rPr>
                <w:sz w:val="18"/>
                <w:szCs w:val="18"/>
                <w:lang w:eastAsia="en-US"/>
              </w:rPr>
              <w:t>20</w:t>
            </w:r>
          </w:p>
        </w:tc>
        <w:tc>
          <w:tcPr>
            <w:tcW w:w="1129" w:type="dxa"/>
          </w:tcPr>
          <w:p w14:paraId="4A7E6774" w14:textId="777D659D" w:rsidR="00C974AA" w:rsidRPr="00237510" w:rsidRDefault="00D0341D" w:rsidP="007E0865">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237510">
              <w:rPr>
                <w:sz w:val="18"/>
                <w:szCs w:val="18"/>
                <w:lang w:eastAsia="en-US"/>
              </w:rPr>
              <w:t>35</w:t>
            </w:r>
          </w:p>
        </w:tc>
      </w:tr>
      <w:tr w:rsidR="007E0865" w:rsidRPr="00237510" w14:paraId="37F068D3" w14:textId="77777777" w:rsidTr="00F9615B">
        <w:tc>
          <w:tcPr>
            <w:cnfStyle w:val="001000000000" w:firstRow="0" w:lastRow="0" w:firstColumn="1" w:lastColumn="0" w:oddVBand="0" w:evenVBand="0" w:oddHBand="0" w:evenHBand="0" w:firstRowFirstColumn="0" w:firstRowLastColumn="0" w:lastRowFirstColumn="0" w:lastRowLastColumn="0"/>
            <w:tcW w:w="8779" w:type="dxa"/>
            <w:gridSpan w:val="6"/>
            <w:shd w:val="clear" w:color="auto" w:fill="B6DDE8" w:themeFill="accent5" w:themeFillTint="66"/>
          </w:tcPr>
          <w:p w14:paraId="2316ACD0" w14:textId="5C81245B" w:rsidR="007E0865" w:rsidRPr="00237510" w:rsidRDefault="007E0865" w:rsidP="00F9615B">
            <w:pPr>
              <w:rPr>
                <w:sz w:val="18"/>
                <w:szCs w:val="18"/>
                <w:lang w:eastAsia="en-US"/>
              </w:rPr>
            </w:pPr>
            <w:r w:rsidRPr="00237510">
              <w:rPr>
                <w:sz w:val="18"/>
                <w:szCs w:val="18"/>
                <w:lang w:eastAsia="en-US"/>
              </w:rPr>
              <w:t>3200 ML/day in the Latrobe Estuary to allow freshwater inflows to wetlands through infrastructure</w:t>
            </w:r>
          </w:p>
        </w:tc>
      </w:tr>
      <w:tr w:rsidR="00C974AA" w:rsidRPr="00237510" w14:paraId="2F4ADC38" w14:textId="77777777" w:rsidTr="007E08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D89B6B5" w14:textId="44940206" w:rsidR="00C974AA" w:rsidRPr="00237510" w:rsidRDefault="00D0341D" w:rsidP="0055003B">
            <w:pPr>
              <w:rPr>
                <w:b w:val="0"/>
                <w:bCs w:val="0"/>
                <w:sz w:val="18"/>
                <w:szCs w:val="18"/>
                <w:lang w:eastAsia="en-US"/>
              </w:rPr>
            </w:pPr>
            <w:r w:rsidRPr="00237510">
              <w:rPr>
                <w:b w:val="0"/>
                <w:bCs w:val="0"/>
                <w:sz w:val="18"/>
                <w:szCs w:val="18"/>
                <w:lang w:eastAsia="en-US"/>
              </w:rPr>
              <w:t>Percentage of days flow threshold is exceeded</w:t>
            </w:r>
          </w:p>
        </w:tc>
        <w:tc>
          <w:tcPr>
            <w:tcW w:w="1134" w:type="dxa"/>
          </w:tcPr>
          <w:p w14:paraId="4732FCC5" w14:textId="13C6344E" w:rsidR="00C974AA" w:rsidRPr="00237510" w:rsidRDefault="00D0341D" w:rsidP="00D0341D">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237510">
              <w:rPr>
                <w:sz w:val="18"/>
                <w:szCs w:val="18"/>
                <w:lang w:eastAsia="en-US"/>
              </w:rPr>
              <w:t>44</w:t>
            </w:r>
          </w:p>
        </w:tc>
        <w:tc>
          <w:tcPr>
            <w:tcW w:w="1417" w:type="dxa"/>
          </w:tcPr>
          <w:p w14:paraId="0A17E231" w14:textId="3877CB57" w:rsidR="00C974AA" w:rsidRPr="00237510" w:rsidRDefault="00D0341D" w:rsidP="00D0341D">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237510">
              <w:rPr>
                <w:sz w:val="18"/>
                <w:szCs w:val="18"/>
                <w:lang w:eastAsia="en-US"/>
              </w:rPr>
              <w:t>27</w:t>
            </w:r>
          </w:p>
        </w:tc>
        <w:tc>
          <w:tcPr>
            <w:tcW w:w="1418" w:type="dxa"/>
          </w:tcPr>
          <w:p w14:paraId="514D365C" w14:textId="04A69DCD" w:rsidR="00C974AA" w:rsidRPr="00237510" w:rsidRDefault="00D0341D" w:rsidP="00D0341D">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237510">
              <w:rPr>
                <w:sz w:val="18"/>
                <w:szCs w:val="18"/>
                <w:lang w:eastAsia="en-US"/>
              </w:rPr>
              <w:t>19</w:t>
            </w:r>
          </w:p>
        </w:tc>
        <w:tc>
          <w:tcPr>
            <w:tcW w:w="1134" w:type="dxa"/>
          </w:tcPr>
          <w:p w14:paraId="1A2B48FB" w14:textId="36A1EAD0" w:rsidR="00C974AA" w:rsidRPr="00237510" w:rsidRDefault="00D0341D" w:rsidP="00D0341D">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237510">
              <w:rPr>
                <w:sz w:val="18"/>
                <w:szCs w:val="18"/>
                <w:lang w:eastAsia="en-US"/>
              </w:rPr>
              <w:t>25</w:t>
            </w:r>
          </w:p>
        </w:tc>
        <w:tc>
          <w:tcPr>
            <w:tcW w:w="1129" w:type="dxa"/>
          </w:tcPr>
          <w:p w14:paraId="099B8BB2" w14:textId="07CC0B51" w:rsidR="00C974AA" w:rsidRPr="00237510" w:rsidRDefault="00D0341D" w:rsidP="00D0341D">
            <w:pPr>
              <w:jc w:val="center"/>
              <w:cnfStyle w:val="000000100000" w:firstRow="0" w:lastRow="0" w:firstColumn="0" w:lastColumn="0" w:oddVBand="0" w:evenVBand="0" w:oddHBand="1" w:evenHBand="0" w:firstRowFirstColumn="0" w:firstRowLastColumn="0" w:lastRowFirstColumn="0" w:lastRowLastColumn="0"/>
              <w:rPr>
                <w:sz w:val="18"/>
                <w:szCs w:val="18"/>
                <w:lang w:eastAsia="en-US"/>
              </w:rPr>
            </w:pPr>
            <w:r w:rsidRPr="00237510">
              <w:rPr>
                <w:sz w:val="18"/>
                <w:szCs w:val="18"/>
                <w:lang w:eastAsia="en-US"/>
              </w:rPr>
              <w:t>17</w:t>
            </w:r>
          </w:p>
        </w:tc>
      </w:tr>
      <w:tr w:rsidR="00C974AA" w:rsidRPr="00237510" w14:paraId="3C8D3F5C" w14:textId="77777777" w:rsidTr="007E0865">
        <w:tc>
          <w:tcPr>
            <w:cnfStyle w:val="001000000000" w:firstRow="0" w:lastRow="0" w:firstColumn="1" w:lastColumn="0" w:oddVBand="0" w:evenVBand="0" w:oddHBand="0" w:evenHBand="0" w:firstRowFirstColumn="0" w:firstRowLastColumn="0" w:lastRowFirstColumn="0" w:lastRowLastColumn="0"/>
            <w:tcW w:w="2547" w:type="dxa"/>
          </w:tcPr>
          <w:p w14:paraId="65EF1ECB" w14:textId="0288ECCE" w:rsidR="00C974AA" w:rsidRPr="00237510" w:rsidRDefault="00D0341D" w:rsidP="0055003B">
            <w:pPr>
              <w:rPr>
                <w:b w:val="0"/>
                <w:bCs w:val="0"/>
                <w:sz w:val="18"/>
                <w:szCs w:val="18"/>
                <w:lang w:eastAsia="en-US"/>
              </w:rPr>
            </w:pPr>
            <w:r w:rsidRPr="00237510">
              <w:rPr>
                <w:b w:val="0"/>
                <w:bCs w:val="0"/>
                <w:sz w:val="18"/>
                <w:szCs w:val="18"/>
                <w:lang w:eastAsia="en-US"/>
              </w:rPr>
              <w:t>Maximum interval flow threshold is not achieved (days)</w:t>
            </w:r>
          </w:p>
        </w:tc>
        <w:tc>
          <w:tcPr>
            <w:tcW w:w="1134" w:type="dxa"/>
          </w:tcPr>
          <w:p w14:paraId="217D3268" w14:textId="61D7A767" w:rsidR="00C974AA" w:rsidRPr="00237510" w:rsidRDefault="00D0341D" w:rsidP="00D0341D">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249</w:t>
            </w:r>
          </w:p>
        </w:tc>
        <w:tc>
          <w:tcPr>
            <w:tcW w:w="1417" w:type="dxa"/>
          </w:tcPr>
          <w:p w14:paraId="5B037F65" w14:textId="18F6A5AE" w:rsidR="00C974AA" w:rsidRPr="00237510" w:rsidRDefault="00E55830" w:rsidP="00D0341D">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613</w:t>
            </w:r>
          </w:p>
        </w:tc>
        <w:tc>
          <w:tcPr>
            <w:tcW w:w="1418" w:type="dxa"/>
          </w:tcPr>
          <w:p w14:paraId="303B27B3" w14:textId="44F66DDA" w:rsidR="00C974AA" w:rsidRPr="00237510" w:rsidRDefault="00E55830" w:rsidP="00D0341D">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626</w:t>
            </w:r>
          </w:p>
        </w:tc>
        <w:tc>
          <w:tcPr>
            <w:tcW w:w="1134" w:type="dxa"/>
          </w:tcPr>
          <w:p w14:paraId="686EC7FB" w14:textId="53B031D2" w:rsidR="00C974AA" w:rsidRPr="00237510" w:rsidRDefault="00E55830" w:rsidP="00D0341D">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614</w:t>
            </w:r>
          </w:p>
        </w:tc>
        <w:tc>
          <w:tcPr>
            <w:tcW w:w="1129" w:type="dxa"/>
          </w:tcPr>
          <w:p w14:paraId="7CFACCBC" w14:textId="3E3776AB" w:rsidR="00C974AA" w:rsidRPr="00237510" w:rsidRDefault="00E55830" w:rsidP="00D0341D">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630</w:t>
            </w:r>
          </w:p>
        </w:tc>
      </w:tr>
      <w:tr w:rsidR="00E55830" w:rsidRPr="00237510" w14:paraId="5399E755" w14:textId="77777777" w:rsidTr="00F961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79" w:type="dxa"/>
            <w:gridSpan w:val="6"/>
            <w:shd w:val="clear" w:color="auto" w:fill="B6DDE8" w:themeFill="accent5" w:themeFillTint="66"/>
          </w:tcPr>
          <w:p w14:paraId="511CA95B" w14:textId="427067CB" w:rsidR="00E55830" w:rsidRPr="00237510" w:rsidRDefault="00E55830" w:rsidP="00F9615B">
            <w:pPr>
              <w:rPr>
                <w:sz w:val="18"/>
                <w:szCs w:val="18"/>
                <w:lang w:eastAsia="en-US"/>
              </w:rPr>
            </w:pPr>
            <w:r w:rsidRPr="00237510">
              <w:rPr>
                <w:sz w:val="18"/>
                <w:szCs w:val="18"/>
                <w:lang w:eastAsia="en-US"/>
              </w:rPr>
              <w:t>15,000 ML/day in the Latrobe Estuary to flush wetlands</w:t>
            </w:r>
          </w:p>
        </w:tc>
      </w:tr>
      <w:tr w:rsidR="00C974AA" w:rsidRPr="00237510" w14:paraId="63F56FD0" w14:textId="77777777" w:rsidTr="007E0865">
        <w:tc>
          <w:tcPr>
            <w:cnfStyle w:val="001000000000" w:firstRow="0" w:lastRow="0" w:firstColumn="1" w:lastColumn="0" w:oddVBand="0" w:evenVBand="0" w:oddHBand="0" w:evenHBand="0" w:firstRowFirstColumn="0" w:firstRowLastColumn="0" w:lastRowFirstColumn="0" w:lastRowLastColumn="0"/>
            <w:tcW w:w="2547" w:type="dxa"/>
          </w:tcPr>
          <w:p w14:paraId="11C47807" w14:textId="5C3E1716" w:rsidR="00C974AA" w:rsidRPr="00237510" w:rsidRDefault="00E55830" w:rsidP="0055003B">
            <w:pPr>
              <w:rPr>
                <w:b w:val="0"/>
                <w:bCs w:val="0"/>
                <w:sz w:val="18"/>
                <w:szCs w:val="18"/>
                <w:lang w:eastAsia="en-US"/>
              </w:rPr>
            </w:pPr>
            <w:r w:rsidRPr="00237510">
              <w:rPr>
                <w:b w:val="0"/>
                <w:bCs w:val="0"/>
                <w:sz w:val="18"/>
                <w:szCs w:val="18"/>
                <w:lang w:eastAsia="en-US"/>
              </w:rPr>
              <w:t>Percentage of years flow is met</w:t>
            </w:r>
          </w:p>
        </w:tc>
        <w:tc>
          <w:tcPr>
            <w:tcW w:w="1134" w:type="dxa"/>
          </w:tcPr>
          <w:p w14:paraId="393D6296" w14:textId="45739852" w:rsidR="00C974AA" w:rsidRPr="00237510" w:rsidRDefault="00E55830" w:rsidP="00D0341D">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25</w:t>
            </w:r>
          </w:p>
        </w:tc>
        <w:tc>
          <w:tcPr>
            <w:tcW w:w="1417" w:type="dxa"/>
          </w:tcPr>
          <w:p w14:paraId="02FBD742" w14:textId="4C0FDFB3" w:rsidR="00C974AA" w:rsidRPr="00237510" w:rsidRDefault="00E55830" w:rsidP="00D0341D">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15</w:t>
            </w:r>
          </w:p>
        </w:tc>
        <w:tc>
          <w:tcPr>
            <w:tcW w:w="1418" w:type="dxa"/>
          </w:tcPr>
          <w:p w14:paraId="127DAC63" w14:textId="347FC12B" w:rsidR="00C974AA" w:rsidRPr="00237510" w:rsidRDefault="00E55830" w:rsidP="00D0341D">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2.5</w:t>
            </w:r>
          </w:p>
        </w:tc>
        <w:tc>
          <w:tcPr>
            <w:tcW w:w="1134" w:type="dxa"/>
          </w:tcPr>
          <w:p w14:paraId="7A4B0849" w14:textId="563F51D9" w:rsidR="00C974AA" w:rsidRPr="00237510" w:rsidRDefault="00E55830" w:rsidP="00D0341D">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15</w:t>
            </w:r>
          </w:p>
        </w:tc>
        <w:tc>
          <w:tcPr>
            <w:tcW w:w="1129" w:type="dxa"/>
          </w:tcPr>
          <w:p w14:paraId="2B89E3D0" w14:textId="74F67E77" w:rsidR="00C974AA" w:rsidRPr="00237510" w:rsidRDefault="00E55830" w:rsidP="00D0341D">
            <w:pPr>
              <w:jc w:val="center"/>
              <w:cnfStyle w:val="000000000000" w:firstRow="0" w:lastRow="0" w:firstColumn="0" w:lastColumn="0" w:oddVBand="0" w:evenVBand="0" w:oddHBand="0" w:evenHBand="0" w:firstRowFirstColumn="0" w:firstRowLastColumn="0" w:lastRowFirstColumn="0" w:lastRowLastColumn="0"/>
              <w:rPr>
                <w:sz w:val="18"/>
                <w:szCs w:val="18"/>
                <w:lang w:eastAsia="en-US"/>
              </w:rPr>
            </w:pPr>
            <w:r w:rsidRPr="00237510">
              <w:rPr>
                <w:sz w:val="18"/>
                <w:szCs w:val="18"/>
                <w:lang w:eastAsia="en-US"/>
              </w:rPr>
              <w:t>2.5</w:t>
            </w:r>
          </w:p>
        </w:tc>
      </w:tr>
    </w:tbl>
    <w:p w14:paraId="12AFB2CC" w14:textId="5D8D14C1" w:rsidR="00583662" w:rsidRPr="00237510" w:rsidRDefault="00583662" w:rsidP="00583662">
      <w:pPr>
        <w:rPr>
          <w:lang w:eastAsia="en-US"/>
        </w:rPr>
      </w:pPr>
      <w:r w:rsidRPr="00237510">
        <w:rPr>
          <w:lang w:eastAsia="en-US"/>
        </w:rPr>
        <w:t xml:space="preserve">In order to manage water regimes in the Lower Latrobe Wetlands, water must be fresh at the inlet structures. To achieve this for all three wetlands, requires a flow of around 3,200 ML/day at the Swing Bridge during winter and spring (Alluvium 2020). While this is achieved around </w:t>
      </w:r>
      <w:r w:rsidR="00A84E77">
        <w:rPr>
          <w:lang w:eastAsia="en-US"/>
        </w:rPr>
        <w:t>44</w:t>
      </w:r>
      <w:r w:rsidRPr="00237510">
        <w:rPr>
          <w:lang w:eastAsia="en-US"/>
        </w:rPr>
        <w:t xml:space="preserve"> % of the time currently, this drops to just over </w:t>
      </w:r>
      <w:r w:rsidR="00A84E77">
        <w:rPr>
          <w:lang w:eastAsia="en-US"/>
        </w:rPr>
        <w:t xml:space="preserve">17 </w:t>
      </w:r>
      <w:r w:rsidRPr="00237510">
        <w:rPr>
          <w:lang w:eastAsia="en-US"/>
        </w:rPr>
        <w:t>% under full uptake of entitlements and future climate.</w:t>
      </w:r>
    </w:p>
    <w:p w14:paraId="6042A6D5" w14:textId="37883393" w:rsidR="00C974AA" w:rsidRPr="00237510" w:rsidRDefault="00583662" w:rsidP="00583662">
      <w:pPr>
        <w:rPr>
          <w:lang w:eastAsia="en-US"/>
        </w:rPr>
      </w:pPr>
      <w:r w:rsidRPr="00237510">
        <w:rPr>
          <w:lang w:eastAsia="en-US"/>
        </w:rPr>
        <w:t xml:space="preserve">Flushing of Sale Common can currently only occur from overbank flows, with water moving overbank from the Latrobe into the wetland at around 15,000 ML/day. This can currently be achieved in around </w:t>
      </w:r>
      <w:r w:rsidR="00A84E77">
        <w:rPr>
          <w:lang w:eastAsia="en-US"/>
        </w:rPr>
        <w:t>25</w:t>
      </w:r>
      <w:r w:rsidRPr="00237510">
        <w:rPr>
          <w:lang w:eastAsia="en-US"/>
        </w:rPr>
        <w:t xml:space="preserve"> % of years. Under future climates this reduces to just 2.5 times every 100 years.</w:t>
      </w:r>
    </w:p>
    <w:p w14:paraId="50C9506F" w14:textId="19B4F043" w:rsidR="00471E9C" w:rsidRPr="00237510" w:rsidRDefault="00471E9C" w:rsidP="00471E9C">
      <w:pPr>
        <w:pStyle w:val="Heading4nonumbers"/>
      </w:pPr>
      <w:bookmarkStart w:id="76" w:name="_Toc42001402"/>
      <w:r w:rsidRPr="00237510">
        <w:t>Other hydrological changes</w:t>
      </w:r>
      <w:bookmarkEnd w:id="76"/>
    </w:p>
    <w:p w14:paraId="36ADB162" w14:textId="5785BEE8" w:rsidR="00471E9C" w:rsidRPr="00237510" w:rsidRDefault="00A84E77" w:rsidP="00471E9C">
      <w:pPr>
        <w:rPr>
          <w:lang w:eastAsia="en-US"/>
        </w:rPr>
      </w:pPr>
      <w:r>
        <w:rPr>
          <w:lang w:eastAsia="en-US"/>
        </w:rPr>
        <w:t>A</w:t>
      </w:r>
      <w:r w:rsidRPr="00583662">
        <w:rPr>
          <w:lang w:eastAsia="en-US"/>
        </w:rPr>
        <w:t xml:space="preserve">s power stations are decommissioned, the discharge of cooling water and groundwater from mine dewatering will cease. </w:t>
      </w:r>
      <w:r>
        <w:rPr>
          <w:lang w:eastAsia="en-US"/>
        </w:rPr>
        <w:t xml:space="preserve">This is predicted to result in a 15% further decline in baseflows in the Latrobe River downstream </w:t>
      </w:r>
      <w:r w:rsidRPr="00583662">
        <w:rPr>
          <w:lang w:eastAsia="en-US"/>
        </w:rPr>
        <w:t>of the Morwell River confluence</w:t>
      </w:r>
      <w:r>
        <w:rPr>
          <w:lang w:eastAsia="en-US"/>
        </w:rPr>
        <w:t xml:space="preserve">. </w:t>
      </w:r>
      <w:r w:rsidRPr="00583662">
        <w:rPr>
          <w:lang w:eastAsia="en-US"/>
        </w:rPr>
        <w:t xml:space="preserve">Although the quantitative effects of this on the flow regime </w:t>
      </w:r>
      <w:r>
        <w:rPr>
          <w:lang w:eastAsia="en-US"/>
        </w:rPr>
        <w:t>in the tributaries have not been assessed in this study</w:t>
      </w:r>
      <w:r w:rsidRPr="00583662">
        <w:rPr>
          <w:lang w:eastAsia="en-US"/>
        </w:rPr>
        <w:t xml:space="preserve">, it can be assumed that there will be a </w:t>
      </w:r>
      <w:r>
        <w:rPr>
          <w:lang w:eastAsia="en-US"/>
        </w:rPr>
        <w:t xml:space="preserve">greater </w:t>
      </w:r>
      <w:r w:rsidRPr="00583662">
        <w:rPr>
          <w:lang w:eastAsia="en-US"/>
        </w:rPr>
        <w:t xml:space="preserve">reduction in flows </w:t>
      </w:r>
      <w:r>
        <w:rPr>
          <w:lang w:eastAsia="en-US"/>
        </w:rPr>
        <w:t>in the</w:t>
      </w:r>
      <w:r w:rsidRPr="00583662">
        <w:rPr>
          <w:lang w:eastAsia="en-US"/>
        </w:rPr>
        <w:t xml:space="preserve"> Morwell River</w:t>
      </w:r>
      <w:r>
        <w:rPr>
          <w:lang w:eastAsia="en-US"/>
        </w:rPr>
        <w:t xml:space="preserve"> and</w:t>
      </w:r>
      <w:r w:rsidRPr="00583662">
        <w:rPr>
          <w:lang w:eastAsia="en-US"/>
        </w:rPr>
        <w:t xml:space="preserve"> Traralgon Creek. Summer baseflow recommendations for Traralgon Creek are 40 ML/day (Alluvium 2020). Current discharge from Loy Yang is around 6000</w:t>
      </w:r>
      <w:r>
        <w:rPr>
          <w:lang w:eastAsia="en-US"/>
        </w:rPr>
        <w:t> </w:t>
      </w:r>
      <w:r w:rsidRPr="00583662">
        <w:rPr>
          <w:lang w:eastAsia="en-US"/>
        </w:rPr>
        <w:t>ML/year. If this is a relatively constant flow, then it comprises 40% of summer baseflows in the system. Similarly, the discharge from Yallourn to the Morwell River is around 16,000 ML / year. This represents about half the summer baseflow recommendation of 90 ML/day</w:t>
      </w:r>
      <w:r>
        <w:rPr>
          <w:lang w:eastAsia="en-US"/>
        </w:rPr>
        <w:t>.</w:t>
      </w:r>
    </w:p>
    <w:p w14:paraId="1B5CC763" w14:textId="5FDDE87E" w:rsidR="0055003B" w:rsidRPr="00237510" w:rsidRDefault="006A3DEB" w:rsidP="00D600C6">
      <w:pPr>
        <w:pStyle w:val="Heading3"/>
        <w:ind w:left="709"/>
      </w:pPr>
      <w:bookmarkStart w:id="77" w:name="_Toc42001403"/>
      <w:r w:rsidRPr="00237510">
        <w:t>Ecological effects</w:t>
      </w:r>
      <w:bookmarkEnd w:id="77"/>
    </w:p>
    <w:p w14:paraId="4979815D" w14:textId="54545902" w:rsidR="00815500" w:rsidRPr="00237510" w:rsidRDefault="00815500" w:rsidP="006A3DEB">
      <w:pPr>
        <w:rPr>
          <w:lang w:eastAsia="en-US"/>
        </w:rPr>
      </w:pPr>
      <w:r w:rsidRPr="00237510">
        <w:rPr>
          <w:lang w:eastAsia="en-US"/>
        </w:rPr>
        <w:t xml:space="preserve">Ecological effects have been assessed against the objectives for the aquatic ecosystems of the system, </w:t>
      </w:r>
      <w:r w:rsidR="00A84E77">
        <w:rPr>
          <w:lang w:eastAsia="en-US"/>
        </w:rPr>
        <w:t>which were developed with the input of local communities, relevant agencies and tradition Owner’s (</w:t>
      </w:r>
      <w:r w:rsidRPr="00237510">
        <w:rPr>
          <w:lang w:eastAsia="en-US"/>
        </w:rPr>
        <w:t>Alluvium 2020):</w:t>
      </w:r>
    </w:p>
    <w:p w14:paraId="2FCBCC52" w14:textId="77777777" w:rsidR="00815500" w:rsidRPr="00237510" w:rsidRDefault="00815500" w:rsidP="00815500">
      <w:pPr>
        <w:pStyle w:val="ListParagraph"/>
        <w:numPr>
          <w:ilvl w:val="0"/>
          <w:numId w:val="26"/>
        </w:numPr>
        <w:rPr>
          <w:lang w:eastAsia="en-US"/>
        </w:rPr>
      </w:pPr>
      <w:r w:rsidRPr="00237510">
        <w:rPr>
          <w:lang w:eastAsia="en-US"/>
        </w:rPr>
        <w:t>Avoid adverse water quality conditions, including limiting surface water salinity in the estuary, and maintaining freshwater supply to the wetlands</w:t>
      </w:r>
    </w:p>
    <w:p w14:paraId="3E2A75C6" w14:textId="77777777" w:rsidR="00815500" w:rsidRPr="00237510" w:rsidRDefault="00815500" w:rsidP="00815500">
      <w:pPr>
        <w:pStyle w:val="ListParagraph"/>
        <w:numPr>
          <w:ilvl w:val="0"/>
          <w:numId w:val="26"/>
        </w:numPr>
        <w:rPr>
          <w:lang w:eastAsia="en-US"/>
        </w:rPr>
      </w:pPr>
      <w:r w:rsidRPr="00237510">
        <w:rPr>
          <w:lang w:eastAsia="en-US"/>
        </w:rPr>
        <w:t xml:space="preserve">Improve the condition and increase the extent and diversity of submerged, emergent, riparian and floodplain vegetation </w:t>
      </w:r>
    </w:p>
    <w:p w14:paraId="7000F3C0" w14:textId="77777777" w:rsidR="00815500" w:rsidRPr="00237510" w:rsidRDefault="00815500" w:rsidP="00815500">
      <w:pPr>
        <w:pStyle w:val="ListParagraph"/>
        <w:numPr>
          <w:ilvl w:val="0"/>
          <w:numId w:val="26"/>
        </w:numPr>
        <w:rPr>
          <w:lang w:eastAsia="en-US"/>
        </w:rPr>
      </w:pPr>
      <w:r w:rsidRPr="00237510">
        <w:rPr>
          <w:lang w:eastAsia="en-US"/>
        </w:rPr>
        <w:t xml:space="preserve">Maintain abundance, improve breeding and recruitment of native fish (migratory, resident freshwater, and estuary) populations </w:t>
      </w:r>
    </w:p>
    <w:p w14:paraId="252E08F1" w14:textId="77777777" w:rsidR="00815500" w:rsidRPr="00237510" w:rsidRDefault="00815500" w:rsidP="00815500">
      <w:pPr>
        <w:pStyle w:val="ListParagraph"/>
        <w:numPr>
          <w:ilvl w:val="0"/>
          <w:numId w:val="26"/>
        </w:numPr>
      </w:pPr>
      <w:r w:rsidRPr="00237510">
        <w:t>Maintain or enhance waterbird breeding, recruitment, foraging and sheltering opportunities</w:t>
      </w:r>
    </w:p>
    <w:p w14:paraId="255F6D27" w14:textId="13BBC299" w:rsidR="00815500" w:rsidRPr="00237510" w:rsidRDefault="00A84E77" w:rsidP="00A84E77">
      <w:pPr>
        <w:pStyle w:val="ListParagraph"/>
        <w:numPr>
          <w:ilvl w:val="0"/>
          <w:numId w:val="26"/>
        </w:numPr>
        <w:rPr>
          <w:lang w:eastAsia="en-US"/>
        </w:rPr>
      </w:pPr>
      <w:r>
        <w:rPr>
          <w:lang w:eastAsia="en-US"/>
        </w:rPr>
        <w:t xml:space="preserve">Maintain refuge habitats for, and improve extent of, frog populations </w:t>
      </w:r>
      <w:r w:rsidR="00815500" w:rsidRPr="00237510">
        <w:rPr>
          <w:lang w:eastAsia="en-US"/>
        </w:rPr>
        <w:t xml:space="preserve"> </w:t>
      </w:r>
    </w:p>
    <w:p w14:paraId="198CFF74" w14:textId="14652868" w:rsidR="00815500" w:rsidRPr="00237510" w:rsidRDefault="00815500" w:rsidP="00815500">
      <w:pPr>
        <w:pStyle w:val="ListParagraph"/>
        <w:numPr>
          <w:ilvl w:val="0"/>
          <w:numId w:val="26"/>
        </w:numPr>
        <w:rPr>
          <w:lang w:eastAsia="en-US"/>
        </w:rPr>
      </w:pPr>
      <w:r w:rsidRPr="00237510">
        <w:rPr>
          <w:lang w:eastAsia="en-US"/>
        </w:rPr>
        <w:t>Improve abundance of all macroinvertebrates and zooplankton populations</w:t>
      </w:r>
    </w:p>
    <w:p w14:paraId="46CFBC1E" w14:textId="77777777" w:rsidR="00815500" w:rsidRPr="00237510" w:rsidRDefault="00815500" w:rsidP="00815500">
      <w:pPr>
        <w:pStyle w:val="ListParagraph"/>
        <w:numPr>
          <w:ilvl w:val="0"/>
          <w:numId w:val="26"/>
        </w:numPr>
        <w:rPr>
          <w:lang w:eastAsia="en-US"/>
        </w:rPr>
      </w:pPr>
      <w:r w:rsidRPr="00237510">
        <w:rPr>
          <w:lang w:eastAsia="en-US"/>
        </w:rPr>
        <w:t>Maintain abundance and improve extent of platypus and rakali populations</w:t>
      </w:r>
    </w:p>
    <w:p w14:paraId="6360CBF1" w14:textId="4424CC16" w:rsidR="00815500" w:rsidRPr="00237510" w:rsidRDefault="00815500" w:rsidP="00815500">
      <w:pPr>
        <w:pStyle w:val="ListParagraph"/>
        <w:numPr>
          <w:ilvl w:val="0"/>
          <w:numId w:val="26"/>
        </w:numPr>
        <w:rPr>
          <w:lang w:eastAsia="en-US"/>
        </w:rPr>
      </w:pPr>
      <w:r w:rsidRPr="00237510">
        <w:rPr>
          <w:lang w:eastAsia="en-US"/>
        </w:rPr>
        <w:t>Maintain abundance of freshwater turtle populations</w:t>
      </w:r>
    </w:p>
    <w:p w14:paraId="36F5458A" w14:textId="5C0158B9" w:rsidR="00815500" w:rsidRPr="00237510" w:rsidRDefault="00815500" w:rsidP="00815500">
      <w:pPr>
        <w:pStyle w:val="ListParagraph"/>
        <w:numPr>
          <w:ilvl w:val="0"/>
          <w:numId w:val="26"/>
        </w:numPr>
        <w:rPr>
          <w:lang w:eastAsia="en-US"/>
        </w:rPr>
      </w:pPr>
      <w:r w:rsidRPr="00237510">
        <w:rPr>
          <w:lang w:eastAsia="en-US"/>
        </w:rPr>
        <w:t>Maintain habitat to support ecological values and processes.</w:t>
      </w:r>
    </w:p>
    <w:p w14:paraId="5F2D0A21" w14:textId="25252733" w:rsidR="006A3DEB" w:rsidRPr="00237510" w:rsidRDefault="00383EF2" w:rsidP="006A3DEB">
      <w:pPr>
        <w:rPr>
          <w:lang w:eastAsia="en-US"/>
        </w:rPr>
      </w:pPr>
      <w:r w:rsidRPr="00237510">
        <w:rPr>
          <w:lang w:eastAsia="en-US"/>
        </w:rPr>
        <w:t>There is much that is unknown about mine rehabilitation such as the timing, volume and sequencing of fill events; if the pit lakes will be completely full or partially, and if there is the potential for pit water to sp</w:t>
      </w:r>
      <w:r w:rsidR="001A4F2B" w:rsidRPr="00237510">
        <w:rPr>
          <w:lang w:eastAsia="en-US"/>
        </w:rPr>
        <w:t>ill</w:t>
      </w:r>
      <w:r w:rsidRPr="00237510">
        <w:rPr>
          <w:lang w:eastAsia="en-US"/>
        </w:rPr>
        <w:t xml:space="preserve"> back into the river system. </w:t>
      </w:r>
      <w:proofErr w:type="gramStart"/>
      <w:r w:rsidRPr="00237510">
        <w:rPr>
          <w:lang w:eastAsia="en-US"/>
        </w:rPr>
        <w:t>As a consequence</w:t>
      </w:r>
      <w:proofErr w:type="gramEnd"/>
      <w:r w:rsidRPr="00237510">
        <w:rPr>
          <w:lang w:eastAsia="en-US"/>
        </w:rPr>
        <w:t xml:space="preserve">, this </w:t>
      </w:r>
      <w:r w:rsidR="00583662" w:rsidRPr="00237510">
        <w:rPr>
          <w:lang w:eastAsia="en-US"/>
        </w:rPr>
        <w:t xml:space="preserve">EEA </w:t>
      </w:r>
      <w:r w:rsidRPr="00237510">
        <w:rPr>
          <w:lang w:eastAsia="en-US"/>
        </w:rPr>
        <w:t xml:space="preserve">is evaluating the potential effects of continued extraction and uptake of full entitlements under current and future climates on the ecology of the aquatic ecosystems of the </w:t>
      </w:r>
      <w:r w:rsidR="00583662" w:rsidRPr="00237510">
        <w:rPr>
          <w:lang w:eastAsia="en-US"/>
        </w:rPr>
        <w:t>Latrobe River Basi</w:t>
      </w:r>
      <w:r w:rsidRPr="00237510">
        <w:rPr>
          <w:lang w:eastAsia="en-US"/>
        </w:rPr>
        <w:t xml:space="preserve">n. The hydrological analysis provides </w:t>
      </w:r>
      <w:r w:rsidR="00583662" w:rsidRPr="00237510">
        <w:rPr>
          <w:lang w:eastAsia="en-US"/>
        </w:rPr>
        <w:t xml:space="preserve">a perspective on the </w:t>
      </w:r>
      <w:r w:rsidRPr="00237510">
        <w:rPr>
          <w:lang w:eastAsia="en-US"/>
        </w:rPr>
        <w:t xml:space="preserve">impact </w:t>
      </w:r>
      <w:r w:rsidR="001A4F2B" w:rsidRPr="00237510">
        <w:rPr>
          <w:lang w:eastAsia="en-US"/>
        </w:rPr>
        <w:t>o</w:t>
      </w:r>
      <w:r w:rsidRPr="00237510">
        <w:rPr>
          <w:lang w:eastAsia="en-US"/>
        </w:rPr>
        <w:t>f these scenarios on the ecologically important aspects of the flow regime. This, together with an understanding of flow-ecology relationships and the values and condition of the aquatic ecosystems in the study area, provide the basis for this evaluation.</w:t>
      </w:r>
    </w:p>
    <w:p w14:paraId="728F8F7D" w14:textId="2B452045" w:rsidR="009217BC" w:rsidRPr="00237510" w:rsidRDefault="00583662" w:rsidP="006A3DEB">
      <w:pPr>
        <w:rPr>
          <w:lang w:eastAsia="en-US"/>
        </w:rPr>
      </w:pPr>
      <w:r w:rsidRPr="00237510">
        <w:rPr>
          <w:lang w:eastAsia="en-US"/>
        </w:rPr>
        <w:t xml:space="preserve">The outputs of the hydrological analysis indicate that the aquatic system currently does not receive the important flows that it needs to maintain ecological condition and to achieve the objectives identified in Alluvium (2020). Moreover, under future climatic conditions the situation will be worse. The hydrological analysis also indicates that a full uptake of water entitlements would further exacerbate the existing poor compliance with the required flow regime. The decline in freshwater inflows affects not only hydrological regimes, but also ecological processes such as sedimentation and deposition, carbon cycling and productivity and water quality, most notably dissolved oxygen and salinity. </w:t>
      </w:r>
    </w:p>
    <w:p w14:paraId="606923BF" w14:textId="0BDB6E70" w:rsidR="00844AFC" w:rsidRPr="00237510" w:rsidRDefault="009217BC" w:rsidP="00844AFC">
      <w:pPr>
        <w:rPr>
          <w:lang w:eastAsia="en-US"/>
        </w:rPr>
      </w:pPr>
      <w:r w:rsidRPr="00237510">
        <w:rPr>
          <w:lang w:eastAsia="en-US"/>
        </w:rPr>
        <w:t xml:space="preserve">The relationship between altered flows and ecological values is illustrated in a stressor model in </w:t>
      </w:r>
      <w:r w:rsidR="00EC51DA" w:rsidRPr="00237510">
        <w:rPr>
          <w:lang w:eastAsia="en-US"/>
        </w:rPr>
        <w:fldChar w:fldCharType="begin"/>
      </w:r>
      <w:r w:rsidR="00EC51DA" w:rsidRPr="00237510">
        <w:rPr>
          <w:lang w:eastAsia="en-US"/>
        </w:rPr>
        <w:instrText xml:space="preserve"> REF _Ref41228066 \h </w:instrText>
      </w:r>
      <w:r w:rsidR="00EC51DA" w:rsidRPr="00237510">
        <w:rPr>
          <w:lang w:eastAsia="en-US"/>
        </w:rPr>
      </w:r>
      <w:r w:rsidR="00EC51DA" w:rsidRPr="00237510">
        <w:rPr>
          <w:lang w:eastAsia="en-US"/>
        </w:rPr>
        <w:fldChar w:fldCharType="separate"/>
      </w:r>
      <w:r w:rsidR="004E1696" w:rsidRPr="00237510">
        <w:t xml:space="preserve">Figure </w:t>
      </w:r>
      <w:r w:rsidR="004E1696">
        <w:rPr>
          <w:noProof/>
        </w:rPr>
        <w:t>33</w:t>
      </w:r>
      <w:r w:rsidR="00EC51DA" w:rsidRPr="00237510">
        <w:rPr>
          <w:lang w:eastAsia="en-US"/>
        </w:rPr>
        <w:fldChar w:fldCharType="end"/>
      </w:r>
      <w:r w:rsidRPr="00237510">
        <w:rPr>
          <w:lang w:eastAsia="en-US"/>
        </w:rPr>
        <w:t xml:space="preserve">. </w:t>
      </w:r>
    </w:p>
    <w:p w14:paraId="52CB4B91" w14:textId="77777777" w:rsidR="00D600C6" w:rsidRPr="00237510" w:rsidRDefault="00D600C6" w:rsidP="0055003B">
      <w:pPr>
        <w:rPr>
          <w:lang w:eastAsia="en-US"/>
        </w:rPr>
      </w:pPr>
    </w:p>
    <w:p w14:paraId="06DCFBEC" w14:textId="42D3CF7A" w:rsidR="00D600C6" w:rsidRPr="00237510" w:rsidRDefault="00D600C6" w:rsidP="0055003B">
      <w:pPr>
        <w:rPr>
          <w:lang w:eastAsia="en-US"/>
        </w:rPr>
        <w:sectPr w:rsidR="00D600C6" w:rsidRPr="00237510" w:rsidSect="00E533F4">
          <w:headerReference w:type="even" r:id="rId69"/>
          <w:headerReference w:type="default" r:id="rId70"/>
          <w:footerReference w:type="default" r:id="rId71"/>
          <w:headerReference w:type="first" r:id="rId72"/>
          <w:pgSz w:w="11900" w:h="16840"/>
          <w:pgMar w:top="1188" w:right="1311" w:bottom="1271" w:left="1800" w:header="708" w:footer="708" w:gutter="0"/>
          <w:pgNumType w:start="1"/>
          <w:cols w:space="708"/>
        </w:sectPr>
      </w:pPr>
    </w:p>
    <w:p w14:paraId="49B3DADD" w14:textId="4BAD251D" w:rsidR="0055003B" w:rsidRPr="00237510" w:rsidRDefault="00EC51DA" w:rsidP="0055003B">
      <w:pPr>
        <w:rPr>
          <w:lang w:eastAsia="en-US"/>
        </w:rPr>
      </w:pPr>
      <w:r w:rsidRPr="00237510">
        <w:rPr>
          <w:noProof/>
          <w:lang w:eastAsia="en-US"/>
        </w:rPr>
        <w:drawing>
          <wp:inline distT="0" distB="0" distL="0" distR="0" wp14:anchorId="4C75955D" wp14:editId="35A8E425">
            <wp:extent cx="8639232" cy="5252936"/>
            <wp:effectExtent l="0" t="0" r="0" b="5080"/>
            <wp:docPr id="482" name="Picture 482" descr="A stressor model, a complex schematic with about 2 dozen components, of the impacts of altered flow regimes on the ecological values of the aquatic ecosystems in the stud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8668638" cy="5270816"/>
                    </a:xfrm>
                    <a:prstGeom prst="rect">
                      <a:avLst/>
                    </a:prstGeom>
                  </pic:spPr>
                </pic:pic>
              </a:graphicData>
            </a:graphic>
          </wp:inline>
        </w:drawing>
      </w:r>
    </w:p>
    <w:p w14:paraId="6C656356" w14:textId="5C0BEDE8" w:rsidR="00EC51DA" w:rsidRPr="00237510" w:rsidRDefault="00EC51DA" w:rsidP="00EC51DA">
      <w:pPr>
        <w:pStyle w:val="Caption"/>
        <w:rPr>
          <w:lang w:eastAsia="en-US"/>
        </w:rPr>
        <w:sectPr w:rsidR="00EC51DA" w:rsidRPr="00237510" w:rsidSect="00EC51DA">
          <w:pgSz w:w="16840" w:h="11900" w:orient="landscape"/>
          <w:pgMar w:top="1311" w:right="1340" w:bottom="1800" w:left="1188" w:header="708" w:footer="708" w:gutter="0"/>
          <w:cols w:space="708"/>
          <w:docGrid w:linePitch="272"/>
        </w:sectPr>
      </w:pPr>
      <w:bookmarkStart w:id="78" w:name="_Ref41228066"/>
      <w:r w:rsidRPr="00237510">
        <w:t xml:space="preserve">Figure </w:t>
      </w:r>
      <w:r>
        <w:fldChar w:fldCharType="begin"/>
      </w:r>
      <w:r>
        <w:instrText>SEQ Figure \* ARABIC</w:instrText>
      </w:r>
      <w:r>
        <w:fldChar w:fldCharType="separate"/>
      </w:r>
      <w:r w:rsidR="00DE4513">
        <w:rPr>
          <w:noProof/>
        </w:rPr>
        <w:t>33</w:t>
      </w:r>
      <w:r>
        <w:fldChar w:fldCharType="end"/>
      </w:r>
      <w:bookmarkEnd w:id="78"/>
      <w:r w:rsidRPr="00237510">
        <w:t>: Stressor model of the impacts of altered flow regimes on the ecological values of the aquatic ecosystems in the study area.</w:t>
      </w:r>
    </w:p>
    <w:p w14:paraId="1EB13199" w14:textId="791D3A43" w:rsidR="00844AFC" w:rsidRPr="00237510" w:rsidRDefault="00844AFC" w:rsidP="00844AFC">
      <w:pPr>
        <w:rPr>
          <w:lang w:eastAsia="en-US"/>
        </w:rPr>
      </w:pPr>
      <w:r>
        <w:rPr>
          <w:lang w:eastAsia="en-US"/>
        </w:rPr>
        <w:t>The stressor model is</w:t>
      </w:r>
      <w:r w:rsidRPr="00237510">
        <w:rPr>
          <w:lang w:eastAsia="en-US"/>
        </w:rPr>
        <w:t xml:space="preserve"> consistent with the Driver-Pressure-State-Response Model </w:t>
      </w:r>
      <w:r w:rsidRPr="00237510">
        <w:rPr>
          <w:lang w:eastAsia="en-US"/>
        </w:rPr>
        <w:fldChar w:fldCharType="begin"/>
      </w:r>
      <w:r w:rsidRPr="00237510">
        <w:rPr>
          <w:lang w:eastAsia="en-US"/>
        </w:rPr>
        <w:instrText xml:space="preserve"> ADDIN ZOTERO_ITEM CSL_CITATION {"citationID":"4pZBKaWQ","properties":{"formattedCitation":"(OECD 1993)","plainCitation":"(OECD 1993)","noteIndex":0},"citationItems":[{"id":5302,"uris":["http://zotero.org/users/2336876/items/IVL2Q423"],"uri":["http://zotero.org/users/2336876/items/IVL2Q423"],"itemData":{"id":5302,"type":"article-journal","container-title":"Environmental Monograph","note":"publisher: OECD Paris","source":"Google Scholar","title":"Core set of indicators for environmental performance reviews","volume":"83","author":[{"family":"OECD","given":"OECD"}],"issued":{"date-parts":[["1993"]]}}}],"schema":"https://github.com/citation-style-language/schema/raw/master/csl-citation.json"} </w:instrText>
      </w:r>
      <w:r w:rsidRPr="00237510">
        <w:rPr>
          <w:lang w:eastAsia="en-US"/>
        </w:rPr>
        <w:fldChar w:fldCharType="separate"/>
      </w:r>
      <w:r w:rsidRPr="00237510">
        <w:rPr>
          <w:lang w:eastAsia="en-US"/>
        </w:rPr>
        <w:t>(OECD 1993)</w:t>
      </w:r>
      <w:r w:rsidRPr="00237510">
        <w:rPr>
          <w:lang w:eastAsia="en-US"/>
        </w:rPr>
        <w:fldChar w:fldCharType="end"/>
      </w:r>
      <w:r w:rsidRPr="00237510">
        <w:rPr>
          <w:lang w:eastAsia="en-US"/>
        </w:rPr>
        <w:t xml:space="preserve"> and looks at:</w:t>
      </w:r>
    </w:p>
    <w:p w14:paraId="0EC87EC5" w14:textId="77777777" w:rsidR="00844AFC" w:rsidRPr="00237510" w:rsidRDefault="00844AFC" w:rsidP="00844AFC">
      <w:pPr>
        <w:pStyle w:val="ListParagraph"/>
        <w:numPr>
          <w:ilvl w:val="0"/>
          <w:numId w:val="23"/>
        </w:numPr>
      </w:pPr>
      <w:r w:rsidRPr="00237510">
        <w:t>Drivers – large scale changes in the environment</w:t>
      </w:r>
    </w:p>
    <w:p w14:paraId="3CB40A48" w14:textId="77777777" w:rsidR="00844AFC" w:rsidRPr="00237510" w:rsidRDefault="00844AFC" w:rsidP="00844AFC">
      <w:pPr>
        <w:pStyle w:val="ListParagraph"/>
        <w:numPr>
          <w:ilvl w:val="0"/>
          <w:numId w:val="23"/>
        </w:numPr>
      </w:pPr>
      <w:r w:rsidRPr="00237510">
        <w:t xml:space="preserve">Threats – the events or activities arising from these drivers </w:t>
      </w:r>
    </w:p>
    <w:p w14:paraId="61FB4744" w14:textId="77777777" w:rsidR="00844AFC" w:rsidRPr="00237510" w:rsidRDefault="00844AFC" w:rsidP="00844AFC">
      <w:pPr>
        <w:pStyle w:val="ListParagraph"/>
        <w:numPr>
          <w:ilvl w:val="0"/>
          <w:numId w:val="23"/>
        </w:numPr>
      </w:pPr>
      <w:r w:rsidRPr="00237510">
        <w:t>Stressors – the physical or chemical changes in the aquatic ecosystem(s).</w:t>
      </w:r>
    </w:p>
    <w:p w14:paraId="63E19A89" w14:textId="7FE9F71B" w:rsidR="0055003B" w:rsidRPr="00237510" w:rsidRDefault="00844AFC" w:rsidP="00844AFC">
      <w:pPr>
        <w:rPr>
          <w:lang w:eastAsia="en-US"/>
        </w:rPr>
      </w:pPr>
      <w:r w:rsidRPr="00237510">
        <w:rPr>
          <w:lang w:eastAsia="en-US"/>
        </w:rPr>
        <w:t>This is a simplified model that does not show every link and relationship, just the major pathways. It illustrates the complex and interactive nature of the impacts of altered flow regimes on the system. A brief description of the ecological consequences of the predicted future states is provided for each of the major biological values.</w:t>
      </w:r>
    </w:p>
    <w:p w14:paraId="28851869" w14:textId="77777777" w:rsidR="00815500" w:rsidRPr="00237510" w:rsidRDefault="00815500" w:rsidP="00815500">
      <w:pPr>
        <w:pStyle w:val="Heading4nonumbers"/>
      </w:pPr>
      <w:bookmarkStart w:id="79" w:name="_Toc42001404"/>
      <w:r w:rsidRPr="00237510">
        <w:t>Effects on water quality</w:t>
      </w:r>
      <w:bookmarkEnd w:id="79"/>
    </w:p>
    <w:p w14:paraId="15064E96" w14:textId="21A2CB66" w:rsidR="00815500" w:rsidRPr="00237510" w:rsidRDefault="00583662" w:rsidP="00815500">
      <w:pPr>
        <w:rPr>
          <w:lang w:eastAsia="en-US"/>
        </w:rPr>
      </w:pPr>
      <w:r w:rsidRPr="00237510">
        <w:rPr>
          <w:lang w:eastAsia="en-US"/>
        </w:rPr>
        <w:t>Several impacts of altered water regimes on water quality are predicted, of which the most important include: (1) increased salinity in the estuary, Lake Wellington and the fringing wetlands; (2) exposure of acid sulfate soils in Heart and Dowd Morass; and (3) decreased DO concentrations in the in-channel riverine habitats.</w:t>
      </w:r>
    </w:p>
    <w:p w14:paraId="2E018D2F" w14:textId="452FC633" w:rsidR="00815500" w:rsidRPr="00237510" w:rsidRDefault="00583662" w:rsidP="00815500">
      <w:pPr>
        <w:rPr>
          <w:color w:val="215868" w:themeColor="accent5" w:themeShade="80"/>
          <w:u w:val="single"/>
          <w:lang w:eastAsia="en-US"/>
        </w:rPr>
      </w:pPr>
      <w:r w:rsidRPr="00237510">
        <w:rPr>
          <w:color w:val="215868" w:themeColor="accent5" w:themeShade="80"/>
          <w:u w:val="single"/>
          <w:lang w:eastAsia="en-US"/>
        </w:rPr>
        <w:t>Increasing s</w:t>
      </w:r>
      <w:r w:rsidR="00815500" w:rsidRPr="00237510">
        <w:rPr>
          <w:color w:val="215868" w:themeColor="accent5" w:themeShade="80"/>
          <w:u w:val="single"/>
          <w:lang w:eastAsia="en-US"/>
        </w:rPr>
        <w:t>alinity</w:t>
      </w:r>
    </w:p>
    <w:p w14:paraId="21A0E32B" w14:textId="50F62D28" w:rsidR="00583662" w:rsidRPr="00237510" w:rsidRDefault="00583662" w:rsidP="00583662">
      <w:pPr>
        <w:rPr>
          <w:lang w:eastAsia="en-US"/>
        </w:rPr>
      </w:pPr>
      <w:r w:rsidRPr="00237510">
        <w:rPr>
          <w:lang w:eastAsia="en-US"/>
        </w:rPr>
        <w:t xml:space="preserve">As mentioned in section 2.4, the salinity in Lake Wellington and the Latrobe Estuary is a product of freshwater inflows pushing salt out of </w:t>
      </w:r>
      <w:r w:rsidR="00844AFC">
        <w:rPr>
          <w:lang w:eastAsia="en-US"/>
        </w:rPr>
        <w:t>these systems</w:t>
      </w:r>
      <w:r w:rsidRPr="00237510">
        <w:rPr>
          <w:lang w:eastAsia="en-US"/>
        </w:rPr>
        <w:t xml:space="preserve"> and the incursion of marine water from the Southern Ocean, through McLennan Strait into Lake Wellington (and potentially up the Latrobe Estuary). There is no doubt that a further decline in periods where flows exceed 130 GL/month, especially if coupled with continued rising sea levels and storm surges, will result in continued salinisation of Lake Wellington, the Latrobe Estuary and several of the fringing wetlands. </w:t>
      </w:r>
    </w:p>
    <w:p w14:paraId="34379F65" w14:textId="7767FD54" w:rsidR="00583662" w:rsidRPr="00237510" w:rsidRDefault="00583662" w:rsidP="00583662">
      <w:r w:rsidRPr="00237510">
        <w:rPr>
          <w:lang w:eastAsia="en-US"/>
        </w:rPr>
        <w:t xml:space="preserve">Of the Lower Latrobe Wetlands, Dowd Morass is likely to be the most affected in the short-to-medium term by increased salinity, as it is </w:t>
      </w:r>
      <w:r w:rsidRPr="00237510">
        <w:t xml:space="preserve">hydrologically connected to Lake Wellington through the Dardenelles at 0.35 mAHD, considerably lower than Heart Morass or Sale Common </w:t>
      </w:r>
      <w:r w:rsidRPr="00237510">
        <w:fldChar w:fldCharType="begin"/>
      </w:r>
      <w:r w:rsidR="000571BF" w:rsidRPr="00237510">
        <w:instrText xml:space="preserve"> ADDIN ZOTERO_ITEM CSL_CITATION {"citationID":"c8xiqCmQ","properties":{"formattedCitation":"(Brizga et al. 2013)","plainCitation":"(Brizga et al. 2013)","noteIndex":0},"citationItems":[{"id":4374,"uris":["http://zotero.org/users/2336876/items/CUYZQV8Y"],"uri":["http://zotero.org/users/2336876/items/CUYZQV8Y"],"itemData":{"id":4374,"type":"book","publisher":"Water Technology Pty Ltd","title":"Latrobe Estuary: Environmental Water Requirements Report","author":[{"family":"Brizga","given":"S."},{"family":"Arrowsmith","given":"C."},{"family":"Tilleard","given":"J."},{"family":"Boon","given":"P."},{"family":"McMahon","given":"A."},{"family":"O'Connor","given":"N."},{"family":"Pope","given":"A."}],"issued":{"date-parts":[["2013"]]}}}],"schema":"https://github.com/citation-style-language/schema/raw/master/csl-citation.json"} </w:instrText>
      </w:r>
      <w:r w:rsidRPr="00237510">
        <w:fldChar w:fldCharType="separate"/>
      </w:r>
      <w:r w:rsidR="000571BF" w:rsidRPr="00237510">
        <w:t>(Brizga et al. 2013)</w:t>
      </w:r>
      <w:r w:rsidRPr="00237510">
        <w:fldChar w:fldCharType="end"/>
      </w:r>
      <w:r w:rsidRPr="00237510">
        <w:t>. The available data indicate that since 1975, water levels in Lake Wellington exceed 0.35 mAHD about 7% of the time. Most often when this occurs, however, the salinity in Lake Wellington is low. This is because higher water levels in Lake Wellington most often occurred due to freshwater inflows from rivers during high flow and flood events. There is evidence in the historical record for a clear increase in the incidence of saline water intrusion into Dowd Morass from Lake Wellington, over the past decade. While there are only two confirmed records of this occurring prior to 2000 (1978 and 1998); it has happened nearly every year since 2007 (</w:t>
      </w:r>
      <w:r w:rsidRPr="00237510">
        <w:fldChar w:fldCharType="begin"/>
      </w:r>
      <w:r w:rsidRPr="00237510">
        <w:instrText xml:space="preserve"> REF _Ref506474197 \h </w:instrText>
      </w:r>
      <w:r w:rsidRPr="00237510">
        <w:fldChar w:fldCharType="separate"/>
      </w:r>
      <w:r w:rsidR="004E1696" w:rsidRPr="00237510">
        <w:t xml:space="preserve">Figure </w:t>
      </w:r>
      <w:r w:rsidR="004E1696">
        <w:rPr>
          <w:noProof/>
        </w:rPr>
        <w:t>34</w:t>
      </w:r>
      <w:r w:rsidRPr="00237510">
        <w:fldChar w:fldCharType="end"/>
      </w:r>
      <w:r w:rsidRPr="00237510">
        <w:t>). In addition, as sea levels rise and freshwater inflows continue to decline, it is likely that this will occur with increasing frequency.</w:t>
      </w:r>
    </w:p>
    <w:p w14:paraId="66611862" w14:textId="25BD9C23" w:rsidR="00815500" w:rsidRPr="00237510" w:rsidRDefault="00583662" w:rsidP="00815500">
      <w:r w:rsidRPr="00237510">
        <w:t>A complication that is particularly relevant for Dowd Morass is that the morass lies in a depression adjacent to the lower Latrobe River such that once water enters the wetland it is retained within it</w:t>
      </w:r>
      <w:r w:rsidR="00844AFC">
        <w:t xml:space="preserve"> except during large floods</w:t>
      </w:r>
      <w:r w:rsidRPr="00237510">
        <w:t>. In other words, it is a 'retentative' wetland rather than a 'flow-through' wetland. This characteristic makes it almost impossible to flush the morass of saline water, and significant flushing can occur only during large floods. The morass is not a simple 'flow-through' wetland in which environmental water can easily be used to flush saline or nutrient-enriched water out of the wetland and into Lake Wellington or the lowest parts of the Latrobe River. Therefore, when saline water enters the system, it remains in the wetland for relatively long periods of time, with the concomitant accumulation of salt in the water column and sediments.</w:t>
      </w:r>
    </w:p>
    <w:p w14:paraId="35F14E8E" w14:textId="77777777" w:rsidR="00815500" w:rsidRPr="00237510" w:rsidRDefault="00815500" w:rsidP="00815500">
      <w:r w:rsidRPr="00237510">
        <w:rPr>
          <w:noProof/>
        </w:rPr>
        <w:drawing>
          <wp:inline distT="0" distB="0" distL="0" distR="0" wp14:anchorId="4E5E51C4" wp14:editId="39634D24">
            <wp:extent cx="4774131" cy="1805542"/>
            <wp:effectExtent l="0" t="0" r="1270" b="0"/>
            <wp:docPr id="483" name="Picture 483" descr="Comparative column chart showing days when water level in Lake Wellington exceeded 0.35 m AHD and salinity was &gt; 10 ppt and &gt; 15 ppt. Results vary, but shows that the number of days that meet the specified conditions has increased sinc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4784082" cy="1809305"/>
                    </a:xfrm>
                    <a:prstGeom prst="rect">
                      <a:avLst/>
                    </a:prstGeom>
                  </pic:spPr>
                </pic:pic>
              </a:graphicData>
            </a:graphic>
          </wp:inline>
        </w:drawing>
      </w:r>
    </w:p>
    <w:p w14:paraId="3802BE77" w14:textId="426E270B" w:rsidR="00815500" w:rsidRPr="00237510" w:rsidRDefault="00815500" w:rsidP="00815500">
      <w:pPr>
        <w:pStyle w:val="Caption"/>
      </w:pPr>
      <w:bookmarkStart w:id="80" w:name="_Ref506474197"/>
      <w:r w:rsidRPr="00237510">
        <w:t xml:space="preserve">Figure </w:t>
      </w:r>
      <w:r>
        <w:fldChar w:fldCharType="begin"/>
      </w:r>
      <w:r>
        <w:instrText>SEQ Figure \* ARABIC</w:instrText>
      </w:r>
      <w:r>
        <w:fldChar w:fldCharType="separate"/>
      </w:r>
      <w:r w:rsidR="00DE4513">
        <w:rPr>
          <w:noProof/>
        </w:rPr>
        <w:t>34</w:t>
      </w:r>
      <w:r>
        <w:fldChar w:fldCharType="end"/>
      </w:r>
      <w:bookmarkEnd w:id="80"/>
      <w:r w:rsidRPr="00237510">
        <w:t>: Days when water level in Lake Wellington exceeded 0.35 m AHD and salinity was &gt; 10 ppt and &gt; 15 ppt (Hale et al. 2018).</w:t>
      </w:r>
    </w:p>
    <w:p w14:paraId="5C519E4A" w14:textId="761BC3F4" w:rsidR="00815500" w:rsidRPr="00237510" w:rsidRDefault="00815500" w:rsidP="00815500">
      <w:pPr>
        <w:rPr>
          <w:lang w:eastAsia="en-US"/>
        </w:rPr>
      </w:pPr>
      <w:r w:rsidRPr="00237510">
        <w:rPr>
          <w:lang w:eastAsia="en-US"/>
        </w:rPr>
        <w:t xml:space="preserve">Similar events could occur in the medium to long term at Heart Morass and eventually Sale Common, if freshwater inflows continue to decline and sea level rises.  Although they have much reduced unregulated connectivity with the Estuary and Lake Wellington, increased salinity in the Estuary will affect salinity in these systems by limiting opportunities for delivery of environmental water.  If water in the estuary adjacent to wetland infrastructure is saline, then freshwater cannot be diverted into these wetlands. </w:t>
      </w:r>
    </w:p>
    <w:p w14:paraId="42326C87" w14:textId="2235DCE8" w:rsidR="00815500" w:rsidRPr="00237510" w:rsidRDefault="00583662" w:rsidP="00815500">
      <w:pPr>
        <w:keepNext/>
        <w:rPr>
          <w:color w:val="215868" w:themeColor="accent5" w:themeShade="80"/>
          <w:u w:val="single"/>
          <w:lang w:eastAsia="en-US"/>
        </w:rPr>
      </w:pPr>
      <w:r w:rsidRPr="00237510">
        <w:rPr>
          <w:color w:val="215868" w:themeColor="accent5" w:themeShade="80"/>
          <w:u w:val="single"/>
          <w:lang w:eastAsia="en-US"/>
        </w:rPr>
        <w:t>Activation of a</w:t>
      </w:r>
      <w:r w:rsidR="00815500" w:rsidRPr="00237510">
        <w:rPr>
          <w:color w:val="215868" w:themeColor="accent5" w:themeShade="80"/>
          <w:u w:val="single"/>
          <w:lang w:eastAsia="en-US"/>
        </w:rPr>
        <w:t>cid sulfate soils</w:t>
      </w:r>
    </w:p>
    <w:p w14:paraId="237A433F" w14:textId="39920BFE" w:rsidR="00815500" w:rsidRPr="00237510" w:rsidRDefault="00815500" w:rsidP="00815500">
      <w:r w:rsidRPr="00237510">
        <w:rPr>
          <w:lang w:eastAsia="en-US"/>
        </w:rPr>
        <w:t xml:space="preserve">Previous investigations have indicated that acid sulfate soils are present in both Heart and Dowd Morass, but not in Sale Common </w:t>
      </w:r>
      <w:r w:rsidRPr="00237510">
        <w:fldChar w:fldCharType="begin"/>
      </w:r>
      <w:r w:rsidRPr="00237510">
        <w:instrText xml:space="preserve"> ADDIN ZOTERO_ITEM CSL_CITATION {"citationID":"g6fPFRbV","properties":{"formattedCitation":"(Unland 2009)","plainCitation":"(Unland 2009)","noteIndex":0},"citationItems":[{"id":2348,"uris":["http://zotero.org/users/2336876/items/A2NHMF6C"],"uri":["http://zotero.org/users/2336876/items/A2NHMF6C"],"itemData":{"id":2348,"type":"thesis","event-place":"Clayton, Victoria","genre":"Honours","publisher":"Monash University","publisher-place":"Clayton, Victoria","title":"The Extent, Severity and Implication of Acid Sulfate Soils in the Heart Morass, West Gippsland, Victoria","author":[{"family":"Unland","given":"N.P."}],"issued":{"date-parts":[["2009"]]}}}],"schema":"https://github.com/citation-style-language/schema/raw/master/csl-citation.json"} </w:instrText>
      </w:r>
      <w:r w:rsidRPr="00237510">
        <w:fldChar w:fldCharType="separate"/>
      </w:r>
      <w:r w:rsidRPr="00237510">
        <w:t>(Unland 2009)</w:t>
      </w:r>
      <w:r w:rsidRPr="00237510">
        <w:fldChar w:fldCharType="end"/>
      </w:r>
      <w:r w:rsidRPr="00237510">
        <w:t xml:space="preserve">. </w:t>
      </w:r>
      <w:r w:rsidR="00583662" w:rsidRPr="00237510">
        <w:t xml:space="preserve">The results at Sale Common, however, should be considered in the context of limited sampling and the area around this wetland was mapped as being within the high-risk zone for acid sulfate soils (Department of Sustainability and Environment 2009). The iron sulphides in acid sulfate soils remain stable when underwater and thus in reduced (non-oxidising) conditions, but once the soils are dried and come into contact with the oxygen in </w:t>
      </w:r>
      <w:proofErr w:type="gramStart"/>
      <w:r w:rsidR="00583662" w:rsidRPr="00237510">
        <w:t>air</w:t>
      </w:r>
      <w:proofErr w:type="gramEnd"/>
      <w:r w:rsidR="00583662" w:rsidRPr="00237510">
        <w:t xml:space="preserve"> they are oxidised, leading to the release of sul</w:t>
      </w:r>
      <w:r w:rsidR="005E6A7C" w:rsidRPr="00237510">
        <w:t>f</w:t>
      </w:r>
      <w:r w:rsidR="00583662" w:rsidRPr="00237510">
        <w:t>uric acid.  This is accompanied by a release of aluminium and potentially other heavy metals from the sediments and usually has very serious adverse ecological and social impacts</w:t>
      </w:r>
      <w:r w:rsidRPr="00237510">
        <w:t xml:space="preserve"> </w:t>
      </w:r>
      <w:r w:rsidRPr="00237510">
        <w:fldChar w:fldCharType="begin"/>
      </w:r>
      <w:r w:rsidRPr="00237510">
        <w:instrText xml:space="preserve"> ADDIN ZOTERO_ITEM CSL_CITATION {"citationID":"1cjpmmrgd1","properties":{"formattedCitation":"(Sammut et al. 1996)","plainCitation":"(Sammut et al. 1996)","noteIndex":0},"citationItems":[{"id":329,"uris":["http://zotero.org/users/2336876/items/XTSQ4FRG"],"uri":["http://zotero.org/users/2336876/items/XTSQ4FRG"],"itemData":{"id":329,"type":"article-journal","abstract":"&lt;P&gt;Episodic acidification (pH &amp;lt;5) of estuarine tributaries caused by the oxidation of sulfidic floodplain sediments is widespread in eastern Australia. Drainage and flood mitigation works promote oxidation and the export of sulfuric acid and dissolved aluminium and iron into streams. This paper examines the acidification of a tidal reach on the Richmond River, New South Wales. Acid discharge is controlled by the floodplain water balance, drainage of shallow acid groundwater, and tidal floodgate operation. Floodgates store acid waters for more than six months. Acid discharges ranged from short pulses during light rains to ~950 t of sulfuric acid in a major flood that acidified the reach for over seven weeks. Extensive iron flocs accompanied acidification and coated the benthos. The chemistry of the reach reflected mixing of acid groundwater with upland waters and showed pH-dependent enhancement or depletion of species relative to chloride. Concentrations of monomeric aluminium were over 300 times larger than local (ANZECC) guidelines and 90 km of the river were acidified after floods. The estimated rate of sulfuric acid production from the floodplain is ~300 kg ha&lt;sup&gt;-1&lt;/sup&gt; year&lt;sup&gt;-1&lt;/sup&gt; and discharge may occur for over 1000 years. Management options are considered; however, the long-term consequences of acidification of tidal reaches are unknown.&lt;/P&gt;","container-title":"Marine and Freshwater Research","issue":"5","journalAbbreviation":"Mar. Freshwater Res.","page":"669-684","source":"CSIRO Publishing","title":"Acidification of an estuarine tributary in eastern Australia due to drainage of acid sulfate soils","volume":"47","author":[{"family":"Sammut","given":"J"},{"family":"White","given":"I"},{"family":"Melville","given":"MD"}],"issued":{"date-parts":[["1996",1,1]]}}}],"schema":"https://github.com/citation-style-language/schema/raw/master/csl-citation.json"} </w:instrText>
      </w:r>
      <w:r w:rsidRPr="00237510">
        <w:fldChar w:fldCharType="separate"/>
      </w:r>
      <w:r w:rsidRPr="00237510">
        <w:t>(Sammut et al. 1996)</w:t>
      </w:r>
      <w:r w:rsidRPr="00237510">
        <w:fldChar w:fldCharType="end"/>
      </w:r>
      <w:r w:rsidRPr="00237510">
        <w:t>.</w:t>
      </w:r>
    </w:p>
    <w:p w14:paraId="24729750" w14:textId="50180539" w:rsidR="00815500" w:rsidRPr="00237510" w:rsidRDefault="00815500" w:rsidP="00815500">
      <w:r w:rsidRPr="00237510">
        <w:t xml:space="preserve">Studies have also indicated that the acid sulfate soils in Dowd and Heart Morass have led to the mobilisation of metals at concentrations that are likely to cause biological effects (Unland 2009, Taylor 2011). The effects of acidification have been more prevalent at Heart Morass, with very low pH levels (&lt; 3) associated with periodic drying (data from </w:t>
      </w:r>
      <w:hyperlink r:id="rId75" w:history="1">
        <w:r w:rsidRPr="00237510">
          <w:rPr>
            <w:rStyle w:val="Hyperlink"/>
          </w:rPr>
          <w:t>http://data.water.vic.gov.au</w:t>
        </w:r>
      </w:hyperlink>
      <w:r w:rsidRPr="00237510">
        <w:t xml:space="preserve">). </w:t>
      </w:r>
    </w:p>
    <w:p w14:paraId="5B23A038" w14:textId="77777777" w:rsidR="00815500" w:rsidRPr="00237510" w:rsidRDefault="00815500" w:rsidP="00815500">
      <w:r w:rsidRPr="00237510">
        <w:t>Prolonged periods of low flows and periods when there is no opportunity to fill these wetlands with freshwater will inevitably lead to increased dry periods and exposure of acid sulphate soils at these sites.</w:t>
      </w:r>
    </w:p>
    <w:p w14:paraId="00C65B1D" w14:textId="47A72395" w:rsidR="00815500" w:rsidRPr="00237510" w:rsidRDefault="005E6A7C" w:rsidP="00815500">
      <w:pPr>
        <w:keepNext/>
        <w:rPr>
          <w:color w:val="215868" w:themeColor="accent5" w:themeShade="80"/>
          <w:u w:val="single"/>
          <w:lang w:eastAsia="en-US"/>
        </w:rPr>
      </w:pPr>
      <w:r w:rsidRPr="00237510">
        <w:rPr>
          <w:color w:val="215868" w:themeColor="accent5" w:themeShade="80"/>
          <w:u w:val="single"/>
          <w:lang w:eastAsia="en-US"/>
        </w:rPr>
        <w:t>Decreases in d</w:t>
      </w:r>
      <w:r w:rsidR="00815500" w:rsidRPr="00237510">
        <w:rPr>
          <w:color w:val="215868" w:themeColor="accent5" w:themeShade="80"/>
          <w:u w:val="single"/>
          <w:lang w:eastAsia="en-US"/>
        </w:rPr>
        <w:t>issolved oxygen</w:t>
      </w:r>
    </w:p>
    <w:p w14:paraId="54A2280C" w14:textId="7BBBC5DA" w:rsidR="00815500" w:rsidRPr="00237510" w:rsidRDefault="005E6A7C" w:rsidP="00815500">
      <w:pPr>
        <w:rPr>
          <w:lang w:eastAsia="en-US"/>
        </w:rPr>
      </w:pPr>
      <w:r w:rsidRPr="00237510">
        <w:rPr>
          <w:lang w:eastAsia="en-US"/>
        </w:rPr>
        <w:t>The hydrological analysis predicts there will be a decline in the volume of baseflows during both summer and winter. Baseflows maintain lateral connectivity along river channels. In the absence of baseflows, rivers dry to a series of small in-channel pools. These pools become refuges for native fish, who would otherwise die in dry stream beds. The duration of these cease-to-flow periods is critical, especially given the fact that cease-to-flows are most unlikely to have taken place in any parts of the river system under normal conditions. Over time the water in pools becomes less (through evaporation) but even if water persists until the flow recommences, water quality declines. Dissolved oxygen levels decrease and if they reach critical levels, many native species cannot survive. Common carp are generally more tolerant of low dissolved oxygen conditions and can out compete native fish species under periods of hypoxia (low dissolved oxygen)</w:t>
      </w:r>
      <w:r w:rsidR="00815500" w:rsidRPr="00237510">
        <w:rPr>
          <w:lang w:eastAsia="en-US"/>
        </w:rPr>
        <w:fldChar w:fldCharType="begin"/>
      </w:r>
      <w:r w:rsidR="00815500" w:rsidRPr="00237510">
        <w:rPr>
          <w:lang w:eastAsia="en-US"/>
        </w:rPr>
        <w:instrText xml:space="preserve"> ADDIN ZOTERO_ITEM CSL_CITATION {"citationID":"zSBp2iU1","properties":{"formattedCitation":"(Stuart and Jones 2006, King et al. 2012)","plainCitation":"(Stuart and Jones 2006, King et al. 2012)","noteIndex":0},"citationItems":[{"id":5304,"uris":["http://zotero.org/users/2336876/items/8Y7IEIPC"],"uri":["http://zotero.org/users/2336876/items/8Y7IEIPC"],"itemData":{"id":5304,"type":"article-journal","container-title":"Marine and Freshwater Research","issue":"3","note":"publisher: CSIRO","page":"333–347","source":"Google Scholar","title":"Large, regulated forest floodplain is an ideal recruitment zone for non-native common carp (Cyprinus carpio L.)","volume":"57","author":[{"family":"Stuart","given":"Ivor G."},{"family":"Jones","given":"Matthew"}],"issued":{"date-parts":[["2006"]]}}},{"id":4328,"uris":["http://zotero.org/users/2336876/items/B9MYKII3"],"uri":["http://zotero.org/users/2336876/items/B9MYKII3"],"itemData":{"id":4328,"type":"article-journal","container-title":"Marine and Freshwater Research","issue":"7","page":"576–586","source":"Google Scholar","title":"Short-term effects of a prolonged blackwater event on aquatic fauna in the Murray River, Australia: considerations for future events","title-short":"Short-term effects of a prolonged blackwater event on aquatic fauna in the Murray River, Australia","volume":"63","author":[{"family":"King","given":"A. J."},{"family":"Tonkin","given":"Z."},{"family":"Lieshcke","given":"J."}],"issued":{"date-parts":[["2012"]]}}}],"schema":"https://github.com/citation-style-language/schema/raw/master/csl-citation.json"} </w:instrText>
      </w:r>
      <w:r w:rsidR="00815500" w:rsidRPr="00237510">
        <w:rPr>
          <w:lang w:eastAsia="en-US"/>
        </w:rPr>
        <w:fldChar w:fldCharType="separate"/>
      </w:r>
      <w:r w:rsidR="00815500" w:rsidRPr="00237510">
        <w:rPr>
          <w:lang w:eastAsia="en-US"/>
        </w:rPr>
        <w:t>(Stuart and Jones 2006, King et al. 2012)</w:t>
      </w:r>
      <w:r w:rsidR="00815500" w:rsidRPr="00237510">
        <w:rPr>
          <w:lang w:eastAsia="en-US"/>
        </w:rPr>
        <w:fldChar w:fldCharType="end"/>
      </w:r>
      <w:r w:rsidR="00815500" w:rsidRPr="00237510">
        <w:rPr>
          <w:lang w:eastAsia="en-US"/>
        </w:rPr>
        <w:t>.</w:t>
      </w:r>
    </w:p>
    <w:p w14:paraId="170EA883" w14:textId="77777777" w:rsidR="005E6A7C" w:rsidRPr="00237510" w:rsidRDefault="005E6A7C" w:rsidP="005E6A7C">
      <w:pPr>
        <w:pStyle w:val="Heading4nonumbers"/>
      </w:pPr>
      <w:bookmarkStart w:id="81" w:name="_Toc42001405"/>
      <w:r w:rsidRPr="00237510">
        <w:t>Effects on physical form and habitat (geomorphology)</w:t>
      </w:r>
      <w:bookmarkEnd w:id="81"/>
    </w:p>
    <w:p w14:paraId="286364DC" w14:textId="77777777" w:rsidR="005E6A7C" w:rsidRPr="00237510" w:rsidRDefault="005E6A7C" w:rsidP="005E6A7C">
      <w:r w:rsidRPr="00237510">
        <w:t>Flow regulation, and river channelization, are known to modify waterway geomorphology, reducing the ability of the waterway to support habitat (Vietz and Finlayson, 2017). The Latrobe River, and many of the tributaries, are more sensitive to flow regulation and the impacts on habitat and physical form. For example, the channels (particularly the Latrobe River) are:</w:t>
      </w:r>
    </w:p>
    <w:p w14:paraId="08211967" w14:textId="592E3D7C" w:rsidR="005E6A7C" w:rsidRPr="00237510" w:rsidRDefault="005E6A7C" w:rsidP="005E6A7C">
      <w:pPr>
        <w:pStyle w:val="ListParagraph"/>
        <w:numPr>
          <w:ilvl w:val="0"/>
          <w:numId w:val="28"/>
        </w:numPr>
      </w:pPr>
      <w:r w:rsidRPr="00237510">
        <w:t xml:space="preserve">Straighter and steeper with gradient channels </w:t>
      </w:r>
      <w:r w:rsidR="00844AFC">
        <w:t>which</w:t>
      </w:r>
      <w:r w:rsidRPr="00237510">
        <w:t xml:space="preserve"> increase</w:t>
      </w:r>
      <w:r w:rsidR="00844AFC">
        <w:t>a</w:t>
      </w:r>
      <w:r w:rsidRPr="00237510">
        <w:t xml:space="preserve"> the efficacy with which sediments are mobilised, and decreases habitat diversity</w:t>
      </w:r>
    </w:p>
    <w:p w14:paraId="78D830D9" w14:textId="14AFC29A" w:rsidR="005E6A7C" w:rsidRPr="00237510" w:rsidRDefault="005E6A7C" w:rsidP="005E6A7C">
      <w:pPr>
        <w:pStyle w:val="ListParagraph"/>
        <w:numPr>
          <w:ilvl w:val="0"/>
          <w:numId w:val="28"/>
        </w:numPr>
      </w:pPr>
      <w:r w:rsidRPr="00237510">
        <w:t>Desnagged extensively which reduces roughness, increasing velocities, and decreases habitat diversity (including refuge pools)</w:t>
      </w:r>
    </w:p>
    <w:p w14:paraId="18D6EA06" w14:textId="35C9428C" w:rsidR="005E6A7C" w:rsidRPr="00237510" w:rsidRDefault="005E6A7C" w:rsidP="005E6A7C">
      <w:pPr>
        <w:pStyle w:val="ListParagraph"/>
        <w:numPr>
          <w:ilvl w:val="0"/>
          <w:numId w:val="28"/>
        </w:numPr>
      </w:pPr>
      <w:r w:rsidRPr="00237510">
        <w:t>Incised, with increased flowing energy exerted on the bed of the channel, increasing mobilisation of bed sediments; and</w:t>
      </w:r>
    </w:p>
    <w:p w14:paraId="07DC9EF5" w14:textId="050ABBF8" w:rsidR="005E6A7C" w:rsidRPr="00237510" w:rsidRDefault="005E6A7C" w:rsidP="005E6A7C">
      <w:pPr>
        <w:pStyle w:val="ListParagraph"/>
        <w:numPr>
          <w:ilvl w:val="0"/>
          <w:numId w:val="28"/>
        </w:numPr>
      </w:pPr>
      <w:r w:rsidRPr="00237510">
        <w:t>More prone to erosion, which can increase sediment smothering (silts/clays) of bed sediments</w:t>
      </w:r>
    </w:p>
    <w:p w14:paraId="35CAC804" w14:textId="77777777" w:rsidR="005E6A7C" w:rsidRPr="00237510" w:rsidRDefault="005E6A7C" w:rsidP="00844AFC">
      <w:r w:rsidRPr="00237510">
        <w:t>The impacts of flow regime changes due to mine filling are such that:</w:t>
      </w:r>
    </w:p>
    <w:p w14:paraId="3F67FEF8" w14:textId="4BB495C0" w:rsidR="005E6A7C" w:rsidRPr="00237510" w:rsidRDefault="005E6A7C" w:rsidP="005E6A7C">
      <w:pPr>
        <w:pStyle w:val="ListParagraph"/>
        <w:numPr>
          <w:ilvl w:val="0"/>
          <w:numId w:val="28"/>
        </w:numPr>
      </w:pPr>
      <w:r w:rsidRPr="00237510">
        <w:t>Not achieving the full suite of flow recommendations will lead to a loss of in-channel complexity (e.g. bars, benches and refuge pools). This will reduce habitat complexity, such as habitat niches including slackwaters (low velocity environments for retention of macroinvertebrates, juvenile fish, and organic matter)</w:t>
      </w:r>
    </w:p>
    <w:p w14:paraId="7CEA78CE" w14:textId="5231F8EC" w:rsidR="005E6A7C" w:rsidRPr="00237510" w:rsidRDefault="005E6A7C" w:rsidP="005E6A7C">
      <w:pPr>
        <w:pStyle w:val="ListParagraph"/>
        <w:numPr>
          <w:ilvl w:val="0"/>
          <w:numId w:val="28"/>
        </w:numPr>
      </w:pPr>
      <w:r w:rsidRPr="00237510">
        <w:t>Bankfull flows and freshes (particularly winter freshes) are primarily impacted by mine filling, and these are the flows that provide most geomorphic value. This will reduce the maintenance of channel morphology, such as depositional zones (benches that provide higher level sediments for terrestrial plant growth) and bed diversity (depth and sediment diversity).</w:t>
      </w:r>
    </w:p>
    <w:p w14:paraId="6BE73D42" w14:textId="38DC77BE" w:rsidR="00815500" w:rsidRPr="00237510" w:rsidRDefault="00815500" w:rsidP="00815500">
      <w:pPr>
        <w:pStyle w:val="Heading4nonumbers"/>
      </w:pPr>
      <w:bookmarkStart w:id="82" w:name="_Toc42001406"/>
      <w:r w:rsidRPr="00237510">
        <w:t>Effects on vegetation</w:t>
      </w:r>
      <w:bookmarkEnd w:id="82"/>
    </w:p>
    <w:p w14:paraId="2125FDAC" w14:textId="1731DE4E" w:rsidR="00815500" w:rsidRPr="00237510" w:rsidRDefault="005E6A7C" w:rsidP="00815500">
      <w:pPr>
        <w:rPr>
          <w:lang w:eastAsia="en-US"/>
        </w:rPr>
      </w:pPr>
      <w:r w:rsidRPr="00237510">
        <w:rPr>
          <w:lang w:eastAsia="en-US"/>
        </w:rPr>
        <w:t xml:space="preserve">Riparian and floodplain vegetation in most parts of the Latrobe River system is already in poor condition, especially along the mainstem of the Latrobe River. A further decline in bankfull and overbank flows will result in continued decline in condition, extent and floristic diversity, increasing terrestrialisation and a loss of diversity in understorey communities. Large riparian and floodplain trees are adapted to periods of dry and can survive for periods of time between inundation events. They cannot survive prolonged desiccation, and that is why they are found in the usually well-watered riparian zone. The condition of riparian eucalypts has been linked to lateral movement of water through the bank </w:t>
      </w:r>
      <w:r w:rsidR="00815500" w:rsidRPr="00237510">
        <w:rPr>
          <w:lang w:eastAsia="en-US"/>
        </w:rPr>
        <w:fldChar w:fldCharType="begin"/>
      </w:r>
      <w:r w:rsidR="00815500" w:rsidRPr="00237510">
        <w:rPr>
          <w:lang w:eastAsia="en-US"/>
        </w:rPr>
        <w:instrText xml:space="preserve"> ADDIN ZOTERO_ITEM CSL_CITATION {"citationID":"aqsxqg3p","properties":{"formattedCitation":"(Doody et al. 2014)","plainCitation":"(Doody et al. 2014)","noteIndex":0},"citationItems":[{"id":5264,"uris":["http://zotero.org/users/2336876/items/9PANGMNQ"],"uri":["http://zotero.org/users/2336876/items/9PANGMNQ"],"itemData":{"id":5264,"type":"article-journal","container-title":"Marine and Freshwater Research","issue":"12","note":"publisher: CSIRO","page":"1082–1093","source":"Google Scholar","title":"Ecological response of Eucalyptus camaldulensis (river red gum) to extended drought and flooding along the River Murray, South Australia (1997–2011) and implications for environmental flow management","volume":"65","author":[{"family":"Doody","given":"Tanya M."},{"family":"Benger","given":"Simon N."},{"family":"Pritchard","given":"Jodie L."},{"family":"Overton","given":"Ian C."}],"issued":{"date-parts":[["2014"]]}}}],"schema":"https://github.com/citation-style-language/schema/raw/master/csl-citation.json"} </w:instrText>
      </w:r>
      <w:r w:rsidR="00815500" w:rsidRPr="00237510">
        <w:rPr>
          <w:lang w:eastAsia="en-US"/>
        </w:rPr>
        <w:fldChar w:fldCharType="separate"/>
      </w:r>
      <w:r w:rsidR="00815500" w:rsidRPr="00237510">
        <w:rPr>
          <w:lang w:eastAsia="en-US"/>
        </w:rPr>
        <w:t>(Doody et al. 2014)</w:t>
      </w:r>
      <w:r w:rsidR="00815500" w:rsidRPr="00237510">
        <w:rPr>
          <w:lang w:eastAsia="en-US"/>
        </w:rPr>
        <w:fldChar w:fldCharType="end"/>
      </w:r>
      <w:r w:rsidRPr="00237510">
        <w:rPr>
          <w:lang w:eastAsia="en-US"/>
        </w:rPr>
        <w:t xml:space="preserve">, </w:t>
      </w:r>
      <w:r w:rsidR="00815500" w:rsidRPr="00237510">
        <w:rPr>
          <w:lang w:eastAsia="en-US"/>
        </w:rPr>
        <w:t>with declines in large freshes and bankfull events linked to declines in canopy condition and resilience of trees to non-flow stressors such as invasive species and grazing. In addition, there are several species that require inundation for reproduction, with flowering stimulated by flooding and germination on receding waters.</w:t>
      </w:r>
    </w:p>
    <w:p w14:paraId="49816A27" w14:textId="7762672C" w:rsidR="00815500" w:rsidRPr="00237510" w:rsidRDefault="00815500" w:rsidP="00815500">
      <w:pPr>
        <w:rPr>
          <w:lang w:eastAsia="en-US"/>
        </w:rPr>
      </w:pPr>
      <w:r w:rsidRPr="00237510">
        <w:rPr>
          <w:lang w:eastAsia="en-US"/>
        </w:rPr>
        <w:t xml:space="preserve">In many respects the history of the eastern portion of the Gippsland Lakes following the opening of a permanent connection to the sea in 1889 at Lakes Entrance provides an indication of likely future changes in Lake Wellington and the fringing wetlands. The wetlands in the area closest to Lakes Entrance were </w:t>
      </w:r>
      <w:r w:rsidRPr="00237510">
        <w:t xml:space="preserve">modified by increasing salinity and lower water levels, which resulted in a die back of paperbark and common reed and their replacement with saltmarsh communities dominated by sea rush and beaded glasswort </w:t>
      </w:r>
      <w:r w:rsidRPr="00237510">
        <w:fldChar w:fldCharType="begin"/>
      </w:r>
      <w:r w:rsidRPr="00237510">
        <w:instrText xml:space="preserve"> ADDIN ZOTERO_ITEM CSL_CITATION {"citationID":"AMvwdsJi","properties":{"formattedCitation":"(Bird 1966, 1978)","plainCitation":"(Bird 1966, 1978)","noteIndex":0},"citationItems":[{"id":4794,"uris":["http://zotero.org/users/2336876/items/D4NYGUZN"],"uri":["http://zotero.org/users/2336876/items/D4NYGUZN"],"itemData":{"id":4794,"type":"chapter","container-title":"Geography as Human Ecology: Methodology by Example","event-place":"London","page":"55-73","publisher":"Edward Arnold (Publishers) Ltd.","publisher-place":"London","title":"The impact of man on the Gippsland Lakes","author":[{"family":"Bird","given":"E.C.F."}],"editor":[{"family":"Eyre","given":"S.R."},{"family":"Jones","given":"G."}],"issued":{"date-parts":[["1966"]]}}},{"id":2667,"uris":["http://zotero.org/users/2336876/items/DTPFX8C8"],"uri":["http://zotero.org/users/2336876/items/DTPFX8C8"],"itemData":{"id":2667,"type":"book","publisher":"Ministry for Conservation, Victoria","source":"Google Scholar","title":"The geomorphology of the Gippsland Lakes region","URL":"http://www.ces.vic.gov.au/dpi/vro/egregn.nsf/pages/eg_geomorphology_gipps_lakes_pdf/$FILE/geomorph_gipps_lakes_fp_toc.pdf","author":[{"family":"Bird","given":"Eric Charles Frederick"}],"accessed":{"date-parts":[["2015",2,22]]},"issued":{"date-parts":[["1978"]]}}}],"schema":"https://github.com/citation-style-language/schema/raw/master/csl-citation.json"} </w:instrText>
      </w:r>
      <w:r w:rsidRPr="00237510">
        <w:fldChar w:fldCharType="separate"/>
      </w:r>
      <w:r w:rsidRPr="00237510">
        <w:t>(Bird 1966, 1978)</w:t>
      </w:r>
      <w:r w:rsidRPr="00237510">
        <w:fldChar w:fldCharType="end"/>
      </w:r>
      <w:r w:rsidRPr="00237510">
        <w:t xml:space="preserve">; </w:t>
      </w:r>
      <w:r w:rsidRPr="00237510">
        <w:fldChar w:fldCharType="begin"/>
      </w:r>
      <w:r w:rsidRPr="00237510">
        <w:instrText xml:space="preserve"> REF _Ref41285797 \h </w:instrText>
      </w:r>
      <w:r w:rsidRPr="00237510">
        <w:fldChar w:fldCharType="separate"/>
      </w:r>
      <w:r w:rsidR="004E1696" w:rsidRPr="00237510">
        <w:t xml:space="preserve">Figure </w:t>
      </w:r>
      <w:r w:rsidR="004E1696">
        <w:rPr>
          <w:noProof/>
        </w:rPr>
        <w:t>35</w:t>
      </w:r>
      <w:r w:rsidRPr="00237510">
        <w:fldChar w:fldCharType="end"/>
      </w:r>
      <w:r w:rsidRPr="00237510">
        <w:rPr>
          <w:i/>
          <w:iCs/>
        </w:rPr>
        <w:t>.</w:t>
      </w:r>
      <w:r w:rsidRPr="00237510">
        <w:rPr>
          <w:lang w:eastAsia="en-US"/>
        </w:rPr>
        <w:t xml:space="preserve">  A similar transition can be predicted in the littoral zone of Lake Wellington and eventually in the Lower Latrobe Wetlands</w:t>
      </w:r>
      <w:r w:rsidR="005E6A7C" w:rsidRPr="00237510">
        <w:rPr>
          <w:lang w:eastAsia="en-US"/>
        </w:rPr>
        <w:t>, with widespread death of native trees such as eucalypts and swamp paperbarks, and their replacement by halophytic plant taxa including saltmarshes</w:t>
      </w:r>
      <w:r w:rsidRPr="00237510">
        <w:rPr>
          <w:lang w:eastAsia="en-US"/>
        </w:rPr>
        <w:t>.</w:t>
      </w:r>
    </w:p>
    <w:p w14:paraId="04D23CA1" w14:textId="77777777" w:rsidR="00815500" w:rsidRPr="00237510" w:rsidRDefault="00815500" w:rsidP="00815500">
      <w:pPr>
        <w:rPr>
          <w:lang w:eastAsia="en-US"/>
        </w:rPr>
      </w:pPr>
      <w:r>
        <w:rPr>
          <w:noProof/>
        </w:rPr>
        <w:drawing>
          <wp:inline distT="0" distB="0" distL="0" distR="0" wp14:anchorId="55F80E34" wp14:editId="667582D7">
            <wp:extent cx="5285740" cy="3964305"/>
            <wp:effectExtent l="0" t="0" r="0" b="0"/>
            <wp:docPr id="25" name="Picture 1" descr="Vegetation at Blonde Bay, Gippsland Lakes showing saltmarsh replacing paperbark communities in response to increased sali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6" cstate="email">
                      <a:extLst>
                        <a:ext uri="{28A0092B-C50C-407E-A947-70E740481C1C}">
                          <a14:useLocalDpi xmlns:a14="http://schemas.microsoft.com/office/drawing/2010/main"/>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ma14="http://schemas.microsoft.com/office/mac/drawingml/2011/main" xmlns:a16="http://schemas.microsoft.com/office/drawing/2014/main" xmlns:arto="http://schemas.microsoft.com/office/word/2006/arto" id="{616B01E5-5C07-0F42-A936-0B1F2DEC0A70}"/>
                        </a:ext>
                      </a:extLst>
                    </a:blip>
                    <a:stretch>
                      <a:fillRect/>
                    </a:stretch>
                  </pic:blipFill>
                  <pic:spPr>
                    <a:xfrm>
                      <a:off x="0" y="0"/>
                      <a:ext cx="5285740" cy="3964305"/>
                    </a:xfrm>
                    <a:prstGeom prst="rect">
                      <a:avLst/>
                    </a:prstGeom>
                  </pic:spPr>
                </pic:pic>
              </a:graphicData>
            </a:graphic>
          </wp:inline>
        </w:drawing>
      </w:r>
    </w:p>
    <w:p w14:paraId="106C9387" w14:textId="316B8BE7" w:rsidR="00815500" w:rsidRPr="00237510" w:rsidRDefault="00815500" w:rsidP="00815500">
      <w:pPr>
        <w:pStyle w:val="Caption"/>
        <w:rPr>
          <w:lang w:eastAsia="en-US"/>
        </w:rPr>
      </w:pPr>
      <w:bookmarkStart w:id="83" w:name="_Ref41285797"/>
      <w:r w:rsidRPr="00237510">
        <w:t xml:space="preserve">Figure </w:t>
      </w:r>
      <w:r>
        <w:fldChar w:fldCharType="begin"/>
      </w:r>
      <w:r>
        <w:instrText>SEQ Figure \* ARABIC</w:instrText>
      </w:r>
      <w:r>
        <w:fldChar w:fldCharType="separate"/>
      </w:r>
      <w:r w:rsidR="00DE4513">
        <w:rPr>
          <w:noProof/>
        </w:rPr>
        <w:t>35</w:t>
      </w:r>
      <w:r>
        <w:fldChar w:fldCharType="end"/>
      </w:r>
      <w:bookmarkEnd w:id="83"/>
      <w:r w:rsidRPr="00237510">
        <w:t xml:space="preserve"> Vegetation at Blonde Bay, Gippsland Lakes showing saltmarsh replacing paperbark communities in response to increased salinity. Photo P. Boon.</w:t>
      </w:r>
    </w:p>
    <w:p w14:paraId="30646DDF" w14:textId="77777777" w:rsidR="00815500" w:rsidRPr="00237510" w:rsidRDefault="00815500" w:rsidP="00815500">
      <w:pPr>
        <w:rPr>
          <w:lang w:eastAsia="en-US"/>
        </w:rPr>
      </w:pPr>
      <w:r w:rsidRPr="00237510">
        <w:rPr>
          <w:lang w:eastAsia="en-US"/>
        </w:rPr>
        <w:t xml:space="preserve">The diversity of vegetated habitats in the Lower Latrobe Wetlands is reliant on inundation with freshwater and periodic drying. The predicted decreases in wetland filling and flushing flows are likely to result in shifts in community composition and increasing salt tolerant species. As described above, Dowd Morass is likely to be affected by increased salinity sooner than Heart Morass or Sale Common, and there are already areas of saltmarsh in the wetland </w:t>
      </w:r>
      <w:r w:rsidRPr="00237510">
        <w:rPr>
          <w:lang w:eastAsia="en-US"/>
        </w:rPr>
        <w:fldChar w:fldCharType="begin"/>
      </w:r>
      <w:r w:rsidRPr="00237510">
        <w:rPr>
          <w:lang w:eastAsia="en-US"/>
        </w:rPr>
        <w:instrText xml:space="preserve"> ADDIN ZOTERO_ITEM CSL_CITATION {"citationID":"rBD8bHDX","properties":{"formattedCitation":"(Frood et al. 2015)","plainCitation":"(Frood et al. 2015)","noteIndex":0},"citationItems":[{"id":3141,"uris":["http://zotero.org/users/2336876/items/Q6VQESA6"],"uri":["http://zotero.org/users/2336876/items/Q6VQESA6"],"itemData":{"id":3141,"type":"book","event-place":"Traralgon","publisher":"West Gippsland CMA","publisher-place":"Traralgon","title":"Benchmarking Wetland Flora in the Lower Latrobe Wetlands","author":[{"family":"Frood","given":"D."},{"family":"Boon","given":"P."},{"family":"Oates","given":"A."},{"family":"Reside","given":"J."},{"family":"Maxwell","given":"R."}],"issued":{"date-parts":[["2015"]]}}}],"schema":"https://github.com/citation-style-language/schema/raw/master/csl-citation.json"} </w:instrText>
      </w:r>
      <w:r w:rsidRPr="00237510">
        <w:rPr>
          <w:lang w:eastAsia="en-US"/>
        </w:rPr>
        <w:fldChar w:fldCharType="separate"/>
      </w:r>
      <w:r w:rsidRPr="00237510">
        <w:rPr>
          <w:lang w:eastAsia="en-US"/>
        </w:rPr>
        <w:t>(Frood et al. 2015)</w:t>
      </w:r>
      <w:r w:rsidRPr="00237510">
        <w:rPr>
          <w:lang w:eastAsia="en-US"/>
        </w:rPr>
        <w:fldChar w:fldCharType="end"/>
      </w:r>
      <w:r w:rsidRPr="00237510">
        <w:rPr>
          <w:lang w:eastAsia="en-US"/>
        </w:rPr>
        <w:t xml:space="preserve">. The impacts at Dowd Morass are likely to be exacerbated by the high degree of connectivity to Lake Wellington, which may lead to permanent inundation with salt water, a decline in most vegetation communities (or a restriction to the littoral zone) and the formation of lake conditions </w:t>
      </w:r>
      <w:r w:rsidRPr="00237510">
        <w:rPr>
          <w:lang w:eastAsia="en-US"/>
        </w:rPr>
        <w:fldChar w:fldCharType="begin"/>
      </w:r>
      <w:r w:rsidRPr="00237510">
        <w:rPr>
          <w:lang w:eastAsia="en-US"/>
        </w:rPr>
        <w:instrText xml:space="preserve"> ADDIN ZOTERO_ITEM CSL_CITATION {"citationID":"Hh8VGULc","properties":{"formattedCitation":"(Hale et al. 2018)","plainCitation":"(Hale et al. 2018)","noteIndex":0},"citationItems":[{"id":4454,"uris":["http://zotero.org/users/2336876/items/M7AVLX9Q"],"uri":["http://zotero.org/users/2336876/items/M7AVLX9Q"],"itemData":{"id":4454,"type":"book","event-place":"Traralgon, Victoria","publisher":"West Gippsland CMA","publisher-place":"Traralgon, Victoria","title":"Dowd Morass Salinity Risk Assessment and Management Options","author":[{"family":"Hale","given":"J."},{"family":"Boon","given":"P."},{"family":"Jempson","given":"M."}],"issued":{"date-parts":[["2018"]]}}}],"schema":"https://github.com/citation-style-language/schema/raw/master/csl-citation.json"} </w:instrText>
      </w:r>
      <w:r w:rsidRPr="00237510">
        <w:rPr>
          <w:lang w:eastAsia="en-US"/>
        </w:rPr>
        <w:fldChar w:fldCharType="separate"/>
      </w:r>
      <w:r w:rsidRPr="00237510">
        <w:rPr>
          <w:lang w:eastAsia="en-US"/>
        </w:rPr>
        <w:t>(Hale et al. 2018)</w:t>
      </w:r>
      <w:r w:rsidRPr="00237510">
        <w:rPr>
          <w:lang w:eastAsia="en-US"/>
        </w:rPr>
        <w:fldChar w:fldCharType="end"/>
      </w:r>
      <w:r w:rsidRPr="00237510">
        <w:rPr>
          <w:lang w:eastAsia="en-US"/>
        </w:rPr>
        <w:t>.</w:t>
      </w:r>
    </w:p>
    <w:p w14:paraId="17D7D6F6" w14:textId="7B5014BD" w:rsidR="00815500" w:rsidRPr="00237510" w:rsidRDefault="00815500" w:rsidP="00815500">
      <w:pPr>
        <w:rPr>
          <w:lang w:eastAsia="en-US"/>
        </w:rPr>
      </w:pPr>
      <w:r w:rsidRPr="00237510">
        <w:rPr>
          <w:lang w:eastAsia="en-US"/>
        </w:rPr>
        <w:t>Prolonged dry conditions in Sale Common in the past have led to an expansion of giant rush at the expense of other, more diverse, vegetation communities. It is possible that this could occur more frequently if dry periods increase in duration and frequency.</w:t>
      </w:r>
    </w:p>
    <w:p w14:paraId="7B577E60" w14:textId="076D2C7A" w:rsidR="00717845" w:rsidRPr="00237510" w:rsidRDefault="00717845" w:rsidP="00717845">
      <w:pPr>
        <w:pStyle w:val="Heading4nonumbers"/>
      </w:pPr>
      <w:bookmarkStart w:id="84" w:name="_Toc42001407"/>
      <w:r w:rsidRPr="00237510">
        <w:t>Effects on native fish</w:t>
      </w:r>
      <w:bookmarkEnd w:id="84"/>
    </w:p>
    <w:p w14:paraId="0A013C18" w14:textId="76251F5A" w:rsidR="0055003B" w:rsidRPr="00237510" w:rsidRDefault="007B5730" w:rsidP="00717845">
      <w:pPr>
        <w:rPr>
          <w:lang w:eastAsia="en-US"/>
        </w:rPr>
      </w:pPr>
      <w:r w:rsidRPr="00237510">
        <w:rPr>
          <w:lang w:eastAsia="en-US"/>
        </w:rPr>
        <w:t>The major impact pathways of the predicted hydrological regimes on native fish include:</w:t>
      </w:r>
    </w:p>
    <w:p w14:paraId="2621C492" w14:textId="16782CB1" w:rsidR="007B5730" w:rsidRPr="00237510" w:rsidRDefault="007B5730" w:rsidP="007B5730">
      <w:pPr>
        <w:pStyle w:val="ListParagraph"/>
        <w:numPr>
          <w:ilvl w:val="0"/>
          <w:numId w:val="25"/>
        </w:numPr>
        <w:rPr>
          <w:lang w:eastAsia="en-US"/>
        </w:rPr>
      </w:pPr>
      <w:r w:rsidRPr="00237510">
        <w:rPr>
          <w:lang w:eastAsia="en-US"/>
        </w:rPr>
        <w:t xml:space="preserve">Decreased baseflows leading to poor water quality (increased salinity, low dissolved oxygen) in residual pools, affect the condition of native fish and survival of native fish species. This may also favour invasive species like carp, which may be more tolerant of poor water quality and low dissolved oxygen </w:t>
      </w:r>
      <w:r w:rsidRPr="00237510">
        <w:rPr>
          <w:lang w:eastAsia="en-US"/>
        </w:rPr>
        <w:fldChar w:fldCharType="begin"/>
      </w:r>
      <w:r w:rsidRPr="00237510">
        <w:rPr>
          <w:lang w:eastAsia="en-US"/>
        </w:rPr>
        <w:instrText xml:space="preserve"> ADDIN ZOTERO_ITEM CSL_CITATION {"citationID":"69GEKCvX","properties":{"formattedCitation":"(Stuart and Jones 2006, King et al. 2012)","plainCitation":"(Stuart and Jones 2006, King et al. 2012)","noteIndex":0},"citationItems":[{"id":5304,"uris":["http://zotero.org/users/2336876/items/8Y7IEIPC"],"uri":["http://zotero.org/users/2336876/items/8Y7IEIPC"],"itemData":{"id":5304,"type":"article-journal","container-title":"Marine and Freshwater Research","issue":"3","note":"publisher: CSIRO","page":"333–347","source":"Google Scholar","title":"Large, regulated forest floodplain is an ideal recruitment zone for non-native common carp (Cyprinus carpio L.)","volume":"57","author":[{"family":"Stuart","given":"Ivor G."},{"family":"Jones","given":"Matthew"}],"issued":{"date-parts":[["2006"]]}}},{"id":4328,"uris":["http://zotero.org/users/2336876/items/B9MYKII3"],"uri":["http://zotero.org/users/2336876/items/B9MYKII3"],"itemData":{"id":4328,"type":"article-journal","container-title":"Marine and Freshwater Research","issue":"7","page":"576–586","source":"Google Scholar","title":"Short-term effects of a prolonged blackwater event on aquatic fauna in the Murray River, Australia: considerations for future events","title-short":"Short-term effects of a prolonged blackwater event on aquatic fauna in the Murray River, Australia","volume":"63","author":[{"family":"King","given":"A. J."},{"family":"Tonkin","given":"Z."},{"family":"Lieshcke","given":"J."}],"issued":{"date-parts":[["2012"]]}}}],"schema":"https://github.com/citation-style-language/schema/raw/master/csl-citation.json"} </w:instrText>
      </w:r>
      <w:r w:rsidRPr="00237510">
        <w:rPr>
          <w:lang w:eastAsia="en-US"/>
        </w:rPr>
        <w:fldChar w:fldCharType="separate"/>
      </w:r>
      <w:r w:rsidRPr="00237510">
        <w:rPr>
          <w:lang w:eastAsia="en-US"/>
        </w:rPr>
        <w:t>(Stuart and Jones 2006, King et al. 2012)</w:t>
      </w:r>
      <w:r w:rsidRPr="00237510">
        <w:rPr>
          <w:lang w:eastAsia="en-US"/>
        </w:rPr>
        <w:fldChar w:fldCharType="end"/>
      </w:r>
      <w:r w:rsidRPr="00237510">
        <w:rPr>
          <w:lang w:eastAsia="en-US"/>
        </w:rPr>
        <w:t>. The loss of summer baseflows is particularly critical as water quality can deteriorate quickly in refuge pools when temperatures are high and biological process occur more rapidly than in cooler winter months.</w:t>
      </w:r>
      <w:r w:rsidR="005E6A7C" w:rsidRPr="00237510">
        <w:rPr>
          <w:lang w:eastAsia="en-US"/>
        </w:rPr>
        <w:t xml:space="preserve"> The loss of suitable conditions in pools reduces the habitat availability for fish, smaller and patchier populations and increases the likelihood of local extinctions and eventually loss of biodiversity at a reach scale.</w:t>
      </w:r>
    </w:p>
    <w:p w14:paraId="787ED3FA" w14:textId="5BCF12EB" w:rsidR="007B5730" w:rsidRPr="00237510" w:rsidRDefault="007B5730" w:rsidP="007B5730">
      <w:pPr>
        <w:pStyle w:val="ListParagraph"/>
        <w:numPr>
          <w:ilvl w:val="0"/>
          <w:numId w:val="25"/>
        </w:numPr>
        <w:rPr>
          <w:lang w:eastAsia="en-US"/>
        </w:rPr>
      </w:pPr>
      <w:r w:rsidRPr="00237510">
        <w:rPr>
          <w:lang w:eastAsia="en-US"/>
        </w:rPr>
        <w:t>Decreased baseflows can lead to a reduction in the area of channel with flowing water facilitating the encroachment of riparian and terrestrial vegetation to the banks, benches and beds of the river, reducing habitat for native fish.</w:t>
      </w:r>
      <w:r w:rsidR="005E6A7C" w:rsidRPr="00237510">
        <w:rPr>
          <w:lang w:eastAsia="en-US"/>
        </w:rPr>
        <w:t xml:space="preserve"> Decreased baseflow may also restrict the migration or local movement of fish to find suitable habitat, mates or food.</w:t>
      </w:r>
    </w:p>
    <w:p w14:paraId="34970DD7" w14:textId="4D918454" w:rsidR="007B5730" w:rsidRPr="00237510" w:rsidRDefault="007B5730" w:rsidP="007B5730">
      <w:pPr>
        <w:pStyle w:val="ListParagraph"/>
        <w:numPr>
          <w:ilvl w:val="0"/>
          <w:numId w:val="25"/>
        </w:numPr>
        <w:rPr>
          <w:lang w:eastAsia="en-US"/>
        </w:rPr>
      </w:pPr>
      <w:r w:rsidRPr="00237510">
        <w:rPr>
          <w:lang w:eastAsia="en-US"/>
        </w:rPr>
        <w:t xml:space="preserve">A decrease in summer and winter freshes can remove important migration and breeding cues for native fish, impacting on breeding, recruitment and ultimately populations. For </w:t>
      </w:r>
      <w:r w:rsidR="00844AFC" w:rsidRPr="00237510">
        <w:rPr>
          <w:lang w:eastAsia="en-US"/>
        </w:rPr>
        <w:t>example,</w:t>
      </w:r>
      <w:r w:rsidR="00844AFC">
        <w:rPr>
          <w:lang w:eastAsia="en-US"/>
        </w:rPr>
        <w:t xml:space="preserve"> </w:t>
      </w:r>
      <w:r w:rsidR="00844AFC">
        <w:t>increased discharges in April-May</w:t>
      </w:r>
      <w:r w:rsidR="00844AFC" w:rsidRPr="002F3559">
        <w:t xml:space="preserve"> cue </w:t>
      </w:r>
      <w:r w:rsidR="00844AFC">
        <w:t xml:space="preserve">downstream </w:t>
      </w:r>
      <w:r w:rsidR="00844AFC" w:rsidRPr="002F3559">
        <w:t xml:space="preserve">spawning migration </w:t>
      </w:r>
      <w:r w:rsidR="00844AFC">
        <w:t xml:space="preserve">of adults </w:t>
      </w:r>
      <w:r w:rsidR="00844AFC" w:rsidRPr="002F3559">
        <w:t>to lower freshwater reaches.</w:t>
      </w:r>
      <w:r w:rsidR="00844AFC">
        <w:t xml:space="preserve"> </w:t>
      </w:r>
      <w:r w:rsidR="00844AFC" w:rsidRPr="00C779ED">
        <w:t xml:space="preserve">Eggs rely on river flow to drift </w:t>
      </w:r>
      <w:r w:rsidR="00844AFC">
        <w:t xml:space="preserve">downstream </w:t>
      </w:r>
      <w:r w:rsidR="00844AFC" w:rsidRPr="00C779ED">
        <w:t>into saline estuary waters</w:t>
      </w:r>
      <w:r w:rsidR="00844AFC">
        <w:t xml:space="preserve">. </w:t>
      </w:r>
      <w:r w:rsidR="00844AFC" w:rsidRPr="007A373A">
        <w:t xml:space="preserve">Increased flows </w:t>
      </w:r>
      <w:r w:rsidR="00844AFC">
        <w:t xml:space="preserve">in September-December </w:t>
      </w:r>
      <w:r w:rsidR="00844AFC" w:rsidRPr="007A373A">
        <w:t xml:space="preserve">may attract juveniles </w:t>
      </w:r>
      <w:r w:rsidR="00844AFC">
        <w:t xml:space="preserve">to migrate upstream </w:t>
      </w:r>
      <w:r w:rsidR="00844AFC" w:rsidRPr="007A373A">
        <w:t>into rivers as they return from the sea</w:t>
      </w:r>
      <w:r w:rsidR="00844AFC">
        <w:t xml:space="preserve"> </w:t>
      </w:r>
      <w:r w:rsidR="00844AFC">
        <w:fldChar w:fldCharType="begin"/>
      </w:r>
      <w:r w:rsidR="00844AFC">
        <w:instrText xml:space="preserve"> ADDIN ZOTERO_ITEM CSL_CITATION {"citationID":"jcm3oeFn","properties":{"formattedCitation":"(Amtstaetter et al. 2016)","plainCitation":"(Amtstaetter et al. 2016)","noteIndex":0},"citationItems":[{"id":3791,"uris":["http://zotero.org/users/2336876/items/XEKQ3ARE"],"uri":["http://zotero.org/users/2336876/items/XEKQ3ARE"],"itemData":{"id":3791,"type":"article-journal","container-title":"Aquatic Conservation: Marine and Freshwater Ecosystems","issue":"1","page":"35–43","source":"Google Scholar","title":"Environmental flow releases trigger spawning migrations by Australian grayling Prototroctes maraena, a threatened, diadromous fish","volume":"26","author":[{"family":"Amtstaetter","given":"Frank"},{"family":"O'connor","given":"Justin"},{"family":"Pickworth","given":"Andrew"}],"issued":{"date-parts":[["2016"]]}}}],"schema":"https://github.com/citation-style-language/schema/raw/master/csl-citation.json"} </w:instrText>
      </w:r>
      <w:r w:rsidR="00844AFC">
        <w:fldChar w:fldCharType="separate"/>
      </w:r>
      <w:r w:rsidR="00844AFC">
        <w:rPr>
          <w:noProof/>
        </w:rPr>
        <w:t>(Amtstaetter et al. 2016)</w:t>
      </w:r>
      <w:r w:rsidR="00844AFC">
        <w:fldChar w:fldCharType="end"/>
      </w:r>
      <w:r w:rsidRPr="00237510">
        <w:rPr>
          <w:lang w:eastAsia="en-US"/>
        </w:rPr>
        <w:t xml:space="preserve">. </w:t>
      </w:r>
      <w:r w:rsidR="00E94653" w:rsidRPr="00237510">
        <w:rPr>
          <w:lang w:eastAsia="en-US"/>
        </w:rPr>
        <w:t xml:space="preserve">Modelling has indicated that the probability of recruitment of Australian grayling in the Latrobe system under current flow conditions is impaired and would be further impacted under continued decline of the flow regime </w:t>
      </w:r>
      <w:r w:rsidR="00E94653" w:rsidRPr="00237510">
        <w:rPr>
          <w:lang w:eastAsia="en-US"/>
        </w:rPr>
        <w:fldChar w:fldCharType="begin"/>
      </w:r>
      <w:r w:rsidR="00815763" w:rsidRPr="00237510">
        <w:rPr>
          <w:lang w:eastAsia="en-US"/>
        </w:rPr>
        <w:instrText xml:space="preserve"> ADDIN ZOTERO_ITEM CSL_CITATION {"citationID":"ZyI0m7qo","properties":{"formattedCitation":"(Shenton et al. 2011)","plainCitation":"(Shenton et al. 2011)","noteIndex":0},"citationItems":[{"id":5310,"uris":["http://zotero.org/users/2336876/items/2NZFI2I5"],"uri":["http://zotero.org/users/2336876/items/2NZFI2I5"],"itemData":{"id":5310,"type":"article-journal","container-title":"River Research and Applications","issue":"3","note":"publisher: Wiley Online Library","page":"283–296","source":"Google Scholar","title":"Bayesian network models for environmental flow decision-making: 1. Latrobe River Australia","title-short":"Bayesian network models for environmental flow decision-making","volume":"27","author":[{"family":"Shenton","given":"Will"},{"family":"Hart","given":"B. T."},{"family":"Chan","given":"Terence"}],"issued":{"date-parts":[["2011"]]}}}],"schema":"https://github.com/citation-style-language/schema/raw/master/csl-citation.json"} </w:instrText>
      </w:r>
      <w:r w:rsidR="00E94653" w:rsidRPr="00237510">
        <w:rPr>
          <w:lang w:eastAsia="en-US"/>
        </w:rPr>
        <w:fldChar w:fldCharType="separate"/>
      </w:r>
      <w:r w:rsidR="00E94653" w:rsidRPr="00237510">
        <w:rPr>
          <w:lang w:eastAsia="en-US"/>
        </w:rPr>
        <w:t>(Shenton et al. 2011)</w:t>
      </w:r>
      <w:r w:rsidR="00E94653" w:rsidRPr="00237510">
        <w:rPr>
          <w:lang w:eastAsia="en-US"/>
        </w:rPr>
        <w:fldChar w:fldCharType="end"/>
      </w:r>
      <w:r w:rsidR="00E94653" w:rsidRPr="00237510">
        <w:rPr>
          <w:lang w:eastAsia="en-US"/>
        </w:rPr>
        <w:t xml:space="preserve">. </w:t>
      </w:r>
      <w:r w:rsidR="005E6A7C" w:rsidRPr="00237510">
        <w:rPr>
          <w:lang w:eastAsia="en-US"/>
        </w:rPr>
        <w:t>The loss of freshes also means less productivity of invertebrate prey species and this in turns reduces the population size of native fish present, and smaller populations are more likely to be subject to other adverse conditions, resulting in patchy distribution of fish and increase the risk of loss from a reach entirely, if recruitment and migration is also impeded.</w:t>
      </w:r>
    </w:p>
    <w:p w14:paraId="657A71A2" w14:textId="4756C9ED" w:rsidR="00E94653" w:rsidRPr="00237510" w:rsidRDefault="007B5730" w:rsidP="007B5730">
      <w:pPr>
        <w:pStyle w:val="ListParagraph"/>
        <w:numPr>
          <w:ilvl w:val="0"/>
          <w:numId w:val="25"/>
        </w:numPr>
        <w:rPr>
          <w:lang w:eastAsia="en-US"/>
        </w:rPr>
      </w:pPr>
      <w:r w:rsidRPr="00237510">
        <w:rPr>
          <w:lang w:eastAsia="en-US"/>
        </w:rPr>
        <w:t xml:space="preserve">Any reduction in longitudinal connectivity will be detrimental to </w:t>
      </w:r>
      <w:r w:rsidR="00E94653" w:rsidRPr="00237510">
        <w:rPr>
          <w:lang w:eastAsia="en-US"/>
        </w:rPr>
        <w:t>all diadromous fish that move between fresh, estuarine and / or marine ecosystems to complete their lifecycles.</w:t>
      </w:r>
      <w:r w:rsidR="00844AFC">
        <w:rPr>
          <w:lang w:eastAsia="en-US"/>
        </w:rPr>
        <w:t xml:space="preserve"> Noting that connectivity is also impacted by physical barriers. </w:t>
      </w:r>
    </w:p>
    <w:p w14:paraId="0930BCD4" w14:textId="535496EC" w:rsidR="007B5730" w:rsidRPr="00237510" w:rsidRDefault="00E94653" w:rsidP="007B5730">
      <w:pPr>
        <w:pStyle w:val="ListParagraph"/>
        <w:numPr>
          <w:ilvl w:val="0"/>
          <w:numId w:val="25"/>
        </w:numPr>
        <w:rPr>
          <w:lang w:eastAsia="en-US"/>
        </w:rPr>
      </w:pPr>
      <w:r w:rsidRPr="00237510">
        <w:rPr>
          <w:lang w:eastAsia="en-US"/>
        </w:rPr>
        <w:t>Bankfull flows in the Latrobe system have been identified as being important in providing slack water habitat for native fish species, including the larvae of river black fish (Shenton et al. 2011)</w:t>
      </w:r>
      <w:r w:rsidR="007B5730" w:rsidRPr="00237510">
        <w:rPr>
          <w:lang w:eastAsia="en-US"/>
        </w:rPr>
        <w:t>.</w:t>
      </w:r>
      <w:r w:rsidRPr="00237510">
        <w:rPr>
          <w:lang w:eastAsia="en-US"/>
        </w:rPr>
        <w:t xml:space="preserve"> These flows are already much declined f</w:t>
      </w:r>
      <w:r w:rsidR="00F70397" w:rsidRPr="00237510">
        <w:rPr>
          <w:lang w:eastAsia="en-US"/>
        </w:rPr>
        <w:t>ro</w:t>
      </w:r>
      <w:r w:rsidRPr="00237510">
        <w:rPr>
          <w:lang w:eastAsia="en-US"/>
        </w:rPr>
        <w:t>m natural and the predicted further decrease is likely to be critical for some fish species.</w:t>
      </w:r>
    </w:p>
    <w:p w14:paraId="0F4D3B78" w14:textId="467697D1" w:rsidR="005E6A7C" w:rsidRPr="00237510" w:rsidRDefault="005E6A7C" w:rsidP="005E6A7C">
      <w:pPr>
        <w:pStyle w:val="ListParagraph"/>
        <w:numPr>
          <w:ilvl w:val="0"/>
          <w:numId w:val="25"/>
        </w:numPr>
        <w:rPr>
          <w:lang w:eastAsia="en-US"/>
        </w:rPr>
      </w:pPr>
      <w:r w:rsidRPr="00237510">
        <w:rPr>
          <w:lang w:eastAsia="en-US"/>
        </w:rPr>
        <w:t>Changes to flushing flows will alter the salinity regime of the estuary, lakes and wetlands and this will alter the distribution of fish species, eventually leading to the loss of these species if the estuary becomes too saline or the conditions for spawning (for black bream for example) are not met.</w:t>
      </w:r>
    </w:p>
    <w:p w14:paraId="6F2EB559" w14:textId="10F8ECD8" w:rsidR="005E6A7C" w:rsidRPr="00237510" w:rsidRDefault="005E6A7C" w:rsidP="005E6A7C">
      <w:pPr>
        <w:pStyle w:val="ListParagraph"/>
        <w:numPr>
          <w:ilvl w:val="0"/>
          <w:numId w:val="25"/>
        </w:numPr>
        <w:rPr>
          <w:lang w:eastAsia="en-US"/>
        </w:rPr>
      </w:pPr>
      <w:r w:rsidRPr="00237510">
        <w:rPr>
          <w:lang w:eastAsia="en-US"/>
        </w:rPr>
        <w:t>Changes to the salinity regime (</w:t>
      </w:r>
      <w:proofErr w:type="gramStart"/>
      <w:r w:rsidRPr="00237510">
        <w:rPr>
          <w:lang w:eastAsia="en-US"/>
        </w:rPr>
        <w:t>in particular a</w:t>
      </w:r>
      <w:proofErr w:type="gramEnd"/>
      <w:r w:rsidRPr="00237510">
        <w:rPr>
          <w:lang w:eastAsia="en-US"/>
        </w:rPr>
        <w:t xml:space="preserve"> progression upstream) may also affect the aquatic vegetation and this will affect recruitment of fish larvae and the populations of fish that require aquatic plants (e.g. the listed Dwarf galaxias).</w:t>
      </w:r>
    </w:p>
    <w:p w14:paraId="39866DD9" w14:textId="0AEF5F72" w:rsidR="00F70397" w:rsidRPr="00237510" w:rsidRDefault="00815763" w:rsidP="00F70397">
      <w:pPr>
        <w:pStyle w:val="ListParagraph"/>
        <w:numPr>
          <w:ilvl w:val="0"/>
          <w:numId w:val="25"/>
        </w:numPr>
        <w:rPr>
          <w:lang w:eastAsia="en-US"/>
        </w:rPr>
      </w:pPr>
      <w:r w:rsidRPr="00237510">
        <w:rPr>
          <w:lang w:eastAsia="en-US"/>
        </w:rPr>
        <w:t>A loss of productivity through reductions freshes, bankfull and overbank flows will affect all fish populations through the food chain.</w:t>
      </w:r>
    </w:p>
    <w:p w14:paraId="7530FAE4" w14:textId="46A702F4" w:rsidR="00F70397" w:rsidRPr="00237510" w:rsidRDefault="00F70397" w:rsidP="00F70397">
      <w:pPr>
        <w:pStyle w:val="Heading4nonumbers"/>
      </w:pPr>
      <w:bookmarkStart w:id="85" w:name="_Toc42001408"/>
      <w:r w:rsidRPr="00237510">
        <w:t>Effects on waterbirds</w:t>
      </w:r>
      <w:bookmarkEnd w:id="85"/>
    </w:p>
    <w:p w14:paraId="10A3B51B" w14:textId="678D65EF" w:rsidR="00F70397" w:rsidRPr="00237510" w:rsidRDefault="00F70397" w:rsidP="00F70397">
      <w:pPr>
        <w:rPr>
          <w:lang w:eastAsia="en-US"/>
        </w:rPr>
      </w:pPr>
      <w:r w:rsidRPr="00237510">
        <w:rPr>
          <w:lang w:eastAsia="en-US"/>
        </w:rPr>
        <w:t xml:space="preserve">The major waterbird habitats in the study area are in the wetlands and Lake Wellington and it is changes to these systems that are likely to have the most effect of waterbird usage of the site. Waterbirds are predicted to be affected directly from altered water regimes </w:t>
      </w:r>
      <w:proofErr w:type="gramStart"/>
      <w:r w:rsidRPr="00237510">
        <w:rPr>
          <w:lang w:eastAsia="en-US"/>
        </w:rPr>
        <w:t>and also</w:t>
      </w:r>
      <w:proofErr w:type="gramEnd"/>
      <w:r w:rsidRPr="00237510">
        <w:rPr>
          <w:lang w:eastAsia="en-US"/>
        </w:rPr>
        <w:t xml:space="preserve"> from a loss of habitat.</w:t>
      </w:r>
    </w:p>
    <w:p w14:paraId="0EE2832A" w14:textId="1322537B" w:rsidR="00F70397" w:rsidRPr="00237510" w:rsidRDefault="00815763" w:rsidP="00F70397">
      <w:pPr>
        <w:rPr>
          <w:lang w:eastAsia="en-US"/>
        </w:rPr>
      </w:pPr>
      <w:proofErr w:type="gramStart"/>
      <w:r w:rsidRPr="00237510">
        <w:rPr>
          <w:lang w:eastAsia="en-US"/>
        </w:rPr>
        <w:t>The vast majority of</w:t>
      </w:r>
      <w:proofErr w:type="gramEnd"/>
      <w:r w:rsidRPr="00237510">
        <w:rPr>
          <w:lang w:eastAsia="en-US"/>
        </w:rPr>
        <w:t xml:space="preserve"> the waterbirds that are regularly supported by the Lower Latrobe Wetlands occur in both fresh and saline environments. Most waterbirds, however, do have specific water depth requirements for foraging. While there may be periods of adequate shallow water habitat for shallow water foragers such as shorebirds and large bodied waders in drying wetlands under decreased frequency of inundation, this habitat is likely to be transitory. Once wetlands are completely dry, there will be little suitable habitat for foraging or breeding.  </w:t>
      </w:r>
    </w:p>
    <w:p w14:paraId="46846B2A" w14:textId="425540F9" w:rsidR="007B5730" w:rsidRPr="00237510" w:rsidRDefault="00815763" w:rsidP="007B5730">
      <w:pPr>
        <w:rPr>
          <w:lang w:eastAsia="en-US"/>
        </w:rPr>
      </w:pPr>
      <w:r w:rsidRPr="00237510">
        <w:rPr>
          <w:lang w:eastAsia="en-US"/>
        </w:rPr>
        <w:t xml:space="preserve">There is likely to be an increased risk of nest abandonment (or birds not beginning a breeding cycle) if duration of inundation cannot persist for </w:t>
      </w:r>
      <w:proofErr w:type="gramStart"/>
      <w:r w:rsidRPr="00237510">
        <w:rPr>
          <w:lang w:eastAsia="en-US"/>
        </w:rPr>
        <w:t>sufficient</w:t>
      </w:r>
      <w:proofErr w:type="gramEnd"/>
      <w:r w:rsidRPr="00237510">
        <w:rPr>
          <w:lang w:eastAsia="en-US"/>
        </w:rPr>
        <w:t xml:space="preserve"> periods to allow chicks to fledge. In addition, any loss of vegetation that is used as nesting habitat (emergent macrophytes, shrubs; inundated trees) will reduce waterbird use of the site.</w:t>
      </w:r>
    </w:p>
    <w:p w14:paraId="1D98DB60" w14:textId="77777777" w:rsidR="00696DF7" w:rsidRPr="00237510" w:rsidRDefault="00815763" w:rsidP="007B5730">
      <w:pPr>
        <w:rPr>
          <w:lang w:eastAsia="en-US"/>
        </w:rPr>
      </w:pPr>
      <w:r w:rsidRPr="00237510">
        <w:rPr>
          <w:lang w:eastAsia="en-US"/>
        </w:rPr>
        <w:t xml:space="preserve">Reductions in productivity from reduced wetland and floodplain inundation will also affect waterbirds. Large congregation of waterbirds occur in areas of high productivity </w:t>
      </w:r>
      <w:r w:rsidRPr="00237510">
        <w:rPr>
          <w:lang w:eastAsia="en-US"/>
        </w:rPr>
        <w:fldChar w:fldCharType="begin"/>
      </w:r>
      <w:r w:rsidRPr="00237510">
        <w:rPr>
          <w:lang w:eastAsia="en-US"/>
        </w:rPr>
        <w:instrText xml:space="preserve"> ADDIN ZOTERO_ITEM CSL_CITATION {"citationID":"rssbcSUP","properties":{"formattedCitation":"(Kingsford and Norman 2002, Kingsford et al. 2010)","plainCitation":"(Kingsford and Norman 2002, Kingsford et al. 2010)","noteIndex":0},"citationItems":[{"id":465,"uris":["http://zotero.org/users/2336876/items/Z8PC46I6"],"uri":["http://zotero.org/users/2336876/items/Z8PC46I6"],"itemData":{"id":465,"type":"article-journal","abstract":"Some aspects of the ecology of 93 waterbird species, found predominantly on freshwater ecosystems, are reviewed. These species, belonging to six major orders &amp;#8212; Anseriformes (ducks, geese and Black Swan), Podicipediformes (grebes), Pelecaniformes (Australian Pelican and cormorants), Ciconiiformes (herons, ibis, spoonbills and bitterns), Gruiformes (cranes, rails, crakes and gallinules), and Charadriiformes (waders and terns) &amp;#8212; use a wide range of habitats and about half occur throughout the continent. Knowledge of their ecology remains poor for many waterbirds, particularly cryptic and rare species, and is moderate to good for hunted species. Life histories of Australian waterbirds differ from their counterparts elsewhere. Australia&amp;#8217;s highly variable climate and river-flooding patterns create wetland habitats, the spatial and temporal variability of which strongly influence the ecology of local waterbirds. Many waterbirds respond to newly generated habitats to feed and/or breed and then disperse or die as wetlands dry. Regular movements are not common in most Australian species although some, particularly waders, migrate between Northern Hemisphere breeding grounds and non-breeding habitat in Australia. Breeding of Australian waterbirds coincides with food abundance in the southern spring, the wet season in the tropics and following floods inland. Habitat loss through draining of wetlands, regulation of rivers, diversion of water for irrigation and floodplain development are currently the major threats to waterbirds. Other potentially threatening processes include exotic plants and animals, pollution, climate change and over-harvesting but evidence for the impact of these factors remains poor. Understanding of waterbird, particularly waterfowl, ecology has contributed significantly to the conservation management of wetlands in Australia. Research on single species, studies of movements using satellite technology, further investigation of the effects of hunting, long-term monitoring and large-scale analyses of the availability of wetland habitat should be future research priorities.","container-title":"Emu","issue":"1","journalAbbreviation":"EMU","page":"47-69","source":"CSIRO Publishing","title":"Australian waterbirds — products of the continent's ecology","volume":"102","author":[{"family":"Kingsford","given":"R. T."},{"family":"Norman","given":"F. I."}],"issued":{"date-parts":[["2002",1,1]]}}},{"id":1414,"uris":["http://zotero.org/users/2336876/items/BTETQ62A"],"uri":["http://zotero.org/users/2336876/items/BTETQ62A"],"itemData":{"id":1414,"type":"article-journal","abstract":"Australia’s waterbirds are mostly nomadic, capitalising on highly variable aquatic resources in the arid interior (70% of the continent) for feeding and breeding. Waterbirds, unlike most aquatic organisms, can move between catchments, exploiting habitat wherever it occurs. In Australia, patterns of resource availability for waterbirds are mostly pulsed with peaks of productivity, coinciding with flooding and differing in time and space, affecting individuals, species and functional groups of waterbirds. Australian waterbirds are no different from waterbirds elsewhere, with their behaviour reflecting broad-scale resource availability. They respond to changing patterns of resource distribution, with rapid movements at spatial and temporal scales commensurate with the dynamics of the resource. The most serious conservation threat to waterbirds is a bottleneck in resource availability, leading to population declines, increasingly forced by anthropogenic impacts. River regulation and other threats (e.g. draining) reduce the availability of wetland habitat and decrease the probability of viable resource patches. It is axiomatic that waterbirds need water and such population bottlenecks may occur when the availability of water across the continent is limited. The rehabilitation of regulated rivers with environmental flows and protection of naturally flowing rivers in the arid region are essential for long-term sustainability of Australia’s waterbird populations.","container-title":"Marine and Freshwater Research","issue":"8","journalAbbreviation":"Mar. Freshwater Res.","page":"875-884","source":"CSIRO Publishing","title":"Australian waterbirds – time and space travellers in dynamic desert landscapes","volume":"61","author":[{"family":"Kingsford","given":"R. T."},{"family":"Roshier","given":"D. A."},{"family":"Porter","given":"J. L."}],"issued":{"date-parts":[["2010"]]}}}],"schema":"https://github.com/citation-style-language/schema/raw/master/csl-citation.json"} </w:instrText>
      </w:r>
      <w:r w:rsidRPr="00237510">
        <w:rPr>
          <w:lang w:eastAsia="en-US"/>
        </w:rPr>
        <w:fldChar w:fldCharType="separate"/>
      </w:r>
      <w:r w:rsidRPr="00237510">
        <w:rPr>
          <w:lang w:eastAsia="en-US"/>
        </w:rPr>
        <w:t>(Kingsford and Norman 2002, Kingsford et al. 2010)</w:t>
      </w:r>
      <w:r w:rsidRPr="00237510">
        <w:rPr>
          <w:lang w:eastAsia="en-US"/>
        </w:rPr>
        <w:fldChar w:fldCharType="end"/>
      </w:r>
      <w:r w:rsidRPr="00237510">
        <w:rPr>
          <w:lang w:eastAsia="en-US"/>
        </w:rPr>
        <w:t xml:space="preserve"> and highly productive foraging grounds are particularly important for </w:t>
      </w:r>
      <w:r w:rsidR="00696DF7" w:rsidRPr="00237510">
        <w:rPr>
          <w:lang w:eastAsia="en-US"/>
        </w:rPr>
        <w:t>internationally</w:t>
      </w:r>
      <w:r w:rsidRPr="00237510">
        <w:rPr>
          <w:lang w:eastAsia="en-US"/>
        </w:rPr>
        <w:t xml:space="preserve"> migrat</w:t>
      </w:r>
      <w:r w:rsidR="00696DF7" w:rsidRPr="00237510">
        <w:rPr>
          <w:lang w:eastAsia="en-US"/>
        </w:rPr>
        <w:t>ory</w:t>
      </w:r>
      <w:r w:rsidRPr="00237510">
        <w:rPr>
          <w:lang w:eastAsia="en-US"/>
        </w:rPr>
        <w:t xml:space="preserve"> shorebirds. These species need </w:t>
      </w:r>
      <w:r w:rsidR="00696DF7" w:rsidRPr="00237510">
        <w:rPr>
          <w:lang w:eastAsia="en-US"/>
        </w:rPr>
        <w:t xml:space="preserve">to consume large amounts of food in order to make the return journey to the northern hemisphere </w:t>
      </w:r>
      <w:r w:rsidR="00696DF7" w:rsidRPr="00237510">
        <w:rPr>
          <w:lang w:eastAsia="en-US"/>
        </w:rPr>
        <w:fldChar w:fldCharType="begin"/>
      </w:r>
      <w:r w:rsidR="00696DF7" w:rsidRPr="00237510">
        <w:rPr>
          <w:lang w:eastAsia="en-US"/>
        </w:rPr>
        <w:instrText xml:space="preserve"> ADDIN ZOTERO_ITEM CSL_CITATION {"citationID":"v5UoiXsT","properties":{"formattedCitation":"(Parry et al. 2013)","plainCitation":"(Parry et al. 2013)","noteIndex":0},"citationItems":[{"id":3819,"uris":["http://zotero.org/users/2336876/items/KBTD57D2"],"uri":["http://zotero.org/users/2336876/items/KBTD57D2"],"itemData":{"id":3819,"type":"article-journal","source":"Google Scholar","title":"The role of sewage effluent in maintaining the productivity of wader feeding areas near the Western Treatment Plant","URL":"http://epubs.scu.edu.au/esm_pubs/1761/","author":[{"family":"Parry","given":"G. D."},{"family":"Oakes","given":"Joanne Margaret"},{"family":"White","given":"C. A."}],"issued":{"date-parts":[["2013"]]}}}],"schema":"https://github.com/citation-style-language/schema/raw/master/csl-citation.json"} </w:instrText>
      </w:r>
      <w:r w:rsidR="00696DF7" w:rsidRPr="00237510">
        <w:rPr>
          <w:lang w:eastAsia="en-US"/>
        </w:rPr>
        <w:fldChar w:fldCharType="separate"/>
      </w:r>
      <w:r w:rsidR="00696DF7" w:rsidRPr="00237510">
        <w:rPr>
          <w:lang w:eastAsia="en-US"/>
        </w:rPr>
        <w:t>(Parry et al. 2013)</w:t>
      </w:r>
      <w:r w:rsidR="00696DF7" w:rsidRPr="00237510">
        <w:rPr>
          <w:lang w:eastAsia="en-US"/>
        </w:rPr>
        <w:fldChar w:fldCharType="end"/>
      </w:r>
      <w:r w:rsidR="00696DF7" w:rsidRPr="00237510">
        <w:rPr>
          <w:lang w:eastAsia="en-US"/>
        </w:rPr>
        <w:t>.</w:t>
      </w:r>
    </w:p>
    <w:p w14:paraId="5BAA6679" w14:textId="759CCBCD" w:rsidR="00815763" w:rsidRPr="00237510" w:rsidRDefault="00696DF7" w:rsidP="007B5730">
      <w:pPr>
        <w:rPr>
          <w:lang w:eastAsia="en-US"/>
        </w:rPr>
      </w:pPr>
      <w:r w:rsidRPr="00237510">
        <w:rPr>
          <w:lang w:eastAsia="en-US"/>
        </w:rPr>
        <w:t xml:space="preserve">Some of the species in the Lower Latrobe Wetlands, such as the nationally endangered Australasian bittern have specific vegetated habitat requirements. Any loss of the dense emergent macrophyte beds as a result of decreased inundation and / or increased salinity, will reduce the utility of the site for these species.   </w:t>
      </w:r>
    </w:p>
    <w:p w14:paraId="0EC4A3C5" w14:textId="47C45B2D" w:rsidR="00696DF7" w:rsidRPr="00237510" w:rsidRDefault="00696DF7" w:rsidP="00696DF7">
      <w:pPr>
        <w:pStyle w:val="Heading4nonumbers"/>
      </w:pPr>
      <w:bookmarkStart w:id="86" w:name="_Toc42001409"/>
      <w:r w:rsidRPr="00237510">
        <w:t xml:space="preserve">Effects on </w:t>
      </w:r>
      <w:proofErr w:type="gramStart"/>
      <w:r w:rsidRPr="00237510">
        <w:t>other</w:t>
      </w:r>
      <w:proofErr w:type="gramEnd"/>
      <w:r w:rsidRPr="00237510">
        <w:t xml:space="preserve"> wetland biota</w:t>
      </w:r>
      <w:bookmarkEnd w:id="86"/>
    </w:p>
    <w:p w14:paraId="0EBF2F3C" w14:textId="68ADCD98" w:rsidR="00915118" w:rsidRPr="00237510" w:rsidRDefault="005E6A7C" w:rsidP="00696DF7">
      <w:pPr>
        <w:rPr>
          <w:lang w:eastAsia="en-US"/>
        </w:rPr>
      </w:pPr>
      <w:r w:rsidRPr="00237510">
        <w:rPr>
          <w:lang w:eastAsia="en-US"/>
        </w:rPr>
        <w:t xml:space="preserve">The combined effects of reduced frequency and duration of inundation and likely deterioration of water quality in the Lower Latrobe wetlands will have major adverse impacts on frog populations, including the two threatened species, green and golden bell frog and growling grass frog. Although the green and golden bell frog have some capacity of survival in brackish water, amphibians </w:t>
      </w:r>
      <w:proofErr w:type="gramStart"/>
      <w:r w:rsidRPr="00237510">
        <w:rPr>
          <w:lang w:eastAsia="en-US"/>
        </w:rPr>
        <w:t>as a whole are</w:t>
      </w:r>
      <w:proofErr w:type="gramEnd"/>
      <w:r w:rsidRPr="00237510">
        <w:rPr>
          <w:lang w:eastAsia="en-US"/>
        </w:rPr>
        <w:t xml:space="preserve"> very poorly adapted to saline conditions and they are not tolerant of high salinities. Frogs are also particularly susceptible to changes in pH, and the acidic conditions and heavy metals that may occur following the activation of acid sulfate soils are likely to present additional stresses</w:t>
      </w:r>
      <w:r w:rsidR="00696DF7" w:rsidRPr="00237510">
        <w:rPr>
          <w:lang w:eastAsia="en-US"/>
        </w:rPr>
        <w:t xml:space="preserve"> </w:t>
      </w:r>
      <w:r w:rsidR="00696DF7" w:rsidRPr="00237510">
        <w:rPr>
          <w:lang w:eastAsia="en-US"/>
        </w:rPr>
        <w:fldChar w:fldCharType="begin"/>
      </w:r>
      <w:r w:rsidR="00696DF7" w:rsidRPr="00237510">
        <w:rPr>
          <w:lang w:eastAsia="en-US"/>
        </w:rPr>
        <w:instrText xml:space="preserve"> ADDIN ZOTERO_ITEM CSL_CITATION {"citationID":"TYuMgvwW","properties":{"formattedCitation":"(Ferraro and Burgin 1993)","plainCitation":"(Ferraro and Burgin 1993)","noteIndex":0},"citationItems":[{"id":5313,"uris":["http://zotero.org/users/2336876/items/DJQ3FKG7"],"uri":["http://zotero.org/users/2336876/items/DJQ3FKG7"],"itemData":{"id":5313,"type":"article-journal","container-title":"Herpetology in Australia: a diverse discipline","note":"publisher: Royal Zoological Society of New South Wales Sydney","page":"205–218","source":"Google Scholar","title":"Review of environmental factors influencing the decline of Australian frogs","author":[{"family":"Ferraro","given":"Timothy John"},{"family":"Burgin","given":"Shelley"}],"issued":{"date-parts":[["1993"]]}}}],"schema":"https://github.com/citation-style-language/schema/raw/master/csl-citation.json"} </w:instrText>
      </w:r>
      <w:r w:rsidR="00696DF7" w:rsidRPr="00237510">
        <w:rPr>
          <w:lang w:eastAsia="en-US"/>
        </w:rPr>
        <w:fldChar w:fldCharType="separate"/>
      </w:r>
      <w:r w:rsidR="00696DF7" w:rsidRPr="00237510">
        <w:rPr>
          <w:lang w:eastAsia="en-US"/>
        </w:rPr>
        <w:t>(Ferraro and Burgin 1993)</w:t>
      </w:r>
      <w:r w:rsidR="00696DF7" w:rsidRPr="00237510">
        <w:rPr>
          <w:lang w:eastAsia="en-US"/>
        </w:rPr>
        <w:fldChar w:fldCharType="end"/>
      </w:r>
      <w:r w:rsidR="00696DF7" w:rsidRPr="00237510">
        <w:rPr>
          <w:lang w:eastAsia="en-US"/>
        </w:rPr>
        <w:t>.</w:t>
      </w:r>
    </w:p>
    <w:p w14:paraId="05A3C128" w14:textId="2E398EB3" w:rsidR="00696DF7" w:rsidRPr="00237510" w:rsidRDefault="00696DF7" w:rsidP="00696DF7">
      <w:pPr>
        <w:rPr>
          <w:lang w:eastAsia="en-US"/>
        </w:rPr>
      </w:pPr>
      <w:r w:rsidRPr="00237510">
        <w:rPr>
          <w:lang w:eastAsia="en-US"/>
        </w:rPr>
        <w:t>Impacts of reduced baseflows and freshes will affect habitat for macroinvertebrates and the loss of productivity from reduced bankfull and overbank flows are likely to affect all biota through the food chain.</w:t>
      </w:r>
    </w:p>
    <w:p w14:paraId="24B78845" w14:textId="4AD39CA0" w:rsidR="0017123E" w:rsidRPr="00237510" w:rsidRDefault="00801D7A" w:rsidP="005E6A7C">
      <w:r w:rsidRPr="00237510">
        <w:rPr>
          <w:noProof/>
        </w:rPr>
        <mc:AlternateContent>
          <mc:Choice Requires="wps">
            <w:drawing>
              <wp:inline distT="0" distB="0" distL="0" distR="0" wp14:anchorId="2EFC89D5" wp14:editId="19AB0664">
                <wp:extent cx="5515583" cy="5438273"/>
                <wp:effectExtent l="0" t="0" r="0" b="0"/>
                <wp:docPr id="490" name="Text Box 490"/>
                <wp:cNvGraphicFramePr/>
                <a:graphic xmlns:a="http://schemas.openxmlformats.org/drawingml/2006/main">
                  <a:graphicData uri="http://schemas.microsoft.com/office/word/2010/wordprocessingShape">
                    <wps:wsp>
                      <wps:cNvSpPr txBox="1"/>
                      <wps:spPr>
                        <a:xfrm>
                          <a:off x="0" y="0"/>
                          <a:ext cx="5515583" cy="5438273"/>
                        </a:xfrm>
                        <a:prstGeom prst="rect">
                          <a:avLst/>
                        </a:prstGeom>
                        <a:solidFill>
                          <a:schemeClr val="accent5">
                            <a:lumMod val="40000"/>
                            <a:lumOff val="60000"/>
                          </a:schemeClr>
                        </a:solidFill>
                        <a:ln w="6350">
                          <a:noFill/>
                        </a:ln>
                      </wps:spPr>
                      <wps:txbx>
                        <w:txbxContent>
                          <w:p w14:paraId="6A0172FB" w14:textId="3BF63AE3" w:rsidR="00AF508C" w:rsidRPr="008E2C1D" w:rsidRDefault="00AF508C">
                            <w:pPr>
                              <w:rPr>
                                <w:b/>
                                <w:bCs/>
                                <w:i/>
                                <w:iCs/>
                                <w:color w:val="215868" w:themeColor="accent5" w:themeShade="80"/>
                              </w:rPr>
                            </w:pPr>
                            <w:r w:rsidRPr="008E2C1D">
                              <w:rPr>
                                <w:b/>
                                <w:bCs/>
                                <w:i/>
                                <w:iCs/>
                                <w:color w:val="215868" w:themeColor="accent5" w:themeShade="80"/>
                              </w:rPr>
                              <w:t>Why can’t we fill the mines with flood water?</w:t>
                            </w:r>
                          </w:p>
                          <w:p w14:paraId="703DFA1E" w14:textId="41F2F6F0" w:rsidR="00AF508C" w:rsidRPr="005E6A7C" w:rsidRDefault="00AF508C">
                            <w:pPr>
                              <w:rPr>
                                <w:sz w:val="18"/>
                                <w:szCs w:val="18"/>
                              </w:rPr>
                            </w:pPr>
                            <w:r w:rsidRPr="005E6A7C">
                              <w:rPr>
                                <w:sz w:val="18"/>
                                <w:szCs w:val="18"/>
                              </w:rPr>
                              <w:t xml:space="preserve">River ecosystems and the wetlands and estuaries that are connected to them rely on periodic large scale floods to maintain condition. Floods not only flush contaminants such as salt, nutrients and toxicants downstream and ultimately into the ocean, but are ecologically vital for the functioning of riverine, floodplain and estuarine ecosystems. For instance, they reset ecological systems, promote the creation of new habitats via disturbance, and provide the essential movement cues for native fish. The loss of floods leads inevitably to reduced biodiversity, the worsening of the condition of native ecosystems and populations, and a disruption of the important ecological functions that maintain these </w:t>
                            </w:r>
                            <w:r>
                              <w:rPr>
                                <w:sz w:val="18"/>
                                <w:szCs w:val="18"/>
                              </w:rPr>
                              <w:t>e</w:t>
                            </w:r>
                            <w:r w:rsidRPr="005E6A7C">
                              <w:rPr>
                                <w:sz w:val="18"/>
                                <w:szCs w:val="18"/>
                              </w:rPr>
                              <w:t xml:space="preserve">cosystems. </w:t>
                            </w:r>
                          </w:p>
                          <w:p w14:paraId="573152D3" w14:textId="1A2003BD" w:rsidR="00AF508C" w:rsidRPr="005E6A7C" w:rsidRDefault="00AF508C">
                            <w:pPr>
                              <w:rPr>
                                <w:sz w:val="18"/>
                                <w:szCs w:val="18"/>
                              </w:rPr>
                            </w:pPr>
                            <w:r w:rsidRPr="005E6A7C">
                              <w:rPr>
                                <w:sz w:val="18"/>
                                <w:szCs w:val="18"/>
                              </w:rPr>
                              <w:t xml:space="preserve">Floods provide lateral and longitudinal connectivity, they facilitate the movement of carbon, nutrients and biota between ecosystems and between the floodplain and the river. The accumulated leaf litter and woody debris on the floodplain flows to the river providing a boost in productivity and a carbon source that lasts for the years between floods </w:t>
                            </w:r>
                          </w:p>
                          <w:p w14:paraId="1C67556E" w14:textId="2653FE51" w:rsidR="00AF508C" w:rsidRPr="005E6A7C" w:rsidRDefault="00AF508C">
                            <w:pPr>
                              <w:rPr>
                                <w:sz w:val="18"/>
                                <w:szCs w:val="18"/>
                              </w:rPr>
                            </w:pPr>
                            <w:r w:rsidRPr="005E6A7C">
                              <w:rPr>
                                <w:sz w:val="18"/>
                                <w:szCs w:val="18"/>
                              </w:rPr>
                              <w:t>Floods provide a mosaic of habitats across the landscape for large numbers of aquatic species. They provide riparian and floodplain vegetation with a much needed drink, sustaining them for the years between flood events. They often stimulate fish and waterbird breeding and they allow for the dispersal and exchange of seeds, propagules and biota with connected systems improving genetic diversity. In systems with dams, weirs and other impediments to fish movement, floods restore connectivity.</w:t>
                            </w:r>
                          </w:p>
                          <w:p w14:paraId="780B8499" w14:textId="77777777" w:rsidR="00AF508C" w:rsidRDefault="00AF508C" w:rsidP="005E6A7C">
                            <w:pPr>
                              <w:rPr>
                                <w:sz w:val="18"/>
                                <w:szCs w:val="18"/>
                              </w:rPr>
                            </w:pPr>
                            <w:r w:rsidRPr="005E6A7C">
                              <w:rPr>
                                <w:sz w:val="18"/>
                                <w:szCs w:val="18"/>
                              </w:rPr>
                              <w:t>In this Latrobe system they are very important for flushing the Lower Latrobe wetlands of nutrients and salts, and for reducing salinity in Lake Wellington. The movement of freshwater through McLennan Strait also benefits the broader Gippsland Lakes system. It is the reduction in flood events, in part, which has resulted in the increasing salinity in Lake Wellington and the risk of saline water intrusion into the Lower Latrobe Wetlands. Any further loss of flood events is likely to result in accelerated decline in condition of these ecosystems and the biota they support.</w:t>
                            </w:r>
                          </w:p>
                          <w:p w14:paraId="5E7DE407" w14:textId="19840048" w:rsidR="00AF508C" w:rsidRPr="005E6A7C" w:rsidRDefault="00AF508C" w:rsidP="005E6A7C">
                            <w:r w:rsidRPr="008E2C1D">
                              <w:rPr>
                                <w:noProof/>
                              </w:rPr>
                              <w:drawing>
                                <wp:inline distT="0" distB="0" distL="0" distR="0" wp14:anchorId="7A7E688D" wp14:editId="55231CD2">
                                  <wp:extent cx="5325745" cy="1504315"/>
                                  <wp:effectExtent l="0" t="0" r="0" b="0"/>
                                  <wp:docPr id="491" name="Picture 491" descr="Aerial view of a Latrobe River flood event i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25745" cy="1504315"/>
                                          </a:xfrm>
                                          <a:prstGeom prst="rect">
                                            <a:avLst/>
                                          </a:prstGeom>
                                          <a:noFill/>
                                          <a:ln>
                                            <a:noFill/>
                                          </a:ln>
                                        </pic:spPr>
                                      </pic:pic>
                                    </a:graphicData>
                                  </a:graphic>
                                </wp:inline>
                              </w:drawing>
                            </w:r>
                          </w:p>
                          <w:p w14:paraId="02643A73" w14:textId="3C1302C1" w:rsidR="00AF508C" w:rsidRDefault="00AF508C" w:rsidP="008E2C1D">
                            <w:pPr>
                              <w:pStyle w:val="Caption"/>
                            </w:pPr>
                            <w:r>
                              <w:t>Latrobe River in Flood, October 2019, photo West Gippsland CMA.</w:t>
                            </w:r>
                          </w:p>
                          <w:p w14:paraId="20B0C4D9" w14:textId="77777777" w:rsidR="00AF508C" w:rsidRDefault="00AF508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arto="http://schemas.microsoft.com/office/word/2006/arto" xmlns:w16="http://schemas.microsoft.com/office/word/2018/wordml" xmlns:w16cex="http://schemas.microsoft.com/office/word/2018/wordml/cex">
            <w:pict>
              <v:shape w14:anchorId="2EFC89D5" id="Text Box 490" o:spid="_x0000_s1029" type="#_x0000_t202" style="width:434.3pt;height:42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" fillcolor="#b6dde8 [1304]" stroked="f" strokeweight=".5pt">
                <v:textbox>
                  <w:txbxContent>
                    <w:p w14:paraId="6A0172FB" w14:textId="3BF63AE3" w:rsidR="00AF508C" w:rsidRPr="008E2C1D" w:rsidRDefault="00AF508C">
                      <w:pPr>
                        <w:rPr>
                          <w:b/>
                          <w:bCs/>
                          <w:i/>
                          <w:iCs/>
                          <w:color w:val="215868" w:themeColor="accent5" w:themeShade="80"/>
                        </w:rPr>
                      </w:pPr>
                      <w:r w:rsidRPr="008E2C1D">
                        <w:rPr>
                          <w:b/>
                          <w:bCs/>
                          <w:i/>
                          <w:iCs/>
                          <w:color w:val="215868" w:themeColor="accent5" w:themeShade="80"/>
                        </w:rPr>
                        <w:t>Why can’t we fill the mines with flood water?</w:t>
                      </w:r>
                    </w:p>
                    <w:p w14:paraId="703DFA1E" w14:textId="41F2F6F0" w:rsidR="00AF508C" w:rsidRPr="005E6A7C" w:rsidRDefault="00AF508C">
                      <w:pPr>
                        <w:rPr>
                          <w:sz w:val="18"/>
                          <w:szCs w:val="18"/>
                        </w:rPr>
                      </w:pPr>
                      <w:r w:rsidRPr="005E6A7C">
                        <w:rPr>
                          <w:sz w:val="18"/>
                          <w:szCs w:val="18"/>
                        </w:rPr>
                        <w:t xml:space="preserve">River ecosystems and the wetlands and estuaries that are connected to them rely on periodic large scale floods to maintain condition. Floods not only flush contaminants such as salt, nutrients and toxicants downstream and ultimately into the ocean, but are ecologically vital for the functioning of riverine, floodplain and estuarine ecosystems. For instance, they reset ecological systems, promote the creation of new habitats via disturbance, and provide the essential movement cues for native fish. The loss of floods leads inevitably to reduced biodiversity, the worsening of the condition of native ecosystems and populations, and a disruption of the important ecological functions that maintain these </w:t>
                      </w:r>
                      <w:r>
                        <w:rPr>
                          <w:sz w:val="18"/>
                          <w:szCs w:val="18"/>
                        </w:rPr>
                        <w:t>e</w:t>
                      </w:r>
                      <w:r w:rsidRPr="005E6A7C">
                        <w:rPr>
                          <w:sz w:val="18"/>
                          <w:szCs w:val="18"/>
                        </w:rPr>
                        <w:t xml:space="preserve">cosystems. </w:t>
                      </w:r>
                    </w:p>
                    <w:p w14:paraId="573152D3" w14:textId="1A2003BD" w:rsidR="00AF508C" w:rsidRPr="005E6A7C" w:rsidRDefault="00AF508C">
                      <w:pPr>
                        <w:rPr>
                          <w:sz w:val="18"/>
                          <w:szCs w:val="18"/>
                        </w:rPr>
                      </w:pPr>
                      <w:r w:rsidRPr="005E6A7C">
                        <w:rPr>
                          <w:sz w:val="18"/>
                          <w:szCs w:val="18"/>
                        </w:rPr>
                        <w:t xml:space="preserve">Floods provide lateral and longitudinal connectivity, they facilitate the movement of carbon, nutrients and biota between ecosystems and between the floodplain and the river. The accumulated leaf litter and woody debris on the floodplain flows to the river providing a boost in productivity and a carbon source that lasts for the years between floods </w:t>
                      </w:r>
                    </w:p>
                    <w:p w14:paraId="1C67556E" w14:textId="2653FE51" w:rsidR="00AF508C" w:rsidRPr="005E6A7C" w:rsidRDefault="00AF508C">
                      <w:pPr>
                        <w:rPr>
                          <w:sz w:val="18"/>
                          <w:szCs w:val="18"/>
                        </w:rPr>
                      </w:pPr>
                      <w:r w:rsidRPr="005E6A7C">
                        <w:rPr>
                          <w:sz w:val="18"/>
                          <w:szCs w:val="18"/>
                        </w:rPr>
                        <w:t>Floods provide a mosaic of habitats across the landscape for large numbers of aquatic species. They provide riparian and floodplain vegetation with a much needed drink, sustaining them for the years between flood events. They often stimulate fish and waterbird breeding and they allow for the dispersal and exchange of seeds, propagules and biota with connected systems improving genetic diversity. In systems with dams, weirs and other impediments to fish movement, floods restore connectivity.</w:t>
                      </w:r>
                    </w:p>
                    <w:p w14:paraId="780B8499" w14:textId="77777777" w:rsidR="00AF508C" w:rsidRDefault="00AF508C" w:rsidP="005E6A7C">
                      <w:pPr>
                        <w:rPr>
                          <w:sz w:val="18"/>
                          <w:szCs w:val="18"/>
                        </w:rPr>
                      </w:pPr>
                      <w:r w:rsidRPr="005E6A7C">
                        <w:rPr>
                          <w:sz w:val="18"/>
                          <w:szCs w:val="18"/>
                        </w:rPr>
                        <w:t>In this Latrobe system they are very important for flushing the Lower Latrobe wetlands of nutrients and salts, and for reducing salinity in Lake Wellington. The movement of freshwater through McLennan Strait also benefits the broader Gippsland Lakes system. It is the reduction in flood events, in part, which has resulted in the increasing salinity in Lake Wellington and the risk of saline water intrusion into the Lower Latrobe Wetlands. Any further loss of flood events is likely to result in accelerated decline in condition of these ecosystems and the biota they support.</w:t>
                      </w:r>
                    </w:p>
                    <w:p w14:paraId="5E7DE407" w14:textId="19840048" w:rsidR="00AF508C" w:rsidRPr="005E6A7C" w:rsidRDefault="00AF508C" w:rsidP="005E6A7C">
                      <w:r w:rsidRPr="008E2C1D">
                        <w:rPr>
                          <w:noProof/>
                        </w:rPr>
                        <w:drawing>
                          <wp:inline distT="0" distB="0" distL="0" distR="0" wp14:anchorId="7A7E688D" wp14:editId="55231CD2">
                            <wp:extent cx="5325745" cy="1504315"/>
                            <wp:effectExtent l="0" t="0" r="0" b="0"/>
                            <wp:docPr id="491" name="Picture 491" descr="Aerial view of a Latrobe River flood event i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25745" cy="1504315"/>
                                    </a:xfrm>
                                    <a:prstGeom prst="rect">
                                      <a:avLst/>
                                    </a:prstGeom>
                                    <a:noFill/>
                                    <a:ln>
                                      <a:noFill/>
                                    </a:ln>
                                  </pic:spPr>
                                </pic:pic>
                              </a:graphicData>
                            </a:graphic>
                          </wp:inline>
                        </w:drawing>
                      </w:r>
                    </w:p>
                    <w:p w14:paraId="02643A73" w14:textId="3C1302C1" w:rsidR="00AF508C" w:rsidRDefault="00AF508C" w:rsidP="008E2C1D">
                      <w:pPr>
                        <w:pStyle w:val="Caption"/>
                      </w:pPr>
                      <w:r>
                        <w:t>Latrobe River in Flood, October 2019, photo West Gippsland CMA.</w:t>
                      </w:r>
                    </w:p>
                    <w:p w14:paraId="20B0C4D9" w14:textId="77777777" w:rsidR="00AF508C" w:rsidRDefault="00AF508C"/>
                  </w:txbxContent>
                </v:textbox>
                <w10:anchorlock/>
              </v:shape>
            </w:pict>
          </mc:Fallback>
        </mc:AlternateContent>
      </w:r>
      <w:r w:rsidR="0017123E" w:rsidRPr="00237510">
        <w:br w:type="page"/>
      </w:r>
    </w:p>
    <w:p w14:paraId="76DCDFDD" w14:textId="4981867A" w:rsidR="008E2C1D" w:rsidRPr="00237510" w:rsidRDefault="008E2C1D" w:rsidP="008E2C1D">
      <w:pPr>
        <w:pStyle w:val="Heading1"/>
      </w:pPr>
      <w:bookmarkStart w:id="87" w:name="_Toc42001410"/>
      <w:r w:rsidRPr="00237510">
        <w:t>Conclusions and recommendations</w:t>
      </w:r>
      <w:bookmarkEnd w:id="87"/>
    </w:p>
    <w:p w14:paraId="593D795E" w14:textId="77777777" w:rsidR="00844AFC" w:rsidRDefault="00844AFC" w:rsidP="00844AFC">
      <w:pPr>
        <w:rPr>
          <w:lang w:eastAsia="en-US"/>
        </w:rPr>
      </w:pPr>
      <w:r>
        <w:rPr>
          <w:lang w:eastAsia="en-US"/>
        </w:rPr>
        <w:t xml:space="preserve">The aquatic ecosystems of the Latrobe River system support highly significant biodiversity values. They have, however, been subject to significant ecological stress from altered flows and water regimes over the past 100+ years. All the important aspects of the flow regime have been altered and the recommended water regimes defined by Alluvium (2020) in the most recent FLOWS analysis are largely not met. This inability to meet even the flow requirements requiring the least amount of additional flows has </w:t>
      </w:r>
      <w:r w:rsidRPr="1C5820A1">
        <w:rPr>
          <w:lang w:eastAsia="en-US"/>
        </w:rPr>
        <w:t xml:space="preserve">contributed significantly </w:t>
      </w:r>
      <w:r>
        <w:rPr>
          <w:lang w:eastAsia="en-US"/>
        </w:rPr>
        <w:t xml:space="preserve">to the decline in condition of the Latrobe River system and its associated floodplains, wetlands and estuary. </w:t>
      </w:r>
    </w:p>
    <w:p w14:paraId="46F1E2B4" w14:textId="77777777" w:rsidR="00663AE9" w:rsidRDefault="00663AE9" w:rsidP="00663AE9">
      <w:pPr>
        <w:rPr>
          <w:lang w:eastAsia="en-US"/>
        </w:rPr>
      </w:pPr>
      <w:r>
        <w:rPr>
          <w:lang w:eastAsia="en-US"/>
        </w:rPr>
        <w:t>Hydrological modelling indicates that climate change and continued water use at current levels will have further highly adverse impacts on hydrological regimes, with a full uptake of water entitlements for mine rehabilitation exacerbating the already ominous situation of insufficient flows in this heavily flow-stressed river system. It is expected that a continued decline in water availability for the ecologically important components of the flow regime (e.g. baseflows, freshes and bankfull/overbank flows) will have escalating impacts on the ecological condition of the system.</w:t>
      </w:r>
    </w:p>
    <w:p w14:paraId="4892DED8" w14:textId="77777777" w:rsidR="00663AE9" w:rsidRDefault="00663AE9" w:rsidP="00663AE9">
      <w:pPr>
        <w:rPr>
          <w:lang w:eastAsia="en-US"/>
        </w:rPr>
      </w:pPr>
      <w:r w:rsidRPr="5DF9B386">
        <w:rPr>
          <w:lang w:eastAsia="en-US"/>
        </w:rPr>
        <w:t xml:space="preserve">Rivers, estuaries and wetlands, like all ecosystems, adapt to changes in the environment. In terms of reduced freshwater inflows and increased salinity, it is likely that there will be a transition to more terrestrial environments and salt-tolerant biota. This change will be at the expense of freshwater dependent values and most likely represent a reduction in biodiversity. As it is, there remains only one natural freshwater wetland (Sale Common) in the Gippsland Lakes Ramsar Site. To maintain freshwater dependent values and meet the management objectives for the Latrobe River (developed in conjunction with the local community), more fresh water for the environment is required − not less − and will need to be carefully managed to optimise ecological outcomes.  </w:t>
      </w:r>
    </w:p>
    <w:p w14:paraId="457BDAF0" w14:textId="77777777" w:rsidR="00663AE9" w:rsidRDefault="00663AE9" w:rsidP="00663AE9">
      <w:pPr>
        <w:rPr>
          <w:lang w:eastAsia="en-US"/>
        </w:rPr>
      </w:pPr>
      <w:r w:rsidRPr="5DF9B386">
        <w:rPr>
          <w:rFonts w:cstheme="minorBidi"/>
        </w:rPr>
        <w:t>Further impacts to the system, through continued and increasing water extraction will undermine the resilience of ecosystems and the biota they support to future changes in climate and other stresses. While the system has proven resilient so far to reduced flow by maintaining much of its ecological values, there will be thresholds beyond which the system cannot recover. It is vital that we manage water extraction from the system within these thresholds of resilience.</w:t>
      </w:r>
    </w:p>
    <w:p w14:paraId="3B8AF431" w14:textId="1E70F334" w:rsidR="00663AE9" w:rsidRDefault="00663AE9" w:rsidP="00663AE9">
      <w:pPr>
        <w:spacing w:after="0"/>
        <w:rPr>
          <w:lang w:eastAsia="en-US"/>
        </w:rPr>
      </w:pPr>
    </w:p>
    <w:p w14:paraId="5CC6CED2" w14:textId="77777777" w:rsidR="00663AE9" w:rsidRDefault="00663AE9" w:rsidP="00663AE9">
      <w:pPr>
        <w:rPr>
          <w:lang w:eastAsia="en-US"/>
        </w:rPr>
      </w:pPr>
      <w:r>
        <w:rPr>
          <w:lang w:eastAsia="en-US"/>
        </w:rPr>
        <w:t>The key messages of this EEA are:</w:t>
      </w:r>
    </w:p>
    <w:p w14:paraId="51F93205" w14:textId="6D8F347A" w:rsidR="00663AE9" w:rsidRDefault="00663AE9" w:rsidP="00663AE9">
      <w:pPr>
        <w:pStyle w:val="ListParagraph"/>
        <w:numPr>
          <w:ilvl w:val="0"/>
          <w:numId w:val="27"/>
        </w:numPr>
        <w:rPr>
          <w:lang w:eastAsia="en-US"/>
        </w:rPr>
      </w:pPr>
      <w:r w:rsidRPr="5DF9B386">
        <w:rPr>
          <w:lang w:eastAsia="en-US"/>
        </w:rPr>
        <w:t>Continued water resource use under future climates will lead to the decline in environmental values of the</w:t>
      </w:r>
      <w:r w:rsidR="00B939D1">
        <w:rPr>
          <w:lang w:eastAsia="en-US"/>
        </w:rPr>
        <w:t xml:space="preserve"> Latrobe</w:t>
      </w:r>
      <w:r w:rsidRPr="5DF9B386">
        <w:rPr>
          <w:lang w:eastAsia="en-US"/>
        </w:rPr>
        <w:t xml:space="preserve"> system and a loss of biodiversity. This </w:t>
      </w:r>
      <w:r w:rsidR="002E5E2D">
        <w:rPr>
          <w:lang w:eastAsia="en-US"/>
        </w:rPr>
        <w:t xml:space="preserve">would </w:t>
      </w:r>
      <w:r w:rsidRPr="5DF9B386">
        <w:rPr>
          <w:lang w:eastAsia="en-US"/>
        </w:rPr>
        <w:t xml:space="preserve">be </w:t>
      </w:r>
      <w:r w:rsidR="003D619D">
        <w:rPr>
          <w:lang w:eastAsia="en-US"/>
        </w:rPr>
        <w:t>exacerbated</w:t>
      </w:r>
      <w:r w:rsidRPr="5DF9B386">
        <w:rPr>
          <w:lang w:eastAsia="en-US"/>
        </w:rPr>
        <w:t xml:space="preserve"> if </w:t>
      </w:r>
      <w:r w:rsidR="003D619D">
        <w:rPr>
          <w:lang w:eastAsia="en-US"/>
        </w:rPr>
        <w:t xml:space="preserve">there were to be </w:t>
      </w:r>
      <w:r w:rsidR="009F0723">
        <w:rPr>
          <w:lang w:eastAsia="en-US"/>
        </w:rPr>
        <w:t xml:space="preserve">an increased or </w:t>
      </w:r>
      <w:r w:rsidRPr="5DF9B386">
        <w:rPr>
          <w:lang w:eastAsia="en-US"/>
        </w:rPr>
        <w:t xml:space="preserve">full uptake of </w:t>
      </w:r>
      <w:r w:rsidR="003D619D">
        <w:rPr>
          <w:lang w:eastAsia="en-US"/>
        </w:rPr>
        <w:t xml:space="preserve">mine operator’s </w:t>
      </w:r>
      <w:r w:rsidRPr="5DF9B386">
        <w:rPr>
          <w:lang w:eastAsia="en-US"/>
        </w:rPr>
        <w:t xml:space="preserve">entitlements </w:t>
      </w:r>
      <w:r w:rsidR="00AB6D36">
        <w:rPr>
          <w:lang w:eastAsia="en-US"/>
        </w:rPr>
        <w:t xml:space="preserve">from the Latrobe river system </w:t>
      </w:r>
      <w:r w:rsidRPr="5DF9B386">
        <w:rPr>
          <w:lang w:eastAsia="en-US"/>
        </w:rPr>
        <w:t>for mine rehabilitation.</w:t>
      </w:r>
    </w:p>
    <w:p w14:paraId="6000BA96" w14:textId="77777777" w:rsidR="00663AE9" w:rsidRDefault="00663AE9" w:rsidP="00663AE9">
      <w:pPr>
        <w:pStyle w:val="ListParagraph"/>
        <w:numPr>
          <w:ilvl w:val="0"/>
          <w:numId w:val="27"/>
        </w:numPr>
        <w:rPr>
          <w:lang w:eastAsia="en-US"/>
        </w:rPr>
      </w:pPr>
      <w:r w:rsidRPr="5DF9B386">
        <w:rPr>
          <w:lang w:eastAsia="en-US"/>
        </w:rPr>
        <w:t>Decreases in water availability (from continued or increasing abstraction to fill mine pits) will result in multiple and interconnected threats resulting in loss of ecosystem and social values of the Latrobe River, its estuary and the Lakes. These losses will stem from:</w:t>
      </w:r>
    </w:p>
    <w:p w14:paraId="1703055B" w14:textId="77777777" w:rsidR="00663AE9" w:rsidRDefault="00663AE9" w:rsidP="00663AE9">
      <w:pPr>
        <w:pStyle w:val="ListParagraph"/>
        <w:numPr>
          <w:ilvl w:val="1"/>
          <w:numId w:val="27"/>
        </w:numPr>
        <w:rPr>
          <w:lang w:eastAsia="en-US"/>
        </w:rPr>
      </w:pPr>
      <w:r>
        <w:rPr>
          <w:lang w:eastAsia="en-US"/>
        </w:rPr>
        <w:t>Altered river channel geomorphology which will impact on habitat for fish and other biota as well as productivity</w:t>
      </w:r>
    </w:p>
    <w:p w14:paraId="69F12702" w14:textId="77777777" w:rsidR="00663AE9" w:rsidRDefault="00663AE9" w:rsidP="00663AE9">
      <w:pPr>
        <w:pStyle w:val="ListParagraph"/>
        <w:numPr>
          <w:ilvl w:val="1"/>
          <w:numId w:val="27"/>
        </w:numPr>
        <w:rPr>
          <w:lang w:eastAsia="en-US"/>
        </w:rPr>
      </w:pPr>
      <w:r>
        <w:rPr>
          <w:lang w:eastAsia="en-US"/>
        </w:rPr>
        <w:t>Decreased native fish breeding and recruitment</w:t>
      </w:r>
    </w:p>
    <w:p w14:paraId="63726558" w14:textId="77777777" w:rsidR="00663AE9" w:rsidRDefault="00663AE9" w:rsidP="00663AE9">
      <w:pPr>
        <w:pStyle w:val="ListParagraph"/>
        <w:numPr>
          <w:ilvl w:val="1"/>
          <w:numId w:val="27"/>
        </w:numPr>
        <w:rPr>
          <w:lang w:eastAsia="en-US"/>
        </w:rPr>
      </w:pPr>
      <w:r>
        <w:rPr>
          <w:lang w:eastAsia="en-US"/>
        </w:rPr>
        <w:t>Decreased abundance and diversity of native fish</w:t>
      </w:r>
    </w:p>
    <w:p w14:paraId="36A6D735" w14:textId="77777777" w:rsidR="00663AE9" w:rsidRDefault="00663AE9" w:rsidP="00663AE9">
      <w:pPr>
        <w:pStyle w:val="ListParagraph"/>
        <w:numPr>
          <w:ilvl w:val="1"/>
          <w:numId w:val="27"/>
        </w:numPr>
        <w:rPr>
          <w:lang w:eastAsia="en-US"/>
        </w:rPr>
      </w:pPr>
      <w:r>
        <w:rPr>
          <w:lang w:eastAsia="en-US"/>
        </w:rPr>
        <w:t>Decreased success of waterbird breeding</w:t>
      </w:r>
    </w:p>
    <w:p w14:paraId="399AD7DB" w14:textId="77777777" w:rsidR="00663AE9" w:rsidRDefault="00663AE9" w:rsidP="00663AE9">
      <w:pPr>
        <w:pStyle w:val="ListParagraph"/>
        <w:numPr>
          <w:ilvl w:val="1"/>
          <w:numId w:val="27"/>
        </w:numPr>
        <w:rPr>
          <w:lang w:eastAsia="en-US"/>
        </w:rPr>
      </w:pPr>
      <w:r>
        <w:rPr>
          <w:lang w:eastAsia="en-US"/>
        </w:rPr>
        <w:t>Decreased abundance and diversity of water birds</w:t>
      </w:r>
    </w:p>
    <w:p w14:paraId="0457D0F7" w14:textId="77777777" w:rsidR="00663AE9" w:rsidRDefault="00663AE9" w:rsidP="00663AE9">
      <w:pPr>
        <w:pStyle w:val="ListParagraph"/>
        <w:numPr>
          <w:ilvl w:val="1"/>
          <w:numId w:val="27"/>
        </w:numPr>
        <w:rPr>
          <w:lang w:eastAsia="en-US"/>
        </w:rPr>
      </w:pPr>
      <w:r>
        <w:rPr>
          <w:lang w:eastAsia="en-US"/>
        </w:rPr>
        <w:t xml:space="preserve">Decreased abundance and reproduction of frogs and turtles </w:t>
      </w:r>
    </w:p>
    <w:p w14:paraId="37F8567E" w14:textId="77777777" w:rsidR="00663AE9" w:rsidRDefault="00663AE9" w:rsidP="00663AE9">
      <w:pPr>
        <w:pStyle w:val="ListParagraph"/>
        <w:numPr>
          <w:ilvl w:val="1"/>
          <w:numId w:val="27"/>
        </w:numPr>
        <w:rPr>
          <w:lang w:eastAsia="en-US"/>
        </w:rPr>
      </w:pPr>
      <w:r w:rsidRPr="5DF9B386">
        <w:rPr>
          <w:lang w:eastAsia="en-US"/>
        </w:rPr>
        <w:t>Decreased condition and diversity of wetland vegetation</w:t>
      </w:r>
    </w:p>
    <w:p w14:paraId="4D1AF38B" w14:textId="77777777" w:rsidR="00663AE9" w:rsidRDefault="00663AE9" w:rsidP="00663AE9">
      <w:pPr>
        <w:pStyle w:val="ListParagraph"/>
        <w:numPr>
          <w:ilvl w:val="0"/>
          <w:numId w:val="27"/>
        </w:numPr>
        <w:rPr>
          <w:lang w:eastAsia="en-US"/>
        </w:rPr>
      </w:pPr>
      <w:r>
        <w:rPr>
          <w:lang w:eastAsia="en-US"/>
        </w:rPr>
        <w:t xml:space="preserve">Hydrology, salinity, vegetation, fish and waterbirds are all identified as critical to the ecological character of the Gippsland Lakes Ramsar Site. The predicted impacts to the aquatic ecosystems of the Lower Latrobe Wetlands, Lake Wellington and the Latrobe Estuary have implications with respect to Australia’s obligations under the Ramsar Convention. </w:t>
      </w:r>
    </w:p>
    <w:p w14:paraId="1DFDF82F" w14:textId="77777777" w:rsidR="00663AE9" w:rsidRPr="008E2C1D" w:rsidRDefault="00663AE9" w:rsidP="00663AE9">
      <w:pPr>
        <w:pStyle w:val="ListParagraph"/>
        <w:numPr>
          <w:ilvl w:val="0"/>
          <w:numId w:val="27"/>
        </w:numPr>
        <w:rPr>
          <w:lang w:eastAsia="en-US"/>
        </w:rPr>
      </w:pPr>
      <w:r>
        <w:rPr>
          <w:lang w:eastAsia="en-US"/>
        </w:rPr>
        <w:t>Harvesting floods to fill pit lakes will be detrimental to the system, particularly for Lake Wellington and the Lower Latrobe Wetlands. It will potentially lead to a change in the ecological character of the Gippsland Lakes Ramsar Site, which would have national and international implications.</w:t>
      </w:r>
    </w:p>
    <w:p w14:paraId="3326F100" w14:textId="77777777" w:rsidR="00663AE9" w:rsidRPr="00820505" w:rsidRDefault="00663AE9" w:rsidP="00663AE9">
      <w:pPr>
        <w:rPr>
          <w:rFonts w:cstheme="minorHAnsi"/>
        </w:rPr>
      </w:pPr>
      <w:r>
        <w:rPr>
          <w:rFonts w:cstheme="minorHAnsi"/>
        </w:rPr>
        <w:t>Any</w:t>
      </w:r>
      <w:r w:rsidRPr="002E0211">
        <w:rPr>
          <w:rFonts w:cstheme="minorHAnsi"/>
        </w:rPr>
        <w:t xml:space="preserve"> decline in condition and loss of values</w:t>
      </w:r>
      <w:r>
        <w:rPr>
          <w:rFonts w:cstheme="minorHAnsi"/>
        </w:rPr>
        <w:t xml:space="preserve"> in the Latrobe region</w:t>
      </w:r>
      <w:r w:rsidRPr="002E0211">
        <w:rPr>
          <w:rFonts w:cstheme="minorHAnsi"/>
        </w:rPr>
        <w:t xml:space="preserve"> </w:t>
      </w:r>
      <w:r>
        <w:rPr>
          <w:rFonts w:cstheme="minorHAnsi"/>
        </w:rPr>
        <w:t xml:space="preserve">would </w:t>
      </w:r>
      <w:r w:rsidRPr="002E0211">
        <w:rPr>
          <w:rFonts w:cstheme="minorHAnsi"/>
        </w:rPr>
        <w:t>ha</w:t>
      </w:r>
      <w:r>
        <w:rPr>
          <w:rFonts w:cstheme="minorHAnsi"/>
        </w:rPr>
        <w:t xml:space="preserve">ve </w:t>
      </w:r>
      <w:r w:rsidRPr="002E0211">
        <w:rPr>
          <w:rFonts w:cstheme="minorHAnsi"/>
        </w:rPr>
        <w:t xml:space="preserve">implications for </w:t>
      </w:r>
      <w:r>
        <w:rPr>
          <w:rFonts w:cstheme="minorHAnsi"/>
        </w:rPr>
        <w:t>Traditional Owners</w:t>
      </w:r>
      <w:r w:rsidRPr="002E0211">
        <w:rPr>
          <w:rFonts w:cstheme="minorHAnsi"/>
        </w:rPr>
        <w:t xml:space="preserve"> with a loss of values</w:t>
      </w:r>
      <w:r>
        <w:rPr>
          <w:rFonts w:cstheme="minorHAnsi"/>
        </w:rPr>
        <w:t xml:space="preserve"> associated with healthy waters and indigenous fisheries</w:t>
      </w:r>
      <w:r>
        <w:rPr>
          <w:rFonts w:cstheme="minorHAnsi"/>
          <w:i/>
          <w:iCs/>
        </w:rPr>
        <w:t>.</w:t>
      </w:r>
      <w:r>
        <w:rPr>
          <w:rFonts w:cstheme="minorHAnsi"/>
        </w:rPr>
        <w:t xml:space="preserve"> There would also be impacts to the social and economic activities that rely on healthy wetlands and rivers, impacting on tourism, recreation and community well-being.</w:t>
      </w:r>
    </w:p>
    <w:p w14:paraId="58A0C77C" w14:textId="7F284527" w:rsidR="00BF15B1" w:rsidRPr="00BF15B1" w:rsidRDefault="00BF15B1" w:rsidP="00BF15B1">
      <w:pPr>
        <w:rPr>
          <w:rFonts w:cstheme="minorHAnsi"/>
        </w:rPr>
      </w:pPr>
    </w:p>
    <w:p w14:paraId="4B01D26E" w14:textId="60369D0F" w:rsidR="008E2C1D" w:rsidRPr="00237510" w:rsidRDefault="008E2C1D">
      <w:pPr>
        <w:spacing w:after="0"/>
        <w:rPr>
          <w:rFonts w:ascii="Georgia" w:eastAsia="Times New Roman" w:hAnsi="Georgia"/>
          <w:b/>
          <w:color w:val="31849B" w:themeColor="accent5" w:themeShade="BF"/>
          <w:sz w:val="30"/>
          <w:lang w:eastAsia="en-US"/>
        </w:rPr>
      </w:pPr>
    </w:p>
    <w:p w14:paraId="42F74A0C" w14:textId="6F3B24DB" w:rsidR="00363428" w:rsidRPr="00237510" w:rsidRDefault="0017123E" w:rsidP="00004006">
      <w:pPr>
        <w:pStyle w:val="Heading1"/>
      </w:pPr>
      <w:bookmarkStart w:id="88" w:name="_Toc42001411"/>
      <w:r w:rsidRPr="00237510">
        <w:t>References</w:t>
      </w:r>
      <w:bookmarkEnd w:id="88"/>
    </w:p>
    <w:p w14:paraId="22FD43D5" w14:textId="77777777" w:rsidR="003073D8" w:rsidRPr="003073D8" w:rsidRDefault="003073D8" w:rsidP="003073D8">
      <w:pPr>
        <w:pStyle w:val="Bibliography"/>
        <w:rPr>
          <w:rFonts w:cs="Arial"/>
          <w:lang w:val="en-GB"/>
        </w:rPr>
      </w:pPr>
      <w:r>
        <w:rPr>
          <w:lang w:eastAsia="en-US"/>
        </w:rPr>
        <w:fldChar w:fldCharType="begin"/>
      </w:r>
      <w:r>
        <w:rPr>
          <w:lang w:eastAsia="en-US"/>
        </w:rPr>
        <w:instrText xml:space="preserve"> ADDIN ZOTERO_BIBL {"uncited":[],"omitted":[],"custom":[]} CSL_BIBLIOGRAPHY </w:instrText>
      </w:r>
      <w:r>
        <w:rPr>
          <w:lang w:eastAsia="en-US"/>
        </w:rPr>
        <w:fldChar w:fldCharType="separate"/>
      </w:r>
      <w:r w:rsidRPr="003073D8">
        <w:rPr>
          <w:rFonts w:cs="Arial"/>
          <w:lang w:val="en-GB"/>
        </w:rPr>
        <w:t>Alluvium. (2011). An assessment of the impact of riparian revegetation on stream erosion during floods in Victoria. Alluvium, Melbourne, Victoria.</w:t>
      </w:r>
    </w:p>
    <w:p w14:paraId="69200DC1" w14:textId="77777777" w:rsidR="003073D8" w:rsidRPr="003073D8" w:rsidRDefault="003073D8" w:rsidP="003073D8">
      <w:pPr>
        <w:pStyle w:val="Bibliography"/>
        <w:rPr>
          <w:rFonts w:cs="Arial"/>
          <w:lang w:val="en-GB"/>
        </w:rPr>
      </w:pPr>
      <w:r w:rsidRPr="003073D8">
        <w:rPr>
          <w:rFonts w:cs="Arial"/>
          <w:lang w:val="en-GB"/>
        </w:rPr>
        <w:t>Alluvium. (2018). Latrobe Valley Regional Water Study Environmental Effects Scoping Study. Alluvium Consulting Australia, East Melbourne, Vic.</w:t>
      </w:r>
    </w:p>
    <w:p w14:paraId="0DBC9AFB" w14:textId="06203233" w:rsidR="003073D8" w:rsidRPr="003073D8" w:rsidRDefault="003073D8" w:rsidP="003073D8">
      <w:pPr>
        <w:pStyle w:val="Bibliography"/>
        <w:rPr>
          <w:rFonts w:cs="Arial"/>
          <w:lang w:val="en-GB"/>
        </w:rPr>
      </w:pPr>
      <w:r w:rsidRPr="003073D8">
        <w:rPr>
          <w:rFonts w:cs="Arial"/>
          <w:lang w:val="en-GB"/>
        </w:rPr>
        <w:t xml:space="preserve">Alluvium. (2020). </w:t>
      </w:r>
      <w:r w:rsidR="00663AE9" w:rsidRPr="00663AE9">
        <w:rPr>
          <w:rFonts w:cs="Arial"/>
          <w:lang w:val="en-GB"/>
        </w:rPr>
        <w:t xml:space="preserve"> Environmental water requirements report: Latrobe Environmental Water requirements investigation</w:t>
      </w:r>
      <w:r w:rsidRPr="003073D8">
        <w:rPr>
          <w:rFonts w:cs="Arial"/>
          <w:lang w:val="en-GB"/>
        </w:rPr>
        <w:t>. Alluvium Consulting Australia, Richmond, Victoria.</w:t>
      </w:r>
    </w:p>
    <w:p w14:paraId="179237F3" w14:textId="77777777" w:rsidR="003073D8" w:rsidRPr="003073D8" w:rsidRDefault="003073D8" w:rsidP="003073D8">
      <w:pPr>
        <w:pStyle w:val="Bibliography"/>
        <w:rPr>
          <w:rFonts w:cs="Arial"/>
          <w:lang w:val="en-GB"/>
        </w:rPr>
      </w:pPr>
      <w:r w:rsidRPr="003073D8">
        <w:rPr>
          <w:rFonts w:cs="Arial"/>
          <w:lang w:val="en-GB"/>
        </w:rPr>
        <w:t xml:space="preserve">Amtstaetter, F., O’connor, J., and Pickworth, A. (2016). Environmental flow releases trigger spawning migrations by Australian grayling </w:t>
      </w:r>
      <w:r w:rsidRPr="003073D8">
        <w:rPr>
          <w:rFonts w:cs="Arial"/>
          <w:i/>
          <w:iCs/>
          <w:lang w:val="en-GB"/>
        </w:rPr>
        <w:t>Prototroctes maraen</w:t>
      </w:r>
      <w:r w:rsidRPr="003073D8">
        <w:rPr>
          <w:rFonts w:cs="Arial"/>
          <w:lang w:val="en-GB"/>
        </w:rPr>
        <w:t xml:space="preserve">a, a threatened, diadromous fish. Aquatic Conservation: Marine and Freshwater Ecosystems </w:t>
      </w:r>
      <w:r w:rsidRPr="003073D8">
        <w:rPr>
          <w:rFonts w:cs="Arial"/>
          <w:b/>
          <w:bCs/>
          <w:lang w:val="en-GB"/>
        </w:rPr>
        <w:t>26</w:t>
      </w:r>
      <w:r w:rsidRPr="003073D8">
        <w:rPr>
          <w:rFonts w:cs="Arial"/>
          <w:lang w:val="en-GB"/>
        </w:rPr>
        <w:t>(1): 35–43.</w:t>
      </w:r>
    </w:p>
    <w:p w14:paraId="5F79118F" w14:textId="77777777" w:rsidR="003073D8" w:rsidRPr="003073D8" w:rsidRDefault="003073D8" w:rsidP="003073D8">
      <w:pPr>
        <w:pStyle w:val="Bibliography"/>
        <w:rPr>
          <w:rFonts w:cs="Arial"/>
          <w:lang w:val="en-GB"/>
        </w:rPr>
      </w:pPr>
      <w:r w:rsidRPr="003073D8">
        <w:rPr>
          <w:rFonts w:cs="Arial"/>
          <w:lang w:val="en-GB"/>
        </w:rPr>
        <w:t>Arrowsmith, C. and Dermek, R. (2014). Heart Morass and Dowd Morass Physical Characterisation. Water Technology, Notting Hill, Victoria.</w:t>
      </w:r>
    </w:p>
    <w:p w14:paraId="42A38233" w14:textId="77777777" w:rsidR="003073D8" w:rsidRPr="003073D8" w:rsidRDefault="003073D8" w:rsidP="003073D8">
      <w:pPr>
        <w:pStyle w:val="Bibliography"/>
        <w:rPr>
          <w:rFonts w:cs="Arial"/>
          <w:lang w:val="en-GB"/>
        </w:rPr>
      </w:pPr>
      <w:r w:rsidRPr="003073D8">
        <w:rPr>
          <w:rFonts w:cs="Arial"/>
          <w:lang w:val="en-GB"/>
        </w:rPr>
        <w:t>Arrowsmith, C. and Duggan, S. (2009). Heart Morass Hydrological Investigation. Water Technology, Notting Hill, Victoria.</w:t>
      </w:r>
    </w:p>
    <w:p w14:paraId="15C6C3E9" w14:textId="77777777" w:rsidR="003073D8" w:rsidRPr="003073D8" w:rsidRDefault="003073D8" w:rsidP="003073D8">
      <w:pPr>
        <w:pStyle w:val="Bibliography"/>
        <w:rPr>
          <w:rFonts w:cs="Arial"/>
          <w:lang w:val="en-GB"/>
        </w:rPr>
      </w:pPr>
      <w:r w:rsidRPr="003073D8">
        <w:rPr>
          <w:rFonts w:cs="Arial"/>
          <w:lang w:val="en-GB"/>
        </w:rPr>
        <w:t>Arrowsmith, C., Duggan, S., and Rennie, J. (2011). Sale Common Hydrological Investigation. Water Technology, Notting Hill, Victoria.</w:t>
      </w:r>
    </w:p>
    <w:p w14:paraId="05566BE8" w14:textId="77777777" w:rsidR="003073D8" w:rsidRPr="003073D8" w:rsidRDefault="003073D8" w:rsidP="003073D8">
      <w:pPr>
        <w:pStyle w:val="Bibliography"/>
        <w:rPr>
          <w:rFonts w:cs="Arial"/>
          <w:lang w:val="en-GB"/>
        </w:rPr>
      </w:pPr>
      <w:r w:rsidRPr="003073D8">
        <w:rPr>
          <w:rFonts w:cs="Arial"/>
          <w:lang w:val="en-GB"/>
        </w:rPr>
        <w:t>Arrowsmith, C., Race, G., and Rosengren, N.J. (2014). Gippsland Lakes/90 Mile Beach Local Coastal Hazard Assessment Project: Report 4 Lakes Shoreline Erosion Hazard. Water Technology.</w:t>
      </w:r>
    </w:p>
    <w:p w14:paraId="5F7667D7" w14:textId="77777777" w:rsidR="003073D8" w:rsidRPr="003073D8" w:rsidRDefault="003073D8" w:rsidP="003073D8">
      <w:pPr>
        <w:pStyle w:val="Bibliography"/>
        <w:rPr>
          <w:rFonts w:cs="Arial"/>
          <w:lang w:val="en-GB"/>
        </w:rPr>
      </w:pPr>
      <w:r w:rsidRPr="003073D8">
        <w:rPr>
          <w:rFonts w:cs="Arial"/>
          <w:lang w:val="en-GB"/>
        </w:rPr>
        <w:t xml:space="preserve">Arthur, A.D., Reid, J.R.W., Kingsford, R.T., McGinness, H.M., Ward, K.A., and Harper, M.J. (2012). Breeding Flow Thresholds of Colonial Breeding Waterbirds in the Murray-Darling Basin, Australia. Wetlands </w:t>
      </w:r>
      <w:r w:rsidRPr="003073D8">
        <w:rPr>
          <w:rFonts w:cs="Arial"/>
          <w:b/>
          <w:bCs/>
          <w:lang w:val="en-GB"/>
        </w:rPr>
        <w:t>32</w:t>
      </w:r>
      <w:r w:rsidRPr="003073D8">
        <w:rPr>
          <w:rFonts w:cs="Arial"/>
          <w:lang w:val="en-GB"/>
        </w:rPr>
        <w:t>(2): 257–265.</w:t>
      </w:r>
    </w:p>
    <w:p w14:paraId="5C7A84A9" w14:textId="77777777" w:rsidR="003073D8" w:rsidRPr="003073D8" w:rsidRDefault="003073D8" w:rsidP="003073D8">
      <w:pPr>
        <w:pStyle w:val="Bibliography"/>
        <w:rPr>
          <w:rFonts w:cs="Arial"/>
          <w:lang w:val="en-GB"/>
        </w:rPr>
      </w:pPr>
      <w:r w:rsidRPr="003073D8">
        <w:rPr>
          <w:rFonts w:cs="Arial"/>
          <w:lang w:val="en-GB"/>
        </w:rPr>
        <w:t xml:space="preserve">Bird, E.C.F. (1966). The impact of man on the Gippsland Lakes. </w:t>
      </w:r>
      <w:r w:rsidRPr="003073D8">
        <w:rPr>
          <w:rFonts w:cs="Arial"/>
          <w:i/>
          <w:iCs/>
          <w:lang w:val="en-GB"/>
        </w:rPr>
        <w:t>In</w:t>
      </w:r>
      <w:r w:rsidRPr="003073D8">
        <w:rPr>
          <w:rFonts w:cs="Arial"/>
          <w:lang w:val="en-GB"/>
        </w:rPr>
        <w:t xml:space="preserve"> Geography as Human Ecology: Methodology by Example. </w:t>
      </w:r>
      <w:r w:rsidRPr="003073D8">
        <w:rPr>
          <w:rFonts w:cs="Arial"/>
          <w:i/>
          <w:iCs/>
          <w:lang w:val="en-GB"/>
        </w:rPr>
        <w:t>Edited by</w:t>
      </w:r>
      <w:r w:rsidRPr="003073D8">
        <w:rPr>
          <w:rFonts w:cs="Arial"/>
          <w:lang w:val="en-GB"/>
        </w:rPr>
        <w:t xml:space="preserve"> S.R. Eyre and G. Jones. Edward Arnold (Publishers) Ltd., London. pp. 55–73.</w:t>
      </w:r>
    </w:p>
    <w:p w14:paraId="63403443" w14:textId="77777777" w:rsidR="003073D8" w:rsidRPr="003073D8" w:rsidRDefault="003073D8" w:rsidP="003073D8">
      <w:pPr>
        <w:pStyle w:val="Bibliography"/>
        <w:rPr>
          <w:rFonts w:cs="Arial"/>
          <w:lang w:val="en-GB"/>
        </w:rPr>
      </w:pPr>
      <w:r w:rsidRPr="003073D8">
        <w:rPr>
          <w:rFonts w:cs="Arial"/>
          <w:lang w:val="en-GB"/>
        </w:rPr>
        <w:t>Bird, E.C.F. (1978). The geomorphology of the Gippsland Lakes region. Ministry for Conservation, Victoria.</w:t>
      </w:r>
    </w:p>
    <w:p w14:paraId="3121EB9F" w14:textId="77777777" w:rsidR="003073D8" w:rsidRPr="003073D8" w:rsidRDefault="003073D8" w:rsidP="003073D8">
      <w:pPr>
        <w:pStyle w:val="Bibliography"/>
        <w:rPr>
          <w:rFonts w:cs="Arial"/>
          <w:lang w:val="en-GB"/>
        </w:rPr>
      </w:pPr>
      <w:r w:rsidRPr="003073D8">
        <w:rPr>
          <w:rFonts w:cs="Arial"/>
          <w:lang w:val="en-GB"/>
        </w:rPr>
        <w:t>Boon, P., Lovell, B., Weber, T., Raphael, L., and Robertson, S. (2005). Effectiveness and sustainability of wetlands and riparian corridors in reducing nutrient loads entering the Gippsland Lakes. Dodo Environmental and WBM, McKinnon, Victoria.</w:t>
      </w:r>
    </w:p>
    <w:p w14:paraId="7D590135" w14:textId="77777777" w:rsidR="003073D8" w:rsidRPr="003073D8" w:rsidRDefault="003073D8" w:rsidP="003073D8">
      <w:pPr>
        <w:pStyle w:val="Bibliography"/>
        <w:rPr>
          <w:rFonts w:cs="Arial"/>
          <w:lang w:val="en-GB"/>
        </w:rPr>
      </w:pPr>
      <w:r w:rsidRPr="003073D8">
        <w:rPr>
          <w:rFonts w:cs="Arial"/>
          <w:lang w:val="en-GB"/>
        </w:rPr>
        <w:t>Boon, P.I., Allen, T., Brook, J., Carr, G., Frood, D., Hoye, J., Harty, C., McMahon, A., Mathews, S., Rosengren, N.J., Sinclair, S., White, M., and Yogovic, J. (2011). Mangroves and Coastal Saltmarsh of Victoria: Distribution, Condition, Threats and Management. Victoria University, Melbourne.</w:t>
      </w:r>
    </w:p>
    <w:p w14:paraId="5A905546" w14:textId="77777777" w:rsidR="003073D8" w:rsidRPr="003073D8" w:rsidRDefault="003073D8" w:rsidP="003073D8">
      <w:pPr>
        <w:pStyle w:val="Bibliography"/>
        <w:rPr>
          <w:rFonts w:cs="Arial"/>
          <w:lang w:val="en-GB"/>
        </w:rPr>
      </w:pPr>
      <w:r w:rsidRPr="003073D8">
        <w:rPr>
          <w:rFonts w:cs="Arial"/>
          <w:lang w:val="en-GB"/>
        </w:rPr>
        <w:t>Boon, P.I., Frood, D., Oates, A., Reside, J., and Rosengren, N. (2018). Why has Phragmites australis persisted in the increasingly saline Gippsland Lakes? A test of three competing hypotheses. Marine and Freshwater Research.</w:t>
      </w:r>
    </w:p>
    <w:p w14:paraId="6E24448E" w14:textId="77777777" w:rsidR="003073D8" w:rsidRPr="003073D8" w:rsidRDefault="003073D8" w:rsidP="003073D8">
      <w:pPr>
        <w:pStyle w:val="Bibliography"/>
        <w:rPr>
          <w:rFonts w:cs="Arial"/>
          <w:lang w:val="en-GB"/>
        </w:rPr>
      </w:pPr>
      <w:r w:rsidRPr="003073D8">
        <w:rPr>
          <w:rFonts w:cs="Arial"/>
          <w:lang w:val="en-GB"/>
        </w:rPr>
        <w:t>Boon, P.I., Raulings, E., Morris, K., Roache, M., Robinson, R., Hatton, M., and Salter, J. (2007). Ecology and management of the Lake Wellington wetlands, Gippsland Lakes: a report on the R&amp;D project, 2003-2006. Victoria University and Monash University, Clayton, Victoria.</w:t>
      </w:r>
    </w:p>
    <w:p w14:paraId="0066EB88" w14:textId="77777777" w:rsidR="003073D8" w:rsidRPr="003073D8" w:rsidRDefault="003073D8" w:rsidP="003073D8">
      <w:pPr>
        <w:pStyle w:val="Bibliography"/>
        <w:rPr>
          <w:rFonts w:cs="Arial"/>
          <w:lang w:val="en-GB"/>
        </w:rPr>
      </w:pPr>
      <w:r w:rsidRPr="003073D8">
        <w:rPr>
          <w:rFonts w:cs="Arial"/>
          <w:lang w:val="en-GB"/>
        </w:rPr>
        <w:t xml:space="preserve">Boon, P.I., Raulings, E., Roach, M., and Morris, K. (2008). Vegetation Changes Over a Four Decade Period in Dowd Morass, a Brackish-Water Wetland of the Gippsland Lakes, South-Eastern Australia. Proceedings of the Royal Society of Victoria </w:t>
      </w:r>
      <w:r w:rsidRPr="003073D8">
        <w:rPr>
          <w:rFonts w:cs="Arial"/>
          <w:b/>
          <w:bCs/>
          <w:lang w:val="en-GB"/>
        </w:rPr>
        <w:t>120</w:t>
      </w:r>
      <w:r w:rsidRPr="003073D8">
        <w:rPr>
          <w:rFonts w:cs="Arial"/>
          <w:lang w:val="en-GB"/>
        </w:rPr>
        <w:t>(2): 403–418.</w:t>
      </w:r>
    </w:p>
    <w:p w14:paraId="07668246" w14:textId="77777777" w:rsidR="003073D8" w:rsidRPr="003073D8" w:rsidRDefault="003073D8" w:rsidP="003073D8">
      <w:pPr>
        <w:pStyle w:val="Bibliography"/>
        <w:rPr>
          <w:rFonts w:cs="Arial"/>
          <w:lang w:val="en-GB"/>
        </w:rPr>
      </w:pPr>
      <w:r w:rsidRPr="003073D8">
        <w:rPr>
          <w:rFonts w:cs="Arial"/>
          <w:lang w:val="en-GB"/>
        </w:rPr>
        <w:t>Boon, P.J., Rosengren, N.J., Frood, D., Oates, A., and Reside, J. (2015). Shoreline Geomorphology and Fringing Vegetation of the Gippsland Lakes. Institute for Sustainability &amp; Innovation Victoria University, Melbourne, Australia.</w:t>
      </w:r>
    </w:p>
    <w:p w14:paraId="02A05DF3" w14:textId="77777777" w:rsidR="003073D8" w:rsidRPr="003073D8" w:rsidRDefault="003073D8" w:rsidP="003073D8">
      <w:pPr>
        <w:pStyle w:val="Bibliography"/>
        <w:rPr>
          <w:rFonts w:cs="Arial"/>
          <w:lang w:val="en-GB"/>
        </w:rPr>
      </w:pPr>
      <w:r w:rsidRPr="003073D8">
        <w:rPr>
          <w:rFonts w:cs="Arial"/>
          <w:lang w:val="en-GB"/>
        </w:rPr>
        <w:t>Borg, D. and Savage, G. (2005). Heart Morass Feasibility Study. GHD, Morwell, Victoria.</w:t>
      </w:r>
    </w:p>
    <w:p w14:paraId="5D40DCB4" w14:textId="77777777" w:rsidR="003073D8" w:rsidRPr="003073D8" w:rsidRDefault="003073D8" w:rsidP="003073D8">
      <w:pPr>
        <w:pStyle w:val="Bibliography"/>
        <w:rPr>
          <w:rFonts w:cs="Arial"/>
          <w:lang w:val="en-GB"/>
        </w:rPr>
      </w:pPr>
      <w:r w:rsidRPr="003073D8">
        <w:rPr>
          <w:rFonts w:cs="Arial"/>
          <w:lang w:val="en-GB"/>
        </w:rPr>
        <w:t>Brandis, K. (2010). Colonial waterbird breeding in Australia: Wetlands, water requirements and environmental flows. University of NSW.</w:t>
      </w:r>
    </w:p>
    <w:p w14:paraId="1C5FC123" w14:textId="77777777" w:rsidR="003073D8" w:rsidRPr="003073D8" w:rsidRDefault="003073D8" w:rsidP="003073D8">
      <w:pPr>
        <w:pStyle w:val="Bibliography"/>
        <w:rPr>
          <w:rFonts w:cs="Arial"/>
          <w:lang w:val="en-GB"/>
        </w:rPr>
      </w:pPr>
      <w:r w:rsidRPr="003073D8">
        <w:rPr>
          <w:rFonts w:cs="Arial"/>
          <w:lang w:val="en-GB"/>
        </w:rPr>
        <w:t>Brizga, S., Arrowsmith, C., Tilleard, J., Boon, P., McMahon, A., O’Connor, N., and Pope, A. (2013). Latrobe Estuary: Environmental Water Requirements Report. Water Technology Pty Ltd.</w:t>
      </w:r>
    </w:p>
    <w:p w14:paraId="208113D7" w14:textId="77777777" w:rsidR="003073D8" w:rsidRPr="003073D8" w:rsidRDefault="003073D8" w:rsidP="003073D8">
      <w:pPr>
        <w:pStyle w:val="Bibliography"/>
        <w:rPr>
          <w:rFonts w:cs="Arial"/>
          <w:lang w:val="en-GB"/>
        </w:rPr>
      </w:pPr>
      <w:r w:rsidRPr="003073D8">
        <w:rPr>
          <w:rFonts w:cs="Arial"/>
          <w:lang w:val="en-GB"/>
        </w:rPr>
        <w:t xml:space="preserve">Brock, M.A. and Casanova, M.T. (1997). Plant life at the edge of wetlands: ecological responses to wetting and drying patterns. </w:t>
      </w:r>
      <w:r w:rsidRPr="003073D8">
        <w:rPr>
          <w:rFonts w:cs="Arial"/>
          <w:i/>
          <w:iCs/>
          <w:lang w:val="en-GB"/>
        </w:rPr>
        <w:t>In</w:t>
      </w:r>
      <w:r w:rsidRPr="003073D8">
        <w:rPr>
          <w:rFonts w:cs="Arial"/>
          <w:lang w:val="en-GB"/>
        </w:rPr>
        <w:t xml:space="preserve"> Frontiers in Ecology: Building the Links. </w:t>
      </w:r>
      <w:r w:rsidRPr="003073D8">
        <w:rPr>
          <w:rFonts w:cs="Arial"/>
          <w:i/>
          <w:iCs/>
          <w:lang w:val="en-GB"/>
        </w:rPr>
        <w:t>Edited by</w:t>
      </w:r>
      <w:r w:rsidRPr="003073D8">
        <w:rPr>
          <w:rFonts w:cs="Arial"/>
          <w:lang w:val="en-GB"/>
        </w:rPr>
        <w:t xml:space="preserve"> N. Klomp and Lunt. Elsevier Science, Oxford. pp. 181–192.</w:t>
      </w:r>
    </w:p>
    <w:p w14:paraId="12E2D475" w14:textId="77777777" w:rsidR="003073D8" w:rsidRPr="003073D8" w:rsidRDefault="003073D8" w:rsidP="003073D8">
      <w:pPr>
        <w:pStyle w:val="Bibliography"/>
        <w:rPr>
          <w:rFonts w:cs="Arial"/>
          <w:lang w:val="en-GB"/>
        </w:rPr>
      </w:pPr>
      <w:r w:rsidRPr="003073D8">
        <w:rPr>
          <w:rFonts w:cs="Arial"/>
          <w:lang w:val="en-GB"/>
        </w:rPr>
        <w:t xml:space="preserve">Capon, S.J. and Dowe, J.L. (2007). Diversity and dynamics of riparian vegetation. </w:t>
      </w:r>
      <w:r w:rsidRPr="003073D8">
        <w:rPr>
          <w:rFonts w:cs="Arial"/>
          <w:i/>
          <w:iCs/>
          <w:lang w:val="en-GB"/>
        </w:rPr>
        <w:t>In</w:t>
      </w:r>
      <w:r w:rsidRPr="003073D8">
        <w:rPr>
          <w:rFonts w:cs="Arial"/>
          <w:lang w:val="en-GB"/>
        </w:rPr>
        <w:t xml:space="preserve"> Principles for Riparain Land Management. </w:t>
      </w:r>
      <w:r w:rsidRPr="003073D8">
        <w:rPr>
          <w:rFonts w:cs="Arial"/>
          <w:i/>
          <w:iCs/>
          <w:lang w:val="en-GB"/>
        </w:rPr>
        <w:t>Edited by</w:t>
      </w:r>
      <w:r w:rsidRPr="003073D8">
        <w:rPr>
          <w:rFonts w:cs="Arial"/>
          <w:lang w:val="en-GB"/>
        </w:rPr>
        <w:t xml:space="preserve"> S. Lovett and P. Price. Land and Water Australia, Canberra. pp. 14–32.</w:t>
      </w:r>
    </w:p>
    <w:p w14:paraId="22FD4C92" w14:textId="77777777" w:rsidR="003073D8" w:rsidRPr="003073D8" w:rsidRDefault="003073D8" w:rsidP="003073D8">
      <w:pPr>
        <w:pStyle w:val="Bibliography"/>
        <w:rPr>
          <w:rFonts w:cs="Arial"/>
          <w:lang w:val="en-GB"/>
        </w:rPr>
      </w:pPr>
      <w:r w:rsidRPr="003073D8">
        <w:rPr>
          <w:rFonts w:cs="Arial"/>
          <w:lang w:val="en-GB"/>
        </w:rPr>
        <w:t xml:space="preserve">Clemann, N. and Gillespie, G.R. (2012). National recovery plan for the southern bell frog </w:t>
      </w:r>
      <w:r w:rsidRPr="003073D8">
        <w:rPr>
          <w:rFonts w:cs="Arial"/>
          <w:i/>
          <w:iCs/>
          <w:lang w:val="en-GB"/>
        </w:rPr>
        <w:t>Litoria raniformis</w:t>
      </w:r>
      <w:r w:rsidRPr="003073D8">
        <w:rPr>
          <w:rFonts w:cs="Arial"/>
          <w:lang w:val="en-GB"/>
        </w:rPr>
        <w:t>. Department of Sustainability and Environment, Melbourne.</w:t>
      </w:r>
    </w:p>
    <w:p w14:paraId="6A6F3C20" w14:textId="77777777" w:rsidR="003073D8" w:rsidRPr="003073D8" w:rsidRDefault="003073D8" w:rsidP="003073D8">
      <w:pPr>
        <w:pStyle w:val="Bibliography"/>
        <w:rPr>
          <w:rFonts w:cs="Arial"/>
          <w:lang w:val="en-GB"/>
        </w:rPr>
      </w:pPr>
      <w:r w:rsidRPr="003073D8">
        <w:rPr>
          <w:rFonts w:cs="Arial"/>
          <w:lang w:val="en-GB"/>
        </w:rPr>
        <w:t xml:space="preserve">Crook, D.A., Macdonald, J.I., O’Connor, J.P., and Barry, B. (2006). Use of otolith chemistry to examine patterns of diadromy in the threatened Australian grayling </w:t>
      </w:r>
      <w:r w:rsidRPr="003073D8">
        <w:rPr>
          <w:rFonts w:cs="Arial"/>
          <w:i/>
          <w:iCs/>
          <w:lang w:val="en-GB"/>
        </w:rPr>
        <w:t>Prototroctes maraena</w:t>
      </w:r>
      <w:r w:rsidRPr="003073D8">
        <w:rPr>
          <w:rFonts w:cs="Arial"/>
          <w:lang w:val="en-GB"/>
        </w:rPr>
        <w:t xml:space="preserve">. Journal of Fish Biology </w:t>
      </w:r>
      <w:r w:rsidRPr="003073D8">
        <w:rPr>
          <w:rFonts w:cs="Arial"/>
          <w:b/>
          <w:bCs/>
          <w:lang w:val="en-GB"/>
        </w:rPr>
        <w:t>69</w:t>
      </w:r>
      <w:r w:rsidRPr="003073D8">
        <w:rPr>
          <w:rFonts w:cs="Arial"/>
          <w:lang w:val="en-GB"/>
        </w:rPr>
        <w:t>(5): 1330–1344.</w:t>
      </w:r>
    </w:p>
    <w:p w14:paraId="48629594" w14:textId="7B0E1FAC" w:rsidR="003073D8" w:rsidRPr="003073D8" w:rsidRDefault="003073D8" w:rsidP="003073D8">
      <w:pPr>
        <w:pStyle w:val="Bibliography"/>
        <w:rPr>
          <w:rFonts w:cs="Arial"/>
          <w:lang w:val="en-GB"/>
        </w:rPr>
      </w:pPr>
      <w:r w:rsidRPr="003073D8">
        <w:rPr>
          <w:rFonts w:cs="Arial"/>
          <w:lang w:val="en-GB"/>
        </w:rPr>
        <w:t>DELWP. (2005). State Water Report 2003-2004: A Statement of Victorian water resources. State Government of Victoria, Melbourne, Victoria.</w:t>
      </w:r>
    </w:p>
    <w:p w14:paraId="09113592" w14:textId="77777777" w:rsidR="003073D8" w:rsidRPr="003073D8" w:rsidRDefault="003073D8" w:rsidP="003073D8">
      <w:pPr>
        <w:pStyle w:val="Bibliography"/>
        <w:rPr>
          <w:rFonts w:cs="Arial"/>
          <w:lang w:val="en-GB"/>
        </w:rPr>
      </w:pPr>
      <w:r w:rsidRPr="003073D8">
        <w:rPr>
          <w:rFonts w:cs="Arial"/>
          <w:lang w:val="en-GB"/>
        </w:rPr>
        <w:t>DELWP. (2007). Victorian Water Accounts 2005–2006: A statement of Victorian water resources. State Government of Victoria, Melbourne, Victoria.</w:t>
      </w:r>
    </w:p>
    <w:p w14:paraId="7440DD9B" w14:textId="77777777" w:rsidR="003073D8" w:rsidRPr="003073D8" w:rsidRDefault="003073D8" w:rsidP="003073D8">
      <w:pPr>
        <w:pStyle w:val="Bibliography"/>
        <w:rPr>
          <w:rFonts w:cs="Arial"/>
          <w:lang w:val="en-GB"/>
        </w:rPr>
      </w:pPr>
      <w:r w:rsidRPr="003073D8">
        <w:rPr>
          <w:rFonts w:cs="Arial"/>
          <w:lang w:val="en-GB"/>
        </w:rPr>
        <w:t>DELWP. (2009). Victorian Water Accounts 2007–2008: A statement of Victorian water resources. State Government of Victoria, Melbourne, Victoria.</w:t>
      </w:r>
    </w:p>
    <w:p w14:paraId="77826CA8" w14:textId="77777777" w:rsidR="003073D8" w:rsidRPr="003073D8" w:rsidRDefault="003073D8" w:rsidP="003073D8">
      <w:pPr>
        <w:pStyle w:val="Bibliography"/>
        <w:rPr>
          <w:rFonts w:cs="Arial"/>
          <w:lang w:val="en-GB"/>
        </w:rPr>
      </w:pPr>
      <w:r w:rsidRPr="003073D8">
        <w:rPr>
          <w:rFonts w:cs="Arial"/>
          <w:lang w:val="en-GB"/>
        </w:rPr>
        <w:t>DELWP. (2014). Victorian Water Accounts 2012–2013: A statement of Victorian water resources. State Government of Victoria, Melbourne, Victoria.</w:t>
      </w:r>
    </w:p>
    <w:p w14:paraId="618F51DB" w14:textId="77777777" w:rsidR="003073D8" w:rsidRPr="003073D8" w:rsidRDefault="003073D8" w:rsidP="003073D8">
      <w:pPr>
        <w:pStyle w:val="Bibliography"/>
        <w:rPr>
          <w:rFonts w:cs="Arial"/>
          <w:lang w:val="en-GB"/>
        </w:rPr>
      </w:pPr>
      <w:r w:rsidRPr="003073D8">
        <w:rPr>
          <w:rFonts w:cs="Arial"/>
          <w:lang w:val="en-GB"/>
        </w:rPr>
        <w:t>DELWP. (2015). Victorian Water Accounts 2013–2014: A statement of Victorian water resources. State Government of Victoria, Melbourne, Victoria.</w:t>
      </w:r>
    </w:p>
    <w:p w14:paraId="52441CE4" w14:textId="77777777" w:rsidR="003073D8" w:rsidRPr="003073D8" w:rsidRDefault="003073D8" w:rsidP="003073D8">
      <w:pPr>
        <w:pStyle w:val="Bibliography"/>
        <w:rPr>
          <w:rFonts w:cs="Arial"/>
          <w:lang w:val="en-GB"/>
        </w:rPr>
      </w:pPr>
      <w:r w:rsidRPr="003073D8">
        <w:rPr>
          <w:rFonts w:cs="Arial"/>
          <w:lang w:val="en-GB"/>
        </w:rPr>
        <w:t>DELWP. (2016). Victorian Water Accounts 2014–2015: A statement of Victorian water resources. State Government of Victoria, Melbourne, Victoria.</w:t>
      </w:r>
    </w:p>
    <w:p w14:paraId="1A154AF8" w14:textId="77777777" w:rsidR="003073D8" w:rsidRPr="003073D8" w:rsidRDefault="003073D8" w:rsidP="003073D8">
      <w:pPr>
        <w:pStyle w:val="Bibliography"/>
        <w:rPr>
          <w:rFonts w:cs="Arial"/>
          <w:lang w:val="en-GB"/>
        </w:rPr>
      </w:pPr>
      <w:r w:rsidRPr="003073D8">
        <w:rPr>
          <w:rFonts w:cs="Arial"/>
          <w:lang w:val="en-GB"/>
        </w:rPr>
        <w:t>DELWP. (2020). Long-Term Water Resource Assessment for Southern Victoria. Department of Environment, Land, Water and Planning, Melbourne, Australia.</w:t>
      </w:r>
    </w:p>
    <w:p w14:paraId="3DE9D466" w14:textId="77777777" w:rsidR="003073D8" w:rsidRPr="003073D8" w:rsidRDefault="003073D8" w:rsidP="003073D8">
      <w:pPr>
        <w:pStyle w:val="Bibliography"/>
        <w:rPr>
          <w:rFonts w:cs="Arial"/>
          <w:lang w:val="en-GB"/>
        </w:rPr>
      </w:pPr>
      <w:r w:rsidRPr="003073D8">
        <w:rPr>
          <w:rFonts w:cs="Arial"/>
          <w:lang w:val="en-GB"/>
        </w:rPr>
        <w:t>Department of Economic Development, Jobs, Transport and Resources and Victoria. (2018). Latrobe Valley Regional Rehabilitation Strategy: Program summary. State Government of Victoria, Melbourne, Australia.</w:t>
      </w:r>
    </w:p>
    <w:p w14:paraId="4E8631C2" w14:textId="77777777" w:rsidR="003073D8" w:rsidRPr="003073D8" w:rsidRDefault="003073D8" w:rsidP="003073D8">
      <w:pPr>
        <w:pStyle w:val="Bibliography"/>
        <w:rPr>
          <w:rFonts w:cs="Arial"/>
          <w:lang w:val="en-GB"/>
        </w:rPr>
      </w:pPr>
      <w:r w:rsidRPr="003073D8">
        <w:rPr>
          <w:rFonts w:cs="Arial"/>
          <w:lang w:val="en-GB"/>
        </w:rPr>
        <w:t>Department of Environment, Land, Water and Planning. (2019). Long-Term Water Resource Assessment for Southern Victoria: Basin-by-Basin Results. State of Victoria, Melbourne, Australia.</w:t>
      </w:r>
    </w:p>
    <w:p w14:paraId="0D2FBE1D" w14:textId="77777777" w:rsidR="003073D8" w:rsidRPr="003073D8" w:rsidRDefault="003073D8" w:rsidP="003073D8">
      <w:pPr>
        <w:pStyle w:val="Bibliography"/>
        <w:rPr>
          <w:rFonts w:cs="Arial"/>
          <w:lang w:val="en-GB"/>
        </w:rPr>
      </w:pPr>
      <w:r w:rsidRPr="003073D8">
        <w:rPr>
          <w:rFonts w:cs="Arial"/>
          <w:lang w:val="en-GB"/>
        </w:rPr>
        <w:t>Department of Sustainability and Environment. (2011). Gippsland region sustainable water strategy. Dept. Of Sustainability and Environment, Melbourne, Vic.</w:t>
      </w:r>
    </w:p>
    <w:p w14:paraId="7B9D21D1" w14:textId="77777777" w:rsidR="003073D8" w:rsidRPr="003073D8" w:rsidRDefault="003073D8" w:rsidP="003073D8">
      <w:pPr>
        <w:pStyle w:val="Bibliography"/>
        <w:rPr>
          <w:rFonts w:cs="Arial"/>
          <w:lang w:val="en-GB"/>
        </w:rPr>
      </w:pPr>
      <w:r w:rsidRPr="003073D8">
        <w:rPr>
          <w:rFonts w:cs="Arial"/>
          <w:lang w:val="en-GB"/>
        </w:rPr>
        <w:t xml:space="preserve">Doody, T.M., Benger, S.N., Pritchard, J.L., and Overton, I.C. (2014). Ecological response of Eucalyptus camaldulensis (river red gum) to extended drought and flooding along the River Murray, South Australia (1997–2011) and implications for environmental flow management. Marine and Freshwater Research </w:t>
      </w:r>
      <w:r w:rsidRPr="003073D8">
        <w:rPr>
          <w:rFonts w:cs="Arial"/>
          <w:b/>
          <w:bCs/>
          <w:lang w:val="en-GB"/>
        </w:rPr>
        <w:t>65</w:t>
      </w:r>
      <w:r w:rsidRPr="003073D8">
        <w:rPr>
          <w:rFonts w:cs="Arial"/>
          <w:lang w:val="en-GB"/>
        </w:rPr>
        <w:t>(12): 1082–1093. CSIRO.</w:t>
      </w:r>
    </w:p>
    <w:p w14:paraId="56275379" w14:textId="77777777" w:rsidR="003073D8" w:rsidRPr="003073D8" w:rsidRDefault="003073D8" w:rsidP="003073D8">
      <w:pPr>
        <w:pStyle w:val="Bibliography"/>
        <w:rPr>
          <w:rFonts w:cs="Arial"/>
          <w:lang w:val="en-GB"/>
        </w:rPr>
      </w:pPr>
      <w:r w:rsidRPr="003073D8">
        <w:rPr>
          <w:rFonts w:cs="Arial"/>
          <w:lang w:val="en-GB"/>
        </w:rPr>
        <w:t>Ellis, J. and Lee, T. (2002). Casting the net: early fishing families of the Gippsland coast. Lakes Entrance Family History Resource Centre: Lakes Entrance.</w:t>
      </w:r>
    </w:p>
    <w:p w14:paraId="3DBA2F3C" w14:textId="77777777" w:rsidR="003073D8" w:rsidRPr="003073D8" w:rsidRDefault="003073D8" w:rsidP="003073D8">
      <w:pPr>
        <w:pStyle w:val="Bibliography"/>
        <w:rPr>
          <w:rFonts w:cs="Arial"/>
          <w:lang w:val="en-GB"/>
        </w:rPr>
      </w:pPr>
      <w:r w:rsidRPr="003073D8">
        <w:rPr>
          <w:rFonts w:cs="Arial"/>
          <w:lang w:val="en-GB"/>
        </w:rPr>
        <w:t xml:space="preserve">Elmhagen, B., Eriksson, O., and Lindborg, R. (2015). Implications of climate and land-use change for landscape processes, biodiversity, ecosystem services, and governance. AMBIO </w:t>
      </w:r>
      <w:r w:rsidRPr="003073D8">
        <w:rPr>
          <w:rFonts w:cs="Arial"/>
          <w:b/>
          <w:bCs/>
          <w:lang w:val="en-GB"/>
        </w:rPr>
        <w:t>44</w:t>
      </w:r>
      <w:r w:rsidRPr="003073D8">
        <w:rPr>
          <w:rFonts w:cs="Arial"/>
          <w:lang w:val="en-GB"/>
        </w:rPr>
        <w:t>(1): 1–5.</w:t>
      </w:r>
    </w:p>
    <w:p w14:paraId="2AB2E851" w14:textId="77777777" w:rsidR="003073D8" w:rsidRPr="003073D8" w:rsidRDefault="003073D8" w:rsidP="003073D8">
      <w:pPr>
        <w:pStyle w:val="Bibliography"/>
        <w:rPr>
          <w:rFonts w:cs="Arial"/>
          <w:lang w:val="en-GB"/>
        </w:rPr>
      </w:pPr>
      <w:r w:rsidRPr="003073D8">
        <w:rPr>
          <w:rFonts w:cs="Arial"/>
          <w:lang w:val="en-GB"/>
        </w:rPr>
        <w:t>Ferraro, T.J. and Burgin, S. (1993). Review of environmental factors influencing the decline of Australian frogs. Herpetology in Australia: a diverse discipline: 205–218. Royal Zoological Society of New South Wales Sydney.</w:t>
      </w:r>
    </w:p>
    <w:p w14:paraId="2C8724E6" w14:textId="77777777" w:rsidR="003073D8" w:rsidRPr="003073D8" w:rsidRDefault="003073D8" w:rsidP="003073D8">
      <w:pPr>
        <w:pStyle w:val="Bibliography"/>
        <w:rPr>
          <w:rFonts w:cs="Arial"/>
          <w:lang w:val="en-GB"/>
        </w:rPr>
      </w:pPr>
      <w:r w:rsidRPr="003073D8">
        <w:rPr>
          <w:rFonts w:cs="Arial"/>
          <w:lang w:val="en-GB"/>
        </w:rPr>
        <w:t xml:space="preserve">Finlayson, C.M., Capon, S.J., Rissik, D., Pittock, J., Fisk, G., Davidson, N.C., Bodmin, K.A., Papas, P., Robertson, H.A., Schallenberg, M., and others. (2017). Policy considerations for managing wetlands under a changing climate. Marine and Freshwater Research </w:t>
      </w:r>
      <w:r w:rsidRPr="003073D8">
        <w:rPr>
          <w:rFonts w:cs="Arial"/>
          <w:b/>
          <w:bCs/>
          <w:lang w:val="en-GB"/>
        </w:rPr>
        <w:t>68</w:t>
      </w:r>
      <w:r w:rsidRPr="003073D8">
        <w:rPr>
          <w:rFonts w:cs="Arial"/>
          <w:lang w:val="en-GB"/>
        </w:rPr>
        <w:t>(10): 1803–1815.</w:t>
      </w:r>
    </w:p>
    <w:p w14:paraId="579F4B3E" w14:textId="77777777" w:rsidR="003073D8" w:rsidRPr="003073D8" w:rsidRDefault="003073D8" w:rsidP="003073D8">
      <w:pPr>
        <w:pStyle w:val="Bibliography"/>
        <w:rPr>
          <w:rFonts w:cs="Arial"/>
          <w:lang w:val="en-GB"/>
        </w:rPr>
      </w:pPr>
      <w:r w:rsidRPr="003073D8">
        <w:rPr>
          <w:rFonts w:cs="Arial"/>
          <w:lang w:val="en-GB"/>
        </w:rPr>
        <w:t xml:space="preserve">Finlayson, C.M., Davis, J.A., Gell, P.A., Kingsford, R.T., and Parton, K.A. (2013). The status of wetlands and the predicted effects of global climate change: the situation in Australia. Aquatic Sciences </w:t>
      </w:r>
      <w:r w:rsidRPr="003073D8">
        <w:rPr>
          <w:rFonts w:cs="Arial"/>
          <w:b/>
          <w:bCs/>
          <w:lang w:val="en-GB"/>
        </w:rPr>
        <w:t>75</w:t>
      </w:r>
      <w:r w:rsidRPr="003073D8">
        <w:rPr>
          <w:rFonts w:cs="Arial"/>
          <w:lang w:val="en-GB"/>
        </w:rPr>
        <w:t>(1): 73–93.</w:t>
      </w:r>
    </w:p>
    <w:p w14:paraId="15167280" w14:textId="77777777" w:rsidR="003073D8" w:rsidRPr="003073D8" w:rsidRDefault="003073D8" w:rsidP="003073D8">
      <w:pPr>
        <w:pStyle w:val="Bibliography"/>
        <w:rPr>
          <w:rFonts w:cs="Arial"/>
          <w:lang w:val="en-GB"/>
        </w:rPr>
      </w:pPr>
      <w:r w:rsidRPr="003073D8">
        <w:rPr>
          <w:rFonts w:cs="Arial"/>
          <w:lang w:val="en-GB"/>
        </w:rPr>
        <w:t>Frood, D., Boon, P., Oates, A., Reside, J., and Maxwell, R. (2015). Benchmarking Wetland Flora in the Lower Latrobe Wetlands. West Gippsland CMA, Traralgon.</w:t>
      </w:r>
    </w:p>
    <w:p w14:paraId="19335E56" w14:textId="77777777" w:rsidR="003073D8" w:rsidRPr="003073D8" w:rsidRDefault="003073D8" w:rsidP="003073D8">
      <w:pPr>
        <w:pStyle w:val="Bibliography"/>
        <w:rPr>
          <w:rFonts w:cs="Arial"/>
          <w:lang w:val="en-GB"/>
        </w:rPr>
      </w:pPr>
      <w:r w:rsidRPr="003073D8">
        <w:rPr>
          <w:rFonts w:cs="Arial"/>
          <w:lang w:val="en-GB"/>
        </w:rPr>
        <w:t>Hale, J., Boon, P., and Jempson, M. (2018). Dowd Morass Salinity Risk Assessment and Management Options. West Gippsland CMA, Traralgon, Victoria.</w:t>
      </w:r>
    </w:p>
    <w:p w14:paraId="62B6C7CE" w14:textId="77777777" w:rsidR="003073D8" w:rsidRPr="003073D8" w:rsidRDefault="003073D8" w:rsidP="003073D8">
      <w:pPr>
        <w:pStyle w:val="Bibliography"/>
        <w:rPr>
          <w:rFonts w:cs="Arial"/>
          <w:lang w:val="en-GB"/>
        </w:rPr>
      </w:pPr>
      <w:r w:rsidRPr="003073D8">
        <w:rPr>
          <w:rFonts w:cs="Arial"/>
          <w:lang w:val="en-GB"/>
        </w:rPr>
        <w:t xml:space="preserve">Hamilton-Brown, S., Boon, P.I., Raulings, E., Morris, K., and Robinson, R. (2009). Aerial seed storage in </w:t>
      </w:r>
      <w:r w:rsidRPr="003073D8">
        <w:rPr>
          <w:rFonts w:cs="Arial"/>
          <w:i/>
          <w:iCs/>
          <w:lang w:val="en-GB"/>
        </w:rPr>
        <w:t>Melaleuca ericifolia</w:t>
      </w:r>
      <w:r w:rsidRPr="003073D8">
        <w:rPr>
          <w:rFonts w:cs="Arial"/>
          <w:lang w:val="en-GB"/>
        </w:rPr>
        <w:t xml:space="preserve"> Sm.(Swamp Paperbark): environmental triggers for seed release. Hydrobiologia </w:t>
      </w:r>
      <w:r w:rsidRPr="003073D8">
        <w:rPr>
          <w:rFonts w:cs="Arial"/>
          <w:b/>
          <w:bCs/>
          <w:lang w:val="en-GB"/>
        </w:rPr>
        <w:t>620</w:t>
      </w:r>
      <w:r w:rsidRPr="003073D8">
        <w:rPr>
          <w:rFonts w:cs="Arial"/>
          <w:lang w:val="en-GB"/>
        </w:rPr>
        <w:t>(1): 121–133.</w:t>
      </w:r>
    </w:p>
    <w:p w14:paraId="191C1D61" w14:textId="77777777" w:rsidR="003073D8" w:rsidRPr="003073D8" w:rsidRDefault="003073D8" w:rsidP="003073D8">
      <w:pPr>
        <w:pStyle w:val="Bibliography"/>
        <w:rPr>
          <w:rFonts w:cs="Arial"/>
          <w:lang w:val="en-GB"/>
        </w:rPr>
      </w:pPr>
      <w:r w:rsidRPr="003073D8">
        <w:rPr>
          <w:rFonts w:cs="Arial"/>
          <w:lang w:val="en-GB"/>
        </w:rPr>
        <w:t>Harris, G., Batley, G., Webster, I.T., Molloy, R., and Fox, D. (1998). Gippsland Lakes Environmental Audit: Review of Water Quality and Status of the Aquatic Ecosystems of the Gippsland Lakes. CSIRO, Melbourne.</w:t>
      </w:r>
    </w:p>
    <w:p w14:paraId="669FC929" w14:textId="77777777" w:rsidR="003073D8" w:rsidRPr="003073D8" w:rsidRDefault="003073D8" w:rsidP="003073D8">
      <w:pPr>
        <w:pStyle w:val="Bibliography"/>
        <w:rPr>
          <w:rFonts w:cs="Arial"/>
          <w:lang w:val="en-GB"/>
        </w:rPr>
      </w:pPr>
      <w:r w:rsidRPr="003073D8">
        <w:rPr>
          <w:rFonts w:cs="Arial"/>
          <w:lang w:val="en-GB"/>
        </w:rPr>
        <w:t>Jacobs, CSIRO, and University of Melbourne. (2017). Climate Change Projections. Latrobe Valley Regional Rehabilitation Strategy. Method report and user guidance. Department of Environment, Land, Water and Planning, Melbourne, Victoria.</w:t>
      </w:r>
    </w:p>
    <w:p w14:paraId="1AF50935" w14:textId="77777777" w:rsidR="003073D8" w:rsidRPr="003073D8" w:rsidRDefault="003073D8" w:rsidP="003073D8">
      <w:pPr>
        <w:pStyle w:val="Bibliography"/>
        <w:rPr>
          <w:rFonts w:cs="Arial"/>
          <w:lang w:val="en-GB"/>
        </w:rPr>
      </w:pPr>
      <w:r w:rsidRPr="003073D8">
        <w:rPr>
          <w:rFonts w:cs="Arial"/>
          <w:lang w:val="en-GB"/>
        </w:rPr>
        <w:t xml:space="preserve">Jenkins, G. (2011). Fish. </w:t>
      </w:r>
      <w:r w:rsidRPr="003073D8">
        <w:rPr>
          <w:rFonts w:cs="Arial"/>
          <w:i/>
          <w:iCs/>
          <w:lang w:val="en-GB"/>
        </w:rPr>
        <w:t>In</w:t>
      </w:r>
      <w:r w:rsidRPr="003073D8">
        <w:rPr>
          <w:rFonts w:cs="Arial"/>
          <w:lang w:val="en-GB"/>
        </w:rPr>
        <w:t xml:space="preserve"> Understanding the Western Port Environment: A summary of current knowledge and priorities for future research. </w:t>
      </w:r>
      <w:r w:rsidRPr="003073D8">
        <w:rPr>
          <w:rFonts w:cs="Arial"/>
          <w:i/>
          <w:iCs/>
          <w:lang w:val="en-GB"/>
        </w:rPr>
        <w:t>Edited by</w:t>
      </w:r>
      <w:r w:rsidRPr="003073D8">
        <w:rPr>
          <w:rFonts w:cs="Arial"/>
          <w:lang w:val="en-GB"/>
        </w:rPr>
        <w:t xml:space="preserve"> Melbourne Water. Melbourne Water, Melbourne. pp. 142–155.</w:t>
      </w:r>
    </w:p>
    <w:p w14:paraId="456EEB87" w14:textId="77777777" w:rsidR="003073D8" w:rsidRPr="003073D8" w:rsidRDefault="003073D8" w:rsidP="003073D8">
      <w:pPr>
        <w:pStyle w:val="Bibliography"/>
        <w:rPr>
          <w:rFonts w:cs="Arial"/>
          <w:lang w:val="en-GB"/>
        </w:rPr>
      </w:pPr>
      <w:r w:rsidRPr="003073D8">
        <w:rPr>
          <w:rFonts w:cs="Arial"/>
          <w:lang w:val="en-GB"/>
        </w:rPr>
        <w:t xml:space="preserve">King, A.J., Tonkin, Z., and Lieshcke, J. (2012). Short-term effects of a prolonged blackwater event on aquatic fauna in the Murray River, Australia: considerations for future events. Marine and Freshwater Research </w:t>
      </w:r>
      <w:r w:rsidRPr="003073D8">
        <w:rPr>
          <w:rFonts w:cs="Arial"/>
          <w:b/>
          <w:bCs/>
          <w:lang w:val="en-GB"/>
        </w:rPr>
        <w:t>63</w:t>
      </w:r>
      <w:r w:rsidRPr="003073D8">
        <w:rPr>
          <w:rFonts w:cs="Arial"/>
          <w:lang w:val="en-GB"/>
        </w:rPr>
        <w:t>(7): 576–586.</w:t>
      </w:r>
    </w:p>
    <w:p w14:paraId="4B4E7980" w14:textId="77777777" w:rsidR="003073D8" w:rsidRPr="003073D8" w:rsidRDefault="003073D8" w:rsidP="003073D8">
      <w:pPr>
        <w:pStyle w:val="Bibliography"/>
        <w:rPr>
          <w:rFonts w:cs="Arial"/>
          <w:lang w:val="en-GB"/>
        </w:rPr>
      </w:pPr>
      <w:r w:rsidRPr="003073D8">
        <w:rPr>
          <w:rFonts w:cs="Arial"/>
          <w:lang w:val="en-GB"/>
        </w:rPr>
        <w:t xml:space="preserve">Kingsford, R.T. and Norman, F.I. (2002). Australian waterbirds — products of the continent’s ecology. Emu </w:t>
      </w:r>
      <w:r w:rsidRPr="003073D8">
        <w:rPr>
          <w:rFonts w:cs="Arial"/>
          <w:b/>
          <w:bCs/>
          <w:lang w:val="en-GB"/>
        </w:rPr>
        <w:t>102</w:t>
      </w:r>
      <w:r w:rsidRPr="003073D8">
        <w:rPr>
          <w:rFonts w:cs="Arial"/>
          <w:lang w:val="en-GB"/>
        </w:rPr>
        <w:t>(1): 47–69.</w:t>
      </w:r>
    </w:p>
    <w:p w14:paraId="1C980D14" w14:textId="77777777" w:rsidR="003073D8" w:rsidRPr="003073D8" w:rsidRDefault="003073D8" w:rsidP="003073D8">
      <w:pPr>
        <w:pStyle w:val="Bibliography"/>
        <w:rPr>
          <w:rFonts w:cs="Arial"/>
          <w:lang w:val="en-GB"/>
        </w:rPr>
      </w:pPr>
      <w:r w:rsidRPr="003073D8">
        <w:rPr>
          <w:rFonts w:cs="Arial"/>
          <w:lang w:val="en-GB"/>
        </w:rPr>
        <w:t xml:space="preserve">Kingsford, R.T., Roshier, D.A., and Porter, J.L. (2010). Australian waterbirds – time and space travellers in dynamic desert landscapes. Marine and Freshwater Research </w:t>
      </w:r>
      <w:r w:rsidRPr="003073D8">
        <w:rPr>
          <w:rFonts w:cs="Arial"/>
          <w:b/>
          <w:bCs/>
          <w:lang w:val="en-GB"/>
        </w:rPr>
        <w:t>61</w:t>
      </w:r>
      <w:r w:rsidRPr="003073D8">
        <w:rPr>
          <w:rFonts w:cs="Arial"/>
          <w:lang w:val="en-GB"/>
        </w:rPr>
        <w:t>(8): 875–884.</w:t>
      </w:r>
    </w:p>
    <w:p w14:paraId="103A691F" w14:textId="77777777" w:rsidR="003073D8" w:rsidRPr="003073D8" w:rsidRDefault="003073D8" w:rsidP="003073D8">
      <w:pPr>
        <w:pStyle w:val="Bibliography"/>
        <w:rPr>
          <w:rFonts w:cs="Arial"/>
          <w:lang w:val="en-GB"/>
        </w:rPr>
      </w:pPr>
      <w:r w:rsidRPr="003073D8">
        <w:rPr>
          <w:rFonts w:cs="Arial"/>
          <w:lang w:val="en-GB"/>
        </w:rPr>
        <w:t>Latrobe Valley Mine Rehabilitation Commissioner. (2018). Latrobe Valley Rehabilitation Monitoring and Evaluation Framework. State Government of Victoria, Traralgon, Victoria.</w:t>
      </w:r>
    </w:p>
    <w:p w14:paraId="2BDF8E39" w14:textId="77777777" w:rsidR="003073D8" w:rsidRPr="003073D8" w:rsidRDefault="003073D8" w:rsidP="003073D8">
      <w:pPr>
        <w:pStyle w:val="Bibliography"/>
        <w:rPr>
          <w:rFonts w:cs="Arial"/>
          <w:lang w:val="en-GB"/>
        </w:rPr>
      </w:pPr>
      <w:r w:rsidRPr="003073D8">
        <w:rPr>
          <w:rFonts w:cs="Arial"/>
          <w:lang w:val="en-GB"/>
        </w:rPr>
        <w:t xml:space="preserve">Lough, J.M. and Hobday, A.J. (2011). Observed climate change in Australian marine and freshwater environments. Marine and Freshwater Research </w:t>
      </w:r>
      <w:r w:rsidRPr="003073D8">
        <w:rPr>
          <w:rFonts w:cs="Arial"/>
          <w:b/>
          <w:bCs/>
          <w:lang w:val="en-GB"/>
        </w:rPr>
        <w:t>62</w:t>
      </w:r>
      <w:r w:rsidRPr="003073D8">
        <w:rPr>
          <w:rFonts w:cs="Arial"/>
          <w:lang w:val="en-GB"/>
        </w:rPr>
        <w:t>(9): 984.</w:t>
      </w:r>
    </w:p>
    <w:p w14:paraId="3A5FF0E2" w14:textId="77777777" w:rsidR="003073D8" w:rsidRPr="003073D8" w:rsidRDefault="003073D8" w:rsidP="003073D8">
      <w:pPr>
        <w:pStyle w:val="Bibliography"/>
        <w:rPr>
          <w:rFonts w:cs="Arial"/>
          <w:lang w:val="en-GB"/>
        </w:rPr>
      </w:pPr>
      <w:r w:rsidRPr="003073D8">
        <w:rPr>
          <w:rFonts w:cs="Arial"/>
          <w:lang w:val="en-GB"/>
        </w:rPr>
        <w:t xml:space="preserve">Mayence, C.E., Marshall, D.J., and Godfree, R.C. (2010). Hydrologic and mechanical control for an invasive wetland plant, </w:t>
      </w:r>
      <w:r w:rsidRPr="003073D8">
        <w:rPr>
          <w:rFonts w:cs="Arial"/>
          <w:i/>
          <w:iCs/>
          <w:lang w:val="en-GB"/>
        </w:rPr>
        <w:t>Juncus ingens</w:t>
      </w:r>
      <w:r w:rsidRPr="003073D8">
        <w:rPr>
          <w:rFonts w:cs="Arial"/>
          <w:lang w:val="en-GB"/>
        </w:rPr>
        <w:t xml:space="preserve">, and implications for rehabilitating and managing Murray River floodplain wetlands, Australia. Wetlands Ecology and Management </w:t>
      </w:r>
      <w:r w:rsidRPr="003073D8">
        <w:rPr>
          <w:rFonts w:cs="Arial"/>
          <w:b/>
          <w:bCs/>
          <w:lang w:val="en-GB"/>
        </w:rPr>
        <w:t>18</w:t>
      </w:r>
      <w:r w:rsidRPr="003073D8">
        <w:rPr>
          <w:rFonts w:cs="Arial"/>
          <w:lang w:val="en-GB"/>
        </w:rPr>
        <w:t>(6): 717–730.</w:t>
      </w:r>
    </w:p>
    <w:p w14:paraId="0DA8CF38" w14:textId="77777777" w:rsidR="003073D8" w:rsidRPr="003073D8" w:rsidRDefault="003073D8" w:rsidP="003073D8">
      <w:pPr>
        <w:pStyle w:val="Bibliography"/>
        <w:rPr>
          <w:rFonts w:cs="Arial"/>
          <w:lang w:val="en-GB"/>
        </w:rPr>
      </w:pPr>
      <w:r w:rsidRPr="003073D8">
        <w:rPr>
          <w:rFonts w:cs="Arial"/>
          <w:lang w:val="en-GB"/>
        </w:rPr>
        <w:t>McGinness, H., Brandis, K., Robinson, F., Piper, M., O’Brien, L., Langston, A., Hodgson, J., Wenger, L., Martin, J., Bellio, M., Callaghan, D., Webster, E., Francis, R., McCann, J., Lyons, M., Doerr, V., Kingsford, R., and Mac Nally, R. (2019). Murray‒Darling Basin Environmental Water Knowledge and Research Project Waterbird Theme Research Report. Centre for Freshwater Ecosystems, Latrobe University, Albury, NSW.</w:t>
      </w:r>
    </w:p>
    <w:p w14:paraId="202244E7" w14:textId="77777777" w:rsidR="003073D8" w:rsidRPr="003073D8" w:rsidRDefault="003073D8" w:rsidP="003073D8">
      <w:pPr>
        <w:pStyle w:val="Bibliography"/>
        <w:rPr>
          <w:rFonts w:cs="Arial"/>
          <w:lang w:val="en-GB"/>
        </w:rPr>
      </w:pPr>
      <w:r w:rsidRPr="003073D8">
        <w:rPr>
          <w:rFonts w:cs="Arial"/>
          <w:lang w:val="en-GB"/>
        </w:rPr>
        <w:t>Millennium Ecosystem Assessment Program. (2005). Ecosystems and human well-being: wetlands and water synthesis: a report of the Millennium Ecosystem Assessment. World Resources Institute, Washington, DC.</w:t>
      </w:r>
    </w:p>
    <w:p w14:paraId="5DBA162D" w14:textId="77777777" w:rsidR="003073D8" w:rsidRPr="003073D8" w:rsidRDefault="003073D8" w:rsidP="003073D8">
      <w:pPr>
        <w:pStyle w:val="Bibliography"/>
        <w:rPr>
          <w:rFonts w:cs="Arial"/>
          <w:lang w:val="en-GB"/>
        </w:rPr>
      </w:pPr>
      <w:r w:rsidRPr="003073D8">
        <w:rPr>
          <w:rFonts w:cs="Arial"/>
          <w:lang w:val="en-GB"/>
        </w:rPr>
        <w:t>Mitsch, W.J. and Gosselink, J.G. (2007). Wetlands. John Wiley &amp; Sons.</w:t>
      </w:r>
    </w:p>
    <w:p w14:paraId="46F1A865" w14:textId="77777777" w:rsidR="003073D8" w:rsidRPr="003073D8" w:rsidRDefault="003073D8" w:rsidP="003073D8">
      <w:pPr>
        <w:pStyle w:val="Bibliography"/>
        <w:rPr>
          <w:rFonts w:cs="Arial"/>
          <w:lang w:val="en-GB"/>
        </w:rPr>
      </w:pPr>
      <w:r w:rsidRPr="003073D8">
        <w:rPr>
          <w:rFonts w:cs="Arial"/>
          <w:lang w:val="en-GB"/>
        </w:rPr>
        <w:t xml:space="preserve">OECD, O. (1993). Core set of indicators for environmental performance reviews. Environmental Monograph </w:t>
      </w:r>
      <w:r w:rsidRPr="003073D8">
        <w:rPr>
          <w:rFonts w:cs="Arial"/>
          <w:b/>
          <w:bCs/>
          <w:lang w:val="en-GB"/>
        </w:rPr>
        <w:t>83</w:t>
      </w:r>
      <w:r w:rsidRPr="003073D8">
        <w:rPr>
          <w:rFonts w:cs="Arial"/>
          <w:lang w:val="en-GB"/>
        </w:rPr>
        <w:t>. OECD Paris.</w:t>
      </w:r>
    </w:p>
    <w:p w14:paraId="3FD601AF" w14:textId="77777777" w:rsidR="003073D8" w:rsidRPr="003073D8" w:rsidRDefault="003073D8" w:rsidP="003073D8">
      <w:pPr>
        <w:pStyle w:val="Bibliography"/>
        <w:rPr>
          <w:rFonts w:cs="Arial"/>
          <w:lang w:val="en-GB"/>
        </w:rPr>
      </w:pPr>
      <w:r w:rsidRPr="003073D8">
        <w:rPr>
          <w:rFonts w:cs="Arial"/>
          <w:lang w:val="en-GB"/>
        </w:rPr>
        <w:t>Parry, G.D., Oakes, J.M., and White, C.A. (2013). The role of sewage effluent in maintaining the productivity of wader feeding areas near the Western Treatment Plant.</w:t>
      </w:r>
    </w:p>
    <w:p w14:paraId="100B6BFF" w14:textId="77777777" w:rsidR="003073D8" w:rsidRPr="003073D8" w:rsidRDefault="003073D8" w:rsidP="003073D8">
      <w:pPr>
        <w:pStyle w:val="Bibliography"/>
        <w:rPr>
          <w:rFonts w:cs="Arial"/>
          <w:lang w:val="en-GB"/>
        </w:rPr>
      </w:pPr>
      <w:r w:rsidRPr="003073D8">
        <w:rPr>
          <w:rFonts w:cs="Arial"/>
          <w:lang w:val="en-GB"/>
        </w:rPr>
        <w:t xml:space="preserve">Potter, I.C., Tweedley, J.R., Elliott, M., and Whitfield, A.K. (2015). The ways in which fish use estuaries: a refinement and expansion of the guild approach. Fish and Fisheries </w:t>
      </w:r>
      <w:r w:rsidRPr="003073D8">
        <w:rPr>
          <w:rFonts w:cs="Arial"/>
          <w:b/>
          <w:bCs/>
          <w:lang w:val="en-GB"/>
        </w:rPr>
        <w:t>16</w:t>
      </w:r>
      <w:r w:rsidRPr="003073D8">
        <w:rPr>
          <w:rFonts w:cs="Arial"/>
          <w:lang w:val="en-GB"/>
        </w:rPr>
        <w:t>(2): 230–239.</w:t>
      </w:r>
    </w:p>
    <w:p w14:paraId="213ACBD0" w14:textId="77777777" w:rsidR="003073D8" w:rsidRPr="003073D8" w:rsidRDefault="003073D8" w:rsidP="003073D8">
      <w:pPr>
        <w:pStyle w:val="Bibliography"/>
        <w:rPr>
          <w:rFonts w:cs="Arial"/>
          <w:lang w:val="en-GB"/>
        </w:rPr>
      </w:pPr>
      <w:r w:rsidRPr="003073D8">
        <w:rPr>
          <w:rFonts w:cs="Arial"/>
          <w:lang w:val="en-GB"/>
        </w:rPr>
        <w:t xml:space="preserve">Raulings, E.J., Morris, K., Roache, M.C., and Boon, P.I. (2010). The importance of water regimes operating at small spatial scales for the diversity and structure of wetland vegetation. Freshwater Biology </w:t>
      </w:r>
      <w:r w:rsidRPr="003073D8">
        <w:rPr>
          <w:rFonts w:cs="Arial"/>
          <w:b/>
          <w:bCs/>
          <w:lang w:val="en-GB"/>
        </w:rPr>
        <w:t>55</w:t>
      </w:r>
      <w:r w:rsidRPr="003073D8">
        <w:rPr>
          <w:rFonts w:cs="Arial"/>
          <w:lang w:val="en-GB"/>
        </w:rPr>
        <w:t>(3): 701–715.</w:t>
      </w:r>
    </w:p>
    <w:p w14:paraId="67A9AA8D" w14:textId="77777777" w:rsidR="003073D8" w:rsidRPr="003073D8" w:rsidRDefault="003073D8" w:rsidP="003073D8">
      <w:pPr>
        <w:pStyle w:val="Bibliography"/>
        <w:rPr>
          <w:rFonts w:cs="Arial"/>
          <w:lang w:val="en-GB"/>
        </w:rPr>
      </w:pPr>
      <w:r w:rsidRPr="003073D8">
        <w:rPr>
          <w:rFonts w:cs="Arial"/>
          <w:lang w:val="en-GB"/>
        </w:rPr>
        <w:t xml:space="preserve">Raulings, E.J., Morris, K., Roache, M.C., and Boon, P.I. (2011). Is hydrological manipulation an effective management tool for rehabilitating chronically flooded, brackish-water wetlands? Freshwater Biology </w:t>
      </w:r>
      <w:r w:rsidRPr="003073D8">
        <w:rPr>
          <w:rFonts w:cs="Arial"/>
          <w:b/>
          <w:bCs/>
          <w:lang w:val="en-GB"/>
        </w:rPr>
        <w:t>56</w:t>
      </w:r>
      <w:r w:rsidRPr="003073D8">
        <w:rPr>
          <w:rFonts w:cs="Arial"/>
          <w:lang w:val="en-GB"/>
        </w:rPr>
        <w:t>(11): 2347–2369.</w:t>
      </w:r>
    </w:p>
    <w:p w14:paraId="7300C1B4" w14:textId="77777777" w:rsidR="003073D8" w:rsidRPr="003073D8" w:rsidRDefault="003073D8" w:rsidP="003073D8">
      <w:pPr>
        <w:pStyle w:val="Bibliography"/>
        <w:rPr>
          <w:rFonts w:cs="Arial"/>
          <w:lang w:val="en-GB"/>
        </w:rPr>
      </w:pPr>
      <w:r w:rsidRPr="003073D8">
        <w:rPr>
          <w:rFonts w:cs="Arial"/>
          <w:lang w:val="en-GB"/>
        </w:rPr>
        <w:t xml:space="preserve">Reinfelds, I., Rutherfurd, I., and Bishop, P. (1995). History and effects of channelisation on the Latrobe River, Victoria. Australian Geographical Studies </w:t>
      </w:r>
      <w:r w:rsidRPr="003073D8">
        <w:rPr>
          <w:rFonts w:cs="Arial"/>
          <w:b/>
          <w:bCs/>
          <w:lang w:val="en-GB"/>
        </w:rPr>
        <w:t>33</w:t>
      </w:r>
      <w:r w:rsidRPr="003073D8">
        <w:rPr>
          <w:rFonts w:cs="Arial"/>
          <w:lang w:val="en-GB"/>
        </w:rPr>
        <w:t>(1): 60–76.</w:t>
      </w:r>
    </w:p>
    <w:p w14:paraId="7F141876" w14:textId="77777777" w:rsidR="003073D8" w:rsidRPr="003073D8" w:rsidRDefault="003073D8" w:rsidP="003073D8">
      <w:pPr>
        <w:pStyle w:val="Bibliography"/>
        <w:rPr>
          <w:rFonts w:cs="Arial"/>
          <w:lang w:val="en-GB"/>
        </w:rPr>
      </w:pPr>
      <w:r w:rsidRPr="003073D8">
        <w:rPr>
          <w:rFonts w:cs="Arial"/>
          <w:lang w:val="en-GB"/>
        </w:rPr>
        <w:t>Roberts, J. and Marston, F. (2011). Water regime for wetland and floodplain plants : a source book for the Murray-Darling Basin. National Water Commission, Canberra.</w:t>
      </w:r>
    </w:p>
    <w:p w14:paraId="40FB73A8" w14:textId="77777777" w:rsidR="003073D8" w:rsidRPr="003073D8" w:rsidRDefault="003073D8" w:rsidP="003073D8">
      <w:pPr>
        <w:pStyle w:val="Bibliography"/>
        <w:rPr>
          <w:rFonts w:cs="Arial"/>
          <w:lang w:val="en-GB"/>
        </w:rPr>
      </w:pPr>
      <w:r w:rsidRPr="003073D8">
        <w:rPr>
          <w:rFonts w:cs="Arial"/>
          <w:lang w:val="en-GB"/>
        </w:rPr>
        <w:t xml:space="preserve">Robinson, R.W., Boon, P.I., and Bailey, P. (2006). Germination characteristics of </w:t>
      </w:r>
      <w:r w:rsidRPr="003073D8">
        <w:rPr>
          <w:rFonts w:cs="Arial"/>
          <w:i/>
          <w:iCs/>
          <w:lang w:val="en-GB"/>
        </w:rPr>
        <w:t>Melaleuca ericifolia</w:t>
      </w:r>
      <w:r w:rsidRPr="003073D8">
        <w:rPr>
          <w:rFonts w:cs="Arial"/>
          <w:lang w:val="en-GB"/>
        </w:rPr>
        <w:t xml:space="preserve"> Sm.(swamp paperbark) and their implications for the rehabilitation of coastal wetlands. Marine and Freshwater Research </w:t>
      </w:r>
      <w:r w:rsidRPr="003073D8">
        <w:rPr>
          <w:rFonts w:cs="Arial"/>
          <w:b/>
          <w:bCs/>
          <w:lang w:val="en-GB"/>
        </w:rPr>
        <w:t>57</w:t>
      </w:r>
      <w:r w:rsidRPr="003073D8">
        <w:rPr>
          <w:rFonts w:cs="Arial"/>
          <w:lang w:val="en-GB"/>
        </w:rPr>
        <w:t>(7): 703–711.</w:t>
      </w:r>
    </w:p>
    <w:p w14:paraId="0990D990" w14:textId="4F4299E9" w:rsidR="003073D8" w:rsidRPr="003073D8" w:rsidRDefault="003073D8" w:rsidP="003073D8">
      <w:pPr>
        <w:pStyle w:val="Bibliography"/>
        <w:rPr>
          <w:rFonts w:cs="Arial"/>
          <w:lang w:val="en-GB"/>
        </w:rPr>
      </w:pPr>
      <w:r w:rsidRPr="003073D8">
        <w:rPr>
          <w:rFonts w:cs="Arial"/>
          <w:lang w:val="en-GB"/>
        </w:rPr>
        <w:t xml:space="preserve">Saddlier, S., Jackson, J., and Hammer, M. (2010). National Recovery Plan for the Dwarf Galaxias: </w:t>
      </w:r>
      <w:r w:rsidRPr="003073D8">
        <w:rPr>
          <w:rFonts w:cs="Arial"/>
          <w:i/>
          <w:iCs/>
          <w:lang w:val="en-GB"/>
        </w:rPr>
        <w:t>Galaxiella pusilla</w:t>
      </w:r>
      <w:r w:rsidRPr="003073D8">
        <w:rPr>
          <w:rFonts w:cs="Arial"/>
          <w:lang w:val="en-GB"/>
        </w:rPr>
        <w:t>. Department of Sustainability and Environment Melbourne, Victoria, Australia.</w:t>
      </w:r>
    </w:p>
    <w:p w14:paraId="14F72183" w14:textId="62479CF7" w:rsidR="003073D8" w:rsidRPr="003073D8" w:rsidRDefault="003073D8" w:rsidP="003073D8">
      <w:pPr>
        <w:pStyle w:val="Bibliography"/>
        <w:rPr>
          <w:rFonts w:cs="Arial"/>
          <w:lang w:val="en-GB"/>
        </w:rPr>
      </w:pPr>
      <w:r w:rsidRPr="003073D8">
        <w:rPr>
          <w:rFonts w:cs="Arial"/>
          <w:lang w:val="en-GB"/>
        </w:rPr>
        <w:t xml:space="preserve">Salter, J., Morris, K., Bailey, P.C., and Boon, P.I. (2007). Interactive effects of salinity and water depth on the growth of </w:t>
      </w:r>
      <w:r w:rsidRPr="003073D8">
        <w:rPr>
          <w:rFonts w:cs="Arial"/>
          <w:i/>
          <w:iCs/>
          <w:lang w:val="en-GB"/>
        </w:rPr>
        <w:t>Melaleuca ericifolia</w:t>
      </w:r>
      <w:r w:rsidRPr="003073D8">
        <w:rPr>
          <w:rFonts w:cs="Arial"/>
          <w:lang w:val="en-GB"/>
        </w:rPr>
        <w:t xml:space="preserve"> Sm.(Swamp paperbark) seedlings. Aquatic Botany </w:t>
      </w:r>
      <w:r w:rsidRPr="003073D8">
        <w:rPr>
          <w:rFonts w:cs="Arial"/>
          <w:b/>
          <w:bCs/>
          <w:lang w:val="en-GB"/>
        </w:rPr>
        <w:t>86</w:t>
      </w:r>
      <w:r w:rsidRPr="003073D8">
        <w:rPr>
          <w:rFonts w:cs="Arial"/>
          <w:lang w:val="en-GB"/>
        </w:rPr>
        <w:t>(3): 213–222.</w:t>
      </w:r>
    </w:p>
    <w:p w14:paraId="67CD5AE8" w14:textId="77777777" w:rsidR="003073D8" w:rsidRPr="003073D8" w:rsidRDefault="003073D8" w:rsidP="003073D8">
      <w:pPr>
        <w:pStyle w:val="Bibliography"/>
        <w:rPr>
          <w:rFonts w:cs="Arial"/>
          <w:lang w:val="en-GB"/>
        </w:rPr>
      </w:pPr>
      <w:r w:rsidRPr="003073D8">
        <w:rPr>
          <w:rFonts w:cs="Arial"/>
          <w:lang w:val="en-GB"/>
        </w:rPr>
        <w:t xml:space="preserve">Salter, J., Morris, K., Read, J., and Boon, P.I. (2010). Impact of long-term, saline flooding on condition and reproduction of the clonal wetland tree, </w:t>
      </w:r>
      <w:r w:rsidRPr="003073D8">
        <w:rPr>
          <w:rFonts w:cs="Arial"/>
          <w:i/>
          <w:iCs/>
          <w:lang w:val="en-GB"/>
        </w:rPr>
        <w:t>Melaleuca ericifolia</w:t>
      </w:r>
      <w:r w:rsidRPr="003073D8">
        <w:rPr>
          <w:rFonts w:cs="Arial"/>
          <w:lang w:val="en-GB"/>
        </w:rPr>
        <w:t xml:space="preserve"> (Myrtaceae). Plant Ecology </w:t>
      </w:r>
      <w:r w:rsidRPr="003073D8">
        <w:rPr>
          <w:rFonts w:cs="Arial"/>
          <w:b/>
          <w:bCs/>
          <w:lang w:val="en-GB"/>
        </w:rPr>
        <w:t>206</w:t>
      </w:r>
      <w:r w:rsidRPr="003073D8">
        <w:rPr>
          <w:rFonts w:cs="Arial"/>
          <w:lang w:val="en-GB"/>
        </w:rPr>
        <w:t>(1): 41–57.</w:t>
      </w:r>
    </w:p>
    <w:p w14:paraId="4C255896" w14:textId="77777777" w:rsidR="003073D8" w:rsidRPr="003073D8" w:rsidRDefault="003073D8" w:rsidP="003073D8">
      <w:pPr>
        <w:pStyle w:val="Bibliography"/>
        <w:rPr>
          <w:rFonts w:cs="Arial"/>
          <w:lang w:val="en-GB"/>
        </w:rPr>
      </w:pPr>
      <w:r w:rsidRPr="003073D8">
        <w:rPr>
          <w:rFonts w:cs="Arial"/>
          <w:lang w:val="en-GB"/>
        </w:rPr>
        <w:t xml:space="preserve">Sammut, J., White, I., and Melville, M. (1996). Acidification of an estuarine tributary in eastern Australia due to drainage of acid sulfate soils. Marine and Freshwater Research </w:t>
      </w:r>
      <w:r w:rsidRPr="003073D8">
        <w:rPr>
          <w:rFonts w:cs="Arial"/>
          <w:b/>
          <w:bCs/>
          <w:lang w:val="en-GB"/>
        </w:rPr>
        <w:t>47</w:t>
      </w:r>
      <w:r w:rsidRPr="003073D8">
        <w:rPr>
          <w:rFonts w:cs="Arial"/>
          <w:lang w:val="en-GB"/>
        </w:rPr>
        <w:t>(5): 669–684.</w:t>
      </w:r>
    </w:p>
    <w:p w14:paraId="4FC45852" w14:textId="77777777" w:rsidR="003073D8" w:rsidRPr="003073D8" w:rsidRDefault="003073D8" w:rsidP="003073D8">
      <w:pPr>
        <w:pStyle w:val="Bibliography"/>
        <w:rPr>
          <w:rFonts w:cs="Arial"/>
          <w:lang w:val="en-GB"/>
        </w:rPr>
      </w:pPr>
      <w:r w:rsidRPr="003073D8">
        <w:rPr>
          <w:rFonts w:cs="Arial"/>
          <w:lang w:val="en-GB"/>
        </w:rPr>
        <w:t xml:space="preserve">Schmidt, D.J., Crook, D.A., O’Connor, J.P., and Hughes, J.M. (2011). Genetic analysis of threatened Australian grayling </w:t>
      </w:r>
      <w:r w:rsidRPr="003073D8">
        <w:rPr>
          <w:rFonts w:cs="Arial"/>
          <w:i/>
          <w:iCs/>
          <w:lang w:val="en-GB"/>
        </w:rPr>
        <w:t>Prototroctes maraena</w:t>
      </w:r>
      <w:r w:rsidRPr="003073D8">
        <w:rPr>
          <w:rFonts w:cs="Arial"/>
          <w:lang w:val="en-GB"/>
        </w:rPr>
        <w:t xml:space="preserve"> suggests recruitment to coastal rivers from an unstructured marine larval source population. Journal of Fish Biology </w:t>
      </w:r>
      <w:r w:rsidRPr="003073D8">
        <w:rPr>
          <w:rFonts w:cs="Arial"/>
          <w:b/>
          <w:bCs/>
          <w:lang w:val="en-GB"/>
        </w:rPr>
        <w:t>78</w:t>
      </w:r>
      <w:r w:rsidRPr="003073D8">
        <w:rPr>
          <w:rFonts w:cs="Arial"/>
          <w:lang w:val="en-GB"/>
        </w:rPr>
        <w:t>(1): 98–111.</w:t>
      </w:r>
    </w:p>
    <w:p w14:paraId="3A7D15DC" w14:textId="77777777" w:rsidR="003073D8" w:rsidRPr="003073D8" w:rsidRDefault="003073D8" w:rsidP="003073D8">
      <w:pPr>
        <w:pStyle w:val="Bibliography"/>
        <w:rPr>
          <w:rFonts w:cs="Arial"/>
          <w:lang w:val="en-GB"/>
        </w:rPr>
      </w:pPr>
      <w:r w:rsidRPr="003073D8">
        <w:rPr>
          <w:rFonts w:cs="Arial"/>
          <w:lang w:val="en-GB"/>
        </w:rPr>
        <w:t xml:space="preserve">Shenton, W., Hart, B.T., and Chan, T. (2011). Bayesian network models for environmental flow decision-making: 1. Latrobe River Australia. River Research and Applications </w:t>
      </w:r>
      <w:r w:rsidRPr="003073D8">
        <w:rPr>
          <w:rFonts w:cs="Arial"/>
          <w:b/>
          <w:bCs/>
          <w:lang w:val="en-GB"/>
        </w:rPr>
        <w:t>27</w:t>
      </w:r>
      <w:r w:rsidRPr="003073D8">
        <w:rPr>
          <w:rFonts w:cs="Arial"/>
          <w:lang w:val="en-GB"/>
        </w:rPr>
        <w:t>(3): 283–296. Wiley Online Library.</w:t>
      </w:r>
    </w:p>
    <w:p w14:paraId="6BBC6B1E" w14:textId="77777777" w:rsidR="003073D8" w:rsidRPr="003073D8" w:rsidRDefault="003073D8" w:rsidP="003073D8">
      <w:pPr>
        <w:pStyle w:val="Bibliography"/>
        <w:rPr>
          <w:rFonts w:cs="Arial"/>
          <w:lang w:val="en-GB"/>
        </w:rPr>
      </w:pPr>
      <w:r w:rsidRPr="003073D8">
        <w:rPr>
          <w:rFonts w:cs="Arial"/>
          <w:lang w:val="en-GB"/>
        </w:rPr>
        <w:t>Sjerp, E., Riedel, P., Martin, B., and Bird, E. (2002). Gippsland Lakes Shore Erosion and Revegetation Strategy. Gippsland Coastal Board, Bairnsdale, Victoria.</w:t>
      </w:r>
    </w:p>
    <w:p w14:paraId="366641B4" w14:textId="77777777" w:rsidR="003073D8" w:rsidRPr="003073D8" w:rsidRDefault="003073D8" w:rsidP="003073D8">
      <w:pPr>
        <w:pStyle w:val="Bibliography"/>
        <w:rPr>
          <w:rFonts w:cs="Arial"/>
          <w:lang w:val="en-GB"/>
        </w:rPr>
      </w:pPr>
      <w:r w:rsidRPr="003073D8">
        <w:rPr>
          <w:rFonts w:cs="Arial"/>
          <w:lang w:val="en-GB"/>
        </w:rPr>
        <w:t>SKM. (2001). Lake Wellington Catchment Salinity Management Plan Wetlands Monitoring Project. Part A: Analysis and interpretation of wetland monitoring data. Department of Natural Resources and Environment, Melbourne, Australia.</w:t>
      </w:r>
    </w:p>
    <w:p w14:paraId="0BF36E23" w14:textId="77777777" w:rsidR="003073D8" w:rsidRPr="003073D8" w:rsidRDefault="003073D8" w:rsidP="003073D8">
      <w:pPr>
        <w:pStyle w:val="Bibliography"/>
        <w:rPr>
          <w:rFonts w:cs="Arial"/>
          <w:lang w:val="en-GB"/>
        </w:rPr>
      </w:pPr>
      <w:r w:rsidRPr="003073D8">
        <w:rPr>
          <w:rFonts w:cs="Arial"/>
          <w:lang w:val="en-GB"/>
        </w:rPr>
        <w:t>Smart, A. and Aspinall, A. (2009). Water and the electricity generation industry: implications of use. National Water Commission, Canberra.</w:t>
      </w:r>
    </w:p>
    <w:p w14:paraId="14D4DCBB" w14:textId="77777777" w:rsidR="003073D8" w:rsidRPr="003073D8" w:rsidRDefault="003073D8" w:rsidP="003073D8">
      <w:pPr>
        <w:pStyle w:val="Bibliography"/>
        <w:rPr>
          <w:rFonts w:cs="Arial"/>
          <w:lang w:val="en-GB"/>
        </w:rPr>
      </w:pPr>
      <w:r w:rsidRPr="003073D8">
        <w:rPr>
          <w:rFonts w:cs="Arial"/>
          <w:lang w:val="en-GB"/>
        </w:rPr>
        <w:t>Stuart, I.G. and Jones, M. (2006). Large, regulated forest floodplain is an ideal recruitment zone for non-native common carp (</w:t>
      </w:r>
      <w:r w:rsidRPr="003073D8">
        <w:rPr>
          <w:rFonts w:cs="Arial"/>
          <w:i/>
          <w:iCs/>
          <w:lang w:val="en-GB"/>
        </w:rPr>
        <w:t>Cyprinus carpio</w:t>
      </w:r>
      <w:r w:rsidRPr="003073D8">
        <w:rPr>
          <w:rFonts w:cs="Arial"/>
          <w:lang w:val="en-GB"/>
        </w:rPr>
        <w:t xml:space="preserve"> L.). Marine and Freshwater Research </w:t>
      </w:r>
      <w:r w:rsidRPr="003073D8">
        <w:rPr>
          <w:rFonts w:cs="Arial"/>
          <w:b/>
          <w:bCs/>
          <w:lang w:val="en-GB"/>
        </w:rPr>
        <w:t>57</w:t>
      </w:r>
      <w:r w:rsidRPr="003073D8">
        <w:rPr>
          <w:rFonts w:cs="Arial"/>
          <w:lang w:val="en-GB"/>
        </w:rPr>
        <w:t>(3): 333–347. CSIRO.</w:t>
      </w:r>
    </w:p>
    <w:p w14:paraId="4524A542" w14:textId="77777777" w:rsidR="003073D8" w:rsidRPr="003073D8" w:rsidRDefault="003073D8" w:rsidP="003073D8">
      <w:pPr>
        <w:pStyle w:val="Bibliography"/>
        <w:rPr>
          <w:rFonts w:cs="Arial"/>
          <w:lang w:val="en-GB"/>
        </w:rPr>
      </w:pPr>
      <w:r w:rsidRPr="003073D8">
        <w:rPr>
          <w:rFonts w:cs="Arial"/>
          <w:lang w:val="en-GB"/>
        </w:rPr>
        <w:t>Taylor, H.L. (2011). The current status of acid sulfate soils, their severity and associated environmental implications from the Heart Morass and Dowd Morass, West Gippsland, Victoria. Monash University, Clayton, Victoria.</w:t>
      </w:r>
    </w:p>
    <w:p w14:paraId="29E4BF14" w14:textId="77777777" w:rsidR="003073D8" w:rsidRPr="003073D8" w:rsidRDefault="003073D8" w:rsidP="003073D8">
      <w:pPr>
        <w:pStyle w:val="Bibliography"/>
        <w:rPr>
          <w:rFonts w:cs="Arial"/>
          <w:lang w:val="en-GB"/>
        </w:rPr>
      </w:pPr>
      <w:r w:rsidRPr="003073D8">
        <w:rPr>
          <w:rFonts w:cs="Arial"/>
          <w:lang w:val="en-GB"/>
        </w:rPr>
        <w:t>Tilleard, J., O’Connor, N., and Boon, P.J. (2009). Understanding the environmental water requirements of the Gippsland Lakes system. East and West Gippsland Catchment Management Authorities.</w:t>
      </w:r>
    </w:p>
    <w:p w14:paraId="47831D89" w14:textId="77777777" w:rsidR="003073D8" w:rsidRPr="003073D8" w:rsidRDefault="003073D8" w:rsidP="003073D8">
      <w:pPr>
        <w:pStyle w:val="Bibliography"/>
        <w:rPr>
          <w:rFonts w:cs="Arial"/>
          <w:lang w:val="en-GB"/>
        </w:rPr>
      </w:pPr>
      <w:r w:rsidRPr="003073D8">
        <w:rPr>
          <w:rFonts w:cs="Arial"/>
          <w:lang w:val="en-GB"/>
        </w:rPr>
        <w:t xml:space="preserve">Tonkin, Z., Kearns, J., Lyon, J., Balcombe, S.R., King, A.J., and Bond, N.R. (2017). Regional-scale extremes in river discharge and localised spawning stock abundance influence recruitment dynamics of a threatened freshwater fish. Ecohydrology </w:t>
      </w:r>
      <w:r w:rsidRPr="003073D8">
        <w:rPr>
          <w:rFonts w:cs="Arial"/>
          <w:b/>
          <w:bCs/>
          <w:lang w:val="en-GB"/>
        </w:rPr>
        <w:t>10</w:t>
      </w:r>
      <w:r w:rsidRPr="003073D8">
        <w:rPr>
          <w:rFonts w:cs="Arial"/>
          <w:lang w:val="en-GB"/>
        </w:rPr>
        <w:t>(6): e1842.</w:t>
      </w:r>
    </w:p>
    <w:p w14:paraId="0C10DE40" w14:textId="77777777" w:rsidR="003073D8" w:rsidRPr="003073D8" w:rsidRDefault="003073D8" w:rsidP="003073D8">
      <w:pPr>
        <w:pStyle w:val="Bibliography"/>
        <w:rPr>
          <w:rFonts w:cs="Arial"/>
          <w:lang w:val="en-GB"/>
        </w:rPr>
      </w:pPr>
      <w:r w:rsidRPr="003073D8">
        <w:rPr>
          <w:rFonts w:cs="Arial"/>
          <w:lang w:val="en-GB"/>
        </w:rPr>
        <w:t>Unland, N.P. (2009). The Extent, Severity and Implication of Acid Sulfate Soils in the Heart Morass, West Gippsland, Victoria. Honours, Monash University, Clayton, Victoria.</w:t>
      </w:r>
    </w:p>
    <w:p w14:paraId="7E2AE9AE" w14:textId="77777777" w:rsidR="003073D8" w:rsidRPr="003073D8" w:rsidRDefault="003073D8" w:rsidP="003073D8">
      <w:pPr>
        <w:pStyle w:val="Bibliography"/>
        <w:rPr>
          <w:rFonts w:cs="Arial"/>
          <w:lang w:val="en-GB"/>
        </w:rPr>
      </w:pPr>
      <w:r w:rsidRPr="003073D8">
        <w:rPr>
          <w:rFonts w:cs="Arial"/>
          <w:lang w:val="en-GB"/>
        </w:rPr>
        <w:t>Unland, N.P. (2015). Engineering options for the Gippsland Lakes. Jacobs Group Australia, Adelaide, SA.</w:t>
      </w:r>
    </w:p>
    <w:p w14:paraId="4F53AD66" w14:textId="77777777" w:rsidR="003073D8" w:rsidRPr="003073D8" w:rsidRDefault="003073D8" w:rsidP="003073D8">
      <w:pPr>
        <w:pStyle w:val="Bibliography"/>
        <w:rPr>
          <w:rFonts w:cs="Arial"/>
          <w:lang w:val="en-GB"/>
        </w:rPr>
      </w:pPr>
      <w:r w:rsidRPr="003073D8">
        <w:rPr>
          <w:rFonts w:cs="Arial"/>
          <w:lang w:val="en-GB"/>
        </w:rPr>
        <w:t>Vietz, G., Doeg, T., Finlayson, B., Hall, D., Frankenberg, J., and Stewardson, M. (2003). Thomson River Environmental Flow Requirements and Options to Manage Flow Stress. Earth Tech, Melbourne, Australia.</w:t>
      </w:r>
    </w:p>
    <w:p w14:paraId="582FFF30" w14:textId="77777777" w:rsidR="003073D8" w:rsidRPr="003073D8" w:rsidRDefault="003073D8" w:rsidP="003073D8">
      <w:pPr>
        <w:pStyle w:val="Bibliography"/>
        <w:rPr>
          <w:rFonts w:cs="Arial"/>
          <w:lang w:val="en-GB"/>
        </w:rPr>
      </w:pPr>
      <w:r w:rsidRPr="003073D8">
        <w:rPr>
          <w:rFonts w:cs="Arial"/>
          <w:lang w:val="en-GB"/>
        </w:rPr>
        <w:t>Wassens, S., Spencer, J., Wolfenden, B., Thiem, J., Thomas, R., Jenkins, K., Brandis, K., Lenon, E., Hall, A., Ocock, J.F., Kobayashi, T., Bino, G., Heath, J., and Callaghan, D. (2017). Commonwealth Environmental Water Office Long-Term Intervention Monitoring project Murrumbidgee River system Selected Area evaluation report, 2014-17. December 2017. Commonwealth of Australia, Canberra, ACT.</w:t>
      </w:r>
    </w:p>
    <w:p w14:paraId="445DCC2C" w14:textId="27E37983" w:rsidR="003073D8" w:rsidRPr="003073D8" w:rsidRDefault="003073D8" w:rsidP="003073D8">
      <w:pPr>
        <w:pStyle w:val="Bibliography"/>
        <w:rPr>
          <w:rFonts w:cs="Arial"/>
          <w:lang w:val="en-GB"/>
        </w:rPr>
      </w:pPr>
      <w:r w:rsidRPr="003073D8">
        <w:rPr>
          <w:rFonts w:cs="Arial"/>
          <w:lang w:val="en-GB"/>
        </w:rPr>
        <w:t>Young, W.J., Bond, N., Brookes, J., Gawne, B., and Jones, G. (2011). Science Review of the Estimation of an Environmentally Sustainable Level of Take for the Murray-Darling Basin. CSIRO Water for a Healthy Country.</w:t>
      </w:r>
    </w:p>
    <w:p w14:paraId="6BB7B3FE" w14:textId="2A6797FC" w:rsidR="005215D3" w:rsidRPr="00237510" w:rsidRDefault="003073D8" w:rsidP="00004006">
      <w:pPr>
        <w:rPr>
          <w:lang w:eastAsia="en-US"/>
        </w:rPr>
      </w:pPr>
      <w:r>
        <w:rPr>
          <w:lang w:eastAsia="en-US"/>
        </w:rPr>
        <w:fldChar w:fldCharType="end"/>
      </w:r>
    </w:p>
    <w:p w14:paraId="6AE71F0C" w14:textId="77777777" w:rsidR="005215D3" w:rsidRPr="00237510" w:rsidRDefault="005215D3">
      <w:pPr>
        <w:spacing w:after="0"/>
        <w:rPr>
          <w:lang w:eastAsia="en-US"/>
        </w:rPr>
      </w:pPr>
      <w:r w:rsidRPr="00237510">
        <w:rPr>
          <w:lang w:eastAsia="en-US"/>
        </w:rPr>
        <w:br w:type="page"/>
      </w:r>
    </w:p>
    <w:p w14:paraId="0028EB56" w14:textId="016BCAC7" w:rsidR="00004006" w:rsidRPr="00237510" w:rsidRDefault="005215D3" w:rsidP="005215D3">
      <w:pPr>
        <w:pStyle w:val="Heading1-nonumbers"/>
      </w:pPr>
      <w:bookmarkStart w:id="89" w:name="_Toc42001412"/>
      <w:r w:rsidRPr="00237510">
        <w:t>Appendix A: Species lists</w:t>
      </w:r>
      <w:bookmarkEnd w:id="89"/>
    </w:p>
    <w:p w14:paraId="334BE927" w14:textId="3A61F5E5" w:rsidR="005215D3" w:rsidRPr="00237510" w:rsidRDefault="005215D3" w:rsidP="005215D3">
      <w:pPr>
        <w:pStyle w:val="Caption"/>
        <w:rPr>
          <w:iCs/>
          <w:lang w:eastAsia="en-US"/>
        </w:rPr>
      </w:pPr>
      <w:bookmarkStart w:id="90" w:name="_Ref536798840"/>
      <w:r w:rsidRPr="00237510">
        <w:t xml:space="preserve">Table </w:t>
      </w:r>
      <w:r>
        <w:fldChar w:fldCharType="begin"/>
      </w:r>
      <w:r>
        <w:instrText>SEQ Table \* ARABIC</w:instrText>
      </w:r>
      <w:r>
        <w:fldChar w:fldCharType="separate"/>
      </w:r>
      <w:r w:rsidR="004E1696">
        <w:rPr>
          <w:noProof/>
        </w:rPr>
        <w:t>9</w:t>
      </w:r>
      <w:r>
        <w:fldChar w:fldCharType="end"/>
      </w:r>
      <w:bookmarkEnd w:id="90"/>
      <w:r w:rsidRPr="00237510">
        <w:t>: Native fish of the study area (Alluvium 2020).</w:t>
      </w:r>
    </w:p>
    <w:tbl>
      <w:tblPr>
        <w:tblStyle w:val="ListTable3-Accent52"/>
        <w:tblW w:w="4845" w:type="pct"/>
        <w:tblInd w:w="-5" w:type="dxa"/>
        <w:tblLayout w:type="fixed"/>
        <w:tblLook w:val="04A0" w:firstRow="1" w:lastRow="0" w:firstColumn="1" w:lastColumn="0" w:noHBand="0" w:noVBand="1"/>
      </w:tblPr>
      <w:tblGrid>
        <w:gridCol w:w="1280"/>
        <w:gridCol w:w="2415"/>
        <w:gridCol w:w="2413"/>
        <w:gridCol w:w="481"/>
        <w:gridCol w:w="481"/>
        <w:gridCol w:w="481"/>
        <w:gridCol w:w="481"/>
        <w:gridCol w:w="475"/>
      </w:tblGrid>
      <w:tr w:rsidR="00C61738" w:rsidRPr="00237510" w14:paraId="7A976BB6" w14:textId="77777777" w:rsidTr="00E96085">
        <w:trPr>
          <w:cnfStyle w:val="100000000000" w:firstRow="1" w:lastRow="0" w:firstColumn="0" w:lastColumn="0" w:oddVBand="0" w:evenVBand="0" w:oddHBand="0" w:evenHBand="0" w:firstRowFirstColumn="0" w:firstRowLastColumn="0" w:lastRowFirstColumn="0" w:lastRowLastColumn="0"/>
          <w:cantSplit/>
          <w:trHeight w:val="1455"/>
        </w:trPr>
        <w:tc>
          <w:tcPr>
            <w:cnfStyle w:val="001000000100" w:firstRow="0" w:lastRow="0" w:firstColumn="1" w:lastColumn="0" w:oddVBand="0" w:evenVBand="0" w:oddHBand="0" w:evenHBand="0" w:firstRowFirstColumn="1" w:firstRowLastColumn="0" w:lastRowFirstColumn="0" w:lastRowLastColumn="0"/>
            <w:tcW w:w="752" w:type="pct"/>
            <w:tcBorders>
              <w:bottom w:val="none" w:sz="0" w:space="0" w:color="auto"/>
              <w:right w:val="none" w:sz="0" w:space="0" w:color="auto"/>
            </w:tcBorders>
          </w:tcPr>
          <w:p w14:paraId="023C41D8" w14:textId="77777777" w:rsidR="005215D3" w:rsidRPr="00237510" w:rsidRDefault="005215D3" w:rsidP="00E96085">
            <w:pPr>
              <w:spacing w:before="96" w:after="96"/>
              <w:rPr>
                <w:rFonts w:cs="Arial"/>
                <w:bCs w:val="0"/>
                <w:sz w:val="18"/>
                <w:szCs w:val="18"/>
                <w:lang w:eastAsia="en-AU"/>
              </w:rPr>
            </w:pPr>
            <w:r w:rsidRPr="00237510">
              <w:rPr>
                <w:rFonts w:cs="Arial"/>
                <w:sz w:val="18"/>
                <w:szCs w:val="18"/>
                <w:lang w:eastAsia="en-AU"/>
              </w:rPr>
              <w:t>Group</w:t>
            </w:r>
          </w:p>
        </w:tc>
        <w:tc>
          <w:tcPr>
            <w:tcW w:w="1419" w:type="pct"/>
            <w:hideMark/>
          </w:tcPr>
          <w:p w14:paraId="5CB6ADEE" w14:textId="77777777" w:rsidR="005215D3" w:rsidRPr="00237510" w:rsidRDefault="005215D3" w:rsidP="00E96085">
            <w:pPr>
              <w:spacing w:before="96" w:after="96"/>
              <w:cnfStyle w:val="100000000000" w:firstRow="1" w:lastRow="0" w:firstColumn="0" w:lastColumn="0" w:oddVBand="0" w:evenVBand="0" w:oddHBand="0" w:evenHBand="0" w:firstRowFirstColumn="0" w:firstRowLastColumn="0" w:lastRowFirstColumn="0" w:lastRowLastColumn="0"/>
              <w:rPr>
                <w:rFonts w:cs="Arial"/>
                <w:bCs w:val="0"/>
                <w:sz w:val="18"/>
                <w:szCs w:val="18"/>
                <w:lang w:eastAsia="en-AU"/>
              </w:rPr>
            </w:pPr>
            <w:r w:rsidRPr="00237510">
              <w:rPr>
                <w:rFonts w:cs="Arial"/>
                <w:sz w:val="18"/>
                <w:szCs w:val="18"/>
                <w:lang w:eastAsia="en-AU"/>
              </w:rPr>
              <w:t>Common Name</w:t>
            </w:r>
          </w:p>
        </w:tc>
        <w:tc>
          <w:tcPr>
            <w:tcW w:w="1418" w:type="pct"/>
            <w:hideMark/>
          </w:tcPr>
          <w:p w14:paraId="673B7D55" w14:textId="77777777" w:rsidR="005215D3" w:rsidRPr="00237510" w:rsidRDefault="005215D3" w:rsidP="00E96085">
            <w:pPr>
              <w:spacing w:before="96" w:after="96"/>
              <w:cnfStyle w:val="100000000000" w:firstRow="1" w:lastRow="0" w:firstColumn="0" w:lastColumn="0" w:oddVBand="0" w:evenVBand="0" w:oddHBand="0" w:evenHBand="0" w:firstRowFirstColumn="0" w:firstRowLastColumn="0" w:lastRowFirstColumn="0" w:lastRowLastColumn="0"/>
              <w:rPr>
                <w:rFonts w:cs="Arial"/>
                <w:bCs w:val="0"/>
                <w:sz w:val="18"/>
                <w:szCs w:val="18"/>
                <w:lang w:eastAsia="en-AU"/>
              </w:rPr>
            </w:pPr>
            <w:r w:rsidRPr="00237510">
              <w:rPr>
                <w:rFonts w:cs="Arial"/>
                <w:sz w:val="18"/>
                <w:szCs w:val="18"/>
                <w:lang w:eastAsia="en-AU"/>
              </w:rPr>
              <w:t>Scientific Name</w:t>
            </w:r>
          </w:p>
        </w:tc>
        <w:tc>
          <w:tcPr>
            <w:tcW w:w="283" w:type="pct"/>
            <w:textDirection w:val="btLr"/>
          </w:tcPr>
          <w:p w14:paraId="70441452" w14:textId="77777777" w:rsidR="005215D3" w:rsidRPr="00237510" w:rsidRDefault="005215D3" w:rsidP="00E96085">
            <w:pPr>
              <w:spacing w:before="96" w:after="96"/>
              <w:ind w:left="113" w:right="113"/>
              <w:cnfStyle w:val="100000000000" w:firstRow="1" w:lastRow="0" w:firstColumn="0" w:lastColumn="0" w:oddVBand="0" w:evenVBand="0" w:oddHBand="0" w:evenHBand="0" w:firstRowFirstColumn="0" w:firstRowLastColumn="0" w:lastRowFirstColumn="0" w:lastRowLastColumn="0"/>
              <w:rPr>
                <w:rFonts w:cs="Arial"/>
                <w:b w:val="0"/>
                <w:bCs w:val="0"/>
                <w:sz w:val="18"/>
                <w:szCs w:val="18"/>
                <w:lang w:eastAsia="en-AU"/>
              </w:rPr>
            </w:pPr>
            <w:r w:rsidRPr="00237510">
              <w:rPr>
                <w:rFonts w:cs="Arial"/>
                <w:b w:val="0"/>
                <w:bCs w:val="0"/>
                <w:sz w:val="18"/>
                <w:szCs w:val="18"/>
                <w:lang w:eastAsia="en-AU"/>
              </w:rPr>
              <w:t>Latrobe R.</w:t>
            </w:r>
          </w:p>
        </w:tc>
        <w:tc>
          <w:tcPr>
            <w:tcW w:w="283" w:type="pct"/>
            <w:textDirection w:val="btLr"/>
          </w:tcPr>
          <w:p w14:paraId="7ECC83F3" w14:textId="77777777" w:rsidR="005215D3" w:rsidRPr="00237510" w:rsidRDefault="005215D3" w:rsidP="00E96085">
            <w:pPr>
              <w:spacing w:before="96" w:after="96"/>
              <w:ind w:left="113" w:right="113"/>
              <w:cnfStyle w:val="100000000000" w:firstRow="1" w:lastRow="0" w:firstColumn="0" w:lastColumn="0" w:oddVBand="0" w:evenVBand="0" w:oddHBand="0" w:evenHBand="0" w:firstRowFirstColumn="0" w:firstRowLastColumn="0" w:lastRowFirstColumn="0" w:lastRowLastColumn="0"/>
              <w:rPr>
                <w:rFonts w:cs="Arial"/>
                <w:b w:val="0"/>
                <w:bCs w:val="0"/>
                <w:sz w:val="18"/>
                <w:szCs w:val="18"/>
                <w:lang w:eastAsia="en-AU"/>
              </w:rPr>
            </w:pPr>
            <w:r w:rsidRPr="00237510">
              <w:rPr>
                <w:rFonts w:cs="Arial"/>
                <w:b w:val="0"/>
                <w:bCs w:val="0"/>
                <w:sz w:val="18"/>
                <w:szCs w:val="18"/>
                <w:lang w:eastAsia="en-AU"/>
              </w:rPr>
              <w:t>Estuary</w:t>
            </w:r>
          </w:p>
        </w:tc>
        <w:tc>
          <w:tcPr>
            <w:tcW w:w="283" w:type="pct"/>
            <w:textDirection w:val="btLr"/>
          </w:tcPr>
          <w:p w14:paraId="06EEEC5B" w14:textId="77777777" w:rsidR="005215D3" w:rsidRPr="00237510" w:rsidRDefault="005215D3" w:rsidP="00E96085">
            <w:pPr>
              <w:spacing w:before="96" w:after="96"/>
              <w:ind w:left="113" w:right="113"/>
              <w:cnfStyle w:val="100000000000" w:firstRow="1" w:lastRow="0" w:firstColumn="0" w:lastColumn="0" w:oddVBand="0" w:evenVBand="0" w:oddHBand="0" w:evenHBand="0" w:firstRowFirstColumn="0" w:firstRowLastColumn="0" w:lastRowFirstColumn="0" w:lastRowLastColumn="0"/>
              <w:rPr>
                <w:rFonts w:cs="Arial"/>
                <w:b w:val="0"/>
                <w:bCs w:val="0"/>
                <w:sz w:val="18"/>
                <w:szCs w:val="18"/>
                <w:lang w:eastAsia="en-AU"/>
              </w:rPr>
            </w:pPr>
            <w:r w:rsidRPr="00237510">
              <w:rPr>
                <w:rFonts w:cs="Arial"/>
                <w:b w:val="0"/>
                <w:bCs w:val="0"/>
                <w:sz w:val="18"/>
                <w:szCs w:val="18"/>
                <w:lang w:eastAsia="en-AU"/>
              </w:rPr>
              <w:t>Tributaries</w:t>
            </w:r>
          </w:p>
        </w:tc>
        <w:tc>
          <w:tcPr>
            <w:tcW w:w="283" w:type="pct"/>
            <w:textDirection w:val="btLr"/>
          </w:tcPr>
          <w:p w14:paraId="16EE01E7" w14:textId="77777777" w:rsidR="005215D3" w:rsidRPr="00237510" w:rsidRDefault="005215D3" w:rsidP="00E96085">
            <w:pPr>
              <w:spacing w:before="96" w:after="96"/>
              <w:ind w:left="113" w:right="113"/>
              <w:cnfStyle w:val="100000000000" w:firstRow="1" w:lastRow="0" w:firstColumn="0" w:lastColumn="0" w:oddVBand="0" w:evenVBand="0" w:oddHBand="0" w:evenHBand="0" w:firstRowFirstColumn="0" w:firstRowLastColumn="0" w:lastRowFirstColumn="0" w:lastRowLastColumn="0"/>
              <w:rPr>
                <w:rFonts w:cs="Arial"/>
                <w:b w:val="0"/>
                <w:bCs w:val="0"/>
                <w:sz w:val="18"/>
                <w:szCs w:val="18"/>
                <w:lang w:eastAsia="en-AU"/>
              </w:rPr>
            </w:pPr>
            <w:r w:rsidRPr="00237510">
              <w:rPr>
                <w:rFonts w:cs="Arial"/>
                <w:b w:val="0"/>
                <w:bCs w:val="0"/>
                <w:sz w:val="18"/>
                <w:szCs w:val="18"/>
                <w:lang w:eastAsia="en-AU"/>
              </w:rPr>
              <w:t>Wetlands</w:t>
            </w:r>
          </w:p>
        </w:tc>
        <w:tc>
          <w:tcPr>
            <w:tcW w:w="279" w:type="pct"/>
            <w:textDirection w:val="btLr"/>
          </w:tcPr>
          <w:p w14:paraId="43CBC027" w14:textId="77777777" w:rsidR="005215D3" w:rsidRPr="00237510" w:rsidRDefault="005215D3" w:rsidP="00E96085">
            <w:pPr>
              <w:spacing w:before="96" w:after="96"/>
              <w:ind w:left="113" w:right="113"/>
              <w:cnfStyle w:val="100000000000" w:firstRow="1" w:lastRow="0" w:firstColumn="0" w:lastColumn="0" w:oddVBand="0" w:evenVBand="0" w:oddHBand="0" w:evenHBand="0" w:firstRowFirstColumn="0" w:firstRowLastColumn="0" w:lastRowFirstColumn="0" w:lastRowLastColumn="0"/>
              <w:rPr>
                <w:rFonts w:cs="Arial"/>
                <w:sz w:val="18"/>
                <w:szCs w:val="18"/>
                <w:lang w:eastAsia="en-AU"/>
              </w:rPr>
            </w:pPr>
            <w:r w:rsidRPr="00237510">
              <w:rPr>
                <w:rFonts w:cs="Arial"/>
                <w:sz w:val="18"/>
                <w:szCs w:val="18"/>
                <w:lang w:eastAsia="en-AU"/>
              </w:rPr>
              <w:t>L. Wellington</w:t>
            </w:r>
          </w:p>
        </w:tc>
      </w:tr>
      <w:tr w:rsidR="00B9313A" w:rsidRPr="00237510" w14:paraId="21587191"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val="restart"/>
            <w:tcBorders>
              <w:top w:val="none" w:sz="0" w:space="0" w:color="auto"/>
              <w:bottom w:val="none" w:sz="0" w:space="0" w:color="auto"/>
              <w:right w:val="none" w:sz="0" w:space="0" w:color="auto"/>
            </w:tcBorders>
          </w:tcPr>
          <w:p w14:paraId="1E0C1344" w14:textId="77777777" w:rsidR="005215D3" w:rsidRPr="00237510" w:rsidRDefault="005215D3" w:rsidP="00E96085">
            <w:pPr>
              <w:spacing w:after="0"/>
              <w:rPr>
                <w:rFonts w:cs="Arial"/>
                <w:b w:val="0"/>
                <w:color w:val="000000"/>
                <w:sz w:val="18"/>
                <w:szCs w:val="18"/>
                <w:lang w:eastAsia="en-AU"/>
              </w:rPr>
            </w:pPr>
            <w:r w:rsidRPr="00237510">
              <w:rPr>
                <w:rFonts w:cs="Arial"/>
                <w:b w:val="0"/>
                <w:color w:val="000000"/>
                <w:sz w:val="18"/>
                <w:szCs w:val="18"/>
                <w:lang w:eastAsia="en-AU"/>
              </w:rPr>
              <w:t>Resident freshwater</w:t>
            </w:r>
          </w:p>
        </w:tc>
        <w:tc>
          <w:tcPr>
            <w:tcW w:w="1419" w:type="pct"/>
            <w:tcBorders>
              <w:top w:val="none" w:sz="0" w:space="0" w:color="auto"/>
              <w:bottom w:val="none" w:sz="0" w:space="0" w:color="auto"/>
            </w:tcBorders>
          </w:tcPr>
          <w:p w14:paraId="504BCBC7"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River Blackfish</w:t>
            </w:r>
          </w:p>
        </w:tc>
        <w:tc>
          <w:tcPr>
            <w:tcW w:w="1418" w:type="pct"/>
            <w:tcBorders>
              <w:top w:val="none" w:sz="0" w:space="0" w:color="auto"/>
              <w:bottom w:val="none" w:sz="0" w:space="0" w:color="auto"/>
            </w:tcBorders>
            <w:noWrap/>
          </w:tcPr>
          <w:p w14:paraId="06D5745A"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rFonts w:cs="Arial"/>
                <w:i/>
                <w:sz w:val="18"/>
                <w:szCs w:val="18"/>
              </w:rPr>
              <w:t>Gadopsis marmoratus</w:t>
            </w:r>
          </w:p>
        </w:tc>
        <w:tc>
          <w:tcPr>
            <w:tcW w:w="283" w:type="pct"/>
            <w:tcBorders>
              <w:top w:val="none" w:sz="0" w:space="0" w:color="auto"/>
              <w:bottom w:val="none" w:sz="0" w:space="0" w:color="auto"/>
            </w:tcBorders>
          </w:tcPr>
          <w:p w14:paraId="45DD591E"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57B0A51F"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c>
          <w:tcPr>
            <w:tcW w:w="283" w:type="pct"/>
            <w:tcBorders>
              <w:top w:val="none" w:sz="0" w:space="0" w:color="auto"/>
              <w:bottom w:val="none" w:sz="0" w:space="0" w:color="auto"/>
            </w:tcBorders>
          </w:tcPr>
          <w:p w14:paraId="2EBB6C35"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6732EDD7"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c>
          <w:tcPr>
            <w:tcW w:w="279" w:type="pct"/>
            <w:tcBorders>
              <w:top w:val="none" w:sz="0" w:space="0" w:color="auto"/>
              <w:bottom w:val="none" w:sz="0" w:space="0" w:color="auto"/>
            </w:tcBorders>
          </w:tcPr>
          <w:p w14:paraId="27DB40FA"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r>
      <w:tr w:rsidR="001A2E0A" w:rsidRPr="00237510" w14:paraId="4540261A"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59098ABC" w14:textId="77777777" w:rsidR="005215D3" w:rsidRPr="00237510" w:rsidRDefault="005215D3" w:rsidP="00E96085">
            <w:pPr>
              <w:spacing w:after="0"/>
              <w:rPr>
                <w:rFonts w:cs="Arial"/>
                <w:b w:val="0"/>
                <w:color w:val="000000"/>
                <w:sz w:val="18"/>
                <w:szCs w:val="18"/>
                <w:lang w:eastAsia="en-AU"/>
              </w:rPr>
            </w:pPr>
          </w:p>
        </w:tc>
        <w:tc>
          <w:tcPr>
            <w:tcW w:w="1419" w:type="pct"/>
          </w:tcPr>
          <w:p w14:paraId="5E1C3DF0"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Dwarf Galaxias</w:t>
            </w:r>
          </w:p>
        </w:tc>
        <w:tc>
          <w:tcPr>
            <w:tcW w:w="1418" w:type="pct"/>
            <w:noWrap/>
          </w:tcPr>
          <w:p w14:paraId="7C8112C0"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rFonts w:cs="Arial"/>
                <w:i/>
                <w:sz w:val="18"/>
                <w:szCs w:val="18"/>
              </w:rPr>
              <w:t>Galaxiella pusilla</w:t>
            </w:r>
          </w:p>
        </w:tc>
        <w:tc>
          <w:tcPr>
            <w:tcW w:w="283" w:type="pct"/>
          </w:tcPr>
          <w:p w14:paraId="7EB94589"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24AD874A"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283" w:type="pct"/>
          </w:tcPr>
          <w:p w14:paraId="302BF8BA"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21F1BF0E"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279" w:type="pct"/>
          </w:tcPr>
          <w:p w14:paraId="523B3A80"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r>
      <w:tr w:rsidR="00B9313A" w:rsidRPr="00237510" w14:paraId="2A6513BB"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490298F9"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03B36705"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Striped Gudgeon</w:t>
            </w:r>
          </w:p>
        </w:tc>
        <w:tc>
          <w:tcPr>
            <w:tcW w:w="1418" w:type="pct"/>
            <w:tcBorders>
              <w:top w:val="none" w:sz="0" w:space="0" w:color="auto"/>
              <w:bottom w:val="none" w:sz="0" w:space="0" w:color="auto"/>
            </w:tcBorders>
            <w:noWrap/>
            <w:hideMark/>
          </w:tcPr>
          <w:p w14:paraId="1483E723"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Gobiomorphus australis</w:t>
            </w:r>
          </w:p>
        </w:tc>
        <w:tc>
          <w:tcPr>
            <w:tcW w:w="283" w:type="pct"/>
            <w:tcBorders>
              <w:top w:val="none" w:sz="0" w:space="0" w:color="auto"/>
              <w:bottom w:val="none" w:sz="0" w:space="0" w:color="auto"/>
            </w:tcBorders>
          </w:tcPr>
          <w:p w14:paraId="2346E5A9"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c>
          <w:tcPr>
            <w:tcW w:w="283" w:type="pct"/>
            <w:tcBorders>
              <w:top w:val="none" w:sz="0" w:space="0" w:color="auto"/>
              <w:bottom w:val="none" w:sz="0" w:space="0" w:color="auto"/>
            </w:tcBorders>
          </w:tcPr>
          <w:p w14:paraId="71E543DB"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036922FF"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c>
          <w:tcPr>
            <w:tcW w:w="283" w:type="pct"/>
            <w:tcBorders>
              <w:top w:val="none" w:sz="0" w:space="0" w:color="auto"/>
              <w:bottom w:val="none" w:sz="0" w:space="0" w:color="auto"/>
            </w:tcBorders>
          </w:tcPr>
          <w:p w14:paraId="73703C9E"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c>
          <w:tcPr>
            <w:tcW w:w="279" w:type="pct"/>
            <w:tcBorders>
              <w:top w:val="none" w:sz="0" w:space="0" w:color="auto"/>
              <w:bottom w:val="none" w:sz="0" w:space="0" w:color="auto"/>
            </w:tcBorders>
          </w:tcPr>
          <w:p w14:paraId="33D26B24"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r>
      <w:tr w:rsidR="001A2E0A" w:rsidRPr="00237510" w14:paraId="3D78140B"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02B2A3A3" w14:textId="77777777" w:rsidR="005215D3" w:rsidRPr="00237510" w:rsidRDefault="005215D3" w:rsidP="00E96085">
            <w:pPr>
              <w:spacing w:after="0"/>
              <w:rPr>
                <w:rFonts w:cs="Arial"/>
                <w:b w:val="0"/>
                <w:color w:val="000000"/>
                <w:sz w:val="18"/>
                <w:szCs w:val="18"/>
                <w:lang w:eastAsia="en-AU"/>
              </w:rPr>
            </w:pPr>
          </w:p>
        </w:tc>
        <w:tc>
          <w:tcPr>
            <w:tcW w:w="1419" w:type="pct"/>
          </w:tcPr>
          <w:p w14:paraId="1A3C4842"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sz w:val="18"/>
                <w:szCs w:val="18"/>
              </w:rPr>
              <w:t>Southern Pygmy Perch</w:t>
            </w:r>
          </w:p>
        </w:tc>
        <w:tc>
          <w:tcPr>
            <w:tcW w:w="1418" w:type="pct"/>
            <w:noWrap/>
          </w:tcPr>
          <w:p w14:paraId="15ACCD9E"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i/>
                <w:sz w:val="18"/>
                <w:szCs w:val="18"/>
              </w:rPr>
              <w:t>Nannoperca australis</w:t>
            </w:r>
          </w:p>
        </w:tc>
        <w:tc>
          <w:tcPr>
            <w:tcW w:w="283" w:type="pct"/>
          </w:tcPr>
          <w:p w14:paraId="2158F560"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6CCA2895"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283" w:type="pct"/>
          </w:tcPr>
          <w:p w14:paraId="2283CBA0"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35277764"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279" w:type="pct"/>
          </w:tcPr>
          <w:p w14:paraId="461C0EFF"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r>
      <w:tr w:rsidR="00B9313A" w:rsidRPr="00237510" w14:paraId="50F5971B"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42A5C7CE"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6CEF138F"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Flinders Pygmy Perch</w:t>
            </w:r>
          </w:p>
        </w:tc>
        <w:tc>
          <w:tcPr>
            <w:tcW w:w="1418" w:type="pct"/>
            <w:tcBorders>
              <w:top w:val="none" w:sz="0" w:space="0" w:color="auto"/>
              <w:bottom w:val="none" w:sz="0" w:space="0" w:color="auto"/>
            </w:tcBorders>
            <w:noWrap/>
            <w:hideMark/>
          </w:tcPr>
          <w:p w14:paraId="2ACE3A1B"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Nannoperca sp 1</w:t>
            </w:r>
          </w:p>
        </w:tc>
        <w:tc>
          <w:tcPr>
            <w:tcW w:w="283" w:type="pct"/>
            <w:tcBorders>
              <w:top w:val="none" w:sz="0" w:space="0" w:color="auto"/>
              <w:bottom w:val="none" w:sz="0" w:space="0" w:color="auto"/>
            </w:tcBorders>
          </w:tcPr>
          <w:p w14:paraId="4497D9AD"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1086A0B6"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17D017F3"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253370BD"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79" w:type="pct"/>
            <w:tcBorders>
              <w:top w:val="none" w:sz="0" w:space="0" w:color="auto"/>
              <w:bottom w:val="none" w:sz="0" w:space="0" w:color="auto"/>
            </w:tcBorders>
          </w:tcPr>
          <w:p w14:paraId="4178C3A0"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r>
      <w:tr w:rsidR="001A2E0A" w:rsidRPr="00237510" w14:paraId="7E903403"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78B2D9AC" w14:textId="77777777" w:rsidR="005215D3" w:rsidRPr="00237510" w:rsidRDefault="005215D3" w:rsidP="00E96085">
            <w:pPr>
              <w:spacing w:after="0"/>
              <w:rPr>
                <w:rFonts w:cs="Arial"/>
                <w:b w:val="0"/>
                <w:color w:val="000000"/>
                <w:sz w:val="18"/>
                <w:szCs w:val="18"/>
                <w:lang w:eastAsia="en-AU"/>
              </w:rPr>
            </w:pPr>
          </w:p>
        </w:tc>
        <w:tc>
          <w:tcPr>
            <w:tcW w:w="1419" w:type="pct"/>
            <w:hideMark/>
          </w:tcPr>
          <w:p w14:paraId="005586C9"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Flathead Gudgeon</w:t>
            </w:r>
          </w:p>
        </w:tc>
        <w:tc>
          <w:tcPr>
            <w:tcW w:w="1418" w:type="pct"/>
            <w:noWrap/>
            <w:hideMark/>
          </w:tcPr>
          <w:p w14:paraId="6C2084B0"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Philypnodon grandiceps</w:t>
            </w:r>
          </w:p>
        </w:tc>
        <w:tc>
          <w:tcPr>
            <w:tcW w:w="283" w:type="pct"/>
          </w:tcPr>
          <w:p w14:paraId="368F5292"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335F6BDA"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6EB9689A"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59EED70D"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79" w:type="pct"/>
          </w:tcPr>
          <w:p w14:paraId="3ABCF859"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r>
      <w:tr w:rsidR="00B9313A" w:rsidRPr="00237510" w14:paraId="447E435A"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7D285471"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0F3C6EE9"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Dwarf Flat-headed Gudgeon</w:t>
            </w:r>
          </w:p>
        </w:tc>
        <w:tc>
          <w:tcPr>
            <w:tcW w:w="1418" w:type="pct"/>
            <w:tcBorders>
              <w:top w:val="none" w:sz="0" w:space="0" w:color="auto"/>
              <w:bottom w:val="none" w:sz="0" w:space="0" w:color="auto"/>
            </w:tcBorders>
            <w:noWrap/>
            <w:hideMark/>
          </w:tcPr>
          <w:p w14:paraId="1C779DDD"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Philypnodon macrostomus</w:t>
            </w:r>
          </w:p>
        </w:tc>
        <w:tc>
          <w:tcPr>
            <w:tcW w:w="283" w:type="pct"/>
            <w:tcBorders>
              <w:top w:val="none" w:sz="0" w:space="0" w:color="auto"/>
              <w:bottom w:val="none" w:sz="0" w:space="0" w:color="auto"/>
            </w:tcBorders>
          </w:tcPr>
          <w:p w14:paraId="33EFEA1F"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15F58201"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06891292"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539A12FA"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c>
          <w:tcPr>
            <w:tcW w:w="279" w:type="pct"/>
            <w:tcBorders>
              <w:top w:val="none" w:sz="0" w:space="0" w:color="auto"/>
              <w:bottom w:val="none" w:sz="0" w:space="0" w:color="auto"/>
            </w:tcBorders>
          </w:tcPr>
          <w:p w14:paraId="58D6D38A"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r>
      <w:tr w:rsidR="001A2E0A" w:rsidRPr="00237510" w14:paraId="559B5D92" w14:textId="77777777" w:rsidTr="00E96085">
        <w:trPr>
          <w:trHeight w:val="271"/>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3AEAB4F4" w14:textId="77777777" w:rsidR="005215D3" w:rsidRPr="00237510" w:rsidRDefault="005215D3" w:rsidP="00E96085">
            <w:pPr>
              <w:spacing w:after="0"/>
              <w:rPr>
                <w:rFonts w:cs="Arial"/>
                <w:b w:val="0"/>
                <w:color w:val="000000"/>
                <w:sz w:val="18"/>
                <w:szCs w:val="18"/>
                <w:lang w:eastAsia="en-AU"/>
              </w:rPr>
            </w:pPr>
          </w:p>
        </w:tc>
        <w:tc>
          <w:tcPr>
            <w:tcW w:w="1419" w:type="pct"/>
            <w:hideMark/>
          </w:tcPr>
          <w:p w14:paraId="592CC5A3"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Australian Smelt</w:t>
            </w:r>
          </w:p>
        </w:tc>
        <w:tc>
          <w:tcPr>
            <w:tcW w:w="1418" w:type="pct"/>
            <w:noWrap/>
            <w:hideMark/>
          </w:tcPr>
          <w:p w14:paraId="25A6E59E"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Retropinna semoni</w:t>
            </w:r>
          </w:p>
        </w:tc>
        <w:tc>
          <w:tcPr>
            <w:tcW w:w="283" w:type="pct"/>
          </w:tcPr>
          <w:p w14:paraId="0EC3AB5A"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03916414"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7BB91892"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06F099EB"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79" w:type="pct"/>
          </w:tcPr>
          <w:p w14:paraId="574D9008"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r>
      <w:tr w:rsidR="00B9313A" w:rsidRPr="00237510" w14:paraId="25F9E972"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val="restart"/>
            <w:tcBorders>
              <w:top w:val="none" w:sz="0" w:space="0" w:color="auto"/>
              <w:bottom w:val="none" w:sz="0" w:space="0" w:color="auto"/>
              <w:right w:val="none" w:sz="0" w:space="0" w:color="auto"/>
            </w:tcBorders>
          </w:tcPr>
          <w:p w14:paraId="44617BA3" w14:textId="77777777" w:rsidR="005215D3" w:rsidRPr="00237510" w:rsidRDefault="005215D3" w:rsidP="00E96085">
            <w:pPr>
              <w:spacing w:after="0"/>
              <w:rPr>
                <w:rFonts w:cs="Arial"/>
                <w:b w:val="0"/>
                <w:color w:val="000000"/>
                <w:sz w:val="18"/>
                <w:szCs w:val="18"/>
                <w:lang w:eastAsia="en-AU"/>
              </w:rPr>
            </w:pPr>
            <w:r w:rsidRPr="00237510">
              <w:rPr>
                <w:rFonts w:cs="Arial"/>
                <w:b w:val="0"/>
                <w:color w:val="000000"/>
                <w:sz w:val="18"/>
                <w:szCs w:val="18"/>
                <w:lang w:eastAsia="en-AU"/>
              </w:rPr>
              <w:t>Estuarine Dependent (Freshwater)</w:t>
            </w:r>
          </w:p>
        </w:tc>
        <w:tc>
          <w:tcPr>
            <w:tcW w:w="1419" w:type="pct"/>
            <w:tcBorders>
              <w:top w:val="none" w:sz="0" w:space="0" w:color="auto"/>
              <w:bottom w:val="none" w:sz="0" w:space="0" w:color="auto"/>
            </w:tcBorders>
            <w:hideMark/>
          </w:tcPr>
          <w:p w14:paraId="6AD0EEA2"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Southern Shortfin Eel</w:t>
            </w:r>
          </w:p>
        </w:tc>
        <w:tc>
          <w:tcPr>
            <w:tcW w:w="1418" w:type="pct"/>
            <w:tcBorders>
              <w:top w:val="none" w:sz="0" w:space="0" w:color="auto"/>
              <w:bottom w:val="none" w:sz="0" w:space="0" w:color="auto"/>
            </w:tcBorders>
            <w:noWrap/>
            <w:hideMark/>
          </w:tcPr>
          <w:p w14:paraId="6C5FB58F"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Anguilla australis</w:t>
            </w:r>
          </w:p>
        </w:tc>
        <w:tc>
          <w:tcPr>
            <w:tcW w:w="283" w:type="pct"/>
            <w:tcBorders>
              <w:top w:val="none" w:sz="0" w:space="0" w:color="auto"/>
              <w:bottom w:val="none" w:sz="0" w:space="0" w:color="auto"/>
            </w:tcBorders>
          </w:tcPr>
          <w:p w14:paraId="2EC520C4"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5B86D5BE"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5EC2D25B"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730CE252"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79" w:type="pct"/>
            <w:tcBorders>
              <w:top w:val="none" w:sz="0" w:space="0" w:color="auto"/>
              <w:bottom w:val="none" w:sz="0" w:space="0" w:color="auto"/>
            </w:tcBorders>
          </w:tcPr>
          <w:p w14:paraId="505347E5"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r>
      <w:tr w:rsidR="001A2E0A" w:rsidRPr="00237510" w14:paraId="766EC6DD"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7F7D784D" w14:textId="77777777" w:rsidR="005215D3" w:rsidRPr="00237510" w:rsidRDefault="005215D3" w:rsidP="00E96085">
            <w:pPr>
              <w:spacing w:after="0"/>
              <w:rPr>
                <w:rFonts w:cs="Arial"/>
                <w:b w:val="0"/>
                <w:color w:val="000000"/>
                <w:sz w:val="18"/>
                <w:szCs w:val="18"/>
                <w:lang w:eastAsia="en-AU"/>
              </w:rPr>
            </w:pPr>
          </w:p>
        </w:tc>
        <w:tc>
          <w:tcPr>
            <w:tcW w:w="1419" w:type="pct"/>
            <w:hideMark/>
          </w:tcPr>
          <w:p w14:paraId="0B7D2387"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Longfin Eel</w:t>
            </w:r>
          </w:p>
        </w:tc>
        <w:tc>
          <w:tcPr>
            <w:tcW w:w="1418" w:type="pct"/>
            <w:noWrap/>
            <w:hideMark/>
          </w:tcPr>
          <w:p w14:paraId="5AC8A7C4"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Anguilla reinhardtii</w:t>
            </w:r>
          </w:p>
        </w:tc>
        <w:tc>
          <w:tcPr>
            <w:tcW w:w="283" w:type="pct"/>
          </w:tcPr>
          <w:p w14:paraId="5ED8ED1B"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430D1C05"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68F8C547"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2AB5305A"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79" w:type="pct"/>
          </w:tcPr>
          <w:p w14:paraId="040CB455"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r>
      <w:tr w:rsidR="00B9313A" w:rsidRPr="00237510" w14:paraId="45550B46"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12D01003"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53030327"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Climbing Galaxias</w:t>
            </w:r>
          </w:p>
        </w:tc>
        <w:tc>
          <w:tcPr>
            <w:tcW w:w="1418" w:type="pct"/>
            <w:tcBorders>
              <w:top w:val="none" w:sz="0" w:space="0" w:color="auto"/>
              <w:bottom w:val="none" w:sz="0" w:space="0" w:color="auto"/>
            </w:tcBorders>
            <w:noWrap/>
            <w:hideMark/>
          </w:tcPr>
          <w:p w14:paraId="359CD49F"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Galaxias brevipinnis</w:t>
            </w:r>
          </w:p>
        </w:tc>
        <w:tc>
          <w:tcPr>
            <w:tcW w:w="283" w:type="pct"/>
            <w:tcBorders>
              <w:top w:val="none" w:sz="0" w:space="0" w:color="auto"/>
              <w:bottom w:val="none" w:sz="0" w:space="0" w:color="auto"/>
            </w:tcBorders>
          </w:tcPr>
          <w:p w14:paraId="5C95AF5A"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7574F67E"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23214812"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4ED69D99"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c>
          <w:tcPr>
            <w:tcW w:w="279" w:type="pct"/>
            <w:tcBorders>
              <w:top w:val="none" w:sz="0" w:space="0" w:color="auto"/>
              <w:bottom w:val="none" w:sz="0" w:space="0" w:color="auto"/>
            </w:tcBorders>
          </w:tcPr>
          <w:p w14:paraId="1A68E63A"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r>
      <w:tr w:rsidR="001A2E0A" w:rsidRPr="00237510" w14:paraId="32F577EC"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6A9E4BDA" w14:textId="77777777" w:rsidR="005215D3" w:rsidRPr="00237510" w:rsidRDefault="005215D3" w:rsidP="00E96085">
            <w:pPr>
              <w:spacing w:after="0"/>
              <w:rPr>
                <w:rFonts w:cs="Arial"/>
                <w:b w:val="0"/>
                <w:color w:val="000000"/>
                <w:sz w:val="18"/>
                <w:szCs w:val="18"/>
                <w:lang w:eastAsia="en-AU"/>
              </w:rPr>
            </w:pPr>
          </w:p>
        </w:tc>
        <w:tc>
          <w:tcPr>
            <w:tcW w:w="1419" w:type="pct"/>
            <w:hideMark/>
          </w:tcPr>
          <w:p w14:paraId="55D0D8B7"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Common Galaxias</w:t>
            </w:r>
          </w:p>
        </w:tc>
        <w:tc>
          <w:tcPr>
            <w:tcW w:w="1418" w:type="pct"/>
            <w:noWrap/>
            <w:hideMark/>
          </w:tcPr>
          <w:p w14:paraId="4816BB3F"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Galaxias maculatus</w:t>
            </w:r>
          </w:p>
        </w:tc>
        <w:tc>
          <w:tcPr>
            <w:tcW w:w="283" w:type="pct"/>
          </w:tcPr>
          <w:p w14:paraId="2B1A46C4"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2A198FBE"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31AC2AE4"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34F62F84"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279" w:type="pct"/>
          </w:tcPr>
          <w:p w14:paraId="6389A7C1"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r>
      <w:tr w:rsidR="00B9313A" w:rsidRPr="00237510" w14:paraId="375CA408"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0E06664A"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268ED849"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Spotted Galaxias</w:t>
            </w:r>
          </w:p>
        </w:tc>
        <w:tc>
          <w:tcPr>
            <w:tcW w:w="1418" w:type="pct"/>
            <w:tcBorders>
              <w:top w:val="none" w:sz="0" w:space="0" w:color="auto"/>
              <w:bottom w:val="none" w:sz="0" w:space="0" w:color="auto"/>
            </w:tcBorders>
            <w:noWrap/>
            <w:hideMark/>
          </w:tcPr>
          <w:p w14:paraId="510C3339"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Galaxias truttaceus</w:t>
            </w:r>
          </w:p>
        </w:tc>
        <w:tc>
          <w:tcPr>
            <w:tcW w:w="283" w:type="pct"/>
            <w:tcBorders>
              <w:top w:val="none" w:sz="0" w:space="0" w:color="auto"/>
              <w:bottom w:val="none" w:sz="0" w:space="0" w:color="auto"/>
            </w:tcBorders>
          </w:tcPr>
          <w:p w14:paraId="5C15EF37"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50870532"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66DF1E70"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189F8F46"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c>
          <w:tcPr>
            <w:tcW w:w="279" w:type="pct"/>
            <w:tcBorders>
              <w:top w:val="none" w:sz="0" w:space="0" w:color="auto"/>
              <w:bottom w:val="none" w:sz="0" w:space="0" w:color="auto"/>
            </w:tcBorders>
          </w:tcPr>
          <w:p w14:paraId="3C482913"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r>
      <w:tr w:rsidR="001A2E0A" w:rsidRPr="00237510" w14:paraId="49474AC6"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780D907C" w14:textId="77777777" w:rsidR="005215D3" w:rsidRPr="00237510" w:rsidRDefault="005215D3" w:rsidP="00E96085">
            <w:pPr>
              <w:spacing w:after="0"/>
              <w:rPr>
                <w:rFonts w:cs="Arial"/>
                <w:b w:val="0"/>
                <w:color w:val="000000"/>
                <w:sz w:val="18"/>
                <w:szCs w:val="18"/>
                <w:lang w:eastAsia="en-AU"/>
              </w:rPr>
            </w:pPr>
          </w:p>
        </w:tc>
        <w:tc>
          <w:tcPr>
            <w:tcW w:w="1419" w:type="pct"/>
          </w:tcPr>
          <w:p w14:paraId="3B6CCD1F"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Macquarie Perch</w:t>
            </w:r>
            <w:r w:rsidRPr="00237510">
              <w:rPr>
                <w:rFonts w:cs="Arial"/>
                <w:color w:val="000000"/>
                <w:sz w:val="18"/>
                <w:szCs w:val="18"/>
                <w:lang w:eastAsia="en-AU"/>
              </w:rPr>
              <w:tab/>
            </w:r>
          </w:p>
        </w:tc>
        <w:tc>
          <w:tcPr>
            <w:tcW w:w="1418" w:type="pct"/>
          </w:tcPr>
          <w:p w14:paraId="580603A3"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rFonts w:cs="Arial"/>
                <w:i/>
                <w:color w:val="000000"/>
                <w:sz w:val="18"/>
                <w:szCs w:val="18"/>
                <w:lang w:eastAsia="en-AU"/>
              </w:rPr>
              <w:t>Macquaria australasica</w:t>
            </w:r>
          </w:p>
        </w:tc>
        <w:tc>
          <w:tcPr>
            <w:tcW w:w="283" w:type="pct"/>
          </w:tcPr>
          <w:p w14:paraId="79C67B33"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4E713E73"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6975A368"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283" w:type="pct"/>
          </w:tcPr>
          <w:p w14:paraId="610AC09E"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279" w:type="pct"/>
          </w:tcPr>
          <w:p w14:paraId="748C668E"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r>
      <w:tr w:rsidR="00B9313A" w:rsidRPr="00237510" w14:paraId="3ADABE6D"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4F0C6B11"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2A743C8D"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Australian Bass</w:t>
            </w:r>
          </w:p>
        </w:tc>
        <w:tc>
          <w:tcPr>
            <w:tcW w:w="1418" w:type="pct"/>
            <w:tcBorders>
              <w:top w:val="none" w:sz="0" w:space="0" w:color="auto"/>
              <w:bottom w:val="none" w:sz="0" w:space="0" w:color="auto"/>
            </w:tcBorders>
            <w:hideMark/>
          </w:tcPr>
          <w:p w14:paraId="4843AABD"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Macquaria novemaculeata</w:t>
            </w:r>
          </w:p>
        </w:tc>
        <w:tc>
          <w:tcPr>
            <w:tcW w:w="283" w:type="pct"/>
            <w:tcBorders>
              <w:top w:val="none" w:sz="0" w:space="0" w:color="auto"/>
              <w:bottom w:val="none" w:sz="0" w:space="0" w:color="auto"/>
            </w:tcBorders>
          </w:tcPr>
          <w:p w14:paraId="66F9F35E"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1DFA4DC5"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26863245"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05434149"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79" w:type="pct"/>
            <w:tcBorders>
              <w:top w:val="none" w:sz="0" w:space="0" w:color="auto"/>
              <w:bottom w:val="none" w:sz="0" w:space="0" w:color="auto"/>
            </w:tcBorders>
          </w:tcPr>
          <w:p w14:paraId="002C3430"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r>
      <w:tr w:rsidR="001A2E0A" w:rsidRPr="00237510" w14:paraId="686DFDC4"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74C81CC9" w14:textId="77777777" w:rsidR="005215D3" w:rsidRPr="00237510" w:rsidRDefault="005215D3" w:rsidP="00E96085">
            <w:pPr>
              <w:spacing w:after="0"/>
              <w:rPr>
                <w:rFonts w:cs="Arial"/>
                <w:b w:val="0"/>
                <w:color w:val="000000"/>
                <w:sz w:val="18"/>
                <w:szCs w:val="18"/>
                <w:lang w:eastAsia="en-AU"/>
              </w:rPr>
            </w:pPr>
          </w:p>
        </w:tc>
        <w:tc>
          <w:tcPr>
            <w:tcW w:w="1419" w:type="pct"/>
            <w:hideMark/>
          </w:tcPr>
          <w:p w14:paraId="3C05344B"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Shorthead Lamprey</w:t>
            </w:r>
          </w:p>
        </w:tc>
        <w:tc>
          <w:tcPr>
            <w:tcW w:w="1418" w:type="pct"/>
            <w:noWrap/>
            <w:hideMark/>
          </w:tcPr>
          <w:p w14:paraId="2EB40307"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Mordacia mordax</w:t>
            </w:r>
          </w:p>
        </w:tc>
        <w:tc>
          <w:tcPr>
            <w:tcW w:w="283" w:type="pct"/>
          </w:tcPr>
          <w:p w14:paraId="4AE4FEF5"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4E15C78F"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34958886"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67A352C5"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279" w:type="pct"/>
          </w:tcPr>
          <w:p w14:paraId="7FAB4473"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r>
      <w:tr w:rsidR="00B9313A" w:rsidRPr="00237510" w14:paraId="7FAA6781"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5EAD2A22"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343643B4"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Non-parasitic Lamprey</w:t>
            </w:r>
          </w:p>
        </w:tc>
        <w:tc>
          <w:tcPr>
            <w:tcW w:w="1418" w:type="pct"/>
            <w:tcBorders>
              <w:top w:val="none" w:sz="0" w:space="0" w:color="auto"/>
              <w:bottom w:val="none" w:sz="0" w:space="0" w:color="auto"/>
            </w:tcBorders>
            <w:noWrap/>
            <w:hideMark/>
          </w:tcPr>
          <w:p w14:paraId="20D012B4" w14:textId="77777777" w:rsidR="005215D3" w:rsidRPr="00237510" w:rsidRDefault="005215D3" w:rsidP="00E9608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Mordacia praecox</w:t>
            </w:r>
          </w:p>
        </w:tc>
        <w:tc>
          <w:tcPr>
            <w:tcW w:w="283" w:type="pct"/>
            <w:tcBorders>
              <w:top w:val="none" w:sz="0" w:space="0" w:color="auto"/>
              <w:bottom w:val="none" w:sz="0" w:space="0" w:color="auto"/>
            </w:tcBorders>
          </w:tcPr>
          <w:p w14:paraId="696A53B6"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2F1A6288"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Borders>
              <w:top w:val="none" w:sz="0" w:space="0" w:color="auto"/>
              <w:bottom w:val="none" w:sz="0" w:space="0" w:color="auto"/>
            </w:tcBorders>
          </w:tcPr>
          <w:p w14:paraId="2242C716"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c>
          <w:tcPr>
            <w:tcW w:w="283" w:type="pct"/>
            <w:tcBorders>
              <w:top w:val="none" w:sz="0" w:space="0" w:color="auto"/>
              <w:bottom w:val="none" w:sz="0" w:space="0" w:color="auto"/>
            </w:tcBorders>
          </w:tcPr>
          <w:p w14:paraId="76DC5C00"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p>
        </w:tc>
        <w:tc>
          <w:tcPr>
            <w:tcW w:w="279" w:type="pct"/>
            <w:tcBorders>
              <w:top w:val="none" w:sz="0" w:space="0" w:color="auto"/>
              <w:bottom w:val="none" w:sz="0" w:space="0" w:color="auto"/>
            </w:tcBorders>
          </w:tcPr>
          <w:p w14:paraId="7EC25100" w14:textId="77777777" w:rsidR="005215D3" w:rsidRPr="00237510" w:rsidRDefault="005215D3" w:rsidP="00E9608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r>
      <w:tr w:rsidR="001A2E0A" w:rsidRPr="00237510" w14:paraId="1F9465A9" w14:textId="77777777" w:rsidTr="00E96085">
        <w:trPr>
          <w:trHeight w:val="214"/>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4751BF77" w14:textId="77777777" w:rsidR="005215D3" w:rsidRPr="00237510" w:rsidRDefault="005215D3" w:rsidP="00E96085">
            <w:pPr>
              <w:spacing w:after="0"/>
              <w:rPr>
                <w:rFonts w:cs="Arial"/>
                <w:b w:val="0"/>
                <w:color w:val="000000"/>
                <w:sz w:val="18"/>
                <w:szCs w:val="18"/>
                <w:lang w:eastAsia="en-AU"/>
              </w:rPr>
            </w:pPr>
          </w:p>
        </w:tc>
        <w:tc>
          <w:tcPr>
            <w:tcW w:w="1419" w:type="pct"/>
            <w:hideMark/>
          </w:tcPr>
          <w:p w14:paraId="262B1EF6"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color w:val="000000"/>
                <w:sz w:val="18"/>
                <w:szCs w:val="18"/>
                <w:lang w:eastAsia="en-AU"/>
              </w:rPr>
              <w:t>Australian Grayling</w:t>
            </w:r>
          </w:p>
        </w:tc>
        <w:tc>
          <w:tcPr>
            <w:tcW w:w="1418" w:type="pct"/>
            <w:hideMark/>
          </w:tcPr>
          <w:p w14:paraId="5F4F77F7" w14:textId="77777777" w:rsidR="005215D3" w:rsidRPr="00237510" w:rsidRDefault="005215D3" w:rsidP="00E9608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rFonts w:cs="Arial"/>
                <w:i/>
                <w:iCs/>
                <w:color w:val="000000"/>
                <w:sz w:val="18"/>
                <w:szCs w:val="18"/>
                <w:lang w:eastAsia="en-AU"/>
              </w:rPr>
              <w:t>Prototroctes maraena</w:t>
            </w:r>
          </w:p>
        </w:tc>
        <w:tc>
          <w:tcPr>
            <w:tcW w:w="283" w:type="pct"/>
          </w:tcPr>
          <w:p w14:paraId="06BA2C34"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2F3E88D4"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0D1400DD"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r w:rsidRPr="00237510">
              <w:rPr>
                <w:rFonts w:cs="Arial"/>
                <w:color w:val="000000"/>
                <w:sz w:val="16"/>
                <w:szCs w:val="16"/>
                <w:lang w:eastAsia="en-AU"/>
              </w:rPr>
              <w:t>X</w:t>
            </w:r>
          </w:p>
        </w:tc>
        <w:tc>
          <w:tcPr>
            <w:tcW w:w="283" w:type="pct"/>
          </w:tcPr>
          <w:p w14:paraId="5371DB93"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c>
          <w:tcPr>
            <w:tcW w:w="279" w:type="pct"/>
          </w:tcPr>
          <w:p w14:paraId="52018692" w14:textId="77777777" w:rsidR="005215D3" w:rsidRPr="00237510" w:rsidRDefault="005215D3" w:rsidP="00E9608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6"/>
                <w:szCs w:val="16"/>
                <w:lang w:eastAsia="en-AU"/>
              </w:rPr>
            </w:pPr>
          </w:p>
        </w:tc>
      </w:tr>
      <w:tr w:rsidR="00B9313A" w:rsidRPr="00237510" w14:paraId="755DA9F7"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val="restart"/>
            <w:tcBorders>
              <w:top w:val="none" w:sz="0" w:space="0" w:color="auto"/>
              <w:bottom w:val="none" w:sz="0" w:space="0" w:color="auto"/>
              <w:right w:val="none" w:sz="0" w:space="0" w:color="auto"/>
            </w:tcBorders>
          </w:tcPr>
          <w:p w14:paraId="1B0CB6F9" w14:textId="77777777" w:rsidR="005215D3" w:rsidRPr="00237510" w:rsidRDefault="005215D3" w:rsidP="00E96085">
            <w:pPr>
              <w:spacing w:after="0"/>
              <w:rPr>
                <w:rFonts w:cs="Arial"/>
                <w:b w:val="0"/>
                <w:color w:val="000000"/>
                <w:sz w:val="18"/>
                <w:szCs w:val="18"/>
                <w:lang w:eastAsia="en-AU"/>
              </w:rPr>
            </w:pPr>
            <w:r w:rsidRPr="00237510">
              <w:rPr>
                <w:rFonts w:cs="Arial"/>
                <w:b w:val="0"/>
                <w:color w:val="000000"/>
                <w:sz w:val="18"/>
                <w:szCs w:val="18"/>
                <w:lang w:eastAsia="en-AU"/>
              </w:rPr>
              <w:t>Estuarine Resident</w:t>
            </w:r>
          </w:p>
        </w:tc>
        <w:tc>
          <w:tcPr>
            <w:tcW w:w="1419" w:type="pct"/>
            <w:tcBorders>
              <w:top w:val="none" w:sz="0" w:space="0" w:color="auto"/>
              <w:bottom w:val="none" w:sz="0" w:space="0" w:color="auto"/>
            </w:tcBorders>
            <w:hideMark/>
          </w:tcPr>
          <w:p w14:paraId="51D4393C"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Black Bream</w:t>
            </w:r>
          </w:p>
        </w:tc>
        <w:tc>
          <w:tcPr>
            <w:tcW w:w="1418" w:type="pct"/>
            <w:tcBorders>
              <w:top w:val="none" w:sz="0" w:space="0" w:color="auto"/>
              <w:bottom w:val="none" w:sz="0" w:space="0" w:color="auto"/>
            </w:tcBorders>
            <w:noWrap/>
            <w:hideMark/>
          </w:tcPr>
          <w:p w14:paraId="55A49746"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Acanthopagrus butcheri</w:t>
            </w:r>
          </w:p>
        </w:tc>
        <w:tc>
          <w:tcPr>
            <w:tcW w:w="283" w:type="pct"/>
            <w:tcBorders>
              <w:top w:val="none" w:sz="0" w:space="0" w:color="auto"/>
              <w:bottom w:val="none" w:sz="0" w:space="0" w:color="auto"/>
            </w:tcBorders>
          </w:tcPr>
          <w:p w14:paraId="264C4886"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57870C54"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Borders>
              <w:top w:val="none" w:sz="0" w:space="0" w:color="auto"/>
              <w:bottom w:val="none" w:sz="0" w:space="0" w:color="auto"/>
            </w:tcBorders>
          </w:tcPr>
          <w:p w14:paraId="72F0CF93"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1B582B2C"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79" w:type="pct"/>
            <w:tcBorders>
              <w:top w:val="none" w:sz="0" w:space="0" w:color="auto"/>
              <w:bottom w:val="none" w:sz="0" w:space="0" w:color="auto"/>
            </w:tcBorders>
          </w:tcPr>
          <w:p w14:paraId="207CF8B3"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r>
      <w:tr w:rsidR="001A2E0A" w:rsidRPr="00237510" w14:paraId="3C4CEA91"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254E58C0" w14:textId="77777777" w:rsidR="005215D3" w:rsidRPr="00237510" w:rsidRDefault="005215D3" w:rsidP="00E96085">
            <w:pPr>
              <w:spacing w:after="0"/>
              <w:rPr>
                <w:rFonts w:cs="Arial"/>
                <w:b w:val="0"/>
                <w:color w:val="000000"/>
                <w:sz w:val="18"/>
                <w:szCs w:val="18"/>
                <w:lang w:eastAsia="en-AU"/>
              </w:rPr>
            </w:pPr>
          </w:p>
        </w:tc>
        <w:tc>
          <w:tcPr>
            <w:tcW w:w="1419" w:type="pct"/>
            <w:hideMark/>
          </w:tcPr>
          <w:p w14:paraId="49AF8681"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 xml:space="preserve">Tamar River Goby </w:t>
            </w:r>
          </w:p>
        </w:tc>
        <w:tc>
          <w:tcPr>
            <w:tcW w:w="1418" w:type="pct"/>
            <w:noWrap/>
            <w:hideMark/>
          </w:tcPr>
          <w:p w14:paraId="6DC7EB03"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Afurcagobius tamarensis</w:t>
            </w:r>
          </w:p>
        </w:tc>
        <w:tc>
          <w:tcPr>
            <w:tcW w:w="283" w:type="pct"/>
          </w:tcPr>
          <w:p w14:paraId="298FBE5D"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0A86BB66"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Pr>
          <w:p w14:paraId="6DCFE1B6"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5B130305"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79" w:type="pct"/>
          </w:tcPr>
          <w:p w14:paraId="0367B30F"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r>
      <w:tr w:rsidR="00B9313A" w:rsidRPr="00237510" w14:paraId="1451A825"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6DCF8547"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4D38F55F"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Yellow-eye Mullet</w:t>
            </w:r>
          </w:p>
        </w:tc>
        <w:tc>
          <w:tcPr>
            <w:tcW w:w="1418" w:type="pct"/>
            <w:tcBorders>
              <w:top w:val="none" w:sz="0" w:space="0" w:color="auto"/>
              <w:bottom w:val="none" w:sz="0" w:space="0" w:color="auto"/>
            </w:tcBorders>
            <w:noWrap/>
            <w:hideMark/>
          </w:tcPr>
          <w:p w14:paraId="1D2A0BAA"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Aldrichetta forsteri</w:t>
            </w:r>
          </w:p>
        </w:tc>
        <w:tc>
          <w:tcPr>
            <w:tcW w:w="283" w:type="pct"/>
            <w:tcBorders>
              <w:top w:val="none" w:sz="0" w:space="0" w:color="auto"/>
              <w:bottom w:val="none" w:sz="0" w:space="0" w:color="auto"/>
            </w:tcBorders>
          </w:tcPr>
          <w:p w14:paraId="710E3D8A"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c>
          <w:tcPr>
            <w:tcW w:w="283" w:type="pct"/>
            <w:tcBorders>
              <w:top w:val="none" w:sz="0" w:space="0" w:color="auto"/>
              <w:bottom w:val="none" w:sz="0" w:space="0" w:color="auto"/>
            </w:tcBorders>
          </w:tcPr>
          <w:p w14:paraId="4A5BCD98"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Borders>
              <w:top w:val="none" w:sz="0" w:space="0" w:color="auto"/>
              <w:bottom w:val="none" w:sz="0" w:space="0" w:color="auto"/>
            </w:tcBorders>
          </w:tcPr>
          <w:p w14:paraId="3EEB20CD"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5D56377B"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79" w:type="pct"/>
            <w:tcBorders>
              <w:top w:val="none" w:sz="0" w:space="0" w:color="auto"/>
              <w:bottom w:val="none" w:sz="0" w:space="0" w:color="auto"/>
            </w:tcBorders>
          </w:tcPr>
          <w:p w14:paraId="4F9B4FCF"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r>
      <w:tr w:rsidR="001A2E0A" w:rsidRPr="00237510" w14:paraId="62DF33CE"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1BAC5528" w14:textId="77777777" w:rsidR="005215D3" w:rsidRPr="00237510" w:rsidRDefault="005215D3" w:rsidP="00E96085">
            <w:pPr>
              <w:spacing w:after="0"/>
              <w:rPr>
                <w:rFonts w:cs="Arial"/>
                <w:b w:val="0"/>
                <w:color w:val="000000"/>
                <w:sz w:val="18"/>
                <w:szCs w:val="18"/>
                <w:lang w:eastAsia="en-AU"/>
              </w:rPr>
            </w:pPr>
          </w:p>
        </w:tc>
        <w:tc>
          <w:tcPr>
            <w:tcW w:w="1419" w:type="pct"/>
            <w:hideMark/>
          </w:tcPr>
          <w:p w14:paraId="3D4B9E79"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Port Jackson Glassfish</w:t>
            </w:r>
          </w:p>
        </w:tc>
        <w:tc>
          <w:tcPr>
            <w:tcW w:w="1418" w:type="pct"/>
            <w:noWrap/>
            <w:hideMark/>
          </w:tcPr>
          <w:p w14:paraId="190B519D"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Ambassis jacksoniensis</w:t>
            </w:r>
          </w:p>
        </w:tc>
        <w:tc>
          <w:tcPr>
            <w:tcW w:w="283" w:type="pct"/>
          </w:tcPr>
          <w:p w14:paraId="6246BCB7"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4EC299A9"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Pr>
          <w:p w14:paraId="1A8DD8CA"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4EC2828B"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79" w:type="pct"/>
          </w:tcPr>
          <w:p w14:paraId="1716DB13"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r>
      <w:tr w:rsidR="00B9313A" w:rsidRPr="00237510" w14:paraId="76EE33D5"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27D33FC0"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6E418163"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Bridled Goby</w:t>
            </w:r>
          </w:p>
        </w:tc>
        <w:tc>
          <w:tcPr>
            <w:tcW w:w="1418" w:type="pct"/>
            <w:tcBorders>
              <w:top w:val="none" w:sz="0" w:space="0" w:color="auto"/>
              <w:bottom w:val="none" w:sz="0" w:space="0" w:color="auto"/>
            </w:tcBorders>
            <w:noWrap/>
            <w:hideMark/>
          </w:tcPr>
          <w:p w14:paraId="620DAE98"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Arenigobius bifrenatus</w:t>
            </w:r>
          </w:p>
        </w:tc>
        <w:tc>
          <w:tcPr>
            <w:tcW w:w="283" w:type="pct"/>
            <w:tcBorders>
              <w:top w:val="none" w:sz="0" w:space="0" w:color="auto"/>
              <w:bottom w:val="none" w:sz="0" w:space="0" w:color="auto"/>
            </w:tcBorders>
          </w:tcPr>
          <w:p w14:paraId="41EFF255"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2D307D0C"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Borders>
              <w:top w:val="none" w:sz="0" w:space="0" w:color="auto"/>
              <w:bottom w:val="none" w:sz="0" w:space="0" w:color="auto"/>
            </w:tcBorders>
          </w:tcPr>
          <w:p w14:paraId="383A0ADA"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25BF30B4"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79" w:type="pct"/>
            <w:tcBorders>
              <w:top w:val="none" w:sz="0" w:space="0" w:color="auto"/>
              <w:bottom w:val="none" w:sz="0" w:space="0" w:color="auto"/>
            </w:tcBorders>
          </w:tcPr>
          <w:p w14:paraId="32BC2542"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r>
      <w:tr w:rsidR="001A2E0A" w:rsidRPr="00237510" w14:paraId="092C30BF"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2B4770EF" w14:textId="77777777" w:rsidR="005215D3" w:rsidRPr="00237510" w:rsidRDefault="005215D3" w:rsidP="00E96085">
            <w:pPr>
              <w:spacing w:after="0"/>
              <w:rPr>
                <w:rFonts w:cs="Arial"/>
                <w:b w:val="0"/>
                <w:color w:val="000000"/>
                <w:sz w:val="18"/>
                <w:szCs w:val="18"/>
                <w:lang w:eastAsia="en-AU"/>
              </w:rPr>
            </w:pPr>
          </w:p>
        </w:tc>
        <w:tc>
          <w:tcPr>
            <w:tcW w:w="1419" w:type="pct"/>
            <w:hideMark/>
          </w:tcPr>
          <w:p w14:paraId="6EC452B8"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Smallmouth Hardyhead</w:t>
            </w:r>
          </w:p>
        </w:tc>
        <w:tc>
          <w:tcPr>
            <w:tcW w:w="1418" w:type="pct"/>
            <w:hideMark/>
          </w:tcPr>
          <w:p w14:paraId="7CA64B23"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Atherinosoma microstoma</w:t>
            </w:r>
          </w:p>
        </w:tc>
        <w:tc>
          <w:tcPr>
            <w:tcW w:w="283" w:type="pct"/>
          </w:tcPr>
          <w:p w14:paraId="129D65F1"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3B5C9B81"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Pr>
          <w:p w14:paraId="6AC66C3E"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59337232"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79" w:type="pct"/>
          </w:tcPr>
          <w:p w14:paraId="25B0C2C1"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r>
      <w:tr w:rsidR="00B9313A" w:rsidRPr="00237510" w14:paraId="3E7DC70D"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7F56BF90"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3DFFEFA6"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Australian Anchovy</w:t>
            </w:r>
          </w:p>
        </w:tc>
        <w:tc>
          <w:tcPr>
            <w:tcW w:w="1418" w:type="pct"/>
            <w:tcBorders>
              <w:top w:val="none" w:sz="0" w:space="0" w:color="auto"/>
              <w:bottom w:val="none" w:sz="0" w:space="0" w:color="auto"/>
            </w:tcBorders>
            <w:noWrap/>
            <w:hideMark/>
          </w:tcPr>
          <w:p w14:paraId="1E99825B"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Engraulis australis</w:t>
            </w:r>
          </w:p>
        </w:tc>
        <w:tc>
          <w:tcPr>
            <w:tcW w:w="283" w:type="pct"/>
            <w:tcBorders>
              <w:top w:val="none" w:sz="0" w:space="0" w:color="auto"/>
              <w:bottom w:val="none" w:sz="0" w:space="0" w:color="auto"/>
            </w:tcBorders>
          </w:tcPr>
          <w:p w14:paraId="022AA8BE"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39981FAB"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Borders>
              <w:top w:val="none" w:sz="0" w:space="0" w:color="auto"/>
              <w:bottom w:val="none" w:sz="0" w:space="0" w:color="auto"/>
            </w:tcBorders>
          </w:tcPr>
          <w:p w14:paraId="1C03C821"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58215EC5"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79" w:type="pct"/>
            <w:tcBorders>
              <w:top w:val="none" w:sz="0" w:space="0" w:color="auto"/>
              <w:bottom w:val="none" w:sz="0" w:space="0" w:color="auto"/>
            </w:tcBorders>
          </w:tcPr>
          <w:p w14:paraId="133DA208"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r>
      <w:tr w:rsidR="001A2E0A" w:rsidRPr="00237510" w14:paraId="2C555B5A"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7A4A15C3" w14:textId="77777777" w:rsidR="005215D3" w:rsidRPr="00237510" w:rsidRDefault="005215D3" w:rsidP="00E96085">
            <w:pPr>
              <w:spacing w:after="0"/>
              <w:rPr>
                <w:rFonts w:cs="Arial"/>
                <w:b w:val="0"/>
                <w:color w:val="000000"/>
                <w:sz w:val="18"/>
                <w:szCs w:val="18"/>
                <w:lang w:eastAsia="en-AU"/>
              </w:rPr>
            </w:pPr>
          </w:p>
        </w:tc>
        <w:tc>
          <w:tcPr>
            <w:tcW w:w="1419" w:type="pct"/>
            <w:hideMark/>
          </w:tcPr>
          <w:p w14:paraId="0731C418"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Glass goby</w:t>
            </w:r>
          </w:p>
        </w:tc>
        <w:tc>
          <w:tcPr>
            <w:tcW w:w="1418" w:type="pct"/>
            <w:noWrap/>
            <w:hideMark/>
          </w:tcPr>
          <w:p w14:paraId="1B3C6FB6"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Gobiopterus semivestitus</w:t>
            </w:r>
          </w:p>
        </w:tc>
        <w:tc>
          <w:tcPr>
            <w:tcW w:w="283" w:type="pct"/>
          </w:tcPr>
          <w:p w14:paraId="78966C49"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3DC51E30"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Pr>
          <w:p w14:paraId="4E23E00B"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5156E036"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79" w:type="pct"/>
          </w:tcPr>
          <w:p w14:paraId="0CE445C5"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r>
      <w:tr w:rsidR="00B9313A" w:rsidRPr="00237510" w14:paraId="6E5B3FF5"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619E5BCB"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13345B42"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River Garfish</w:t>
            </w:r>
          </w:p>
        </w:tc>
        <w:tc>
          <w:tcPr>
            <w:tcW w:w="1418" w:type="pct"/>
            <w:tcBorders>
              <w:top w:val="none" w:sz="0" w:space="0" w:color="auto"/>
              <w:bottom w:val="none" w:sz="0" w:space="0" w:color="auto"/>
            </w:tcBorders>
            <w:noWrap/>
            <w:hideMark/>
          </w:tcPr>
          <w:p w14:paraId="5A9DA4A7"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Hyporhamphus regularis</w:t>
            </w:r>
          </w:p>
        </w:tc>
        <w:tc>
          <w:tcPr>
            <w:tcW w:w="283" w:type="pct"/>
            <w:tcBorders>
              <w:top w:val="none" w:sz="0" w:space="0" w:color="auto"/>
              <w:bottom w:val="none" w:sz="0" w:space="0" w:color="auto"/>
            </w:tcBorders>
          </w:tcPr>
          <w:p w14:paraId="6CC284EA"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c>
          <w:tcPr>
            <w:tcW w:w="283" w:type="pct"/>
            <w:tcBorders>
              <w:top w:val="none" w:sz="0" w:space="0" w:color="auto"/>
              <w:bottom w:val="none" w:sz="0" w:space="0" w:color="auto"/>
            </w:tcBorders>
          </w:tcPr>
          <w:p w14:paraId="7D71F493"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Borders>
              <w:top w:val="none" w:sz="0" w:space="0" w:color="auto"/>
              <w:bottom w:val="none" w:sz="0" w:space="0" w:color="auto"/>
            </w:tcBorders>
          </w:tcPr>
          <w:p w14:paraId="17C09714"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52708E7D"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79" w:type="pct"/>
            <w:tcBorders>
              <w:top w:val="none" w:sz="0" w:space="0" w:color="auto"/>
              <w:bottom w:val="none" w:sz="0" w:space="0" w:color="auto"/>
            </w:tcBorders>
          </w:tcPr>
          <w:p w14:paraId="43174267"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r>
      <w:tr w:rsidR="001A2E0A" w:rsidRPr="00237510" w14:paraId="344B90E8"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3DB19257" w14:textId="77777777" w:rsidR="005215D3" w:rsidRPr="00237510" w:rsidRDefault="005215D3" w:rsidP="00E96085">
            <w:pPr>
              <w:spacing w:after="0"/>
              <w:rPr>
                <w:rFonts w:cs="Arial"/>
                <w:b w:val="0"/>
                <w:color w:val="000000"/>
                <w:sz w:val="18"/>
                <w:szCs w:val="18"/>
                <w:lang w:eastAsia="en-AU"/>
              </w:rPr>
            </w:pPr>
          </w:p>
        </w:tc>
        <w:tc>
          <w:tcPr>
            <w:tcW w:w="1419" w:type="pct"/>
            <w:hideMark/>
          </w:tcPr>
          <w:p w14:paraId="6047E2A7"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Estuary Perch</w:t>
            </w:r>
          </w:p>
        </w:tc>
        <w:tc>
          <w:tcPr>
            <w:tcW w:w="1418" w:type="pct"/>
            <w:hideMark/>
          </w:tcPr>
          <w:p w14:paraId="40CF12B6"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 xml:space="preserve">Macquaria colorum </w:t>
            </w:r>
          </w:p>
        </w:tc>
        <w:tc>
          <w:tcPr>
            <w:tcW w:w="283" w:type="pct"/>
          </w:tcPr>
          <w:p w14:paraId="630D9520"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c>
          <w:tcPr>
            <w:tcW w:w="283" w:type="pct"/>
          </w:tcPr>
          <w:p w14:paraId="1B1ED1A2"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Pr>
          <w:p w14:paraId="085CE1A3"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6E48DD04"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c>
          <w:tcPr>
            <w:tcW w:w="279" w:type="pct"/>
          </w:tcPr>
          <w:p w14:paraId="7C53C222"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r>
      <w:tr w:rsidR="00B9313A" w:rsidRPr="00237510" w14:paraId="7B5E3616"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5202E62D"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54453AA4"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Sea Mullet</w:t>
            </w:r>
          </w:p>
        </w:tc>
        <w:tc>
          <w:tcPr>
            <w:tcW w:w="1418" w:type="pct"/>
            <w:tcBorders>
              <w:top w:val="none" w:sz="0" w:space="0" w:color="auto"/>
              <w:bottom w:val="none" w:sz="0" w:space="0" w:color="auto"/>
            </w:tcBorders>
            <w:noWrap/>
            <w:hideMark/>
          </w:tcPr>
          <w:p w14:paraId="7EE78DCD"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Mugil cephalus</w:t>
            </w:r>
          </w:p>
        </w:tc>
        <w:tc>
          <w:tcPr>
            <w:tcW w:w="283" w:type="pct"/>
            <w:tcBorders>
              <w:top w:val="none" w:sz="0" w:space="0" w:color="auto"/>
              <w:bottom w:val="none" w:sz="0" w:space="0" w:color="auto"/>
            </w:tcBorders>
          </w:tcPr>
          <w:p w14:paraId="1437E4B7"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3F4E020B"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Borders>
              <w:top w:val="none" w:sz="0" w:space="0" w:color="auto"/>
              <w:bottom w:val="none" w:sz="0" w:space="0" w:color="auto"/>
            </w:tcBorders>
          </w:tcPr>
          <w:p w14:paraId="2EB1375D"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5FA5BCAE"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79" w:type="pct"/>
            <w:tcBorders>
              <w:top w:val="none" w:sz="0" w:space="0" w:color="auto"/>
              <w:bottom w:val="none" w:sz="0" w:space="0" w:color="auto"/>
            </w:tcBorders>
          </w:tcPr>
          <w:p w14:paraId="74444D81"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r>
      <w:tr w:rsidR="001A2E0A" w:rsidRPr="00237510" w14:paraId="2AAC8591"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684DDD4E" w14:textId="77777777" w:rsidR="005215D3" w:rsidRPr="00237510" w:rsidRDefault="005215D3" w:rsidP="00E96085">
            <w:pPr>
              <w:spacing w:after="0"/>
              <w:rPr>
                <w:rFonts w:cs="Arial"/>
                <w:b w:val="0"/>
                <w:color w:val="000000"/>
                <w:sz w:val="18"/>
                <w:szCs w:val="18"/>
                <w:lang w:eastAsia="en-AU"/>
              </w:rPr>
            </w:pPr>
          </w:p>
        </w:tc>
        <w:tc>
          <w:tcPr>
            <w:tcW w:w="1419" w:type="pct"/>
            <w:hideMark/>
          </w:tcPr>
          <w:p w14:paraId="0E2FE829"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Tupong (Congolli)</w:t>
            </w:r>
          </w:p>
        </w:tc>
        <w:tc>
          <w:tcPr>
            <w:tcW w:w="1418" w:type="pct"/>
            <w:hideMark/>
          </w:tcPr>
          <w:p w14:paraId="5EEA12CF"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Pseudaphritis urvillii</w:t>
            </w:r>
          </w:p>
        </w:tc>
        <w:tc>
          <w:tcPr>
            <w:tcW w:w="283" w:type="pct"/>
          </w:tcPr>
          <w:p w14:paraId="54E06597"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c>
          <w:tcPr>
            <w:tcW w:w="283" w:type="pct"/>
          </w:tcPr>
          <w:p w14:paraId="3FA63C41"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Pr>
          <w:p w14:paraId="676260C1"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c>
          <w:tcPr>
            <w:tcW w:w="283" w:type="pct"/>
          </w:tcPr>
          <w:p w14:paraId="4426AF78"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79" w:type="pct"/>
          </w:tcPr>
          <w:p w14:paraId="1B2662E4"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r>
      <w:tr w:rsidR="00B9313A" w:rsidRPr="00237510" w14:paraId="79CA5256"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378CE31E" w14:textId="77777777" w:rsidR="005215D3" w:rsidRPr="00237510" w:rsidRDefault="005215D3" w:rsidP="00E96085">
            <w:pPr>
              <w:spacing w:after="0"/>
              <w:rPr>
                <w:rFonts w:cs="Arial"/>
                <w:b w:val="0"/>
                <w:color w:val="000000"/>
                <w:sz w:val="18"/>
                <w:szCs w:val="18"/>
                <w:lang w:eastAsia="en-AU"/>
              </w:rPr>
            </w:pPr>
          </w:p>
        </w:tc>
        <w:tc>
          <w:tcPr>
            <w:tcW w:w="1419" w:type="pct"/>
            <w:tcBorders>
              <w:top w:val="none" w:sz="0" w:space="0" w:color="auto"/>
              <w:bottom w:val="none" w:sz="0" w:space="0" w:color="auto"/>
            </w:tcBorders>
            <w:hideMark/>
          </w:tcPr>
          <w:p w14:paraId="32F1CEC4"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Eastern Blue-spot Goby</w:t>
            </w:r>
          </w:p>
        </w:tc>
        <w:tc>
          <w:tcPr>
            <w:tcW w:w="1418" w:type="pct"/>
            <w:tcBorders>
              <w:top w:val="none" w:sz="0" w:space="0" w:color="auto"/>
              <w:bottom w:val="none" w:sz="0" w:space="0" w:color="auto"/>
            </w:tcBorders>
            <w:hideMark/>
          </w:tcPr>
          <w:p w14:paraId="0195F904"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 xml:space="preserve">Pseudogobius </w:t>
            </w:r>
            <w:r w:rsidRPr="00237510">
              <w:rPr>
                <w:rFonts w:ascii="Arial" w:hAnsi="Arial" w:cs="Arial"/>
                <w:sz w:val="18"/>
                <w:lang w:eastAsia="en-AU"/>
              </w:rPr>
              <w:t>sp. 9</w:t>
            </w:r>
          </w:p>
        </w:tc>
        <w:tc>
          <w:tcPr>
            <w:tcW w:w="283" w:type="pct"/>
            <w:tcBorders>
              <w:top w:val="none" w:sz="0" w:space="0" w:color="auto"/>
              <w:bottom w:val="none" w:sz="0" w:space="0" w:color="auto"/>
            </w:tcBorders>
          </w:tcPr>
          <w:p w14:paraId="717ED0B0"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2918DFA9"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Borders>
              <w:top w:val="none" w:sz="0" w:space="0" w:color="auto"/>
              <w:bottom w:val="none" w:sz="0" w:space="0" w:color="auto"/>
            </w:tcBorders>
          </w:tcPr>
          <w:p w14:paraId="3A490ED1"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83" w:type="pct"/>
            <w:tcBorders>
              <w:top w:val="none" w:sz="0" w:space="0" w:color="auto"/>
              <w:bottom w:val="none" w:sz="0" w:space="0" w:color="auto"/>
            </w:tcBorders>
          </w:tcPr>
          <w:p w14:paraId="1FCA3926"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c>
          <w:tcPr>
            <w:tcW w:w="279" w:type="pct"/>
            <w:tcBorders>
              <w:top w:val="none" w:sz="0" w:space="0" w:color="auto"/>
              <w:bottom w:val="none" w:sz="0" w:space="0" w:color="auto"/>
            </w:tcBorders>
          </w:tcPr>
          <w:p w14:paraId="2BFF3CC0"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p>
        </w:tc>
      </w:tr>
      <w:tr w:rsidR="001A2E0A" w:rsidRPr="00237510" w14:paraId="4A917002"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61C59D1C" w14:textId="77777777" w:rsidR="005215D3" w:rsidRPr="00237510" w:rsidRDefault="005215D3" w:rsidP="00E96085">
            <w:pPr>
              <w:spacing w:after="0"/>
              <w:rPr>
                <w:rFonts w:cs="Arial"/>
                <w:b w:val="0"/>
                <w:color w:val="000000"/>
                <w:sz w:val="18"/>
                <w:szCs w:val="18"/>
                <w:lang w:eastAsia="en-AU"/>
              </w:rPr>
            </w:pPr>
          </w:p>
        </w:tc>
        <w:tc>
          <w:tcPr>
            <w:tcW w:w="1419" w:type="pct"/>
            <w:hideMark/>
          </w:tcPr>
          <w:p w14:paraId="75291C5A"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Lagoon Goby</w:t>
            </w:r>
          </w:p>
        </w:tc>
        <w:tc>
          <w:tcPr>
            <w:tcW w:w="1418" w:type="pct"/>
            <w:noWrap/>
            <w:hideMark/>
          </w:tcPr>
          <w:p w14:paraId="45319916"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Tasmanogobius lasti</w:t>
            </w:r>
          </w:p>
        </w:tc>
        <w:tc>
          <w:tcPr>
            <w:tcW w:w="283" w:type="pct"/>
          </w:tcPr>
          <w:p w14:paraId="1ACACC84"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7114B087"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color w:val="000000"/>
                <w:sz w:val="16"/>
                <w:szCs w:val="16"/>
                <w:lang w:eastAsia="en-AU"/>
              </w:rPr>
              <w:t>X</w:t>
            </w:r>
          </w:p>
        </w:tc>
        <w:tc>
          <w:tcPr>
            <w:tcW w:w="283" w:type="pct"/>
          </w:tcPr>
          <w:p w14:paraId="41C51D4F"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83" w:type="pct"/>
          </w:tcPr>
          <w:p w14:paraId="420239B0"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c>
          <w:tcPr>
            <w:tcW w:w="279" w:type="pct"/>
          </w:tcPr>
          <w:p w14:paraId="6A6BF48B"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p>
        </w:tc>
      </w:tr>
      <w:tr w:rsidR="00B9313A" w:rsidRPr="00237510" w14:paraId="4828E4EE"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val="restart"/>
            <w:tcBorders>
              <w:top w:val="none" w:sz="0" w:space="0" w:color="auto"/>
              <w:bottom w:val="none" w:sz="0" w:space="0" w:color="auto"/>
              <w:right w:val="none" w:sz="0" w:space="0" w:color="auto"/>
            </w:tcBorders>
          </w:tcPr>
          <w:p w14:paraId="4882CBB3" w14:textId="77777777" w:rsidR="005215D3" w:rsidRPr="00237510" w:rsidRDefault="005215D3" w:rsidP="00E96085">
            <w:pPr>
              <w:spacing w:after="0"/>
              <w:rPr>
                <w:rFonts w:cs="Arial"/>
                <w:b w:val="0"/>
                <w:color w:val="000000"/>
                <w:sz w:val="18"/>
                <w:szCs w:val="18"/>
                <w:lang w:eastAsia="en-AU"/>
              </w:rPr>
            </w:pPr>
            <w:r w:rsidRPr="00237510">
              <w:rPr>
                <w:rFonts w:cs="Arial"/>
                <w:b w:val="0"/>
                <w:color w:val="000000"/>
                <w:sz w:val="18"/>
                <w:szCs w:val="18"/>
                <w:lang w:eastAsia="en-AU"/>
              </w:rPr>
              <w:t>Marine Opportunist</w:t>
            </w:r>
          </w:p>
        </w:tc>
        <w:tc>
          <w:tcPr>
            <w:tcW w:w="1419" w:type="pct"/>
            <w:tcBorders>
              <w:top w:val="none" w:sz="0" w:space="0" w:color="auto"/>
              <w:bottom w:val="none" w:sz="0" w:space="0" w:color="auto"/>
            </w:tcBorders>
            <w:hideMark/>
          </w:tcPr>
          <w:p w14:paraId="5CCD7D19"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Luderick</w:t>
            </w:r>
          </w:p>
        </w:tc>
        <w:tc>
          <w:tcPr>
            <w:tcW w:w="1418" w:type="pct"/>
            <w:tcBorders>
              <w:top w:val="none" w:sz="0" w:space="0" w:color="auto"/>
              <w:bottom w:val="none" w:sz="0" w:space="0" w:color="auto"/>
            </w:tcBorders>
            <w:noWrap/>
            <w:hideMark/>
          </w:tcPr>
          <w:p w14:paraId="52451793"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Girella tricuspidata</w:t>
            </w:r>
          </w:p>
        </w:tc>
        <w:tc>
          <w:tcPr>
            <w:tcW w:w="283" w:type="pct"/>
            <w:tcBorders>
              <w:top w:val="none" w:sz="0" w:space="0" w:color="auto"/>
              <w:bottom w:val="none" w:sz="0" w:space="0" w:color="auto"/>
            </w:tcBorders>
          </w:tcPr>
          <w:p w14:paraId="3FA64708"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eastAsia="en-AU"/>
              </w:rPr>
            </w:pPr>
          </w:p>
        </w:tc>
        <w:tc>
          <w:tcPr>
            <w:tcW w:w="283" w:type="pct"/>
            <w:tcBorders>
              <w:top w:val="none" w:sz="0" w:space="0" w:color="auto"/>
              <w:bottom w:val="none" w:sz="0" w:space="0" w:color="auto"/>
            </w:tcBorders>
          </w:tcPr>
          <w:p w14:paraId="68FFD592"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eastAsia="en-AU"/>
              </w:rPr>
            </w:pPr>
            <w:r w:rsidRPr="00237510">
              <w:rPr>
                <w:rFonts w:ascii="Arial" w:hAnsi="Arial" w:cs="Arial"/>
                <w:color w:val="000000"/>
                <w:sz w:val="16"/>
                <w:szCs w:val="16"/>
                <w:lang w:eastAsia="en-AU"/>
              </w:rPr>
              <w:t>X</w:t>
            </w:r>
          </w:p>
        </w:tc>
        <w:tc>
          <w:tcPr>
            <w:tcW w:w="283" w:type="pct"/>
            <w:tcBorders>
              <w:top w:val="none" w:sz="0" w:space="0" w:color="auto"/>
              <w:bottom w:val="none" w:sz="0" w:space="0" w:color="auto"/>
            </w:tcBorders>
          </w:tcPr>
          <w:p w14:paraId="39B12FCF"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eastAsia="en-AU"/>
              </w:rPr>
            </w:pPr>
          </w:p>
        </w:tc>
        <w:tc>
          <w:tcPr>
            <w:tcW w:w="283" w:type="pct"/>
            <w:tcBorders>
              <w:top w:val="none" w:sz="0" w:space="0" w:color="auto"/>
              <w:bottom w:val="none" w:sz="0" w:space="0" w:color="auto"/>
            </w:tcBorders>
          </w:tcPr>
          <w:p w14:paraId="5D83F602"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eastAsia="en-AU"/>
              </w:rPr>
            </w:pPr>
          </w:p>
        </w:tc>
        <w:tc>
          <w:tcPr>
            <w:tcW w:w="279" w:type="pct"/>
            <w:tcBorders>
              <w:top w:val="none" w:sz="0" w:space="0" w:color="auto"/>
              <w:bottom w:val="none" w:sz="0" w:space="0" w:color="auto"/>
            </w:tcBorders>
          </w:tcPr>
          <w:p w14:paraId="2A819474"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r>
      <w:tr w:rsidR="001A2E0A" w:rsidRPr="00237510" w14:paraId="1038E27C" w14:textId="77777777" w:rsidTr="00E96085">
        <w:trPr>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right w:val="none" w:sz="0" w:space="0" w:color="auto"/>
            </w:tcBorders>
          </w:tcPr>
          <w:p w14:paraId="63E3608A" w14:textId="77777777" w:rsidR="005215D3" w:rsidRPr="00237510" w:rsidRDefault="005215D3" w:rsidP="00E96085">
            <w:pPr>
              <w:spacing w:after="0"/>
              <w:jc w:val="center"/>
              <w:rPr>
                <w:rFonts w:cs="Arial"/>
                <w:b w:val="0"/>
                <w:color w:val="000000"/>
                <w:sz w:val="18"/>
                <w:szCs w:val="18"/>
                <w:lang w:eastAsia="en-AU"/>
              </w:rPr>
            </w:pPr>
          </w:p>
        </w:tc>
        <w:tc>
          <w:tcPr>
            <w:tcW w:w="1419" w:type="pct"/>
            <w:hideMark/>
          </w:tcPr>
          <w:p w14:paraId="24FB856C"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Tailor</w:t>
            </w:r>
          </w:p>
        </w:tc>
        <w:tc>
          <w:tcPr>
            <w:tcW w:w="1418" w:type="pct"/>
            <w:noWrap/>
            <w:hideMark/>
          </w:tcPr>
          <w:p w14:paraId="603A3A4D" w14:textId="77777777" w:rsidR="005215D3" w:rsidRPr="00237510" w:rsidRDefault="005215D3" w:rsidP="00E9608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Pomatomus saltatrix</w:t>
            </w:r>
          </w:p>
        </w:tc>
        <w:tc>
          <w:tcPr>
            <w:tcW w:w="283" w:type="pct"/>
          </w:tcPr>
          <w:p w14:paraId="34DB9369"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6"/>
                <w:szCs w:val="16"/>
                <w:lang w:eastAsia="en-AU"/>
              </w:rPr>
            </w:pPr>
          </w:p>
        </w:tc>
        <w:tc>
          <w:tcPr>
            <w:tcW w:w="283" w:type="pct"/>
          </w:tcPr>
          <w:p w14:paraId="66B2EB26"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6"/>
                <w:szCs w:val="16"/>
                <w:lang w:eastAsia="en-AU"/>
              </w:rPr>
            </w:pPr>
            <w:r w:rsidRPr="00237510">
              <w:rPr>
                <w:rFonts w:ascii="Arial" w:hAnsi="Arial" w:cs="Arial"/>
                <w:color w:val="000000"/>
                <w:sz w:val="16"/>
                <w:szCs w:val="16"/>
                <w:lang w:eastAsia="en-AU"/>
              </w:rPr>
              <w:t>X</w:t>
            </w:r>
          </w:p>
        </w:tc>
        <w:tc>
          <w:tcPr>
            <w:tcW w:w="283" w:type="pct"/>
          </w:tcPr>
          <w:p w14:paraId="78F3FFFF"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6"/>
                <w:szCs w:val="16"/>
                <w:lang w:eastAsia="en-AU"/>
              </w:rPr>
            </w:pPr>
          </w:p>
        </w:tc>
        <w:tc>
          <w:tcPr>
            <w:tcW w:w="283" w:type="pct"/>
          </w:tcPr>
          <w:p w14:paraId="43B0C8C1"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6"/>
                <w:szCs w:val="16"/>
                <w:lang w:eastAsia="en-AU"/>
              </w:rPr>
            </w:pPr>
          </w:p>
        </w:tc>
        <w:tc>
          <w:tcPr>
            <w:tcW w:w="279" w:type="pct"/>
          </w:tcPr>
          <w:p w14:paraId="70127C56" w14:textId="77777777" w:rsidR="005215D3" w:rsidRPr="00237510" w:rsidRDefault="005215D3" w:rsidP="00E9608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r>
      <w:tr w:rsidR="00B9313A" w:rsidRPr="00237510" w14:paraId="63DE2746" w14:textId="77777777" w:rsidTr="00E9608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52" w:type="pct"/>
            <w:vMerge/>
            <w:tcBorders>
              <w:top w:val="none" w:sz="0" w:space="0" w:color="auto"/>
              <w:bottom w:val="none" w:sz="0" w:space="0" w:color="auto"/>
              <w:right w:val="none" w:sz="0" w:space="0" w:color="auto"/>
            </w:tcBorders>
          </w:tcPr>
          <w:p w14:paraId="7155709B" w14:textId="77777777" w:rsidR="005215D3" w:rsidRPr="00237510" w:rsidRDefault="005215D3" w:rsidP="00E96085">
            <w:pPr>
              <w:spacing w:after="0"/>
              <w:jc w:val="center"/>
              <w:rPr>
                <w:rFonts w:cs="Arial"/>
                <w:b w:val="0"/>
                <w:color w:val="000000"/>
                <w:sz w:val="18"/>
                <w:szCs w:val="18"/>
                <w:lang w:eastAsia="en-AU"/>
              </w:rPr>
            </w:pPr>
          </w:p>
        </w:tc>
        <w:tc>
          <w:tcPr>
            <w:tcW w:w="1419" w:type="pct"/>
            <w:tcBorders>
              <w:top w:val="none" w:sz="0" w:space="0" w:color="auto"/>
              <w:bottom w:val="none" w:sz="0" w:space="0" w:color="auto"/>
            </w:tcBorders>
            <w:hideMark/>
          </w:tcPr>
          <w:p w14:paraId="75CDE809"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lang w:eastAsia="en-AU"/>
              </w:rPr>
              <w:t>Trevally</w:t>
            </w:r>
          </w:p>
        </w:tc>
        <w:tc>
          <w:tcPr>
            <w:tcW w:w="1418" w:type="pct"/>
            <w:tcBorders>
              <w:top w:val="none" w:sz="0" w:space="0" w:color="auto"/>
              <w:bottom w:val="none" w:sz="0" w:space="0" w:color="auto"/>
            </w:tcBorders>
            <w:hideMark/>
          </w:tcPr>
          <w:p w14:paraId="774B99AD" w14:textId="77777777" w:rsidR="005215D3" w:rsidRPr="00237510" w:rsidRDefault="005215D3" w:rsidP="00E9608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 xml:space="preserve">Pseudocaranx </w:t>
            </w:r>
            <w:r w:rsidRPr="00237510">
              <w:rPr>
                <w:rFonts w:ascii="Arial" w:hAnsi="Arial" w:cs="Arial"/>
                <w:sz w:val="18"/>
                <w:lang w:eastAsia="en-AU"/>
              </w:rPr>
              <w:t>spp.</w:t>
            </w:r>
          </w:p>
        </w:tc>
        <w:tc>
          <w:tcPr>
            <w:tcW w:w="283" w:type="pct"/>
            <w:tcBorders>
              <w:top w:val="none" w:sz="0" w:space="0" w:color="auto"/>
              <w:bottom w:val="none" w:sz="0" w:space="0" w:color="auto"/>
            </w:tcBorders>
          </w:tcPr>
          <w:p w14:paraId="2A537E28"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eastAsia="en-AU"/>
              </w:rPr>
            </w:pPr>
          </w:p>
        </w:tc>
        <w:tc>
          <w:tcPr>
            <w:tcW w:w="283" w:type="pct"/>
            <w:tcBorders>
              <w:top w:val="none" w:sz="0" w:space="0" w:color="auto"/>
              <w:bottom w:val="none" w:sz="0" w:space="0" w:color="auto"/>
            </w:tcBorders>
          </w:tcPr>
          <w:p w14:paraId="601B8531"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eastAsia="en-AU"/>
              </w:rPr>
            </w:pPr>
            <w:r w:rsidRPr="00237510">
              <w:rPr>
                <w:rFonts w:ascii="Arial" w:hAnsi="Arial" w:cs="Arial"/>
                <w:color w:val="000000"/>
                <w:sz w:val="16"/>
                <w:szCs w:val="16"/>
                <w:lang w:eastAsia="en-AU"/>
              </w:rPr>
              <w:t>X</w:t>
            </w:r>
          </w:p>
        </w:tc>
        <w:tc>
          <w:tcPr>
            <w:tcW w:w="283" w:type="pct"/>
            <w:tcBorders>
              <w:top w:val="none" w:sz="0" w:space="0" w:color="auto"/>
              <w:bottom w:val="none" w:sz="0" w:space="0" w:color="auto"/>
            </w:tcBorders>
          </w:tcPr>
          <w:p w14:paraId="1AD19FA4"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eastAsia="en-AU"/>
              </w:rPr>
            </w:pPr>
          </w:p>
        </w:tc>
        <w:tc>
          <w:tcPr>
            <w:tcW w:w="283" w:type="pct"/>
            <w:tcBorders>
              <w:top w:val="none" w:sz="0" w:space="0" w:color="auto"/>
              <w:bottom w:val="none" w:sz="0" w:space="0" w:color="auto"/>
            </w:tcBorders>
          </w:tcPr>
          <w:p w14:paraId="76E60D33"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6"/>
                <w:szCs w:val="16"/>
                <w:lang w:eastAsia="en-AU"/>
              </w:rPr>
            </w:pPr>
          </w:p>
        </w:tc>
        <w:tc>
          <w:tcPr>
            <w:tcW w:w="279" w:type="pct"/>
            <w:tcBorders>
              <w:top w:val="none" w:sz="0" w:space="0" w:color="auto"/>
              <w:bottom w:val="none" w:sz="0" w:space="0" w:color="auto"/>
            </w:tcBorders>
          </w:tcPr>
          <w:p w14:paraId="72954753" w14:textId="77777777" w:rsidR="005215D3" w:rsidRPr="00237510" w:rsidRDefault="005215D3" w:rsidP="00E9608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6"/>
                <w:szCs w:val="16"/>
                <w:lang w:eastAsia="en-AU"/>
              </w:rPr>
            </w:pPr>
            <w:r w:rsidRPr="00237510">
              <w:rPr>
                <w:rFonts w:ascii="Arial" w:hAnsi="Arial" w:cs="Arial"/>
                <w:sz w:val="16"/>
                <w:szCs w:val="16"/>
                <w:lang w:eastAsia="en-AU"/>
              </w:rPr>
              <w:t>X</w:t>
            </w:r>
          </w:p>
        </w:tc>
      </w:tr>
    </w:tbl>
    <w:p w14:paraId="1F4EF64F" w14:textId="1FF29CF4" w:rsidR="005215D3" w:rsidRPr="00237510" w:rsidRDefault="005215D3" w:rsidP="005215D3">
      <w:pPr>
        <w:rPr>
          <w:lang w:eastAsia="en-US"/>
        </w:rPr>
      </w:pPr>
    </w:p>
    <w:p w14:paraId="24F984CD" w14:textId="43F383EA" w:rsidR="002A7965" w:rsidRDefault="002A7965" w:rsidP="002A7965">
      <w:pPr>
        <w:pStyle w:val="Caption"/>
      </w:pPr>
    </w:p>
    <w:p w14:paraId="701882E5" w14:textId="77777777" w:rsidR="001C4E6C" w:rsidRPr="001C4E6C" w:rsidRDefault="001C4E6C" w:rsidP="001C4E6C"/>
    <w:p w14:paraId="29FB937F" w14:textId="77777777" w:rsidR="002A7965" w:rsidRPr="00237510" w:rsidRDefault="002A7965" w:rsidP="002A7965">
      <w:pPr>
        <w:pStyle w:val="Caption"/>
      </w:pPr>
    </w:p>
    <w:p w14:paraId="0F9F377B" w14:textId="77777777" w:rsidR="002A7965" w:rsidRPr="00237510" w:rsidRDefault="002A7965" w:rsidP="002A7965">
      <w:pPr>
        <w:pStyle w:val="Caption"/>
      </w:pPr>
    </w:p>
    <w:p w14:paraId="6106D60A" w14:textId="6D8F888D" w:rsidR="002A7965" w:rsidRPr="00237510" w:rsidRDefault="002A7965" w:rsidP="002A7965">
      <w:pPr>
        <w:pStyle w:val="Caption"/>
        <w:rPr>
          <w:iCs/>
          <w:lang w:eastAsia="en-US"/>
        </w:rPr>
      </w:pPr>
      <w:r w:rsidRPr="00237510">
        <w:t xml:space="preserve">Table </w:t>
      </w:r>
      <w:r>
        <w:fldChar w:fldCharType="begin"/>
      </w:r>
      <w:r>
        <w:instrText>SEQ Table \* ARABIC</w:instrText>
      </w:r>
      <w:r>
        <w:fldChar w:fldCharType="separate"/>
      </w:r>
      <w:r w:rsidR="004E1696">
        <w:rPr>
          <w:noProof/>
        </w:rPr>
        <w:t>10</w:t>
      </w:r>
      <w:r>
        <w:fldChar w:fldCharType="end"/>
      </w:r>
      <w:r w:rsidRPr="00237510">
        <w:t>: Waterbirds of the study area with maximum count, “x” signifies presence recorded but not abundance (Atlas of Living Australia).</w:t>
      </w:r>
    </w:p>
    <w:tbl>
      <w:tblPr>
        <w:tblStyle w:val="ListTable3-Accent52"/>
        <w:tblW w:w="4925" w:type="pct"/>
        <w:tblInd w:w="-5" w:type="dxa"/>
        <w:tblLayout w:type="fixed"/>
        <w:tblLook w:val="04A0" w:firstRow="1" w:lastRow="0" w:firstColumn="1" w:lastColumn="0" w:noHBand="0" w:noVBand="1"/>
      </w:tblPr>
      <w:tblGrid>
        <w:gridCol w:w="1282"/>
        <w:gridCol w:w="2121"/>
        <w:gridCol w:w="2127"/>
        <w:gridCol w:w="707"/>
        <w:gridCol w:w="709"/>
        <w:gridCol w:w="604"/>
        <w:gridCol w:w="481"/>
        <w:gridCol w:w="616"/>
      </w:tblGrid>
      <w:tr w:rsidR="004C5BC1" w:rsidRPr="00237510" w14:paraId="62E5965B" w14:textId="77777777" w:rsidTr="005E4AC8">
        <w:trPr>
          <w:cnfStyle w:val="100000000000" w:firstRow="1" w:lastRow="0" w:firstColumn="0" w:lastColumn="0" w:oddVBand="0" w:evenVBand="0" w:oddHBand="0" w:evenHBand="0" w:firstRowFirstColumn="0" w:firstRowLastColumn="0" w:lastRowFirstColumn="0" w:lastRowLastColumn="0"/>
          <w:cantSplit/>
          <w:trHeight w:val="1455"/>
          <w:tblHeader/>
        </w:trPr>
        <w:tc>
          <w:tcPr>
            <w:cnfStyle w:val="001000000100" w:firstRow="0" w:lastRow="0" w:firstColumn="1" w:lastColumn="0" w:oddVBand="0" w:evenVBand="0" w:oddHBand="0" w:evenHBand="0" w:firstRowFirstColumn="1" w:firstRowLastColumn="0" w:lastRowFirstColumn="0" w:lastRowLastColumn="0"/>
            <w:tcW w:w="741" w:type="pct"/>
            <w:tcBorders>
              <w:bottom w:val="none" w:sz="0" w:space="0" w:color="auto"/>
              <w:right w:val="none" w:sz="0" w:space="0" w:color="auto"/>
            </w:tcBorders>
          </w:tcPr>
          <w:p w14:paraId="5E4E1958" w14:textId="77777777" w:rsidR="002A7965" w:rsidRPr="00237510" w:rsidRDefault="002A7965" w:rsidP="002A7965">
            <w:pPr>
              <w:spacing w:before="96" w:after="96"/>
              <w:rPr>
                <w:rFonts w:cs="Arial"/>
                <w:bCs w:val="0"/>
                <w:sz w:val="18"/>
                <w:szCs w:val="18"/>
                <w:lang w:eastAsia="en-AU"/>
              </w:rPr>
            </w:pPr>
            <w:r w:rsidRPr="00237510">
              <w:rPr>
                <w:rFonts w:cs="Arial"/>
                <w:sz w:val="18"/>
                <w:szCs w:val="18"/>
                <w:lang w:eastAsia="en-AU"/>
              </w:rPr>
              <w:t>Group</w:t>
            </w:r>
          </w:p>
        </w:tc>
        <w:tc>
          <w:tcPr>
            <w:tcW w:w="1226" w:type="pct"/>
            <w:hideMark/>
          </w:tcPr>
          <w:p w14:paraId="752F2B65" w14:textId="77777777" w:rsidR="002A7965" w:rsidRPr="00237510" w:rsidRDefault="002A7965" w:rsidP="002A7965">
            <w:pPr>
              <w:spacing w:before="96" w:after="96"/>
              <w:cnfStyle w:val="100000000000" w:firstRow="1" w:lastRow="0" w:firstColumn="0" w:lastColumn="0" w:oddVBand="0" w:evenVBand="0" w:oddHBand="0" w:evenHBand="0" w:firstRowFirstColumn="0" w:firstRowLastColumn="0" w:lastRowFirstColumn="0" w:lastRowLastColumn="0"/>
              <w:rPr>
                <w:rFonts w:cs="Arial"/>
                <w:bCs w:val="0"/>
                <w:sz w:val="18"/>
                <w:szCs w:val="18"/>
                <w:lang w:eastAsia="en-AU"/>
              </w:rPr>
            </w:pPr>
            <w:r w:rsidRPr="00237510">
              <w:rPr>
                <w:rFonts w:cs="Arial"/>
                <w:sz w:val="18"/>
                <w:szCs w:val="18"/>
                <w:lang w:eastAsia="en-AU"/>
              </w:rPr>
              <w:t>Common Name</w:t>
            </w:r>
          </w:p>
        </w:tc>
        <w:tc>
          <w:tcPr>
            <w:tcW w:w="1230" w:type="pct"/>
            <w:hideMark/>
          </w:tcPr>
          <w:p w14:paraId="2DA0A725" w14:textId="77777777" w:rsidR="002A7965" w:rsidRPr="00237510" w:rsidRDefault="002A7965" w:rsidP="002A7965">
            <w:pPr>
              <w:spacing w:before="96" w:after="96"/>
              <w:cnfStyle w:val="100000000000" w:firstRow="1" w:lastRow="0" w:firstColumn="0" w:lastColumn="0" w:oddVBand="0" w:evenVBand="0" w:oddHBand="0" w:evenHBand="0" w:firstRowFirstColumn="0" w:firstRowLastColumn="0" w:lastRowFirstColumn="0" w:lastRowLastColumn="0"/>
              <w:rPr>
                <w:rFonts w:cs="Arial"/>
                <w:bCs w:val="0"/>
                <w:sz w:val="18"/>
                <w:szCs w:val="18"/>
                <w:lang w:eastAsia="en-AU"/>
              </w:rPr>
            </w:pPr>
            <w:r w:rsidRPr="00237510">
              <w:rPr>
                <w:rFonts w:cs="Arial"/>
                <w:sz w:val="18"/>
                <w:szCs w:val="18"/>
                <w:lang w:eastAsia="en-AU"/>
              </w:rPr>
              <w:t>Scientific Name</w:t>
            </w:r>
          </w:p>
        </w:tc>
        <w:tc>
          <w:tcPr>
            <w:tcW w:w="409" w:type="pct"/>
            <w:textDirection w:val="btLr"/>
          </w:tcPr>
          <w:p w14:paraId="07390E30" w14:textId="14093C04" w:rsidR="002A7965" w:rsidRPr="00237510" w:rsidRDefault="002A7965" w:rsidP="002A7965">
            <w:pPr>
              <w:spacing w:before="96" w:after="96"/>
              <w:ind w:left="113" w:right="113"/>
              <w:jc w:val="center"/>
              <w:cnfStyle w:val="100000000000" w:firstRow="1" w:lastRow="0" w:firstColumn="0" w:lastColumn="0" w:oddVBand="0" w:evenVBand="0" w:oddHBand="0" w:evenHBand="0" w:firstRowFirstColumn="0" w:firstRowLastColumn="0" w:lastRowFirstColumn="0" w:lastRowLastColumn="0"/>
              <w:rPr>
                <w:rFonts w:cs="Arial"/>
                <w:b w:val="0"/>
                <w:bCs w:val="0"/>
                <w:sz w:val="18"/>
                <w:szCs w:val="18"/>
                <w:lang w:eastAsia="en-AU"/>
              </w:rPr>
            </w:pPr>
            <w:r w:rsidRPr="00237510">
              <w:rPr>
                <w:rFonts w:cs="Arial"/>
                <w:b w:val="0"/>
                <w:bCs w:val="0"/>
                <w:sz w:val="18"/>
                <w:szCs w:val="18"/>
                <w:lang w:eastAsia="en-AU"/>
              </w:rPr>
              <w:t>Dowd Morass</w:t>
            </w:r>
          </w:p>
        </w:tc>
        <w:tc>
          <w:tcPr>
            <w:tcW w:w="410" w:type="pct"/>
            <w:textDirection w:val="btLr"/>
          </w:tcPr>
          <w:p w14:paraId="32E1EF73" w14:textId="63C2F6D3" w:rsidR="002A7965" w:rsidRPr="00237510" w:rsidRDefault="002A7965" w:rsidP="002A7965">
            <w:pPr>
              <w:spacing w:before="96" w:after="96"/>
              <w:ind w:left="113" w:right="113"/>
              <w:jc w:val="center"/>
              <w:cnfStyle w:val="100000000000" w:firstRow="1" w:lastRow="0" w:firstColumn="0" w:lastColumn="0" w:oddVBand="0" w:evenVBand="0" w:oddHBand="0" w:evenHBand="0" w:firstRowFirstColumn="0" w:firstRowLastColumn="0" w:lastRowFirstColumn="0" w:lastRowLastColumn="0"/>
              <w:rPr>
                <w:rFonts w:cs="Arial"/>
                <w:b w:val="0"/>
                <w:bCs w:val="0"/>
                <w:sz w:val="18"/>
                <w:szCs w:val="18"/>
                <w:lang w:eastAsia="en-AU"/>
              </w:rPr>
            </w:pPr>
            <w:r w:rsidRPr="00237510">
              <w:rPr>
                <w:rFonts w:cs="Arial"/>
                <w:b w:val="0"/>
                <w:bCs w:val="0"/>
                <w:sz w:val="18"/>
                <w:szCs w:val="18"/>
                <w:lang w:eastAsia="en-AU"/>
              </w:rPr>
              <w:t>Hear Morass</w:t>
            </w:r>
          </w:p>
        </w:tc>
        <w:tc>
          <w:tcPr>
            <w:tcW w:w="349" w:type="pct"/>
            <w:textDirection w:val="btLr"/>
          </w:tcPr>
          <w:p w14:paraId="20ABE878" w14:textId="00FD0894" w:rsidR="002A7965" w:rsidRPr="00237510" w:rsidRDefault="002A7965" w:rsidP="002A7965">
            <w:pPr>
              <w:spacing w:before="96" w:after="96"/>
              <w:ind w:left="113" w:right="113"/>
              <w:jc w:val="center"/>
              <w:cnfStyle w:val="100000000000" w:firstRow="1" w:lastRow="0" w:firstColumn="0" w:lastColumn="0" w:oddVBand="0" w:evenVBand="0" w:oddHBand="0" w:evenHBand="0" w:firstRowFirstColumn="0" w:firstRowLastColumn="0" w:lastRowFirstColumn="0" w:lastRowLastColumn="0"/>
              <w:rPr>
                <w:rFonts w:cs="Arial"/>
                <w:b w:val="0"/>
                <w:bCs w:val="0"/>
                <w:sz w:val="18"/>
                <w:szCs w:val="18"/>
                <w:lang w:eastAsia="en-AU"/>
              </w:rPr>
            </w:pPr>
            <w:r w:rsidRPr="00237510">
              <w:rPr>
                <w:rFonts w:cs="Arial"/>
                <w:b w:val="0"/>
                <w:bCs w:val="0"/>
                <w:sz w:val="18"/>
                <w:szCs w:val="18"/>
                <w:lang w:eastAsia="en-AU"/>
              </w:rPr>
              <w:t>L. Wellington</w:t>
            </w:r>
          </w:p>
        </w:tc>
        <w:tc>
          <w:tcPr>
            <w:tcW w:w="278" w:type="pct"/>
            <w:textDirection w:val="btLr"/>
          </w:tcPr>
          <w:p w14:paraId="7E020753" w14:textId="5E4B59E2" w:rsidR="002A7965" w:rsidRPr="00237510" w:rsidRDefault="002A7965" w:rsidP="002A7965">
            <w:pPr>
              <w:spacing w:before="96" w:after="96"/>
              <w:ind w:left="113" w:right="113"/>
              <w:jc w:val="center"/>
              <w:cnfStyle w:val="100000000000" w:firstRow="1" w:lastRow="0" w:firstColumn="0" w:lastColumn="0" w:oddVBand="0" w:evenVBand="0" w:oddHBand="0" w:evenHBand="0" w:firstRowFirstColumn="0" w:firstRowLastColumn="0" w:lastRowFirstColumn="0" w:lastRowLastColumn="0"/>
              <w:rPr>
                <w:rFonts w:cs="Arial"/>
                <w:b w:val="0"/>
                <w:bCs w:val="0"/>
                <w:sz w:val="18"/>
                <w:szCs w:val="18"/>
                <w:lang w:eastAsia="en-AU"/>
              </w:rPr>
            </w:pPr>
            <w:r w:rsidRPr="00237510">
              <w:rPr>
                <w:rFonts w:cs="Arial"/>
                <w:b w:val="0"/>
                <w:bCs w:val="0"/>
                <w:sz w:val="18"/>
                <w:szCs w:val="18"/>
                <w:lang w:eastAsia="en-AU"/>
              </w:rPr>
              <w:t>Estuary</w:t>
            </w:r>
          </w:p>
        </w:tc>
        <w:tc>
          <w:tcPr>
            <w:tcW w:w="356" w:type="pct"/>
            <w:textDirection w:val="btLr"/>
          </w:tcPr>
          <w:p w14:paraId="2EE00326" w14:textId="7A4DC19A" w:rsidR="002A7965" w:rsidRPr="00237510" w:rsidRDefault="002A7965" w:rsidP="002A7965">
            <w:pPr>
              <w:spacing w:before="96" w:after="96"/>
              <w:ind w:left="113" w:right="113"/>
              <w:jc w:val="center"/>
              <w:cnfStyle w:val="100000000000" w:firstRow="1" w:lastRow="0" w:firstColumn="0" w:lastColumn="0" w:oddVBand="0" w:evenVBand="0" w:oddHBand="0" w:evenHBand="0" w:firstRowFirstColumn="0" w:firstRowLastColumn="0" w:lastRowFirstColumn="0" w:lastRowLastColumn="0"/>
              <w:rPr>
                <w:rFonts w:cs="Arial"/>
                <w:b w:val="0"/>
                <w:bCs w:val="0"/>
                <w:sz w:val="18"/>
                <w:szCs w:val="18"/>
                <w:lang w:eastAsia="en-AU"/>
              </w:rPr>
            </w:pPr>
            <w:r w:rsidRPr="00237510">
              <w:rPr>
                <w:rFonts w:cs="Arial"/>
                <w:b w:val="0"/>
                <w:bCs w:val="0"/>
                <w:sz w:val="18"/>
                <w:szCs w:val="18"/>
                <w:lang w:eastAsia="en-AU"/>
              </w:rPr>
              <w:t>Sale Common</w:t>
            </w:r>
          </w:p>
        </w:tc>
      </w:tr>
      <w:tr w:rsidR="005C457A" w:rsidRPr="00237510" w14:paraId="0DD8B95A"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val="restart"/>
            <w:tcBorders>
              <w:top w:val="none" w:sz="0" w:space="0" w:color="auto"/>
              <w:bottom w:val="none" w:sz="0" w:space="0" w:color="auto"/>
              <w:right w:val="none" w:sz="0" w:space="0" w:color="auto"/>
            </w:tcBorders>
          </w:tcPr>
          <w:p w14:paraId="1CC5FAD3" w14:textId="1C6653E5" w:rsidR="002A7965" w:rsidRPr="00237510" w:rsidRDefault="002A7965" w:rsidP="002A7965">
            <w:pPr>
              <w:spacing w:after="0"/>
              <w:rPr>
                <w:rFonts w:cs="Arial"/>
                <w:b w:val="0"/>
                <w:color w:val="000000"/>
                <w:sz w:val="18"/>
                <w:szCs w:val="18"/>
                <w:lang w:eastAsia="en-AU"/>
              </w:rPr>
            </w:pPr>
            <w:r w:rsidRPr="00237510">
              <w:rPr>
                <w:rFonts w:cs="Arial"/>
                <w:b w:val="0"/>
                <w:color w:val="000000"/>
                <w:sz w:val="18"/>
                <w:szCs w:val="18"/>
                <w:lang w:eastAsia="en-AU"/>
              </w:rPr>
              <w:t>Emergent vegetation dependent</w:t>
            </w:r>
          </w:p>
        </w:tc>
        <w:tc>
          <w:tcPr>
            <w:tcW w:w="1226" w:type="pct"/>
            <w:tcBorders>
              <w:top w:val="none" w:sz="0" w:space="0" w:color="auto"/>
              <w:bottom w:val="none" w:sz="0" w:space="0" w:color="auto"/>
            </w:tcBorders>
          </w:tcPr>
          <w:p w14:paraId="72343B5A" w14:textId="413A76D3" w:rsidR="002A7965" w:rsidRPr="00237510" w:rsidRDefault="005E4AC8" w:rsidP="002A796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Australasian bittern</w:t>
            </w:r>
          </w:p>
        </w:tc>
        <w:tc>
          <w:tcPr>
            <w:tcW w:w="1230" w:type="pct"/>
            <w:tcBorders>
              <w:top w:val="none" w:sz="0" w:space="0" w:color="auto"/>
              <w:bottom w:val="none" w:sz="0" w:space="0" w:color="auto"/>
            </w:tcBorders>
            <w:noWrap/>
          </w:tcPr>
          <w:p w14:paraId="58D5EF91" w14:textId="3B6C9D61" w:rsidR="002A7965" w:rsidRPr="00237510" w:rsidRDefault="002A7965" w:rsidP="002A796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i/>
                <w:iCs/>
                <w:sz w:val="18"/>
                <w:szCs w:val="18"/>
              </w:rPr>
              <w:t>Botaurus poiciloptilus</w:t>
            </w:r>
          </w:p>
        </w:tc>
        <w:tc>
          <w:tcPr>
            <w:tcW w:w="409" w:type="pct"/>
            <w:tcBorders>
              <w:top w:val="none" w:sz="0" w:space="0" w:color="auto"/>
              <w:bottom w:val="none" w:sz="0" w:space="0" w:color="auto"/>
            </w:tcBorders>
            <w:tcMar>
              <w:left w:w="0" w:type="dxa"/>
              <w:right w:w="0" w:type="dxa"/>
            </w:tcMar>
          </w:tcPr>
          <w:p w14:paraId="225481E4" w14:textId="531F7063"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2</w:t>
            </w:r>
          </w:p>
        </w:tc>
        <w:tc>
          <w:tcPr>
            <w:tcW w:w="410" w:type="pct"/>
            <w:tcBorders>
              <w:top w:val="none" w:sz="0" w:space="0" w:color="auto"/>
              <w:bottom w:val="none" w:sz="0" w:space="0" w:color="auto"/>
            </w:tcBorders>
            <w:tcMar>
              <w:left w:w="0" w:type="dxa"/>
              <w:right w:w="0" w:type="dxa"/>
            </w:tcMar>
          </w:tcPr>
          <w:p w14:paraId="1F07D71B" w14:textId="7777777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49" w:type="pct"/>
            <w:tcBorders>
              <w:top w:val="none" w:sz="0" w:space="0" w:color="auto"/>
              <w:bottom w:val="none" w:sz="0" w:space="0" w:color="auto"/>
            </w:tcBorders>
            <w:tcMar>
              <w:left w:w="0" w:type="dxa"/>
              <w:right w:w="0" w:type="dxa"/>
            </w:tcMar>
          </w:tcPr>
          <w:p w14:paraId="0AD3E108" w14:textId="686C6ED0"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x</w:t>
            </w:r>
          </w:p>
        </w:tc>
        <w:tc>
          <w:tcPr>
            <w:tcW w:w="278" w:type="pct"/>
            <w:tcBorders>
              <w:top w:val="none" w:sz="0" w:space="0" w:color="auto"/>
              <w:bottom w:val="none" w:sz="0" w:space="0" w:color="auto"/>
            </w:tcBorders>
            <w:tcMar>
              <w:left w:w="0" w:type="dxa"/>
              <w:right w:w="0" w:type="dxa"/>
            </w:tcMar>
          </w:tcPr>
          <w:p w14:paraId="7D6CA88C" w14:textId="7777777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56" w:type="pct"/>
            <w:tcBorders>
              <w:top w:val="none" w:sz="0" w:space="0" w:color="auto"/>
              <w:bottom w:val="none" w:sz="0" w:space="0" w:color="auto"/>
            </w:tcBorders>
            <w:tcMar>
              <w:left w:w="0" w:type="dxa"/>
              <w:right w:w="0" w:type="dxa"/>
            </w:tcMar>
          </w:tcPr>
          <w:p w14:paraId="4C8B0F59" w14:textId="703D005F"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1</w:t>
            </w:r>
          </w:p>
        </w:tc>
      </w:tr>
      <w:tr w:rsidR="00B9313A" w:rsidRPr="00237510" w14:paraId="37D08DE2"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4E4B7A60" w14:textId="77777777" w:rsidR="002A7965" w:rsidRPr="00237510" w:rsidRDefault="002A7965" w:rsidP="002A7965">
            <w:pPr>
              <w:spacing w:after="0"/>
              <w:rPr>
                <w:rFonts w:cs="Arial"/>
                <w:b w:val="0"/>
                <w:color w:val="000000"/>
                <w:sz w:val="18"/>
                <w:szCs w:val="18"/>
                <w:lang w:eastAsia="en-AU"/>
              </w:rPr>
            </w:pPr>
          </w:p>
        </w:tc>
        <w:tc>
          <w:tcPr>
            <w:tcW w:w="1226" w:type="pct"/>
          </w:tcPr>
          <w:p w14:paraId="40A2960F" w14:textId="7C785B54" w:rsidR="002A7965" w:rsidRPr="00237510" w:rsidRDefault="005E4AC8" w:rsidP="002A796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Australian little bittern</w:t>
            </w:r>
          </w:p>
        </w:tc>
        <w:tc>
          <w:tcPr>
            <w:tcW w:w="1230" w:type="pct"/>
            <w:noWrap/>
          </w:tcPr>
          <w:p w14:paraId="3863877B" w14:textId="6BAD8419" w:rsidR="002A7965" w:rsidRPr="00237510" w:rsidRDefault="002A7965" w:rsidP="002A796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i/>
                <w:iCs/>
                <w:sz w:val="18"/>
                <w:szCs w:val="18"/>
              </w:rPr>
              <w:t>Ixobrychus dubius</w:t>
            </w:r>
          </w:p>
        </w:tc>
        <w:tc>
          <w:tcPr>
            <w:tcW w:w="409" w:type="pct"/>
            <w:tcMar>
              <w:left w:w="0" w:type="dxa"/>
              <w:right w:w="0" w:type="dxa"/>
            </w:tcMar>
          </w:tcPr>
          <w:p w14:paraId="5D513ED7" w14:textId="2710D348"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1</w:t>
            </w:r>
          </w:p>
        </w:tc>
        <w:tc>
          <w:tcPr>
            <w:tcW w:w="410" w:type="pct"/>
            <w:tcMar>
              <w:left w:w="0" w:type="dxa"/>
              <w:right w:w="0" w:type="dxa"/>
            </w:tcMar>
          </w:tcPr>
          <w:p w14:paraId="10E4B10C"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349" w:type="pct"/>
            <w:tcMar>
              <w:left w:w="0" w:type="dxa"/>
              <w:right w:w="0" w:type="dxa"/>
            </w:tcMar>
          </w:tcPr>
          <w:p w14:paraId="3068E543" w14:textId="44B579E1"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278" w:type="pct"/>
            <w:tcMar>
              <w:left w:w="0" w:type="dxa"/>
              <w:right w:w="0" w:type="dxa"/>
            </w:tcMar>
          </w:tcPr>
          <w:p w14:paraId="43301541"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356" w:type="pct"/>
            <w:tcMar>
              <w:left w:w="0" w:type="dxa"/>
              <w:right w:w="0" w:type="dxa"/>
            </w:tcMar>
          </w:tcPr>
          <w:p w14:paraId="26AC3741" w14:textId="7831BEBD"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0</w:t>
            </w:r>
          </w:p>
        </w:tc>
      </w:tr>
      <w:tr w:rsidR="005C457A" w:rsidRPr="00237510" w14:paraId="2219B869"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56DFE5B3"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hideMark/>
          </w:tcPr>
          <w:p w14:paraId="667BF29F" w14:textId="372A7AD6" w:rsidR="002A7965" w:rsidRPr="00237510" w:rsidRDefault="005E4AC8" w:rsidP="002A796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 xml:space="preserve">Australian </w:t>
            </w:r>
            <w:proofErr w:type="gramStart"/>
            <w:r w:rsidRPr="00237510">
              <w:rPr>
                <w:rFonts w:cs="Arial"/>
                <w:sz w:val="18"/>
                <w:szCs w:val="18"/>
              </w:rPr>
              <w:t>reed-warbler</w:t>
            </w:r>
            <w:proofErr w:type="gramEnd"/>
          </w:p>
        </w:tc>
        <w:tc>
          <w:tcPr>
            <w:tcW w:w="1230" w:type="pct"/>
            <w:tcBorders>
              <w:top w:val="none" w:sz="0" w:space="0" w:color="auto"/>
              <w:bottom w:val="none" w:sz="0" w:space="0" w:color="auto"/>
            </w:tcBorders>
            <w:noWrap/>
            <w:hideMark/>
          </w:tcPr>
          <w:p w14:paraId="3C179B7F" w14:textId="54425B4F" w:rsidR="002A7965" w:rsidRPr="00237510" w:rsidRDefault="002A7965" w:rsidP="002A796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i/>
                <w:iCs/>
                <w:sz w:val="18"/>
                <w:szCs w:val="18"/>
              </w:rPr>
              <w:t>Acrocephalus australis</w:t>
            </w:r>
          </w:p>
        </w:tc>
        <w:tc>
          <w:tcPr>
            <w:tcW w:w="409" w:type="pct"/>
            <w:tcBorders>
              <w:top w:val="none" w:sz="0" w:space="0" w:color="auto"/>
              <w:bottom w:val="none" w:sz="0" w:space="0" w:color="auto"/>
            </w:tcBorders>
            <w:tcMar>
              <w:left w:w="0" w:type="dxa"/>
              <w:right w:w="0" w:type="dxa"/>
            </w:tcMar>
          </w:tcPr>
          <w:p w14:paraId="70B539E4" w14:textId="75776A9E"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0</w:t>
            </w:r>
          </w:p>
        </w:tc>
        <w:tc>
          <w:tcPr>
            <w:tcW w:w="410" w:type="pct"/>
            <w:tcBorders>
              <w:top w:val="none" w:sz="0" w:space="0" w:color="auto"/>
              <w:bottom w:val="none" w:sz="0" w:space="0" w:color="auto"/>
            </w:tcBorders>
            <w:tcMar>
              <w:left w:w="0" w:type="dxa"/>
              <w:right w:w="0" w:type="dxa"/>
            </w:tcMar>
          </w:tcPr>
          <w:p w14:paraId="737AC919" w14:textId="5F3DC5E6"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12</w:t>
            </w:r>
          </w:p>
        </w:tc>
        <w:tc>
          <w:tcPr>
            <w:tcW w:w="349" w:type="pct"/>
            <w:tcBorders>
              <w:top w:val="none" w:sz="0" w:space="0" w:color="auto"/>
              <w:bottom w:val="none" w:sz="0" w:space="0" w:color="auto"/>
            </w:tcBorders>
            <w:tcMar>
              <w:left w:w="0" w:type="dxa"/>
              <w:right w:w="0" w:type="dxa"/>
            </w:tcMar>
          </w:tcPr>
          <w:p w14:paraId="4881CC3A" w14:textId="7777777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278" w:type="pct"/>
            <w:tcBorders>
              <w:top w:val="none" w:sz="0" w:space="0" w:color="auto"/>
              <w:bottom w:val="none" w:sz="0" w:space="0" w:color="auto"/>
            </w:tcBorders>
            <w:tcMar>
              <w:left w:w="0" w:type="dxa"/>
              <w:right w:w="0" w:type="dxa"/>
            </w:tcMar>
          </w:tcPr>
          <w:p w14:paraId="3684A88F" w14:textId="7777777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56" w:type="pct"/>
            <w:tcBorders>
              <w:top w:val="none" w:sz="0" w:space="0" w:color="auto"/>
              <w:bottom w:val="none" w:sz="0" w:space="0" w:color="auto"/>
            </w:tcBorders>
            <w:tcMar>
              <w:left w:w="0" w:type="dxa"/>
              <w:right w:w="0" w:type="dxa"/>
            </w:tcMar>
          </w:tcPr>
          <w:p w14:paraId="1A434779" w14:textId="631A0216"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7</w:t>
            </w:r>
          </w:p>
        </w:tc>
      </w:tr>
      <w:tr w:rsidR="00B9313A" w:rsidRPr="00237510" w14:paraId="3BF174C5"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4FC46A9C" w14:textId="77777777" w:rsidR="002A7965" w:rsidRPr="00237510" w:rsidRDefault="002A7965" w:rsidP="002A7965">
            <w:pPr>
              <w:spacing w:after="0"/>
              <w:rPr>
                <w:rFonts w:cs="Arial"/>
                <w:b w:val="0"/>
                <w:color w:val="000000"/>
                <w:sz w:val="18"/>
                <w:szCs w:val="18"/>
                <w:lang w:eastAsia="en-AU"/>
              </w:rPr>
            </w:pPr>
          </w:p>
        </w:tc>
        <w:tc>
          <w:tcPr>
            <w:tcW w:w="1226" w:type="pct"/>
          </w:tcPr>
          <w:p w14:paraId="3D3AD40A" w14:textId="586067B0" w:rsidR="002A7965" w:rsidRPr="00237510" w:rsidRDefault="005E4AC8" w:rsidP="002A796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Australian spotted crake</w:t>
            </w:r>
          </w:p>
        </w:tc>
        <w:tc>
          <w:tcPr>
            <w:tcW w:w="1230" w:type="pct"/>
            <w:noWrap/>
          </w:tcPr>
          <w:p w14:paraId="14E556A8" w14:textId="722AF84C" w:rsidR="002A7965" w:rsidRPr="00237510" w:rsidRDefault="002A7965" w:rsidP="002A796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i/>
                <w:iCs/>
                <w:sz w:val="18"/>
                <w:szCs w:val="18"/>
              </w:rPr>
              <w:t>Porzana fluminea</w:t>
            </w:r>
          </w:p>
        </w:tc>
        <w:tc>
          <w:tcPr>
            <w:tcW w:w="409" w:type="pct"/>
            <w:tcMar>
              <w:left w:w="0" w:type="dxa"/>
              <w:right w:w="0" w:type="dxa"/>
            </w:tcMar>
          </w:tcPr>
          <w:p w14:paraId="3D3A2866" w14:textId="1B31C428"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410" w:type="pct"/>
            <w:tcMar>
              <w:left w:w="0" w:type="dxa"/>
              <w:right w:w="0" w:type="dxa"/>
            </w:tcMar>
          </w:tcPr>
          <w:p w14:paraId="7B2CA1D3" w14:textId="5930E03C"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1</w:t>
            </w:r>
          </w:p>
        </w:tc>
        <w:tc>
          <w:tcPr>
            <w:tcW w:w="349" w:type="pct"/>
            <w:tcMar>
              <w:left w:w="0" w:type="dxa"/>
              <w:right w:w="0" w:type="dxa"/>
            </w:tcMar>
          </w:tcPr>
          <w:p w14:paraId="7A491482" w14:textId="2218EE99"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x</w:t>
            </w:r>
          </w:p>
        </w:tc>
        <w:tc>
          <w:tcPr>
            <w:tcW w:w="278" w:type="pct"/>
            <w:tcMar>
              <w:left w:w="0" w:type="dxa"/>
              <w:right w:w="0" w:type="dxa"/>
            </w:tcMar>
          </w:tcPr>
          <w:p w14:paraId="60A4BEFA"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356" w:type="pct"/>
            <w:tcMar>
              <w:left w:w="0" w:type="dxa"/>
              <w:right w:w="0" w:type="dxa"/>
            </w:tcMar>
          </w:tcPr>
          <w:p w14:paraId="2B3F717C" w14:textId="7E4BE440"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0</w:t>
            </w:r>
          </w:p>
        </w:tc>
      </w:tr>
      <w:tr w:rsidR="005C457A" w:rsidRPr="00237510" w14:paraId="498A610A"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A6AB52B"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tcPr>
          <w:p w14:paraId="5AB50651" w14:textId="3414F289" w:rsidR="002A7965" w:rsidRPr="00237510" w:rsidRDefault="005E4AC8" w:rsidP="002A796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Baillon's crake</w:t>
            </w:r>
          </w:p>
        </w:tc>
        <w:tc>
          <w:tcPr>
            <w:tcW w:w="1230" w:type="pct"/>
            <w:tcBorders>
              <w:top w:val="none" w:sz="0" w:space="0" w:color="auto"/>
              <w:bottom w:val="none" w:sz="0" w:space="0" w:color="auto"/>
            </w:tcBorders>
            <w:noWrap/>
          </w:tcPr>
          <w:p w14:paraId="6DC02724" w14:textId="75A2F6E9" w:rsidR="002A7965" w:rsidRPr="00237510" w:rsidRDefault="002A7965" w:rsidP="002A796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i/>
                <w:iCs/>
                <w:sz w:val="18"/>
                <w:szCs w:val="18"/>
              </w:rPr>
              <w:t>Porzana pusilla</w:t>
            </w:r>
          </w:p>
        </w:tc>
        <w:tc>
          <w:tcPr>
            <w:tcW w:w="409" w:type="pct"/>
            <w:tcBorders>
              <w:top w:val="none" w:sz="0" w:space="0" w:color="auto"/>
              <w:bottom w:val="none" w:sz="0" w:space="0" w:color="auto"/>
            </w:tcBorders>
            <w:tcMar>
              <w:left w:w="0" w:type="dxa"/>
              <w:right w:w="0" w:type="dxa"/>
            </w:tcMar>
          </w:tcPr>
          <w:p w14:paraId="7FAA887C" w14:textId="7777777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410" w:type="pct"/>
            <w:tcBorders>
              <w:top w:val="none" w:sz="0" w:space="0" w:color="auto"/>
              <w:bottom w:val="none" w:sz="0" w:space="0" w:color="auto"/>
            </w:tcBorders>
            <w:tcMar>
              <w:left w:w="0" w:type="dxa"/>
              <w:right w:w="0" w:type="dxa"/>
            </w:tcMar>
          </w:tcPr>
          <w:p w14:paraId="4C42F95A" w14:textId="7777777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49" w:type="pct"/>
            <w:tcBorders>
              <w:top w:val="none" w:sz="0" w:space="0" w:color="auto"/>
              <w:bottom w:val="none" w:sz="0" w:space="0" w:color="auto"/>
            </w:tcBorders>
            <w:tcMar>
              <w:left w:w="0" w:type="dxa"/>
              <w:right w:w="0" w:type="dxa"/>
            </w:tcMar>
          </w:tcPr>
          <w:p w14:paraId="4064D8B9" w14:textId="0123C122"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x</w:t>
            </w:r>
          </w:p>
        </w:tc>
        <w:tc>
          <w:tcPr>
            <w:tcW w:w="278" w:type="pct"/>
            <w:tcBorders>
              <w:top w:val="none" w:sz="0" w:space="0" w:color="auto"/>
              <w:bottom w:val="none" w:sz="0" w:space="0" w:color="auto"/>
            </w:tcBorders>
            <w:tcMar>
              <w:left w:w="0" w:type="dxa"/>
              <w:right w:w="0" w:type="dxa"/>
            </w:tcMar>
          </w:tcPr>
          <w:p w14:paraId="77DB01AD" w14:textId="7777777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56" w:type="pct"/>
            <w:tcBorders>
              <w:top w:val="none" w:sz="0" w:space="0" w:color="auto"/>
              <w:bottom w:val="none" w:sz="0" w:space="0" w:color="auto"/>
            </w:tcBorders>
            <w:tcMar>
              <w:left w:w="0" w:type="dxa"/>
              <w:right w:w="0" w:type="dxa"/>
            </w:tcMar>
          </w:tcPr>
          <w:p w14:paraId="27DC4D33" w14:textId="69C66BFF"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3</w:t>
            </w:r>
          </w:p>
        </w:tc>
      </w:tr>
      <w:tr w:rsidR="00B9313A" w:rsidRPr="00237510" w14:paraId="25487385"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5CB9895C" w14:textId="77777777" w:rsidR="002A7965" w:rsidRPr="00237510" w:rsidRDefault="002A7965" w:rsidP="002A7965">
            <w:pPr>
              <w:spacing w:after="0"/>
              <w:rPr>
                <w:rFonts w:cs="Arial"/>
                <w:b w:val="0"/>
                <w:color w:val="000000"/>
                <w:sz w:val="18"/>
                <w:szCs w:val="18"/>
                <w:lang w:eastAsia="en-AU"/>
              </w:rPr>
            </w:pPr>
          </w:p>
        </w:tc>
        <w:tc>
          <w:tcPr>
            <w:tcW w:w="1226" w:type="pct"/>
          </w:tcPr>
          <w:p w14:paraId="54D76843" w14:textId="07E7481A" w:rsidR="002A7965" w:rsidRPr="00237510" w:rsidRDefault="002A7965" w:rsidP="002A796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Buff-banded Rail</w:t>
            </w:r>
          </w:p>
        </w:tc>
        <w:tc>
          <w:tcPr>
            <w:tcW w:w="1230" w:type="pct"/>
            <w:noWrap/>
          </w:tcPr>
          <w:p w14:paraId="66C7A402" w14:textId="4EC5BFDF" w:rsidR="002A7965" w:rsidRPr="00237510" w:rsidRDefault="002A7965" w:rsidP="002A796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i/>
                <w:iCs/>
                <w:sz w:val="18"/>
                <w:szCs w:val="18"/>
              </w:rPr>
              <w:t>Gallirallus philippensis</w:t>
            </w:r>
          </w:p>
        </w:tc>
        <w:tc>
          <w:tcPr>
            <w:tcW w:w="409" w:type="pct"/>
            <w:tcMar>
              <w:left w:w="0" w:type="dxa"/>
              <w:right w:w="0" w:type="dxa"/>
            </w:tcMar>
          </w:tcPr>
          <w:p w14:paraId="13EBE07B"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410" w:type="pct"/>
            <w:tcMar>
              <w:left w:w="0" w:type="dxa"/>
              <w:right w:w="0" w:type="dxa"/>
            </w:tcMar>
          </w:tcPr>
          <w:p w14:paraId="5B0F9CE8" w14:textId="75191056"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2</w:t>
            </w:r>
          </w:p>
        </w:tc>
        <w:tc>
          <w:tcPr>
            <w:tcW w:w="349" w:type="pct"/>
            <w:tcMar>
              <w:left w:w="0" w:type="dxa"/>
              <w:right w:w="0" w:type="dxa"/>
            </w:tcMar>
          </w:tcPr>
          <w:p w14:paraId="01036267"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278" w:type="pct"/>
            <w:tcMar>
              <w:left w:w="0" w:type="dxa"/>
              <w:right w:w="0" w:type="dxa"/>
            </w:tcMar>
          </w:tcPr>
          <w:p w14:paraId="79E2AF07"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356" w:type="pct"/>
            <w:tcMar>
              <w:left w:w="0" w:type="dxa"/>
              <w:right w:w="0" w:type="dxa"/>
            </w:tcMar>
          </w:tcPr>
          <w:p w14:paraId="0861A6CB"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r>
      <w:tr w:rsidR="005C457A" w:rsidRPr="00237510" w14:paraId="7E94C103"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67846A83"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tcPr>
          <w:p w14:paraId="5DF72271" w14:textId="4DE2FBF8" w:rsidR="002A7965" w:rsidRPr="00237510" w:rsidRDefault="002A7965" w:rsidP="002A796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 xml:space="preserve">Golden-headed </w:t>
            </w:r>
            <w:r w:rsidR="005E4AC8" w:rsidRPr="00237510">
              <w:rPr>
                <w:rFonts w:cs="Arial"/>
                <w:sz w:val="18"/>
                <w:szCs w:val="18"/>
              </w:rPr>
              <w:t>c</w:t>
            </w:r>
            <w:r w:rsidRPr="00237510">
              <w:rPr>
                <w:rFonts w:cs="Arial"/>
                <w:sz w:val="18"/>
                <w:szCs w:val="18"/>
              </w:rPr>
              <w:t>sticola</w:t>
            </w:r>
          </w:p>
        </w:tc>
        <w:tc>
          <w:tcPr>
            <w:tcW w:w="1230" w:type="pct"/>
            <w:tcBorders>
              <w:top w:val="none" w:sz="0" w:space="0" w:color="auto"/>
              <w:bottom w:val="none" w:sz="0" w:space="0" w:color="auto"/>
            </w:tcBorders>
            <w:noWrap/>
          </w:tcPr>
          <w:p w14:paraId="6CF136BE" w14:textId="32C177B4" w:rsidR="002A7965" w:rsidRPr="00237510" w:rsidRDefault="002A7965" w:rsidP="002A796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i/>
                <w:iCs/>
                <w:sz w:val="18"/>
                <w:szCs w:val="18"/>
              </w:rPr>
              <w:t>Cisticola exilis</w:t>
            </w:r>
          </w:p>
        </w:tc>
        <w:tc>
          <w:tcPr>
            <w:tcW w:w="409" w:type="pct"/>
            <w:tcBorders>
              <w:top w:val="none" w:sz="0" w:space="0" w:color="auto"/>
              <w:bottom w:val="none" w:sz="0" w:space="0" w:color="auto"/>
            </w:tcBorders>
            <w:tcMar>
              <w:left w:w="0" w:type="dxa"/>
              <w:right w:w="0" w:type="dxa"/>
            </w:tcMar>
          </w:tcPr>
          <w:p w14:paraId="7CCE143A" w14:textId="2A76080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3</w:t>
            </w:r>
          </w:p>
        </w:tc>
        <w:tc>
          <w:tcPr>
            <w:tcW w:w="410" w:type="pct"/>
            <w:tcBorders>
              <w:top w:val="none" w:sz="0" w:space="0" w:color="auto"/>
              <w:bottom w:val="none" w:sz="0" w:space="0" w:color="auto"/>
            </w:tcBorders>
            <w:tcMar>
              <w:left w:w="0" w:type="dxa"/>
              <w:right w:w="0" w:type="dxa"/>
            </w:tcMar>
          </w:tcPr>
          <w:p w14:paraId="08EAE2FE" w14:textId="6FE38E29"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5</w:t>
            </w:r>
          </w:p>
        </w:tc>
        <w:tc>
          <w:tcPr>
            <w:tcW w:w="349" w:type="pct"/>
            <w:tcBorders>
              <w:top w:val="none" w:sz="0" w:space="0" w:color="auto"/>
              <w:bottom w:val="none" w:sz="0" w:space="0" w:color="auto"/>
            </w:tcBorders>
            <w:tcMar>
              <w:left w:w="0" w:type="dxa"/>
              <w:right w:w="0" w:type="dxa"/>
            </w:tcMar>
          </w:tcPr>
          <w:p w14:paraId="3612EFBC" w14:textId="5D830821"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x</w:t>
            </w:r>
          </w:p>
        </w:tc>
        <w:tc>
          <w:tcPr>
            <w:tcW w:w="278" w:type="pct"/>
            <w:tcBorders>
              <w:top w:val="none" w:sz="0" w:space="0" w:color="auto"/>
              <w:bottom w:val="none" w:sz="0" w:space="0" w:color="auto"/>
            </w:tcBorders>
            <w:tcMar>
              <w:left w:w="0" w:type="dxa"/>
              <w:right w:w="0" w:type="dxa"/>
            </w:tcMar>
          </w:tcPr>
          <w:p w14:paraId="0F83C163" w14:textId="7777777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56" w:type="pct"/>
            <w:tcBorders>
              <w:top w:val="none" w:sz="0" w:space="0" w:color="auto"/>
              <w:bottom w:val="none" w:sz="0" w:space="0" w:color="auto"/>
            </w:tcBorders>
            <w:tcMar>
              <w:left w:w="0" w:type="dxa"/>
              <w:right w:w="0" w:type="dxa"/>
            </w:tcMar>
          </w:tcPr>
          <w:p w14:paraId="4C9EAE62" w14:textId="3C58BB4B"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6</w:t>
            </w:r>
          </w:p>
        </w:tc>
      </w:tr>
      <w:tr w:rsidR="00B9313A" w:rsidRPr="00237510" w14:paraId="021D59C3"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2BBD8102" w14:textId="77777777" w:rsidR="002A7965" w:rsidRPr="00237510" w:rsidRDefault="002A7965" w:rsidP="002A7965">
            <w:pPr>
              <w:spacing w:after="0"/>
              <w:rPr>
                <w:rFonts w:cs="Arial"/>
                <w:b w:val="0"/>
                <w:color w:val="000000"/>
                <w:sz w:val="18"/>
                <w:szCs w:val="18"/>
                <w:lang w:eastAsia="en-AU"/>
              </w:rPr>
            </w:pPr>
          </w:p>
        </w:tc>
        <w:tc>
          <w:tcPr>
            <w:tcW w:w="1226" w:type="pct"/>
          </w:tcPr>
          <w:p w14:paraId="200AF961" w14:textId="50C41401" w:rsidR="002A7965" w:rsidRPr="00237510" w:rsidRDefault="005E4AC8" w:rsidP="002A796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Lewin's rail</w:t>
            </w:r>
          </w:p>
        </w:tc>
        <w:tc>
          <w:tcPr>
            <w:tcW w:w="1230" w:type="pct"/>
            <w:noWrap/>
          </w:tcPr>
          <w:p w14:paraId="600DB4EF" w14:textId="5719FC34" w:rsidR="002A7965" w:rsidRPr="00237510" w:rsidRDefault="002A7965" w:rsidP="002A796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i/>
                <w:iCs/>
                <w:sz w:val="18"/>
                <w:szCs w:val="18"/>
              </w:rPr>
              <w:t>Lewinia pectoralis</w:t>
            </w:r>
          </w:p>
        </w:tc>
        <w:tc>
          <w:tcPr>
            <w:tcW w:w="409" w:type="pct"/>
            <w:tcMar>
              <w:left w:w="0" w:type="dxa"/>
              <w:right w:w="0" w:type="dxa"/>
            </w:tcMar>
          </w:tcPr>
          <w:p w14:paraId="08E32598"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410" w:type="pct"/>
            <w:tcMar>
              <w:left w:w="0" w:type="dxa"/>
              <w:right w:w="0" w:type="dxa"/>
            </w:tcMar>
          </w:tcPr>
          <w:p w14:paraId="0D25F9DC"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349" w:type="pct"/>
            <w:tcMar>
              <w:left w:w="0" w:type="dxa"/>
              <w:right w:w="0" w:type="dxa"/>
            </w:tcMar>
          </w:tcPr>
          <w:p w14:paraId="04EF24E6" w14:textId="364C552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x</w:t>
            </w:r>
          </w:p>
        </w:tc>
        <w:tc>
          <w:tcPr>
            <w:tcW w:w="278" w:type="pct"/>
            <w:tcMar>
              <w:left w:w="0" w:type="dxa"/>
              <w:right w:w="0" w:type="dxa"/>
            </w:tcMar>
          </w:tcPr>
          <w:p w14:paraId="656732F7"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c>
          <w:tcPr>
            <w:tcW w:w="356" w:type="pct"/>
            <w:tcMar>
              <w:left w:w="0" w:type="dxa"/>
              <w:right w:w="0" w:type="dxa"/>
            </w:tcMar>
          </w:tcPr>
          <w:p w14:paraId="431B1C66" w14:textId="7777777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p>
        </w:tc>
      </w:tr>
      <w:tr w:rsidR="005C457A" w:rsidRPr="00237510" w14:paraId="5153098E"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3919716C"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hideMark/>
          </w:tcPr>
          <w:p w14:paraId="20211D7E" w14:textId="743D9F4E" w:rsidR="002A7965" w:rsidRPr="00237510" w:rsidRDefault="005E4AC8" w:rsidP="002A796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Little grassbird</w:t>
            </w:r>
          </w:p>
        </w:tc>
        <w:tc>
          <w:tcPr>
            <w:tcW w:w="1230" w:type="pct"/>
            <w:tcBorders>
              <w:top w:val="none" w:sz="0" w:space="0" w:color="auto"/>
              <w:bottom w:val="none" w:sz="0" w:space="0" w:color="auto"/>
            </w:tcBorders>
            <w:noWrap/>
            <w:hideMark/>
          </w:tcPr>
          <w:p w14:paraId="31753BC6" w14:textId="2427A7AE" w:rsidR="002A7965" w:rsidRPr="00237510" w:rsidRDefault="002A7965" w:rsidP="002A796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i/>
                <w:iCs/>
                <w:sz w:val="18"/>
                <w:szCs w:val="18"/>
              </w:rPr>
              <w:t>Megalurus gramineus</w:t>
            </w:r>
          </w:p>
        </w:tc>
        <w:tc>
          <w:tcPr>
            <w:tcW w:w="409" w:type="pct"/>
            <w:tcBorders>
              <w:top w:val="none" w:sz="0" w:space="0" w:color="auto"/>
              <w:bottom w:val="none" w:sz="0" w:space="0" w:color="auto"/>
            </w:tcBorders>
            <w:tcMar>
              <w:left w:w="0" w:type="dxa"/>
              <w:right w:w="0" w:type="dxa"/>
            </w:tcMar>
          </w:tcPr>
          <w:p w14:paraId="7982DBF7" w14:textId="0F70EA88"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0</w:t>
            </w:r>
          </w:p>
        </w:tc>
        <w:tc>
          <w:tcPr>
            <w:tcW w:w="410" w:type="pct"/>
            <w:tcBorders>
              <w:top w:val="none" w:sz="0" w:space="0" w:color="auto"/>
              <w:bottom w:val="none" w:sz="0" w:space="0" w:color="auto"/>
            </w:tcBorders>
            <w:tcMar>
              <w:left w:w="0" w:type="dxa"/>
              <w:right w:w="0" w:type="dxa"/>
            </w:tcMar>
          </w:tcPr>
          <w:p w14:paraId="2C3D860C" w14:textId="74DC0802"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3</w:t>
            </w:r>
          </w:p>
        </w:tc>
        <w:tc>
          <w:tcPr>
            <w:tcW w:w="349" w:type="pct"/>
            <w:tcBorders>
              <w:top w:val="none" w:sz="0" w:space="0" w:color="auto"/>
              <w:bottom w:val="none" w:sz="0" w:space="0" w:color="auto"/>
            </w:tcBorders>
            <w:tcMar>
              <w:left w:w="0" w:type="dxa"/>
              <w:right w:w="0" w:type="dxa"/>
            </w:tcMar>
          </w:tcPr>
          <w:p w14:paraId="4F4C42D0" w14:textId="10CF790B"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2</w:t>
            </w:r>
          </w:p>
        </w:tc>
        <w:tc>
          <w:tcPr>
            <w:tcW w:w="278" w:type="pct"/>
            <w:tcBorders>
              <w:top w:val="none" w:sz="0" w:space="0" w:color="auto"/>
              <w:bottom w:val="none" w:sz="0" w:space="0" w:color="auto"/>
            </w:tcBorders>
            <w:tcMar>
              <w:left w:w="0" w:type="dxa"/>
              <w:right w:w="0" w:type="dxa"/>
            </w:tcMar>
          </w:tcPr>
          <w:p w14:paraId="3BAC1834" w14:textId="0263469C"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56" w:type="pct"/>
            <w:tcBorders>
              <w:top w:val="none" w:sz="0" w:space="0" w:color="auto"/>
              <w:bottom w:val="none" w:sz="0" w:space="0" w:color="auto"/>
            </w:tcBorders>
            <w:tcMar>
              <w:left w:w="0" w:type="dxa"/>
              <w:right w:w="0" w:type="dxa"/>
            </w:tcMar>
          </w:tcPr>
          <w:p w14:paraId="54295948" w14:textId="35987736"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10</w:t>
            </w:r>
          </w:p>
        </w:tc>
      </w:tr>
      <w:tr w:rsidR="00B9313A" w:rsidRPr="00237510" w14:paraId="4B975690"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79A263B9" w14:textId="77777777" w:rsidR="002A7965" w:rsidRPr="00237510" w:rsidRDefault="002A7965" w:rsidP="002A7965">
            <w:pPr>
              <w:spacing w:after="0"/>
              <w:rPr>
                <w:rFonts w:cs="Arial"/>
                <w:b w:val="0"/>
                <w:color w:val="000000"/>
                <w:sz w:val="18"/>
                <w:szCs w:val="18"/>
                <w:lang w:eastAsia="en-AU"/>
              </w:rPr>
            </w:pPr>
          </w:p>
        </w:tc>
        <w:tc>
          <w:tcPr>
            <w:tcW w:w="1226" w:type="pct"/>
            <w:hideMark/>
          </w:tcPr>
          <w:p w14:paraId="65D8B9EC" w14:textId="7C977992" w:rsidR="002A7965" w:rsidRPr="00237510" w:rsidRDefault="005E4AC8" w:rsidP="002A796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Purple swamphen</w:t>
            </w:r>
          </w:p>
        </w:tc>
        <w:tc>
          <w:tcPr>
            <w:tcW w:w="1230" w:type="pct"/>
            <w:noWrap/>
            <w:hideMark/>
          </w:tcPr>
          <w:p w14:paraId="46618D8B" w14:textId="5530E8CB" w:rsidR="002A7965" w:rsidRPr="00237510" w:rsidRDefault="002A7965" w:rsidP="002A796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i/>
                <w:iCs/>
                <w:sz w:val="18"/>
                <w:szCs w:val="18"/>
              </w:rPr>
              <w:t>Porphyrio porphyrio</w:t>
            </w:r>
          </w:p>
        </w:tc>
        <w:tc>
          <w:tcPr>
            <w:tcW w:w="409" w:type="pct"/>
            <w:tcMar>
              <w:left w:w="0" w:type="dxa"/>
              <w:right w:w="0" w:type="dxa"/>
            </w:tcMar>
          </w:tcPr>
          <w:p w14:paraId="277FDC2C" w14:textId="76DA7DAC"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65</w:t>
            </w:r>
          </w:p>
        </w:tc>
        <w:tc>
          <w:tcPr>
            <w:tcW w:w="410" w:type="pct"/>
            <w:tcMar>
              <w:left w:w="0" w:type="dxa"/>
              <w:right w:w="0" w:type="dxa"/>
            </w:tcMar>
          </w:tcPr>
          <w:p w14:paraId="6F2E532E" w14:textId="1CAA025C"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28</w:t>
            </w:r>
          </w:p>
        </w:tc>
        <w:tc>
          <w:tcPr>
            <w:tcW w:w="349" w:type="pct"/>
            <w:tcMar>
              <w:left w:w="0" w:type="dxa"/>
              <w:right w:w="0" w:type="dxa"/>
            </w:tcMar>
          </w:tcPr>
          <w:p w14:paraId="5F3A0BB0" w14:textId="6687B793"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9</w:t>
            </w:r>
          </w:p>
        </w:tc>
        <w:tc>
          <w:tcPr>
            <w:tcW w:w="278" w:type="pct"/>
            <w:tcMar>
              <w:left w:w="0" w:type="dxa"/>
              <w:right w:w="0" w:type="dxa"/>
            </w:tcMar>
          </w:tcPr>
          <w:p w14:paraId="50DF4211" w14:textId="1E5E0C20"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x</w:t>
            </w:r>
          </w:p>
        </w:tc>
        <w:tc>
          <w:tcPr>
            <w:tcW w:w="356" w:type="pct"/>
            <w:tcMar>
              <w:left w:w="0" w:type="dxa"/>
              <w:right w:w="0" w:type="dxa"/>
            </w:tcMar>
          </w:tcPr>
          <w:p w14:paraId="1FF66BEE" w14:textId="69D67631"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243</w:t>
            </w:r>
          </w:p>
        </w:tc>
      </w:tr>
      <w:tr w:rsidR="005C457A" w:rsidRPr="00237510" w14:paraId="7B5F2A57"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07E0A8A2"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hideMark/>
          </w:tcPr>
          <w:p w14:paraId="50B20BEB" w14:textId="1408C7A6" w:rsidR="002A7965" w:rsidRPr="00237510" w:rsidRDefault="005E4AC8" w:rsidP="002A796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Spotless crake</w:t>
            </w:r>
          </w:p>
        </w:tc>
        <w:tc>
          <w:tcPr>
            <w:tcW w:w="1230" w:type="pct"/>
            <w:tcBorders>
              <w:top w:val="none" w:sz="0" w:space="0" w:color="auto"/>
              <w:bottom w:val="none" w:sz="0" w:space="0" w:color="auto"/>
            </w:tcBorders>
            <w:noWrap/>
            <w:hideMark/>
          </w:tcPr>
          <w:p w14:paraId="598011A2" w14:textId="43268E5E" w:rsidR="002A7965" w:rsidRPr="00237510" w:rsidRDefault="002A7965" w:rsidP="002A796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i/>
                <w:iCs/>
                <w:sz w:val="18"/>
                <w:szCs w:val="18"/>
              </w:rPr>
              <w:t>Porzana tabuensis</w:t>
            </w:r>
          </w:p>
        </w:tc>
        <w:tc>
          <w:tcPr>
            <w:tcW w:w="409" w:type="pct"/>
            <w:tcBorders>
              <w:top w:val="none" w:sz="0" w:space="0" w:color="auto"/>
              <w:bottom w:val="none" w:sz="0" w:space="0" w:color="auto"/>
            </w:tcBorders>
            <w:tcMar>
              <w:left w:w="0" w:type="dxa"/>
              <w:right w:w="0" w:type="dxa"/>
            </w:tcMar>
          </w:tcPr>
          <w:p w14:paraId="213156D6" w14:textId="63812F7C"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410" w:type="pct"/>
            <w:tcBorders>
              <w:top w:val="none" w:sz="0" w:space="0" w:color="auto"/>
              <w:bottom w:val="none" w:sz="0" w:space="0" w:color="auto"/>
            </w:tcBorders>
            <w:tcMar>
              <w:left w:w="0" w:type="dxa"/>
              <w:right w:w="0" w:type="dxa"/>
            </w:tcMar>
          </w:tcPr>
          <w:p w14:paraId="7CDD0131" w14:textId="6E078149"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49" w:type="pct"/>
            <w:tcBorders>
              <w:top w:val="none" w:sz="0" w:space="0" w:color="auto"/>
              <w:bottom w:val="none" w:sz="0" w:space="0" w:color="auto"/>
            </w:tcBorders>
            <w:tcMar>
              <w:left w:w="0" w:type="dxa"/>
              <w:right w:w="0" w:type="dxa"/>
            </w:tcMar>
          </w:tcPr>
          <w:p w14:paraId="4583B082" w14:textId="29C7D021"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1</w:t>
            </w:r>
          </w:p>
        </w:tc>
        <w:tc>
          <w:tcPr>
            <w:tcW w:w="278" w:type="pct"/>
            <w:tcBorders>
              <w:top w:val="none" w:sz="0" w:space="0" w:color="auto"/>
              <w:bottom w:val="none" w:sz="0" w:space="0" w:color="auto"/>
            </w:tcBorders>
            <w:tcMar>
              <w:left w:w="0" w:type="dxa"/>
              <w:right w:w="0" w:type="dxa"/>
            </w:tcMar>
          </w:tcPr>
          <w:p w14:paraId="681740DE" w14:textId="7777777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56" w:type="pct"/>
            <w:tcBorders>
              <w:top w:val="none" w:sz="0" w:space="0" w:color="auto"/>
              <w:bottom w:val="none" w:sz="0" w:space="0" w:color="auto"/>
            </w:tcBorders>
            <w:tcMar>
              <w:left w:w="0" w:type="dxa"/>
              <w:right w:w="0" w:type="dxa"/>
            </w:tcMar>
          </w:tcPr>
          <w:p w14:paraId="5F207617" w14:textId="71885B26"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1</w:t>
            </w:r>
          </w:p>
        </w:tc>
      </w:tr>
      <w:tr w:rsidR="00B9313A" w:rsidRPr="00237510" w14:paraId="4C01380A" w14:textId="77777777" w:rsidTr="005E4AC8">
        <w:trPr>
          <w:trHeight w:val="271"/>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0CE85195" w14:textId="77777777" w:rsidR="002A7965" w:rsidRPr="00237510" w:rsidRDefault="002A7965" w:rsidP="002A7965">
            <w:pPr>
              <w:spacing w:after="0"/>
              <w:rPr>
                <w:rFonts w:cs="Arial"/>
                <w:b w:val="0"/>
                <w:color w:val="000000"/>
                <w:sz w:val="18"/>
                <w:szCs w:val="18"/>
                <w:lang w:eastAsia="en-AU"/>
              </w:rPr>
            </w:pPr>
          </w:p>
        </w:tc>
        <w:tc>
          <w:tcPr>
            <w:tcW w:w="1226" w:type="pct"/>
            <w:hideMark/>
          </w:tcPr>
          <w:p w14:paraId="478E6BEA" w14:textId="3E7A61E7" w:rsidR="002A7965" w:rsidRPr="00237510" w:rsidRDefault="005E4AC8" w:rsidP="002A796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Swamp harrier</w:t>
            </w:r>
          </w:p>
        </w:tc>
        <w:tc>
          <w:tcPr>
            <w:tcW w:w="1230" w:type="pct"/>
            <w:noWrap/>
            <w:hideMark/>
          </w:tcPr>
          <w:p w14:paraId="3DCEBEFC" w14:textId="7A9D1DF2" w:rsidR="002A7965" w:rsidRPr="00237510" w:rsidRDefault="002A7965" w:rsidP="002A796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i/>
                <w:iCs/>
                <w:sz w:val="18"/>
                <w:szCs w:val="18"/>
              </w:rPr>
              <w:t>Circus approximans</w:t>
            </w:r>
          </w:p>
        </w:tc>
        <w:tc>
          <w:tcPr>
            <w:tcW w:w="409" w:type="pct"/>
            <w:tcMar>
              <w:left w:w="0" w:type="dxa"/>
              <w:right w:w="0" w:type="dxa"/>
            </w:tcMar>
          </w:tcPr>
          <w:p w14:paraId="3F818E42" w14:textId="6C627162"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7</w:t>
            </w:r>
          </w:p>
        </w:tc>
        <w:tc>
          <w:tcPr>
            <w:tcW w:w="410" w:type="pct"/>
            <w:tcMar>
              <w:left w:w="0" w:type="dxa"/>
              <w:right w:w="0" w:type="dxa"/>
            </w:tcMar>
          </w:tcPr>
          <w:p w14:paraId="683B431B" w14:textId="24B86A59"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6</w:t>
            </w:r>
          </w:p>
        </w:tc>
        <w:tc>
          <w:tcPr>
            <w:tcW w:w="349" w:type="pct"/>
            <w:tcMar>
              <w:left w:w="0" w:type="dxa"/>
              <w:right w:w="0" w:type="dxa"/>
            </w:tcMar>
          </w:tcPr>
          <w:p w14:paraId="448A4770" w14:textId="64CA55ED"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12</w:t>
            </w:r>
          </w:p>
        </w:tc>
        <w:tc>
          <w:tcPr>
            <w:tcW w:w="278" w:type="pct"/>
            <w:tcMar>
              <w:left w:w="0" w:type="dxa"/>
              <w:right w:w="0" w:type="dxa"/>
            </w:tcMar>
          </w:tcPr>
          <w:p w14:paraId="07E36B5B" w14:textId="47466018"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x</w:t>
            </w:r>
          </w:p>
        </w:tc>
        <w:tc>
          <w:tcPr>
            <w:tcW w:w="356" w:type="pct"/>
            <w:tcMar>
              <w:left w:w="0" w:type="dxa"/>
              <w:right w:w="0" w:type="dxa"/>
            </w:tcMar>
          </w:tcPr>
          <w:p w14:paraId="3A9A4977" w14:textId="21AA87D7"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6</w:t>
            </w:r>
          </w:p>
        </w:tc>
      </w:tr>
      <w:tr w:rsidR="005C457A" w:rsidRPr="00237510" w14:paraId="02CD09A6"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val="restart"/>
            <w:tcBorders>
              <w:top w:val="none" w:sz="0" w:space="0" w:color="auto"/>
              <w:bottom w:val="none" w:sz="0" w:space="0" w:color="auto"/>
              <w:right w:val="none" w:sz="0" w:space="0" w:color="auto"/>
            </w:tcBorders>
          </w:tcPr>
          <w:p w14:paraId="65CFC15B" w14:textId="410F2FDC" w:rsidR="002A7965" w:rsidRPr="00237510" w:rsidRDefault="002A7965" w:rsidP="002A7965">
            <w:pPr>
              <w:spacing w:after="0"/>
              <w:rPr>
                <w:rFonts w:cs="Arial"/>
                <w:b w:val="0"/>
                <w:color w:val="000000"/>
                <w:sz w:val="18"/>
                <w:szCs w:val="18"/>
                <w:lang w:eastAsia="en-AU"/>
              </w:rPr>
            </w:pPr>
            <w:r w:rsidRPr="00237510">
              <w:rPr>
                <w:rFonts w:cs="Arial"/>
                <w:b w:val="0"/>
                <w:color w:val="000000"/>
                <w:sz w:val="18"/>
                <w:szCs w:val="18"/>
                <w:lang w:eastAsia="en-AU"/>
              </w:rPr>
              <w:t>Herbivore</w:t>
            </w:r>
          </w:p>
        </w:tc>
        <w:tc>
          <w:tcPr>
            <w:tcW w:w="1226" w:type="pct"/>
            <w:tcBorders>
              <w:top w:val="none" w:sz="0" w:space="0" w:color="auto"/>
              <w:bottom w:val="none" w:sz="0" w:space="0" w:color="auto"/>
            </w:tcBorders>
            <w:hideMark/>
          </w:tcPr>
          <w:p w14:paraId="6E39A536" w14:textId="4A754E4D" w:rsidR="002A7965" w:rsidRPr="00237510" w:rsidRDefault="005E4AC8" w:rsidP="002A796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Australian shelduck</w:t>
            </w:r>
          </w:p>
        </w:tc>
        <w:tc>
          <w:tcPr>
            <w:tcW w:w="1230" w:type="pct"/>
            <w:tcBorders>
              <w:top w:val="none" w:sz="0" w:space="0" w:color="auto"/>
              <w:bottom w:val="none" w:sz="0" w:space="0" w:color="auto"/>
            </w:tcBorders>
            <w:noWrap/>
            <w:hideMark/>
          </w:tcPr>
          <w:p w14:paraId="3483EAB3" w14:textId="16381565" w:rsidR="002A7965" w:rsidRPr="00237510" w:rsidRDefault="002A7965" w:rsidP="002A796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i/>
                <w:iCs/>
                <w:sz w:val="18"/>
                <w:szCs w:val="18"/>
              </w:rPr>
              <w:t>Tadorna tadornoides</w:t>
            </w:r>
          </w:p>
        </w:tc>
        <w:tc>
          <w:tcPr>
            <w:tcW w:w="409" w:type="pct"/>
            <w:tcBorders>
              <w:top w:val="none" w:sz="0" w:space="0" w:color="auto"/>
              <w:bottom w:val="none" w:sz="0" w:space="0" w:color="auto"/>
            </w:tcBorders>
            <w:tcMar>
              <w:left w:w="0" w:type="dxa"/>
              <w:right w:w="0" w:type="dxa"/>
            </w:tcMar>
          </w:tcPr>
          <w:p w14:paraId="43CFA606" w14:textId="1ABF9B52"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sz w:val="18"/>
                <w:szCs w:val="18"/>
              </w:rPr>
              <w:t>420</w:t>
            </w:r>
          </w:p>
        </w:tc>
        <w:tc>
          <w:tcPr>
            <w:tcW w:w="410" w:type="pct"/>
            <w:tcBorders>
              <w:top w:val="none" w:sz="0" w:space="0" w:color="auto"/>
              <w:bottom w:val="none" w:sz="0" w:space="0" w:color="auto"/>
            </w:tcBorders>
            <w:tcMar>
              <w:left w:w="0" w:type="dxa"/>
              <w:right w:w="0" w:type="dxa"/>
            </w:tcMar>
          </w:tcPr>
          <w:p w14:paraId="10211B95" w14:textId="4692679B"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sz w:val="18"/>
                <w:szCs w:val="18"/>
              </w:rPr>
              <w:t>800</w:t>
            </w:r>
          </w:p>
        </w:tc>
        <w:tc>
          <w:tcPr>
            <w:tcW w:w="349" w:type="pct"/>
            <w:tcBorders>
              <w:top w:val="none" w:sz="0" w:space="0" w:color="auto"/>
              <w:bottom w:val="none" w:sz="0" w:space="0" w:color="auto"/>
            </w:tcBorders>
            <w:tcMar>
              <w:left w:w="0" w:type="dxa"/>
              <w:right w:w="0" w:type="dxa"/>
            </w:tcMar>
          </w:tcPr>
          <w:p w14:paraId="612BF014" w14:textId="2996CCD1"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sz w:val="18"/>
                <w:szCs w:val="18"/>
              </w:rPr>
              <w:t>263</w:t>
            </w:r>
          </w:p>
        </w:tc>
        <w:tc>
          <w:tcPr>
            <w:tcW w:w="278" w:type="pct"/>
            <w:tcBorders>
              <w:top w:val="none" w:sz="0" w:space="0" w:color="auto"/>
              <w:bottom w:val="none" w:sz="0" w:space="0" w:color="auto"/>
            </w:tcBorders>
            <w:tcMar>
              <w:left w:w="0" w:type="dxa"/>
              <w:right w:w="0" w:type="dxa"/>
            </w:tcMar>
          </w:tcPr>
          <w:p w14:paraId="6DA61E02" w14:textId="0567FCCC"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sz w:val="18"/>
                <w:szCs w:val="18"/>
              </w:rPr>
              <w:t>x</w:t>
            </w:r>
          </w:p>
        </w:tc>
        <w:tc>
          <w:tcPr>
            <w:tcW w:w="356" w:type="pct"/>
            <w:tcBorders>
              <w:top w:val="none" w:sz="0" w:space="0" w:color="auto"/>
              <w:bottom w:val="none" w:sz="0" w:space="0" w:color="auto"/>
            </w:tcBorders>
            <w:tcMar>
              <w:left w:w="0" w:type="dxa"/>
              <w:right w:w="0" w:type="dxa"/>
            </w:tcMar>
          </w:tcPr>
          <w:p w14:paraId="18DA1E67" w14:textId="571814F8"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sz w:val="18"/>
                <w:szCs w:val="18"/>
              </w:rPr>
              <w:t>21</w:t>
            </w:r>
          </w:p>
        </w:tc>
      </w:tr>
      <w:tr w:rsidR="00B9313A" w:rsidRPr="00237510" w14:paraId="549310AA"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0EF7C993" w14:textId="77777777" w:rsidR="002A7965" w:rsidRPr="00237510" w:rsidRDefault="002A7965" w:rsidP="002A7965">
            <w:pPr>
              <w:spacing w:after="0"/>
              <w:rPr>
                <w:rFonts w:cs="Arial"/>
                <w:b w:val="0"/>
                <w:color w:val="000000"/>
                <w:sz w:val="18"/>
                <w:szCs w:val="18"/>
                <w:lang w:eastAsia="en-AU"/>
              </w:rPr>
            </w:pPr>
          </w:p>
        </w:tc>
        <w:tc>
          <w:tcPr>
            <w:tcW w:w="1226" w:type="pct"/>
            <w:hideMark/>
          </w:tcPr>
          <w:p w14:paraId="52FCBC95" w14:textId="5292C771" w:rsidR="002A7965" w:rsidRPr="00237510" w:rsidRDefault="005E4AC8" w:rsidP="002A7965">
            <w:pPr>
              <w:spacing w:after="0"/>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rFonts w:cs="Arial"/>
                <w:sz w:val="18"/>
                <w:szCs w:val="18"/>
              </w:rPr>
              <w:t>Australian wood duck</w:t>
            </w:r>
          </w:p>
        </w:tc>
        <w:tc>
          <w:tcPr>
            <w:tcW w:w="1230" w:type="pct"/>
            <w:noWrap/>
            <w:hideMark/>
          </w:tcPr>
          <w:p w14:paraId="44DB891A" w14:textId="513C2444" w:rsidR="002A7965" w:rsidRPr="00237510" w:rsidRDefault="002A7965" w:rsidP="002A7965">
            <w:pPr>
              <w:spacing w:after="0"/>
              <w:cnfStyle w:val="000000000000" w:firstRow="0" w:lastRow="0" w:firstColumn="0" w:lastColumn="0" w:oddVBand="0" w:evenVBand="0" w:oddHBand="0" w:evenHBand="0" w:firstRowFirstColumn="0" w:firstRowLastColumn="0" w:lastRowFirstColumn="0" w:lastRowLastColumn="0"/>
              <w:rPr>
                <w:rFonts w:cs="Arial"/>
                <w:i/>
                <w:iCs/>
                <w:color w:val="000000"/>
                <w:sz w:val="18"/>
                <w:szCs w:val="18"/>
                <w:lang w:eastAsia="en-AU"/>
              </w:rPr>
            </w:pPr>
            <w:r w:rsidRPr="00237510">
              <w:rPr>
                <w:i/>
                <w:iCs/>
                <w:sz w:val="18"/>
                <w:szCs w:val="18"/>
              </w:rPr>
              <w:t>Chenonetta jubata</w:t>
            </w:r>
          </w:p>
        </w:tc>
        <w:tc>
          <w:tcPr>
            <w:tcW w:w="409" w:type="pct"/>
            <w:tcMar>
              <w:left w:w="0" w:type="dxa"/>
              <w:right w:w="0" w:type="dxa"/>
            </w:tcMar>
          </w:tcPr>
          <w:p w14:paraId="352796A5" w14:textId="681EF3CC"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sz w:val="18"/>
                <w:szCs w:val="18"/>
              </w:rPr>
              <w:t>85</w:t>
            </w:r>
          </w:p>
        </w:tc>
        <w:tc>
          <w:tcPr>
            <w:tcW w:w="410" w:type="pct"/>
            <w:tcMar>
              <w:left w:w="0" w:type="dxa"/>
              <w:right w:w="0" w:type="dxa"/>
            </w:tcMar>
          </w:tcPr>
          <w:p w14:paraId="4ACAF682" w14:textId="546CF05A"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sz w:val="18"/>
                <w:szCs w:val="18"/>
              </w:rPr>
              <w:t>90</w:t>
            </w:r>
          </w:p>
        </w:tc>
        <w:tc>
          <w:tcPr>
            <w:tcW w:w="349" w:type="pct"/>
            <w:tcMar>
              <w:left w:w="0" w:type="dxa"/>
              <w:right w:w="0" w:type="dxa"/>
            </w:tcMar>
          </w:tcPr>
          <w:p w14:paraId="675FA667" w14:textId="2376E436"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sz w:val="18"/>
                <w:szCs w:val="18"/>
              </w:rPr>
              <w:t>12</w:t>
            </w:r>
          </w:p>
        </w:tc>
        <w:tc>
          <w:tcPr>
            <w:tcW w:w="278" w:type="pct"/>
            <w:tcMar>
              <w:left w:w="0" w:type="dxa"/>
              <w:right w:w="0" w:type="dxa"/>
            </w:tcMar>
          </w:tcPr>
          <w:p w14:paraId="5B7F9AB4" w14:textId="70315D7C"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sz w:val="18"/>
                <w:szCs w:val="18"/>
              </w:rPr>
              <w:t>x</w:t>
            </w:r>
          </w:p>
        </w:tc>
        <w:tc>
          <w:tcPr>
            <w:tcW w:w="356" w:type="pct"/>
            <w:tcMar>
              <w:left w:w="0" w:type="dxa"/>
              <w:right w:w="0" w:type="dxa"/>
            </w:tcMar>
          </w:tcPr>
          <w:p w14:paraId="495ECAB3" w14:textId="6D54F6B3" w:rsidR="002A7965" w:rsidRPr="00237510" w:rsidRDefault="002A7965" w:rsidP="002A7965">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 w:val="18"/>
                <w:szCs w:val="18"/>
                <w:lang w:eastAsia="en-AU"/>
              </w:rPr>
            </w:pPr>
            <w:r w:rsidRPr="00237510">
              <w:rPr>
                <w:sz w:val="18"/>
                <w:szCs w:val="18"/>
              </w:rPr>
              <w:t>36</w:t>
            </w:r>
          </w:p>
        </w:tc>
      </w:tr>
      <w:tr w:rsidR="005C457A" w:rsidRPr="00237510" w14:paraId="4DABFC60"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8F32938"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hideMark/>
          </w:tcPr>
          <w:p w14:paraId="13810C8F" w14:textId="793EA3B3" w:rsidR="002A7965" w:rsidRPr="00237510" w:rsidRDefault="002A7965" w:rsidP="002A7965">
            <w:pPr>
              <w:spacing w:after="0"/>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rFonts w:cs="Arial"/>
                <w:sz w:val="18"/>
                <w:szCs w:val="18"/>
              </w:rPr>
              <w:t>Cape Barren goose</w:t>
            </w:r>
          </w:p>
        </w:tc>
        <w:tc>
          <w:tcPr>
            <w:tcW w:w="1230" w:type="pct"/>
            <w:tcBorders>
              <w:top w:val="none" w:sz="0" w:space="0" w:color="auto"/>
              <w:bottom w:val="none" w:sz="0" w:space="0" w:color="auto"/>
            </w:tcBorders>
            <w:noWrap/>
            <w:hideMark/>
          </w:tcPr>
          <w:p w14:paraId="58CB7ACD" w14:textId="6F4D4C36" w:rsidR="002A7965" w:rsidRPr="00237510" w:rsidRDefault="002A7965" w:rsidP="002A7965">
            <w:pPr>
              <w:spacing w:after="0"/>
              <w:cnfStyle w:val="000000100000" w:firstRow="0" w:lastRow="0" w:firstColumn="0" w:lastColumn="0" w:oddVBand="0" w:evenVBand="0" w:oddHBand="1" w:evenHBand="0" w:firstRowFirstColumn="0" w:firstRowLastColumn="0" w:lastRowFirstColumn="0" w:lastRowLastColumn="0"/>
              <w:rPr>
                <w:rFonts w:cs="Arial"/>
                <w:i/>
                <w:iCs/>
                <w:color w:val="000000"/>
                <w:sz w:val="18"/>
                <w:szCs w:val="18"/>
                <w:lang w:eastAsia="en-AU"/>
              </w:rPr>
            </w:pPr>
            <w:r w:rsidRPr="00237510">
              <w:rPr>
                <w:i/>
                <w:iCs/>
                <w:sz w:val="18"/>
                <w:szCs w:val="18"/>
              </w:rPr>
              <w:t>Cereopsis novaehollandiae</w:t>
            </w:r>
          </w:p>
        </w:tc>
        <w:tc>
          <w:tcPr>
            <w:tcW w:w="409" w:type="pct"/>
            <w:tcBorders>
              <w:top w:val="none" w:sz="0" w:space="0" w:color="auto"/>
              <w:bottom w:val="none" w:sz="0" w:space="0" w:color="auto"/>
            </w:tcBorders>
            <w:tcMar>
              <w:left w:w="0" w:type="dxa"/>
              <w:right w:w="0" w:type="dxa"/>
            </w:tcMar>
          </w:tcPr>
          <w:p w14:paraId="1132F4CD" w14:textId="0371B506"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410" w:type="pct"/>
            <w:tcBorders>
              <w:top w:val="none" w:sz="0" w:space="0" w:color="auto"/>
              <w:bottom w:val="none" w:sz="0" w:space="0" w:color="auto"/>
            </w:tcBorders>
            <w:tcMar>
              <w:left w:w="0" w:type="dxa"/>
              <w:right w:w="0" w:type="dxa"/>
            </w:tcMar>
          </w:tcPr>
          <w:p w14:paraId="6AE60648" w14:textId="3C3A4EF8"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49" w:type="pct"/>
            <w:tcBorders>
              <w:top w:val="none" w:sz="0" w:space="0" w:color="auto"/>
              <w:bottom w:val="none" w:sz="0" w:space="0" w:color="auto"/>
            </w:tcBorders>
            <w:tcMar>
              <w:left w:w="0" w:type="dxa"/>
              <w:right w:w="0" w:type="dxa"/>
            </w:tcMar>
          </w:tcPr>
          <w:p w14:paraId="158BDFA3" w14:textId="23F444E1"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278" w:type="pct"/>
            <w:tcBorders>
              <w:top w:val="none" w:sz="0" w:space="0" w:color="auto"/>
              <w:bottom w:val="none" w:sz="0" w:space="0" w:color="auto"/>
            </w:tcBorders>
            <w:tcMar>
              <w:left w:w="0" w:type="dxa"/>
              <w:right w:w="0" w:type="dxa"/>
            </w:tcMar>
          </w:tcPr>
          <w:p w14:paraId="320F1DD9" w14:textId="77777777"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p>
        </w:tc>
        <w:tc>
          <w:tcPr>
            <w:tcW w:w="356" w:type="pct"/>
            <w:tcBorders>
              <w:top w:val="none" w:sz="0" w:space="0" w:color="auto"/>
              <w:bottom w:val="none" w:sz="0" w:space="0" w:color="auto"/>
            </w:tcBorders>
            <w:tcMar>
              <w:left w:w="0" w:type="dxa"/>
              <w:right w:w="0" w:type="dxa"/>
            </w:tcMar>
          </w:tcPr>
          <w:p w14:paraId="08F8D910" w14:textId="6D033BD6" w:rsidR="002A7965" w:rsidRPr="00237510" w:rsidRDefault="002A7965" w:rsidP="002A7965">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 w:val="18"/>
                <w:szCs w:val="18"/>
                <w:lang w:eastAsia="en-AU"/>
              </w:rPr>
            </w:pPr>
            <w:r w:rsidRPr="00237510">
              <w:rPr>
                <w:sz w:val="18"/>
                <w:szCs w:val="18"/>
              </w:rPr>
              <w:t>3</w:t>
            </w:r>
          </w:p>
        </w:tc>
      </w:tr>
      <w:tr w:rsidR="00B9313A" w:rsidRPr="00237510" w14:paraId="164FA0EF"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val="restart"/>
            <w:tcBorders>
              <w:right w:val="none" w:sz="0" w:space="0" w:color="auto"/>
            </w:tcBorders>
          </w:tcPr>
          <w:p w14:paraId="3ECEB3CA" w14:textId="0C68EF25" w:rsidR="002A7965" w:rsidRPr="00237510" w:rsidRDefault="002A7965" w:rsidP="002A7965">
            <w:pPr>
              <w:spacing w:after="0"/>
              <w:rPr>
                <w:rFonts w:cs="Arial"/>
                <w:b w:val="0"/>
                <w:color w:val="000000"/>
                <w:sz w:val="18"/>
                <w:szCs w:val="18"/>
                <w:lang w:eastAsia="en-AU"/>
              </w:rPr>
            </w:pPr>
            <w:r w:rsidRPr="00237510">
              <w:rPr>
                <w:rFonts w:cs="Arial"/>
                <w:b w:val="0"/>
                <w:color w:val="000000"/>
                <w:sz w:val="18"/>
                <w:szCs w:val="18"/>
                <w:lang w:eastAsia="en-AU"/>
              </w:rPr>
              <w:t>Large wader</w:t>
            </w:r>
          </w:p>
        </w:tc>
        <w:tc>
          <w:tcPr>
            <w:tcW w:w="1226" w:type="pct"/>
            <w:hideMark/>
          </w:tcPr>
          <w:p w14:paraId="1AD43210" w14:textId="0F54FB6A"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Australian white ibis</w:t>
            </w:r>
          </w:p>
        </w:tc>
        <w:tc>
          <w:tcPr>
            <w:tcW w:w="1230" w:type="pct"/>
            <w:noWrap/>
            <w:hideMark/>
          </w:tcPr>
          <w:p w14:paraId="599155F2" w14:textId="1C5F2750"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Threskiornis molucca</w:t>
            </w:r>
          </w:p>
        </w:tc>
        <w:tc>
          <w:tcPr>
            <w:tcW w:w="409" w:type="pct"/>
            <w:tcMar>
              <w:left w:w="0" w:type="dxa"/>
              <w:right w:w="0" w:type="dxa"/>
            </w:tcMar>
          </w:tcPr>
          <w:p w14:paraId="379AFF5A" w14:textId="0973E6C8"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3600</w:t>
            </w:r>
          </w:p>
        </w:tc>
        <w:tc>
          <w:tcPr>
            <w:tcW w:w="410" w:type="pct"/>
            <w:tcMar>
              <w:left w:w="0" w:type="dxa"/>
              <w:right w:w="0" w:type="dxa"/>
            </w:tcMar>
          </w:tcPr>
          <w:p w14:paraId="504302C0" w14:textId="6618D9D3"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2000</w:t>
            </w:r>
          </w:p>
        </w:tc>
        <w:tc>
          <w:tcPr>
            <w:tcW w:w="349" w:type="pct"/>
            <w:tcMar>
              <w:left w:w="0" w:type="dxa"/>
              <w:right w:w="0" w:type="dxa"/>
            </w:tcMar>
          </w:tcPr>
          <w:p w14:paraId="35CD5E89" w14:textId="626953B5"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20</w:t>
            </w:r>
          </w:p>
        </w:tc>
        <w:tc>
          <w:tcPr>
            <w:tcW w:w="278" w:type="pct"/>
            <w:tcMar>
              <w:left w:w="0" w:type="dxa"/>
              <w:right w:w="0" w:type="dxa"/>
            </w:tcMar>
          </w:tcPr>
          <w:p w14:paraId="22B07EFE" w14:textId="2A065EBD"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c>
          <w:tcPr>
            <w:tcW w:w="356" w:type="pct"/>
            <w:tcMar>
              <w:left w:w="0" w:type="dxa"/>
              <w:right w:w="0" w:type="dxa"/>
            </w:tcMar>
          </w:tcPr>
          <w:p w14:paraId="6804AC37" w14:textId="5F5E2FE4"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60</w:t>
            </w:r>
          </w:p>
        </w:tc>
      </w:tr>
      <w:tr w:rsidR="005C457A" w:rsidRPr="00237510" w14:paraId="52D1499D"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07DDBA55"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hideMark/>
          </w:tcPr>
          <w:p w14:paraId="6042099F" w14:textId="3CEEDDE9"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Cattle egret</w:t>
            </w:r>
          </w:p>
        </w:tc>
        <w:tc>
          <w:tcPr>
            <w:tcW w:w="1230" w:type="pct"/>
            <w:tcBorders>
              <w:top w:val="none" w:sz="0" w:space="0" w:color="auto"/>
              <w:bottom w:val="none" w:sz="0" w:space="0" w:color="auto"/>
            </w:tcBorders>
            <w:noWrap/>
            <w:hideMark/>
          </w:tcPr>
          <w:p w14:paraId="6078022F" w14:textId="2E927B5C"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Ardea ibis</w:t>
            </w:r>
          </w:p>
        </w:tc>
        <w:tc>
          <w:tcPr>
            <w:tcW w:w="409" w:type="pct"/>
            <w:tcBorders>
              <w:top w:val="none" w:sz="0" w:space="0" w:color="auto"/>
              <w:bottom w:val="none" w:sz="0" w:space="0" w:color="auto"/>
            </w:tcBorders>
            <w:tcMar>
              <w:left w:w="0" w:type="dxa"/>
              <w:right w:w="0" w:type="dxa"/>
            </w:tcMar>
          </w:tcPr>
          <w:p w14:paraId="76F8B4B7" w14:textId="449351E3"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2</w:t>
            </w:r>
          </w:p>
        </w:tc>
        <w:tc>
          <w:tcPr>
            <w:tcW w:w="410" w:type="pct"/>
            <w:tcBorders>
              <w:top w:val="none" w:sz="0" w:space="0" w:color="auto"/>
              <w:bottom w:val="none" w:sz="0" w:space="0" w:color="auto"/>
            </w:tcBorders>
            <w:tcMar>
              <w:left w:w="0" w:type="dxa"/>
              <w:right w:w="0" w:type="dxa"/>
            </w:tcMar>
          </w:tcPr>
          <w:p w14:paraId="3E39C30C" w14:textId="66A750D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c>
          <w:tcPr>
            <w:tcW w:w="349" w:type="pct"/>
            <w:tcBorders>
              <w:top w:val="none" w:sz="0" w:space="0" w:color="auto"/>
              <w:bottom w:val="none" w:sz="0" w:space="0" w:color="auto"/>
            </w:tcBorders>
            <w:tcMar>
              <w:left w:w="0" w:type="dxa"/>
              <w:right w:w="0" w:type="dxa"/>
            </w:tcMar>
          </w:tcPr>
          <w:p w14:paraId="48FC72DC" w14:textId="260D9DE6"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w:t>
            </w:r>
          </w:p>
        </w:tc>
        <w:tc>
          <w:tcPr>
            <w:tcW w:w="278" w:type="pct"/>
            <w:tcBorders>
              <w:top w:val="none" w:sz="0" w:space="0" w:color="auto"/>
              <w:bottom w:val="none" w:sz="0" w:space="0" w:color="auto"/>
            </w:tcBorders>
            <w:tcMar>
              <w:left w:w="0" w:type="dxa"/>
              <w:right w:w="0" w:type="dxa"/>
            </w:tcMar>
          </w:tcPr>
          <w:p w14:paraId="17CF310D"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p>
        </w:tc>
        <w:tc>
          <w:tcPr>
            <w:tcW w:w="356" w:type="pct"/>
            <w:tcBorders>
              <w:top w:val="none" w:sz="0" w:space="0" w:color="auto"/>
              <w:bottom w:val="none" w:sz="0" w:space="0" w:color="auto"/>
            </w:tcBorders>
            <w:tcMar>
              <w:left w:w="0" w:type="dxa"/>
              <w:right w:w="0" w:type="dxa"/>
            </w:tcMar>
          </w:tcPr>
          <w:p w14:paraId="02996C02" w14:textId="736F37A0"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40</w:t>
            </w:r>
          </w:p>
        </w:tc>
      </w:tr>
      <w:tr w:rsidR="00B9313A" w:rsidRPr="00237510" w14:paraId="41C5B260"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4201F16A" w14:textId="77777777" w:rsidR="002A7965" w:rsidRPr="00237510" w:rsidRDefault="002A7965" w:rsidP="002A7965">
            <w:pPr>
              <w:spacing w:after="0"/>
              <w:rPr>
                <w:rFonts w:cs="Arial"/>
                <w:b w:val="0"/>
                <w:color w:val="000000"/>
                <w:sz w:val="18"/>
                <w:szCs w:val="18"/>
                <w:lang w:eastAsia="en-AU"/>
              </w:rPr>
            </w:pPr>
          </w:p>
        </w:tc>
        <w:tc>
          <w:tcPr>
            <w:tcW w:w="1226" w:type="pct"/>
            <w:hideMark/>
          </w:tcPr>
          <w:p w14:paraId="5F975722" w14:textId="2748D415"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Eastern great egret</w:t>
            </w:r>
          </w:p>
        </w:tc>
        <w:tc>
          <w:tcPr>
            <w:tcW w:w="1230" w:type="pct"/>
            <w:noWrap/>
            <w:hideMark/>
          </w:tcPr>
          <w:p w14:paraId="4BF69535" w14:textId="7BC236B8"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Ardea modesta</w:t>
            </w:r>
          </w:p>
        </w:tc>
        <w:tc>
          <w:tcPr>
            <w:tcW w:w="409" w:type="pct"/>
            <w:tcMar>
              <w:left w:w="0" w:type="dxa"/>
              <w:right w:w="0" w:type="dxa"/>
            </w:tcMar>
          </w:tcPr>
          <w:p w14:paraId="4DC6F4A2" w14:textId="5543532E"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200</w:t>
            </w:r>
          </w:p>
        </w:tc>
        <w:tc>
          <w:tcPr>
            <w:tcW w:w="410" w:type="pct"/>
            <w:tcMar>
              <w:left w:w="0" w:type="dxa"/>
              <w:right w:w="0" w:type="dxa"/>
            </w:tcMar>
          </w:tcPr>
          <w:p w14:paraId="64A3D7A5" w14:textId="713DD40F"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24</w:t>
            </w:r>
          </w:p>
        </w:tc>
        <w:tc>
          <w:tcPr>
            <w:tcW w:w="349" w:type="pct"/>
            <w:tcMar>
              <w:left w:w="0" w:type="dxa"/>
              <w:right w:w="0" w:type="dxa"/>
            </w:tcMar>
          </w:tcPr>
          <w:p w14:paraId="7C94CB40" w14:textId="6BFD2D3F"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12</w:t>
            </w:r>
          </w:p>
        </w:tc>
        <w:tc>
          <w:tcPr>
            <w:tcW w:w="278" w:type="pct"/>
            <w:tcMar>
              <w:left w:w="0" w:type="dxa"/>
              <w:right w:w="0" w:type="dxa"/>
            </w:tcMar>
          </w:tcPr>
          <w:p w14:paraId="73464F2E"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c>
          <w:tcPr>
            <w:tcW w:w="356" w:type="pct"/>
            <w:tcMar>
              <w:left w:w="0" w:type="dxa"/>
              <w:right w:w="0" w:type="dxa"/>
            </w:tcMar>
          </w:tcPr>
          <w:p w14:paraId="6B589E81" w14:textId="0AFC48C4"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55</w:t>
            </w:r>
          </w:p>
        </w:tc>
      </w:tr>
      <w:tr w:rsidR="005C457A" w:rsidRPr="00237510" w14:paraId="2AFEE293"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5858DBEC"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hideMark/>
          </w:tcPr>
          <w:p w14:paraId="63F9DEC6" w14:textId="14929146"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Glossy ibis</w:t>
            </w:r>
          </w:p>
        </w:tc>
        <w:tc>
          <w:tcPr>
            <w:tcW w:w="1230" w:type="pct"/>
            <w:tcBorders>
              <w:top w:val="none" w:sz="0" w:space="0" w:color="auto"/>
              <w:bottom w:val="none" w:sz="0" w:space="0" w:color="auto"/>
            </w:tcBorders>
            <w:noWrap/>
            <w:hideMark/>
          </w:tcPr>
          <w:p w14:paraId="03E43D4E" w14:textId="7DADBCBD"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Plegadis falcinellus</w:t>
            </w:r>
          </w:p>
        </w:tc>
        <w:tc>
          <w:tcPr>
            <w:tcW w:w="409" w:type="pct"/>
            <w:tcBorders>
              <w:top w:val="none" w:sz="0" w:space="0" w:color="auto"/>
              <w:bottom w:val="none" w:sz="0" w:space="0" w:color="auto"/>
            </w:tcBorders>
            <w:tcMar>
              <w:left w:w="0" w:type="dxa"/>
              <w:right w:w="0" w:type="dxa"/>
            </w:tcMar>
          </w:tcPr>
          <w:p w14:paraId="661097F9" w14:textId="0D2E8E02"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2</w:t>
            </w:r>
          </w:p>
        </w:tc>
        <w:tc>
          <w:tcPr>
            <w:tcW w:w="410" w:type="pct"/>
            <w:tcBorders>
              <w:top w:val="none" w:sz="0" w:space="0" w:color="auto"/>
              <w:bottom w:val="none" w:sz="0" w:space="0" w:color="auto"/>
            </w:tcBorders>
            <w:tcMar>
              <w:left w:w="0" w:type="dxa"/>
              <w:right w:w="0" w:type="dxa"/>
            </w:tcMar>
          </w:tcPr>
          <w:p w14:paraId="25A325F7" w14:textId="06BE1FBD"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100</w:t>
            </w:r>
          </w:p>
        </w:tc>
        <w:tc>
          <w:tcPr>
            <w:tcW w:w="349" w:type="pct"/>
            <w:tcBorders>
              <w:top w:val="none" w:sz="0" w:space="0" w:color="auto"/>
              <w:bottom w:val="none" w:sz="0" w:space="0" w:color="auto"/>
            </w:tcBorders>
            <w:tcMar>
              <w:left w:w="0" w:type="dxa"/>
              <w:right w:w="0" w:type="dxa"/>
            </w:tcMar>
          </w:tcPr>
          <w:p w14:paraId="7EF44DE4" w14:textId="67CF9271" w:rsidR="002A7965" w:rsidRPr="00237510" w:rsidRDefault="005E4AC8"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c>
          <w:tcPr>
            <w:tcW w:w="278" w:type="pct"/>
            <w:tcBorders>
              <w:top w:val="none" w:sz="0" w:space="0" w:color="auto"/>
              <w:bottom w:val="none" w:sz="0" w:space="0" w:color="auto"/>
            </w:tcBorders>
            <w:tcMar>
              <w:left w:w="0" w:type="dxa"/>
              <w:right w:w="0" w:type="dxa"/>
            </w:tcMar>
          </w:tcPr>
          <w:p w14:paraId="7D5D29DF"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p>
        </w:tc>
        <w:tc>
          <w:tcPr>
            <w:tcW w:w="356" w:type="pct"/>
            <w:tcBorders>
              <w:top w:val="none" w:sz="0" w:space="0" w:color="auto"/>
              <w:bottom w:val="none" w:sz="0" w:space="0" w:color="auto"/>
            </w:tcBorders>
            <w:tcMar>
              <w:left w:w="0" w:type="dxa"/>
              <w:right w:w="0" w:type="dxa"/>
            </w:tcMar>
          </w:tcPr>
          <w:p w14:paraId="7A1C4E90" w14:textId="5AAA4281"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w:t>
            </w:r>
          </w:p>
        </w:tc>
      </w:tr>
      <w:tr w:rsidR="00B9313A" w:rsidRPr="00237510" w14:paraId="604C6EF7"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0F46E969" w14:textId="77777777" w:rsidR="002A7965" w:rsidRPr="00237510" w:rsidRDefault="002A7965" w:rsidP="002A7965">
            <w:pPr>
              <w:spacing w:after="0"/>
              <w:rPr>
                <w:rFonts w:cs="Arial"/>
                <w:b w:val="0"/>
                <w:color w:val="000000"/>
                <w:sz w:val="18"/>
                <w:szCs w:val="18"/>
                <w:lang w:eastAsia="en-AU"/>
              </w:rPr>
            </w:pPr>
          </w:p>
        </w:tc>
        <w:tc>
          <w:tcPr>
            <w:tcW w:w="1226" w:type="pct"/>
            <w:hideMark/>
          </w:tcPr>
          <w:p w14:paraId="2E7529FA" w14:textId="70FF0661"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Intermediate egret</w:t>
            </w:r>
          </w:p>
        </w:tc>
        <w:tc>
          <w:tcPr>
            <w:tcW w:w="1230" w:type="pct"/>
            <w:noWrap/>
            <w:hideMark/>
          </w:tcPr>
          <w:p w14:paraId="5FD82493" w14:textId="38B586C0"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Ardea intermedia</w:t>
            </w:r>
          </w:p>
        </w:tc>
        <w:tc>
          <w:tcPr>
            <w:tcW w:w="409" w:type="pct"/>
            <w:tcMar>
              <w:left w:w="0" w:type="dxa"/>
              <w:right w:w="0" w:type="dxa"/>
            </w:tcMar>
          </w:tcPr>
          <w:p w14:paraId="0200038F" w14:textId="26FF333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w:t>
            </w:r>
          </w:p>
        </w:tc>
        <w:tc>
          <w:tcPr>
            <w:tcW w:w="410" w:type="pct"/>
            <w:tcMar>
              <w:left w:w="0" w:type="dxa"/>
              <w:right w:w="0" w:type="dxa"/>
            </w:tcMar>
          </w:tcPr>
          <w:p w14:paraId="5595247E" w14:textId="266859EC"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w:t>
            </w:r>
          </w:p>
        </w:tc>
        <w:tc>
          <w:tcPr>
            <w:tcW w:w="349" w:type="pct"/>
            <w:tcMar>
              <w:left w:w="0" w:type="dxa"/>
              <w:right w:w="0" w:type="dxa"/>
            </w:tcMar>
          </w:tcPr>
          <w:p w14:paraId="55A5E1AC" w14:textId="14CC88F2" w:rsidR="002A7965" w:rsidRPr="00237510" w:rsidRDefault="005E4AC8"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c>
          <w:tcPr>
            <w:tcW w:w="278" w:type="pct"/>
            <w:tcMar>
              <w:left w:w="0" w:type="dxa"/>
              <w:right w:w="0" w:type="dxa"/>
            </w:tcMar>
          </w:tcPr>
          <w:p w14:paraId="57CF638B"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c>
          <w:tcPr>
            <w:tcW w:w="356" w:type="pct"/>
            <w:tcMar>
              <w:left w:w="0" w:type="dxa"/>
              <w:right w:w="0" w:type="dxa"/>
            </w:tcMar>
          </w:tcPr>
          <w:p w14:paraId="4A2AA017" w14:textId="3832461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7</w:t>
            </w:r>
          </w:p>
        </w:tc>
      </w:tr>
      <w:tr w:rsidR="005C457A" w:rsidRPr="00237510" w14:paraId="230275D1"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6F49E70C"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hideMark/>
          </w:tcPr>
          <w:p w14:paraId="0131B817" w14:textId="01B157BC"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Little egret</w:t>
            </w:r>
          </w:p>
        </w:tc>
        <w:tc>
          <w:tcPr>
            <w:tcW w:w="1230" w:type="pct"/>
            <w:tcBorders>
              <w:top w:val="none" w:sz="0" w:space="0" w:color="auto"/>
              <w:bottom w:val="none" w:sz="0" w:space="0" w:color="auto"/>
            </w:tcBorders>
            <w:hideMark/>
          </w:tcPr>
          <w:p w14:paraId="6B70003A" w14:textId="20D7DF6D"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Egretta garzetta</w:t>
            </w:r>
          </w:p>
        </w:tc>
        <w:tc>
          <w:tcPr>
            <w:tcW w:w="409" w:type="pct"/>
            <w:tcBorders>
              <w:top w:val="none" w:sz="0" w:space="0" w:color="auto"/>
              <w:bottom w:val="none" w:sz="0" w:space="0" w:color="auto"/>
            </w:tcBorders>
            <w:tcMar>
              <w:left w:w="0" w:type="dxa"/>
              <w:right w:w="0" w:type="dxa"/>
            </w:tcMar>
          </w:tcPr>
          <w:p w14:paraId="42C5A1EA" w14:textId="14A321F5"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w:t>
            </w:r>
          </w:p>
        </w:tc>
        <w:tc>
          <w:tcPr>
            <w:tcW w:w="410" w:type="pct"/>
            <w:tcBorders>
              <w:top w:val="none" w:sz="0" w:space="0" w:color="auto"/>
              <w:bottom w:val="none" w:sz="0" w:space="0" w:color="auto"/>
            </w:tcBorders>
            <w:tcMar>
              <w:left w:w="0" w:type="dxa"/>
              <w:right w:w="0" w:type="dxa"/>
            </w:tcMar>
          </w:tcPr>
          <w:p w14:paraId="32E16227" w14:textId="1340D6DE"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w:t>
            </w:r>
          </w:p>
        </w:tc>
        <w:tc>
          <w:tcPr>
            <w:tcW w:w="349" w:type="pct"/>
            <w:tcBorders>
              <w:top w:val="none" w:sz="0" w:space="0" w:color="auto"/>
              <w:bottom w:val="none" w:sz="0" w:space="0" w:color="auto"/>
            </w:tcBorders>
            <w:tcMar>
              <w:left w:w="0" w:type="dxa"/>
              <w:right w:w="0" w:type="dxa"/>
            </w:tcMar>
          </w:tcPr>
          <w:p w14:paraId="0B7F4B56" w14:textId="397FCB2E"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4</w:t>
            </w:r>
          </w:p>
        </w:tc>
        <w:tc>
          <w:tcPr>
            <w:tcW w:w="278" w:type="pct"/>
            <w:tcBorders>
              <w:top w:val="none" w:sz="0" w:space="0" w:color="auto"/>
              <w:bottom w:val="none" w:sz="0" w:space="0" w:color="auto"/>
            </w:tcBorders>
            <w:tcMar>
              <w:left w:w="0" w:type="dxa"/>
              <w:right w:w="0" w:type="dxa"/>
            </w:tcMar>
          </w:tcPr>
          <w:p w14:paraId="2D79DB90"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p>
        </w:tc>
        <w:tc>
          <w:tcPr>
            <w:tcW w:w="356" w:type="pct"/>
            <w:tcBorders>
              <w:top w:val="none" w:sz="0" w:space="0" w:color="auto"/>
              <w:bottom w:val="none" w:sz="0" w:space="0" w:color="auto"/>
            </w:tcBorders>
            <w:tcMar>
              <w:left w:w="0" w:type="dxa"/>
              <w:right w:w="0" w:type="dxa"/>
            </w:tcMar>
          </w:tcPr>
          <w:p w14:paraId="36E8FB6E" w14:textId="76A276F4"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25</w:t>
            </w:r>
          </w:p>
        </w:tc>
      </w:tr>
      <w:tr w:rsidR="00B9313A" w:rsidRPr="00237510" w14:paraId="3BAAFD10"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306E9803" w14:textId="77777777" w:rsidR="002A7965" w:rsidRPr="00237510" w:rsidRDefault="002A7965" w:rsidP="002A7965">
            <w:pPr>
              <w:spacing w:after="0"/>
              <w:rPr>
                <w:rFonts w:cs="Arial"/>
                <w:b w:val="0"/>
                <w:color w:val="000000"/>
                <w:sz w:val="18"/>
                <w:szCs w:val="18"/>
                <w:lang w:eastAsia="en-AU"/>
              </w:rPr>
            </w:pPr>
          </w:p>
        </w:tc>
        <w:tc>
          <w:tcPr>
            <w:tcW w:w="1226" w:type="pct"/>
            <w:hideMark/>
          </w:tcPr>
          <w:p w14:paraId="1DCA70B3" w14:textId="7718D359"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Nankeen night heron</w:t>
            </w:r>
          </w:p>
        </w:tc>
        <w:tc>
          <w:tcPr>
            <w:tcW w:w="1230" w:type="pct"/>
            <w:noWrap/>
            <w:hideMark/>
          </w:tcPr>
          <w:p w14:paraId="7A52530C" w14:textId="3A059103"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lang w:eastAsia="en-AU"/>
              </w:rPr>
              <w:t>Nycticorax caledonicus</w:t>
            </w:r>
          </w:p>
        </w:tc>
        <w:tc>
          <w:tcPr>
            <w:tcW w:w="409" w:type="pct"/>
            <w:tcMar>
              <w:left w:w="0" w:type="dxa"/>
              <w:right w:w="0" w:type="dxa"/>
            </w:tcMar>
          </w:tcPr>
          <w:p w14:paraId="4348F343" w14:textId="4C4B1CEB"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100</w:t>
            </w:r>
          </w:p>
        </w:tc>
        <w:tc>
          <w:tcPr>
            <w:tcW w:w="410" w:type="pct"/>
            <w:tcMar>
              <w:left w:w="0" w:type="dxa"/>
              <w:right w:w="0" w:type="dxa"/>
            </w:tcMar>
          </w:tcPr>
          <w:p w14:paraId="60A92D93" w14:textId="78A14FF0"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c>
          <w:tcPr>
            <w:tcW w:w="349" w:type="pct"/>
            <w:tcMar>
              <w:left w:w="0" w:type="dxa"/>
              <w:right w:w="0" w:type="dxa"/>
            </w:tcMar>
          </w:tcPr>
          <w:p w14:paraId="5546513E" w14:textId="0BB7307B"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c>
          <w:tcPr>
            <w:tcW w:w="278" w:type="pct"/>
            <w:tcMar>
              <w:left w:w="0" w:type="dxa"/>
              <w:right w:w="0" w:type="dxa"/>
            </w:tcMar>
          </w:tcPr>
          <w:p w14:paraId="05A7A67F" w14:textId="7B222B78"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c>
          <w:tcPr>
            <w:tcW w:w="356" w:type="pct"/>
            <w:tcMar>
              <w:left w:w="0" w:type="dxa"/>
              <w:right w:w="0" w:type="dxa"/>
            </w:tcMar>
          </w:tcPr>
          <w:p w14:paraId="0BAB09FE" w14:textId="5D2DF058"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12</w:t>
            </w:r>
          </w:p>
        </w:tc>
      </w:tr>
      <w:tr w:rsidR="005C457A" w:rsidRPr="00237510" w14:paraId="34231744"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9BB1399"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hideMark/>
          </w:tcPr>
          <w:p w14:paraId="08EBA4AF" w14:textId="36BAEDE6"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Royal spoonbill</w:t>
            </w:r>
          </w:p>
        </w:tc>
        <w:tc>
          <w:tcPr>
            <w:tcW w:w="1230" w:type="pct"/>
            <w:tcBorders>
              <w:top w:val="none" w:sz="0" w:space="0" w:color="auto"/>
              <w:bottom w:val="none" w:sz="0" w:space="0" w:color="auto"/>
            </w:tcBorders>
            <w:noWrap/>
            <w:hideMark/>
          </w:tcPr>
          <w:p w14:paraId="531987B8" w14:textId="777204E1"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Platalea regia</w:t>
            </w:r>
          </w:p>
        </w:tc>
        <w:tc>
          <w:tcPr>
            <w:tcW w:w="409" w:type="pct"/>
            <w:tcBorders>
              <w:top w:val="none" w:sz="0" w:space="0" w:color="auto"/>
              <w:bottom w:val="none" w:sz="0" w:space="0" w:color="auto"/>
            </w:tcBorders>
            <w:tcMar>
              <w:left w:w="0" w:type="dxa"/>
              <w:right w:w="0" w:type="dxa"/>
            </w:tcMar>
          </w:tcPr>
          <w:p w14:paraId="157875E3" w14:textId="6C322BF0"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500</w:t>
            </w:r>
          </w:p>
        </w:tc>
        <w:tc>
          <w:tcPr>
            <w:tcW w:w="410" w:type="pct"/>
            <w:tcBorders>
              <w:top w:val="none" w:sz="0" w:space="0" w:color="auto"/>
              <w:bottom w:val="none" w:sz="0" w:space="0" w:color="auto"/>
            </w:tcBorders>
            <w:tcMar>
              <w:left w:w="0" w:type="dxa"/>
              <w:right w:w="0" w:type="dxa"/>
            </w:tcMar>
          </w:tcPr>
          <w:p w14:paraId="494F495A" w14:textId="517BDA0B"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160</w:t>
            </w:r>
          </w:p>
        </w:tc>
        <w:tc>
          <w:tcPr>
            <w:tcW w:w="349" w:type="pct"/>
            <w:tcBorders>
              <w:top w:val="none" w:sz="0" w:space="0" w:color="auto"/>
              <w:bottom w:val="none" w:sz="0" w:space="0" w:color="auto"/>
            </w:tcBorders>
            <w:tcMar>
              <w:left w:w="0" w:type="dxa"/>
              <w:right w:w="0" w:type="dxa"/>
            </w:tcMar>
          </w:tcPr>
          <w:p w14:paraId="01BDCAE8" w14:textId="1768A912"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12</w:t>
            </w:r>
          </w:p>
        </w:tc>
        <w:tc>
          <w:tcPr>
            <w:tcW w:w="278" w:type="pct"/>
            <w:tcBorders>
              <w:top w:val="none" w:sz="0" w:space="0" w:color="auto"/>
              <w:bottom w:val="none" w:sz="0" w:space="0" w:color="auto"/>
            </w:tcBorders>
            <w:tcMar>
              <w:left w:w="0" w:type="dxa"/>
              <w:right w:w="0" w:type="dxa"/>
            </w:tcMar>
          </w:tcPr>
          <w:p w14:paraId="691DC526" w14:textId="252ADF8C"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10</w:t>
            </w:r>
          </w:p>
        </w:tc>
        <w:tc>
          <w:tcPr>
            <w:tcW w:w="356" w:type="pct"/>
            <w:tcBorders>
              <w:top w:val="none" w:sz="0" w:space="0" w:color="auto"/>
              <w:bottom w:val="none" w:sz="0" w:space="0" w:color="auto"/>
            </w:tcBorders>
            <w:tcMar>
              <w:left w:w="0" w:type="dxa"/>
              <w:right w:w="0" w:type="dxa"/>
            </w:tcMar>
          </w:tcPr>
          <w:p w14:paraId="36213CB7" w14:textId="78CEC6B0"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80</w:t>
            </w:r>
          </w:p>
        </w:tc>
      </w:tr>
      <w:tr w:rsidR="00B9313A" w:rsidRPr="00237510" w14:paraId="7DCFAE17"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41405CED" w14:textId="77777777" w:rsidR="002A7965" w:rsidRPr="00237510" w:rsidRDefault="002A7965" w:rsidP="002A7965">
            <w:pPr>
              <w:spacing w:after="0"/>
              <w:rPr>
                <w:rFonts w:cs="Arial"/>
                <w:b w:val="0"/>
                <w:color w:val="000000"/>
                <w:sz w:val="18"/>
                <w:szCs w:val="18"/>
                <w:lang w:eastAsia="en-AU"/>
              </w:rPr>
            </w:pPr>
          </w:p>
        </w:tc>
        <w:tc>
          <w:tcPr>
            <w:tcW w:w="1226" w:type="pct"/>
            <w:hideMark/>
          </w:tcPr>
          <w:p w14:paraId="5D39C60A" w14:textId="0A982A51"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Straw-necked Ibis</w:t>
            </w:r>
          </w:p>
        </w:tc>
        <w:tc>
          <w:tcPr>
            <w:tcW w:w="1230" w:type="pct"/>
            <w:noWrap/>
            <w:hideMark/>
          </w:tcPr>
          <w:p w14:paraId="0C6F5496" w14:textId="1F82DDF7"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Threskiornis spinicollis</w:t>
            </w:r>
          </w:p>
        </w:tc>
        <w:tc>
          <w:tcPr>
            <w:tcW w:w="409" w:type="pct"/>
            <w:tcMar>
              <w:left w:w="0" w:type="dxa"/>
              <w:right w:w="0" w:type="dxa"/>
            </w:tcMar>
          </w:tcPr>
          <w:p w14:paraId="260CC800" w14:textId="1E80FD09"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3600</w:t>
            </w:r>
          </w:p>
        </w:tc>
        <w:tc>
          <w:tcPr>
            <w:tcW w:w="410" w:type="pct"/>
            <w:tcMar>
              <w:left w:w="0" w:type="dxa"/>
              <w:right w:w="0" w:type="dxa"/>
            </w:tcMar>
          </w:tcPr>
          <w:p w14:paraId="536162BE" w14:textId="79124FEA"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1500</w:t>
            </w:r>
          </w:p>
        </w:tc>
        <w:tc>
          <w:tcPr>
            <w:tcW w:w="349" w:type="pct"/>
            <w:tcMar>
              <w:left w:w="0" w:type="dxa"/>
              <w:right w:w="0" w:type="dxa"/>
            </w:tcMar>
          </w:tcPr>
          <w:p w14:paraId="5A15FC72" w14:textId="4E90B5F9"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200</w:t>
            </w:r>
          </w:p>
        </w:tc>
        <w:tc>
          <w:tcPr>
            <w:tcW w:w="278" w:type="pct"/>
            <w:tcMar>
              <w:left w:w="0" w:type="dxa"/>
              <w:right w:w="0" w:type="dxa"/>
            </w:tcMar>
          </w:tcPr>
          <w:p w14:paraId="1882910F" w14:textId="20A1F5F0"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20</w:t>
            </w:r>
          </w:p>
        </w:tc>
        <w:tc>
          <w:tcPr>
            <w:tcW w:w="356" w:type="pct"/>
            <w:tcMar>
              <w:left w:w="0" w:type="dxa"/>
              <w:right w:w="0" w:type="dxa"/>
            </w:tcMar>
          </w:tcPr>
          <w:p w14:paraId="6403B8A6" w14:textId="0064C1EC"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100</w:t>
            </w:r>
          </w:p>
        </w:tc>
      </w:tr>
      <w:tr w:rsidR="005C457A" w:rsidRPr="00237510" w14:paraId="0EAF0189"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35696E0"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hideMark/>
          </w:tcPr>
          <w:p w14:paraId="4BE6E637" w14:textId="600FDDAF"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 xml:space="preserve">White-faced </w:t>
            </w:r>
            <w:r w:rsidR="005E4AC8" w:rsidRPr="00237510">
              <w:rPr>
                <w:rFonts w:ascii="Arial" w:hAnsi="Arial" w:cs="Arial"/>
                <w:sz w:val="18"/>
              </w:rPr>
              <w:t>h</w:t>
            </w:r>
            <w:r w:rsidRPr="00237510">
              <w:rPr>
                <w:rFonts w:ascii="Arial" w:hAnsi="Arial" w:cs="Arial"/>
                <w:sz w:val="18"/>
              </w:rPr>
              <w:t>eron</w:t>
            </w:r>
          </w:p>
        </w:tc>
        <w:tc>
          <w:tcPr>
            <w:tcW w:w="1230" w:type="pct"/>
            <w:tcBorders>
              <w:top w:val="none" w:sz="0" w:space="0" w:color="auto"/>
              <w:bottom w:val="none" w:sz="0" w:space="0" w:color="auto"/>
            </w:tcBorders>
            <w:hideMark/>
          </w:tcPr>
          <w:p w14:paraId="741AB9D3" w14:textId="60979E3F"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Egretta novaehollandiae</w:t>
            </w:r>
          </w:p>
        </w:tc>
        <w:tc>
          <w:tcPr>
            <w:tcW w:w="409" w:type="pct"/>
            <w:tcBorders>
              <w:top w:val="none" w:sz="0" w:space="0" w:color="auto"/>
              <w:bottom w:val="none" w:sz="0" w:space="0" w:color="auto"/>
            </w:tcBorders>
            <w:tcMar>
              <w:left w:w="0" w:type="dxa"/>
              <w:right w:w="0" w:type="dxa"/>
            </w:tcMar>
          </w:tcPr>
          <w:p w14:paraId="4057B86E" w14:textId="6CC300A6"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30</w:t>
            </w:r>
          </w:p>
        </w:tc>
        <w:tc>
          <w:tcPr>
            <w:tcW w:w="410" w:type="pct"/>
            <w:tcBorders>
              <w:top w:val="none" w:sz="0" w:space="0" w:color="auto"/>
              <w:bottom w:val="none" w:sz="0" w:space="0" w:color="auto"/>
            </w:tcBorders>
            <w:tcMar>
              <w:left w:w="0" w:type="dxa"/>
              <w:right w:w="0" w:type="dxa"/>
            </w:tcMar>
          </w:tcPr>
          <w:p w14:paraId="004B39A5" w14:textId="72C4F26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25</w:t>
            </w:r>
          </w:p>
        </w:tc>
        <w:tc>
          <w:tcPr>
            <w:tcW w:w="349" w:type="pct"/>
            <w:tcBorders>
              <w:top w:val="none" w:sz="0" w:space="0" w:color="auto"/>
              <w:bottom w:val="none" w:sz="0" w:space="0" w:color="auto"/>
            </w:tcBorders>
            <w:tcMar>
              <w:left w:w="0" w:type="dxa"/>
              <w:right w:w="0" w:type="dxa"/>
            </w:tcMar>
          </w:tcPr>
          <w:p w14:paraId="60EF0EB6" w14:textId="08944D69"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50</w:t>
            </w:r>
          </w:p>
        </w:tc>
        <w:tc>
          <w:tcPr>
            <w:tcW w:w="278" w:type="pct"/>
            <w:tcBorders>
              <w:top w:val="none" w:sz="0" w:space="0" w:color="auto"/>
              <w:bottom w:val="none" w:sz="0" w:space="0" w:color="auto"/>
            </w:tcBorders>
            <w:tcMar>
              <w:left w:w="0" w:type="dxa"/>
              <w:right w:w="0" w:type="dxa"/>
            </w:tcMar>
          </w:tcPr>
          <w:p w14:paraId="4E14368E" w14:textId="6343CB0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c>
          <w:tcPr>
            <w:tcW w:w="356" w:type="pct"/>
            <w:tcBorders>
              <w:top w:val="none" w:sz="0" w:space="0" w:color="auto"/>
              <w:bottom w:val="none" w:sz="0" w:space="0" w:color="auto"/>
            </w:tcBorders>
            <w:tcMar>
              <w:left w:w="0" w:type="dxa"/>
              <w:right w:w="0" w:type="dxa"/>
            </w:tcMar>
          </w:tcPr>
          <w:p w14:paraId="787DD706" w14:textId="0477515D"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100</w:t>
            </w:r>
          </w:p>
        </w:tc>
      </w:tr>
      <w:tr w:rsidR="00B9313A" w:rsidRPr="00237510" w14:paraId="0D2EB048"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6ADA9E16" w14:textId="77777777" w:rsidR="002A7965" w:rsidRPr="00237510" w:rsidRDefault="002A7965" w:rsidP="002A7965">
            <w:pPr>
              <w:spacing w:after="0"/>
              <w:rPr>
                <w:rFonts w:cs="Arial"/>
                <w:b w:val="0"/>
                <w:color w:val="000000"/>
                <w:sz w:val="18"/>
                <w:szCs w:val="18"/>
                <w:lang w:eastAsia="en-AU"/>
              </w:rPr>
            </w:pPr>
          </w:p>
        </w:tc>
        <w:tc>
          <w:tcPr>
            <w:tcW w:w="1226" w:type="pct"/>
            <w:hideMark/>
          </w:tcPr>
          <w:p w14:paraId="5FEFB078" w14:textId="70859F98"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White-necked Heron</w:t>
            </w:r>
          </w:p>
        </w:tc>
        <w:tc>
          <w:tcPr>
            <w:tcW w:w="1230" w:type="pct"/>
            <w:noWrap/>
            <w:hideMark/>
          </w:tcPr>
          <w:p w14:paraId="0951DCD0" w14:textId="651BB830"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Ardea pacifica</w:t>
            </w:r>
          </w:p>
        </w:tc>
        <w:tc>
          <w:tcPr>
            <w:tcW w:w="409" w:type="pct"/>
            <w:tcMar>
              <w:left w:w="0" w:type="dxa"/>
              <w:right w:w="0" w:type="dxa"/>
            </w:tcMar>
          </w:tcPr>
          <w:p w14:paraId="2490DCA6" w14:textId="73760178"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3</w:t>
            </w:r>
          </w:p>
        </w:tc>
        <w:tc>
          <w:tcPr>
            <w:tcW w:w="410" w:type="pct"/>
            <w:tcMar>
              <w:left w:w="0" w:type="dxa"/>
              <w:right w:w="0" w:type="dxa"/>
            </w:tcMar>
          </w:tcPr>
          <w:p w14:paraId="646D91E9" w14:textId="14011CA3"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w:t>
            </w:r>
          </w:p>
        </w:tc>
        <w:tc>
          <w:tcPr>
            <w:tcW w:w="349" w:type="pct"/>
            <w:tcMar>
              <w:left w:w="0" w:type="dxa"/>
              <w:right w:w="0" w:type="dxa"/>
            </w:tcMar>
          </w:tcPr>
          <w:p w14:paraId="5A838E08" w14:textId="590E79E6"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c>
          <w:tcPr>
            <w:tcW w:w="278" w:type="pct"/>
            <w:tcMar>
              <w:left w:w="0" w:type="dxa"/>
              <w:right w:w="0" w:type="dxa"/>
            </w:tcMar>
          </w:tcPr>
          <w:p w14:paraId="03ECA273"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c>
          <w:tcPr>
            <w:tcW w:w="356" w:type="pct"/>
            <w:tcMar>
              <w:left w:w="0" w:type="dxa"/>
              <w:right w:w="0" w:type="dxa"/>
            </w:tcMar>
          </w:tcPr>
          <w:p w14:paraId="2820CB94" w14:textId="63DDE042"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7</w:t>
            </w:r>
          </w:p>
        </w:tc>
      </w:tr>
      <w:tr w:rsidR="005C457A" w:rsidRPr="00237510" w14:paraId="1434BA95"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532D6085" w14:textId="77777777" w:rsidR="002A7965" w:rsidRPr="00237510" w:rsidRDefault="002A7965" w:rsidP="002A7965">
            <w:pPr>
              <w:spacing w:after="0"/>
              <w:rPr>
                <w:rFonts w:cs="Arial"/>
                <w:b w:val="0"/>
                <w:color w:val="000000"/>
                <w:sz w:val="18"/>
                <w:szCs w:val="18"/>
                <w:lang w:eastAsia="en-AU"/>
              </w:rPr>
            </w:pPr>
          </w:p>
        </w:tc>
        <w:tc>
          <w:tcPr>
            <w:tcW w:w="1226" w:type="pct"/>
            <w:tcBorders>
              <w:top w:val="none" w:sz="0" w:space="0" w:color="auto"/>
              <w:bottom w:val="none" w:sz="0" w:space="0" w:color="auto"/>
            </w:tcBorders>
            <w:hideMark/>
          </w:tcPr>
          <w:p w14:paraId="0EDCA829" w14:textId="13B765C0"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 xml:space="preserve">Yellow-billed </w:t>
            </w:r>
            <w:r w:rsidR="005E4AC8" w:rsidRPr="00237510">
              <w:rPr>
                <w:rFonts w:ascii="Arial" w:hAnsi="Arial" w:cs="Arial"/>
                <w:sz w:val="18"/>
              </w:rPr>
              <w:t>s</w:t>
            </w:r>
            <w:r w:rsidRPr="00237510">
              <w:rPr>
                <w:rFonts w:ascii="Arial" w:hAnsi="Arial" w:cs="Arial"/>
                <w:sz w:val="18"/>
              </w:rPr>
              <w:t>poonbill</w:t>
            </w:r>
          </w:p>
        </w:tc>
        <w:tc>
          <w:tcPr>
            <w:tcW w:w="1230" w:type="pct"/>
            <w:tcBorders>
              <w:top w:val="none" w:sz="0" w:space="0" w:color="auto"/>
              <w:bottom w:val="none" w:sz="0" w:space="0" w:color="auto"/>
            </w:tcBorders>
            <w:hideMark/>
          </w:tcPr>
          <w:p w14:paraId="422BD834" w14:textId="74F41CC1"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Platalea flavipes</w:t>
            </w:r>
          </w:p>
        </w:tc>
        <w:tc>
          <w:tcPr>
            <w:tcW w:w="409" w:type="pct"/>
            <w:tcBorders>
              <w:top w:val="none" w:sz="0" w:space="0" w:color="auto"/>
              <w:bottom w:val="none" w:sz="0" w:space="0" w:color="auto"/>
            </w:tcBorders>
            <w:tcMar>
              <w:left w:w="0" w:type="dxa"/>
              <w:right w:w="0" w:type="dxa"/>
            </w:tcMar>
          </w:tcPr>
          <w:p w14:paraId="27121C48" w14:textId="2013EB62"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91</w:t>
            </w:r>
          </w:p>
        </w:tc>
        <w:tc>
          <w:tcPr>
            <w:tcW w:w="410" w:type="pct"/>
            <w:tcBorders>
              <w:top w:val="none" w:sz="0" w:space="0" w:color="auto"/>
              <w:bottom w:val="none" w:sz="0" w:space="0" w:color="auto"/>
            </w:tcBorders>
            <w:tcMar>
              <w:left w:w="0" w:type="dxa"/>
              <w:right w:w="0" w:type="dxa"/>
            </w:tcMar>
          </w:tcPr>
          <w:p w14:paraId="7CD3C461" w14:textId="4007D1B8"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30</w:t>
            </w:r>
          </w:p>
        </w:tc>
        <w:tc>
          <w:tcPr>
            <w:tcW w:w="349" w:type="pct"/>
            <w:tcBorders>
              <w:top w:val="none" w:sz="0" w:space="0" w:color="auto"/>
              <w:bottom w:val="none" w:sz="0" w:space="0" w:color="auto"/>
            </w:tcBorders>
            <w:tcMar>
              <w:left w:w="0" w:type="dxa"/>
              <w:right w:w="0" w:type="dxa"/>
            </w:tcMar>
          </w:tcPr>
          <w:p w14:paraId="6321AF5A" w14:textId="738ABD8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4</w:t>
            </w:r>
          </w:p>
        </w:tc>
        <w:tc>
          <w:tcPr>
            <w:tcW w:w="278" w:type="pct"/>
            <w:tcBorders>
              <w:top w:val="none" w:sz="0" w:space="0" w:color="auto"/>
              <w:bottom w:val="none" w:sz="0" w:space="0" w:color="auto"/>
            </w:tcBorders>
            <w:tcMar>
              <w:left w:w="0" w:type="dxa"/>
              <w:right w:w="0" w:type="dxa"/>
            </w:tcMar>
          </w:tcPr>
          <w:p w14:paraId="1E51021D" w14:textId="0CB99A93" w:rsidR="002A7965" w:rsidRPr="00237510" w:rsidRDefault="005E4AC8"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c>
          <w:tcPr>
            <w:tcW w:w="356" w:type="pct"/>
            <w:tcBorders>
              <w:top w:val="none" w:sz="0" w:space="0" w:color="auto"/>
              <w:bottom w:val="none" w:sz="0" w:space="0" w:color="auto"/>
            </w:tcBorders>
            <w:tcMar>
              <w:left w:w="0" w:type="dxa"/>
              <w:right w:w="0" w:type="dxa"/>
            </w:tcMar>
          </w:tcPr>
          <w:p w14:paraId="24CAD406" w14:textId="0BD8486E"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100</w:t>
            </w:r>
          </w:p>
        </w:tc>
      </w:tr>
      <w:tr w:rsidR="00B9313A" w:rsidRPr="00237510" w14:paraId="578D70B7"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val="restart"/>
            <w:tcBorders>
              <w:right w:val="none" w:sz="0" w:space="0" w:color="auto"/>
            </w:tcBorders>
          </w:tcPr>
          <w:p w14:paraId="14DDB527" w14:textId="66E2096E" w:rsidR="002A7965" w:rsidRPr="00237510" w:rsidRDefault="002A7965" w:rsidP="002A7965">
            <w:pPr>
              <w:spacing w:after="0"/>
              <w:rPr>
                <w:rFonts w:cs="Arial"/>
                <w:b w:val="0"/>
                <w:color w:val="000000"/>
                <w:sz w:val="18"/>
                <w:szCs w:val="18"/>
                <w:lang w:eastAsia="en-AU"/>
              </w:rPr>
            </w:pPr>
            <w:r w:rsidRPr="00237510">
              <w:rPr>
                <w:rFonts w:cs="Arial"/>
                <w:b w:val="0"/>
                <w:color w:val="000000"/>
                <w:sz w:val="18"/>
                <w:szCs w:val="18"/>
                <w:lang w:eastAsia="en-AU"/>
              </w:rPr>
              <w:t>Open water forager</w:t>
            </w:r>
          </w:p>
        </w:tc>
        <w:tc>
          <w:tcPr>
            <w:tcW w:w="1226" w:type="pct"/>
            <w:hideMark/>
          </w:tcPr>
          <w:p w14:paraId="187B55A3" w14:textId="4E43EBFC"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Australasian darter</w:t>
            </w:r>
          </w:p>
        </w:tc>
        <w:tc>
          <w:tcPr>
            <w:tcW w:w="1230" w:type="pct"/>
            <w:noWrap/>
            <w:hideMark/>
          </w:tcPr>
          <w:p w14:paraId="4E911818" w14:textId="70EC111B"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Anhinga novaehollandiae</w:t>
            </w:r>
          </w:p>
        </w:tc>
        <w:tc>
          <w:tcPr>
            <w:tcW w:w="409" w:type="pct"/>
            <w:tcMar>
              <w:left w:w="0" w:type="dxa"/>
              <w:right w:w="0" w:type="dxa"/>
            </w:tcMar>
          </w:tcPr>
          <w:p w14:paraId="2F562E4E" w14:textId="2B592A40"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410" w:type="pct"/>
            <w:tcMar>
              <w:left w:w="0" w:type="dxa"/>
              <w:right w:w="0" w:type="dxa"/>
            </w:tcMar>
          </w:tcPr>
          <w:p w14:paraId="183B3B28" w14:textId="7A0CCA82"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2</w:t>
            </w:r>
          </w:p>
        </w:tc>
        <w:tc>
          <w:tcPr>
            <w:tcW w:w="349" w:type="pct"/>
            <w:tcMar>
              <w:left w:w="0" w:type="dxa"/>
              <w:right w:w="0" w:type="dxa"/>
            </w:tcMar>
          </w:tcPr>
          <w:p w14:paraId="335938AF" w14:textId="57C1CC7E"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15</w:t>
            </w:r>
          </w:p>
        </w:tc>
        <w:tc>
          <w:tcPr>
            <w:tcW w:w="278" w:type="pct"/>
            <w:tcMar>
              <w:left w:w="0" w:type="dxa"/>
              <w:right w:w="0" w:type="dxa"/>
            </w:tcMar>
          </w:tcPr>
          <w:p w14:paraId="00E07289" w14:textId="40CEF3F0"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356" w:type="pct"/>
            <w:tcMar>
              <w:left w:w="0" w:type="dxa"/>
              <w:right w:w="0" w:type="dxa"/>
            </w:tcMar>
          </w:tcPr>
          <w:p w14:paraId="3D96A6E5" w14:textId="30861AD1"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100</w:t>
            </w:r>
          </w:p>
        </w:tc>
      </w:tr>
      <w:tr w:rsidR="005C457A" w:rsidRPr="00237510" w14:paraId="329EDBE2"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6829F365"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hideMark/>
          </w:tcPr>
          <w:p w14:paraId="2C6B5E82" w14:textId="6C8554CC"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Australasian grebe</w:t>
            </w:r>
          </w:p>
        </w:tc>
        <w:tc>
          <w:tcPr>
            <w:tcW w:w="1230" w:type="pct"/>
            <w:tcBorders>
              <w:top w:val="none" w:sz="0" w:space="0" w:color="auto"/>
              <w:bottom w:val="none" w:sz="0" w:space="0" w:color="auto"/>
            </w:tcBorders>
            <w:noWrap/>
            <w:hideMark/>
          </w:tcPr>
          <w:p w14:paraId="2E155B86" w14:textId="6C6A60F6"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Tachybaptus novaehollandiae</w:t>
            </w:r>
          </w:p>
        </w:tc>
        <w:tc>
          <w:tcPr>
            <w:tcW w:w="409" w:type="pct"/>
            <w:tcBorders>
              <w:top w:val="none" w:sz="0" w:space="0" w:color="auto"/>
              <w:bottom w:val="none" w:sz="0" w:space="0" w:color="auto"/>
            </w:tcBorders>
            <w:tcMar>
              <w:left w:w="0" w:type="dxa"/>
              <w:right w:w="0" w:type="dxa"/>
            </w:tcMar>
          </w:tcPr>
          <w:p w14:paraId="0464E34C" w14:textId="4816A538"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40</w:t>
            </w:r>
          </w:p>
        </w:tc>
        <w:tc>
          <w:tcPr>
            <w:tcW w:w="410" w:type="pct"/>
            <w:tcBorders>
              <w:top w:val="none" w:sz="0" w:space="0" w:color="auto"/>
              <w:bottom w:val="none" w:sz="0" w:space="0" w:color="auto"/>
            </w:tcBorders>
            <w:tcMar>
              <w:left w:w="0" w:type="dxa"/>
              <w:right w:w="0" w:type="dxa"/>
            </w:tcMar>
          </w:tcPr>
          <w:p w14:paraId="2D709641" w14:textId="04337FC9"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4</w:t>
            </w:r>
          </w:p>
        </w:tc>
        <w:tc>
          <w:tcPr>
            <w:tcW w:w="349" w:type="pct"/>
            <w:tcBorders>
              <w:top w:val="none" w:sz="0" w:space="0" w:color="auto"/>
              <w:bottom w:val="none" w:sz="0" w:space="0" w:color="auto"/>
            </w:tcBorders>
            <w:tcMar>
              <w:left w:w="0" w:type="dxa"/>
              <w:right w:w="0" w:type="dxa"/>
            </w:tcMar>
          </w:tcPr>
          <w:p w14:paraId="53410591" w14:textId="46BA0155"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8</w:t>
            </w:r>
          </w:p>
        </w:tc>
        <w:tc>
          <w:tcPr>
            <w:tcW w:w="278" w:type="pct"/>
            <w:tcBorders>
              <w:top w:val="none" w:sz="0" w:space="0" w:color="auto"/>
              <w:bottom w:val="none" w:sz="0" w:space="0" w:color="auto"/>
            </w:tcBorders>
            <w:tcMar>
              <w:left w:w="0" w:type="dxa"/>
              <w:right w:w="0" w:type="dxa"/>
            </w:tcMar>
          </w:tcPr>
          <w:p w14:paraId="007F703C"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34015822" w14:textId="5C4B6B50"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35</w:t>
            </w:r>
          </w:p>
        </w:tc>
      </w:tr>
      <w:tr w:rsidR="00B9313A" w:rsidRPr="00237510" w14:paraId="60FA9B83"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13662FAE" w14:textId="77777777" w:rsidR="002A7965" w:rsidRPr="00237510" w:rsidRDefault="002A7965" w:rsidP="002A7965">
            <w:pPr>
              <w:spacing w:after="0"/>
              <w:jc w:val="center"/>
              <w:rPr>
                <w:rFonts w:cs="Arial"/>
                <w:b w:val="0"/>
                <w:color w:val="000000"/>
                <w:sz w:val="18"/>
                <w:szCs w:val="18"/>
                <w:lang w:eastAsia="en-AU"/>
              </w:rPr>
            </w:pPr>
          </w:p>
        </w:tc>
        <w:tc>
          <w:tcPr>
            <w:tcW w:w="1226" w:type="pct"/>
            <w:hideMark/>
          </w:tcPr>
          <w:p w14:paraId="523FD561" w14:textId="4109AFB6"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Austral</w:t>
            </w:r>
            <w:r w:rsidR="005E4AC8" w:rsidRPr="00237510">
              <w:rPr>
                <w:rFonts w:ascii="Arial" w:hAnsi="Arial" w:cs="Arial"/>
                <w:sz w:val="18"/>
              </w:rPr>
              <w:t>ian fairy tern</w:t>
            </w:r>
          </w:p>
        </w:tc>
        <w:tc>
          <w:tcPr>
            <w:tcW w:w="1230" w:type="pct"/>
            <w:hideMark/>
          </w:tcPr>
          <w:p w14:paraId="75E9BE0B" w14:textId="613CCA0D"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Sternula nereis nereis</w:t>
            </w:r>
          </w:p>
        </w:tc>
        <w:tc>
          <w:tcPr>
            <w:tcW w:w="409" w:type="pct"/>
            <w:tcMar>
              <w:left w:w="0" w:type="dxa"/>
              <w:right w:w="0" w:type="dxa"/>
            </w:tcMar>
          </w:tcPr>
          <w:p w14:paraId="232C9F63" w14:textId="74203BAC"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410" w:type="pct"/>
            <w:tcMar>
              <w:left w:w="0" w:type="dxa"/>
              <w:right w:w="0" w:type="dxa"/>
            </w:tcMar>
          </w:tcPr>
          <w:p w14:paraId="01EB6851" w14:textId="139E255B"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49" w:type="pct"/>
            <w:tcMar>
              <w:left w:w="0" w:type="dxa"/>
              <w:right w:w="0" w:type="dxa"/>
            </w:tcMar>
          </w:tcPr>
          <w:p w14:paraId="3F0DAC9D" w14:textId="350BCEE1"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36</w:t>
            </w:r>
          </w:p>
        </w:tc>
        <w:tc>
          <w:tcPr>
            <w:tcW w:w="278" w:type="pct"/>
            <w:tcMar>
              <w:left w:w="0" w:type="dxa"/>
              <w:right w:w="0" w:type="dxa"/>
            </w:tcMar>
          </w:tcPr>
          <w:p w14:paraId="0AA3DDEE"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4B85A43D" w14:textId="210C57C5"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r>
      <w:tr w:rsidR="005C457A" w:rsidRPr="00237510" w14:paraId="4B192929"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5E58BDD9"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0D7826B2" w14:textId="718FE5B9"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Australian pelican</w:t>
            </w:r>
          </w:p>
        </w:tc>
        <w:tc>
          <w:tcPr>
            <w:tcW w:w="1230" w:type="pct"/>
            <w:tcBorders>
              <w:top w:val="none" w:sz="0" w:space="0" w:color="auto"/>
              <w:bottom w:val="none" w:sz="0" w:space="0" w:color="auto"/>
            </w:tcBorders>
          </w:tcPr>
          <w:p w14:paraId="55712D9D" w14:textId="386CDD26"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Pelecanus conspicillatus</w:t>
            </w:r>
          </w:p>
        </w:tc>
        <w:tc>
          <w:tcPr>
            <w:tcW w:w="409" w:type="pct"/>
            <w:tcBorders>
              <w:top w:val="none" w:sz="0" w:space="0" w:color="auto"/>
              <w:bottom w:val="none" w:sz="0" w:space="0" w:color="auto"/>
            </w:tcBorders>
            <w:tcMar>
              <w:left w:w="0" w:type="dxa"/>
              <w:right w:w="0" w:type="dxa"/>
            </w:tcMar>
          </w:tcPr>
          <w:p w14:paraId="71EFCDA7" w14:textId="436CC6DB"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136</w:t>
            </w:r>
          </w:p>
        </w:tc>
        <w:tc>
          <w:tcPr>
            <w:tcW w:w="410" w:type="pct"/>
            <w:tcBorders>
              <w:top w:val="none" w:sz="0" w:space="0" w:color="auto"/>
              <w:bottom w:val="none" w:sz="0" w:space="0" w:color="auto"/>
            </w:tcBorders>
            <w:tcMar>
              <w:left w:w="0" w:type="dxa"/>
              <w:right w:w="0" w:type="dxa"/>
            </w:tcMar>
          </w:tcPr>
          <w:p w14:paraId="17B175E8" w14:textId="3F15A769"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129</w:t>
            </w:r>
          </w:p>
        </w:tc>
        <w:tc>
          <w:tcPr>
            <w:tcW w:w="349" w:type="pct"/>
            <w:tcBorders>
              <w:top w:val="none" w:sz="0" w:space="0" w:color="auto"/>
              <w:bottom w:val="none" w:sz="0" w:space="0" w:color="auto"/>
            </w:tcBorders>
            <w:tcMar>
              <w:left w:w="0" w:type="dxa"/>
              <w:right w:w="0" w:type="dxa"/>
            </w:tcMar>
          </w:tcPr>
          <w:p w14:paraId="0E05110A" w14:textId="3CC4378B"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250</w:t>
            </w:r>
          </w:p>
        </w:tc>
        <w:tc>
          <w:tcPr>
            <w:tcW w:w="278" w:type="pct"/>
            <w:tcBorders>
              <w:top w:val="none" w:sz="0" w:space="0" w:color="auto"/>
              <w:bottom w:val="none" w:sz="0" w:space="0" w:color="auto"/>
            </w:tcBorders>
            <w:tcMar>
              <w:left w:w="0" w:type="dxa"/>
              <w:right w:w="0" w:type="dxa"/>
            </w:tcMar>
          </w:tcPr>
          <w:p w14:paraId="736B523E" w14:textId="4E93A583"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10</w:t>
            </w:r>
          </w:p>
        </w:tc>
        <w:tc>
          <w:tcPr>
            <w:tcW w:w="356" w:type="pct"/>
            <w:tcBorders>
              <w:top w:val="none" w:sz="0" w:space="0" w:color="auto"/>
              <w:bottom w:val="none" w:sz="0" w:space="0" w:color="auto"/>
            </w:tcBorders>
            <w:tcMar>
              <w:left w:w="0" w:type="dxa"/>
              <w:right w:w="0" w:type="dxa"/>
            </w:tcMar>
          </w:tcPr>
          <w:p w14:paraId="773F1BC4" w14:textId="11418083"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166</w:t>
            </w:r>
          </w:p>
        </w:tc>
      </w:tr>
      <w:tr w:rsidR="00B9313A" w:rsidRPr="00237510" w14:paraId="0BB2B9FB"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1F4CE695"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6436B00D" w14:textId="320FF680"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Azure kingfisher</w:t>
            </w:r>
          </w:p>
        </w:tc>
        <w:tc>
          <w:tcPr>
            <w:tcW w:w="1230" w:type="pct"/>
          </w:tcPr>
          <w:p w14:paraId="210CDF55" w14:textId="2D08BFF1"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Alcedo azurea</w:t>
            </w:r>
          </w:p>
        </w:tc>
        <w:tc>
          <w:tcPr>
            <w:tcW w:w="409" w:type="pct"/>
            <w:tcMar>
              <w:left w:w="0" w:type="dxa"/>
              <w:right w:w="0" w:type="dxa"/>
            </w:tcMar>
          </w:tcPr>
          <w:p w14:paraId="05E075FB" w14:textId="0878098D" w:rsidR="002A7965" w:rsidRPr="00237510" w:rsidRDefault="005E4AC8"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410" w:type="pct"/>
            <w:tcMar>
              <w:left w:w="0" w:type="dxa"/>
              <w:right w:w="0" w:type="dxa"/>
            </w:tcMar>
          </w:tcPr>
          <w:p w14:paraId="0F1AD735"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p>
        </w:tc>
        <w:tc>
          <w:tcPr>
            <w:tcW w:w="349" w:type="pct"/>
            <w:tcMar>
              <w:left w:w="0" w:type="dxa"/>
              <w:right w:w="0" w:type="dxa"/>
            </w:tcMar>
          </w:tcPr>
          <w:p w14:paraId="13BEC880" w14:textId="7A405D81" w:rsidR="002A7965" w:rsidRPr="00237510" w:rsidRDefault="005E4AC8"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Mar>
              <w:left w:w="0" w:type="dxa"/>
              <w:right w:w="0" w:type="dxa"/>
            </w:tcMar>
          </w:tcPr>
          <w:p w14:paraId="191E8B7A" w14:textId="2425EE03" w:rsidR="002A7965" w:rsidRPr="00237510" w:rsidRDefault="005E4AC8"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356" w:type="pct"/>
            <w:tcMar>
              <w:left w:w="0" w:type="dxa"/>
              <w:right w:w="0" w:type="dxa"/>
            </w:tcMar>
          </w:tcPr>
          <w:p w14:paraId="43D98AE8" w14:textId="5A2F2862"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3</w:t>
            </w:r>
          </w:p>
        </w:tc>
      </w:tr>
      <w:tr w:rsidR="005C457A" w:rsidRPr="00237510" w14:paraId="53933466"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62958189"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1C975D2F" w14:textId="49839D79"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 xml:space="preserve">Black-faced </w:t>
            </w:r>
            <w:r w:rsidR="005E4AC8" w:rsidRPr="00237510">
              <w:rPr>
                <w:rFonts w:ascii="Arial" w:hAnsi="Arial" w:cs="Arial"/>
                <w:sz w:val="18"/>
              </w:rPr>
              <w:t>c</w:t>
            </w:r>
            <w:r w:rsidRPr="00237510">
              <w:rPr>
                <w:rFonts w:ascii="Arial" w:hAnsi="Arial" w:cs="Arial"/>
                <w:sz w:val="18"/>
              </w:rPr>
              <w:t>ormorant</w:t>
            </w:r>
          </w:p>
        </w:tc>
        <w:tc>
          <w:tcPr>
            <w:tcW w:w="1230" w:type="pct"/>
            <w:tcBorders>
              <w:top w:val="none" w:sz="0" w:space="0" w:color="auto"/>
              <w:bottom w:val="none" w:sz="0" w:space="0" w:color="auto"/>
            </w:tcBorders>
          </w:tcPr>
          <w:p w14:paraId="75DE8393" w14:textId="012B576D"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Phalacrocorax fuscescens</w:t>
            </w:r>
          </w:p>
        </w:tc>
        <w:tc>
          <w:tcPr>
            <w:tcW w:w="409" w:type="pct"/>
            <w:tcBorders>
              <w:top w:val="none" w:sz="0" w:space="0" w:color="auto"/>
              <w:bottom w:val="none" w:sz="0" w:space="0" w:color="auto"/>
            </w:tcBorders>
            <w:tcMar>
              <w:left w:w="0" w:type="dxa"/>
              <w:right w:w="0" w:type="dxa"/>
            </w:tcMar>
          </w:tcPr>
          <w:p w14:paraId="746AA4BF"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410" w:type="pct"/>
            <w:tcBorders>
              <w:top w:val="none" w:sz="0" w:space="0" w:color="auto"/>
              <w:bottom w:val="none" w:sz="0" w:space="0" w:color="auto"/>
            </w:tcBorders>
            <w:tcMar>
              <w:left w:w="0" w:type="dxa"/>
              <w:right w:w="0" w:type="dxa"/>
            </w:tcMar>
          </w:tcPr>
          <w:p w14:paraId="3A3F2774" w14:textId="76C5A5CB"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w:t>
            </w:r>
          </w:p>
        </w:tc>
        <w:tc>
          <w:tcPr>
            <w:tcW w:w="349" w:type="pct"/>
            <w:tcBorders>
              <w:top w:val="none" w:sz="0" w:space="0" w:color="auto"/>
              <w:bottom w:val="none" w:sz="0" w:space="0" w:color="auto"/>
            </w:tcBorders>
            <w:tcMar>
              <w:left w:w="0" w:type="dxa"/>
              <w:right w:w="0" w:type="dxa"/>
            </w:tcMar>
          </w:tcPr>
          <w:p w14:paraId="23D94E8E"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278" w:type="pct"/>
            <w:tcBorders>
              <w:top w:val="none" w:sz="0" w:space="0" w:color="auto"/>
              <w:bottom w:val="none" w:sz="0" w:space="0" w:color="auto"/>
            </w:tcBorders>
            <w:tcMar>
              <w:left w:w="0" w:type="dxa"/>
              <w:right w:w="0" w:type="dxa"/>
            </w:tcMar>
          </w:tcPr>
          <w:p w14:paraId="62A76704"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4B27DE97"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p>
        </w:tc>
      </w:tr>
      <w:tr w:rsidR="00B9313A" w:rsidRPr="00237510" w14:paraId="069D1371"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41A05CD3"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4015F1D5" w14:textId="17765B9B"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Blue-billed duck</w:t>
            </w:r>
          </w:p>
        </w:tc>
        <w:tc>
          <w:tcPr>
            <w:tcW w:w="1230" w:type="pct"/>
          </w:tcPr>
          <w:p w14:paraId="24EB476E" w14:textId="32A4F5E4"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Oxyura australis</w:t>
            </w:r>
          </w:p>
        </w:tc>
        <w:tc>
          <w:tcPr>
            <w:tcW w:w="409" w:type="pct"/>
            <w:tcMar>
              <w:left w:w="0" w:type="dxa"/>
              <w:right w:w="0" w:type="dxa"/>
            </w:tcMar>
          </w:tcPr>
          <w:p w14:paraId="712012A3" w14:textId="7D7A0896"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3</w:t>
            </w:r>
          </w:p>
        </w:tc>
        <w:tc>
          <w:tcPr>
            <w:tcW w:w="410" w:type="pct"/>
            <w:tcMar>
              <w:left w:w="0" w:type="dxa"/>
              <w:right w:w="0" w:type="dxa"/>
            </w:tcMar>
          </w:tcPr>
          <w:p w14:paraId="7677E296"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p>
        </w:tc>
        <w:tc>
          <w:tcPr>
            <w:tcW w:w="349" w:type="pct"/>
            <w:tcMar>
              <w:left w:w="0" w:type="dxa"/>
              <w:right w:w="0" w:type="dxa"/>
            </w:tcMar>
          </w:tcPr>
          <w:p w14:paraId="703C7991" w14:textId="5BFEDF50" w:rsidR="002A7965" w:rsidRPr="00237510" w:rsidRDefault="005E4AC8"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Mar>
              <w:left w:w="0" w:type="dxa"/>
              <w:right w:w="0" w:type="dxa"/>
            </w:tcMar>
          </w:tcPr>
          <w:p w14:paraId="5B10B13A"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2A6BDA29" w14:textId="4F2160F2"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2</w:t>
            </w:r>
          </w:p>
        </w:tc>
      </w:tr>
      <w:tr w:rsidR="005C457A" w:rsidRPr="00237510" w14:paraId="7A2D7295"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52FF8089"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2EF2E13C" w14:textId="569A5A38"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Caspi</w:t>
            </w:r>
            <w:r w:rsidR="005E4AC8" w:rsidRPr="00237510">
              <w:rPr>
                <w:rFonts w:ascii="Arial" w:hAnsi="Arial" w:cs="Arial"/>
                <w:sz w:val="18"/>
              </w:rPr>
              <w:t>an tern</w:t>
            </w:r>
          </w:p>
        </w:tc>
        <w:tc>
          <w:tcPr>
            <w:tcW w:w="1230" w:type="pct"/>
            <w:tcBorders>
              <w:top w:val="none" w:sz="0" w:space="0" w:color="auto"/>
              <w:bottom w:val="none" w:sz="0" w:space="0" w:color="auto"/>
            </w:tcBorders>
          </w:tcPr>
          <w:p w14:paraId="36B78FFE" w14:textId="2CE1F596"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Hydroprogne caspia</w:t>
            </w:r>
          </w:p>
        </w:tc>
        <w:tc>
          <w:tcPr>
            <w:tcW w:w="409" w:type="pct"/>
            <w:tcBorders>
              <w:top w:val="none" w:sz="0" w:space="0" w:color="auto"/>
              <w:bottom w:val="none" w:sz="0" w:space="0" w:color="auto"/>
            </w:tcBorders>
            <w:tcMar>
              <w:left w:w="0" w:type="dxa"/>
              <w:right w:w="0" w:type="dxa"/>
            </w:tcMar>
          </w:tcPr>
          <w:p w14:paraId="3B1BCAE8" w14:textId="739749DD"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3</w:t>
            </w:r>
          </w:p>
        </w:tc>
        <w:tc>
          <w:tcPr>
            <w:tcW w:w="410" w:type="pct"/>
            <w:tcBorders>
              <w:top w:val="none" w:sz="0" w:space="0" w:color="auto"/>
              <w:bottom w:val="none" w:sz="0" w:space="0" w:color="auto"/>
            </w:tcBorders>
            <w:tcMar>
              <w:left w:w="0" w:type="dxa"/>
              <w:right w:w="0" w:type="dxa"/>
            </w:tcMar>
          </w:tcPr>
          <w:p w14:paraId="3443F2A2" w14:textId="0DF9A35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3</w:t>
            </w:r>
          </w:p>
        </w:tc>
        <w:tc>
          <w:tcPr>
            <w:tcW w:w="349" w:type="pct"/>
            <w:tcBorders>
              <w:top w:val="none" w:sz="0" w:space="0" w:color="auto"/>
              <w:bottom w:val="none" w:sz="0" w:space="0" w:color="auto"/>
            </w:tcBorders>
            <w:tcMar>
              <w:left w:w="0" w:type="dxa"/>
              <w:right w:w="0" w:type="dxa"/>
            </w:tcMar>
          </w:tcPr>
          <w:p w14:paraId="2DC00E37" w14:textId="3CFC046B"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8</w:t>
            </w:r>
          </w:p>
        </w:tc>
        <w:tc>
          <w:tcPr>
            <w:tcW w:w="278" w:type="pct"/>
            <w:tcBorders>
              <w:top w:val="none" w:sz="0" w:space="0" w:color="auto"/>
              <w:bottom w:val="none" w:sz="0" w:space="0" w:color="auto"/>
            </w:tcBorders>
            <w:tcMar>
              <w:left w:w="0" w:type="dxa"/>
              <w:right w:w="0" w:type="dxa"/>
            </w:tcMar>
          </w:tcPr>
          <w:p w14:paraId="3BEE13E5"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377E0FB5" w14:textId="2B423F1C"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3</w:t>
            </w:r>
          </w:p>
        </w:tc>
      </w:tr>
      <w:tr w:rsidR="00B9313A" w:rsidRPr="00237510" w14:paraId="0E1DDAC7"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3C91CA8C"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40141F9F" w14:textId="32FB28BD"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Common tern</w:t>
            </w:r>
          </w:p>
        </w:tc>
        <w:tc>
          <w:tcPr>
            <w:tcW w:w="1230" w:type="pct"/>
          </w:tcPr>
          <w:p w14:paraId="5F0DEA88" w14:textId="5614B436"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Sterna hirundo</w:t>
            </w:r>
          </w:p>
        </w:tc>
        <w:tc>
          <w:tcPr>
            <w:tcW w:w="409" w:type="pct"/>
            <w:tcMar>
              <w:left w:w="0" w:type="dxa"/>
              <w:right w:w="0" w:type="dxa"/>
            </w:tcMar>
          </w:tcPr>
          <w:p w14:paraId="33EB4018"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410" w:type="pct"/>
            <w:tcMar>
              <w:left w:w="0" w:type="dxa"/>
              <w:right w:w="0" w:type="dxa"/>
            </w:tcMar>
          </w:tcPr>
          <w:p w14:paraId="6306A6A4" w14:textId="73526D48"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w:t>
            </w:r>
          </w:p>
        </w:tc>
        <w:tc>
          <w:tcPr>
            <w:tcW w:w="349" w:type="pct"/>
            <w:tcMar>
              <w:left w:w="0" w:type="dxa"/>
              <w:right w:w="0" w:type="dxa"/>
            </w:tcMar>
          </w:tcPr>
          <w:p w14:paraId="1133DE30" w14:textId="3C37520D"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101</w:t>
            </w:r>
          </w:p>
        </w:tc>
        <w:tc>
          <w:tcPr>
            <w:tcW w:w="278" w:type="pct"/>
            <w:tcMar>
              <w:left w:w="0" w:type="dxa"/>
              <w:right w:w="0" w:type="dxa"/>
            </w:tcMar>
          </w:tcPr>
          <w:p w14:paraId="0DDF8D8A" w14:textId="31538FF8"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2</w:t>
            </w:r>
          </w:p>
        </w:tc>
        <w:tc>
          <w:tcPr>
            <w:tcW w:w="356" w:type="pct"/>
            <w:tcMar>
              <w:left w:w="0" w:type="dxa"/>
              <w:right w:w="0" w:type="dxa"/>
            </w:tcMar>
          </w:tcPr>
          <w:p w14:paraId="5445A027"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r>
      <w:tr w:rsidR="005C457A" w:rsidRPr="00237510" w14:paraId="7B2F865C"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4698347"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7EDE015F" w14:textId="5F633AAC"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Crested tern</w:t>
            </w:r>
          </w:p>
        </w:tc>
        <w:tc>
          <w:tcPr>
            <w:tcW w:w="1230" w:type="pct"/>
            <w:tcBorders>
              <w:top w:val="none" w:sz="0" w:space="0" w:color="auto"/>
              <w:bottom w:val="none" w:sz="0" w:space="0" w:color="auto"/>
            </w:tcBorders>
          </w:tcPr>
          <w:p w14:paraId="25E79DC3" w14:textId="03D9AD90"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Thalasseus bergii</w:t>
            </w:r>
          </w:p>
        </w:tc>
        <w:tc>
          <w:tcPr>
            <w:tcW w:w="409" w:type="pct"/>
            <w:tcBorders>
              <w:top w:val="none" w:sz="0" w:space="0" w:color="auto"/>
              <w:bottom w:val="none" w:sz="0" w:space="0" w:color="auto"/>
            </w:tcBorders>
            <w:tcMar>
              <w:left w:w="0" w:type="dxa"/>
              <w:right w:w="0" w:type="dxa"/>
            </w:tcMar>
          </w:tcPr>
          <w:p w14:paraId="419C0C3E" w14:textId="50E41AA5"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9</w:t>
            </w:r>
          </w:p>
        </w:tc>
        <w:tc>
          <w:tcPr>
            <w:tcW w:w="410" w:type="pct"/>
            <w:tcBorders>
              <w:top w:val="none" w:sz="0" w:space="0" w:color="auto"/>
              <w:bottom w:val="none" w:sz="0" w:space="0" w:color="auto"/>
            </w:tcBorders>
            <w:tcMar>
              <w:left w:w="0" w:type="dxa"/>
              <w:right w:w="0" w:type="dxa"/>
            </w:tcMar>
          </w:tcPr>
          <w:p w14:paraId="1A8E8E87"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p>
        </w:tc>
        <w:tc>
          <w:tcPr>
            <w:tcW w:w="349" w:type="pct"/>
            <w:tcBorders>
              <w:top w:val="none" w:sz="0" w:space="0" w:color="auto"/>
              <w:bottom w:val="none" w:sz="0" w:space="0" w:color="auto"/>
            </w:tcBorders>
            <w:tcMar>
              <w:left w:w="0" w:type="dxa"/>
              <w:right w:w="0" w:type="dxa"/>
            </w:tcMar>
          </w:tcPr>
          <w:p w14:paraId="69FE8903" w14:textId="59DF01A8"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1000</w:t>
            </w:r>
          </w:p>
        </w:tc>
        <w:tc>
          <w:tcPr>
            <w:tcW w:w="278" w:type="pct"/>
            <w:tcBorders>
              <w:top w:val="none" w:sz="0" w:space="0" w:color="auto"/>
              <w:bottom w:val="none" w:sz="0" w:space="0" w:color="auto"/>
            </w:tcBorders>
            <w:tcMar>
              <w:left w:w="0" w:type="dxa"/>
              <w:right w:w="0" w:type="dxa"/>
            </w:tcMar>
          </w:tcPr>
          <w:p w14:paraId="64DB2C3A"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473C9BBD"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p>
        </w:tc>
      </w:tr>
      <w:tr w:rsidR="00B9313A" w:rsidRPr="00237510" w14:paraId="1550F768"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69427C6B"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36ABFE99" w14:textId="24843ED2"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Eurasian coot</w:t>
            </w:r>
          </w:p>
        </w:tc>
        <w:tc>
          <w:tcPr>
            <w:tcW w:w="1230" w:type="pct"/>
          </w:tcPr>
          <w:p w14:paraId="7F52F25E" w14:textId="144BFEEC"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Fulica atra</w:t>
            </w:r>
          </w:p>
        </w:tc>
        <w:tc>
          <w:tcPr>
            <w:tcW w:w="409" w:type="pct"/>
            <w:tcMar>
              <w:left w:w="0" w:type="dxa"/>
              <w:right w:w="0" w:type="dxa"/>
            </w:tcMar>
          </w:tcPr>
          <w:p w14:paraId="2C290898" w14:textId="427F5D5B"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2968</w:t>
            </w:r>
          </w:p>
        </w:tc>
        <w:tc>
          <w:tcPr>
            <w:tcW w:w="410" w:type="pct"/>
            <w:tcMar>
              <w:left w:w="0" w:type="dxa"/>
              <w:right w:w="0" w:type="dxa"/>
            </w:tcMar>
          </w:tcPr>
          <w:p w14:paraId="3D3B8037" w14:textId="2B2D39B0"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450</w:t>
            </w:r>
          </w:p>
        </w:tc>
        <w:tc>
          <w:tcPr>
            <w:tcW w:w="349" w:type="pct"/>
            <w:tcMar>
              <w:left w:w="0" w:type="dxa"/>
              <w:right w:w="0" w:type="dxa"/>
            </w:tcMar>
          </w:tcPr>
          <w:p w14:paraId="2EB2A562" w14:textId="010ACF50"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850</w:t>
            </w:r>
          </w:p>
        </w:tc>
        <w:tc>
          <w:tcPr>
            <w:tcW w:w="278" w:type="pct"/>
            <w:tcMar>
              <w:left w:w="0" w:type="dxa"/>
              <w:right w:w="0" w:type="dxa"/>
            </w:tcMar>
          </w:tcPr>
          <w:p w14:paraId="167F6D8E"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319AA8F8" w14:textId="16BFD049"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315</w:t>
            </w:r>
          </w:p>
        </w:tc>
      </w:tr>
      <w:tr w:rsidR="005C457A" w:rsidRPr="00237510" w14:paraId="011E25D2"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5E3004EE"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733A087B" w14:textId="1BB35587"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Great cormorant</w:t>
            </w:r>
          </w:p>
        </w:tc>
        <w:tc>
          <w:tcPr>
            <w:tcW w:w="1230" w:type="pct"/>
            <w:tcBorders>
              <w:top w:val="none" w:sz="0" w:space="0" w:color="auto"/>
              <w:bottom w:val="none" w:sz="0" w:space="0" w:color="auto"/>
            </w:tcBorders>
          </w:tcPr>
          <w:p w14:paraId="146457B7" w14:textId="1EC0D3D4"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Phalacrocorax carbo</w:t>
            </w:r>
          </w:p>
        </w:tc>
        <w:tc>
          <w:tcPr>
            <w:tcW w:w="409" w:type="pct"/>
            <w:tcBorders>
              <w:top w:val="none" w:sz="0" w:space="0" w:color="auto"/>
              <w:bottom w:val="none" w:sz="0" w:space="0" w:color="auto"/>
            </w:tcBorders>
            <w:tcMar>
              <w:left w:w="0" w:type="dxa"/>
              <w:right w:w="0" w:type="dxa"/>
            </w:tcMar>
          </w:tcPr>
          <w:p w14:paraId="6885B2DD" w14:textId="668B354B"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28</w:t>
            </w:r>
          </w:p>
        </w:tc>
        <w:tc>
          <w:tcPr>
            <w:tcW w:w="410" w:type="pct"/>
            <w:tcBorders>
              <w:top w:val="none" w:sz="0" w:space="0" w:color="auto"/>
              <w:bottom w:val="none" w:sz="0" w:space="0" w:color="auto"/>
            </w:tcBorders>
            <w:tcMar>
              <w:left w:w="0" w:type="dxa"/>
              <w:right w:w="0" w:type="dxa"/>
            </w:tcMar>
          </w:tcPr>
          <w:p w14:paraId="6C2BA8A4" w14:textId="058870D1"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30</w:t>
            </w:r>
          </w:p>
        </w:tc>
        <w:tc>
          <w:tcPr>
            <w:tcW w:w="349" w:type="pct"/>
            <w:tcBorders>
              <w:top w:val="none" w:sz="0" w:space="0" w:color="auto"/>
              <w:bottom w:val="none" w:sz="0" w:space="0" w:color="auto"/>
            </w:tcBorders>
            <w:tcMar>
              <w:left w:w="0" w:type="dxa"/>
              <w:right w:w="0" w:type="dxa"/>
            </w:tcMar>
          </w:tcPr>
          <w:p w14:paraId="61F18C0B" w14:textId="5E5CAAFC"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444</w:t>
            </w:r>
          </w:p>
        </w:tc>
        <w:tc>
          <w:tcPr>
            <w:tcW w:w="278" w:type="pct"/>
            <w:tcBorders>
              <w:top w:val="none" w:sz="0" w:space="0" w:color="auto"/>
              <w:bottom w:val="none" w:sz="0" w:space="0" w:color="auto"/>
            </w:tcBorders>
            <w:tcMar>
              <w:left w:w="0" w:type="dxa"/>
              <w:right w:w="0" w:type="dxa"/>
            </w:tcMar>
          </w:tcPr>
          <w:p w14:paraId="0A967491" w14:textId="6D42BBDA" w:rsidR="002A7965" w:rsidRPr="00237510" w:rsidRDefault="005E4AC8"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356" w:type="pct"/>
            <w:tcBorders>
              <w:top w:val="none" w:sz="0" w:space="0" w:color="auto"/>
              <w:bottom w:val="none" w:sz="0" w:space="0" w:color="auto"/>
            </w:tcBorders>
            <w:tcMar>
              <w:left w:w="0" w:type="dxa"/>
              <w:right w:w="0" w:type="dxa"/>
            </w:tcMar>
          </w:tcPr>
          <w:p w14:paraId="490287BC" w14:textId="592986F1"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30</w:t>
            </w:r>
          </w:p>
        </w:tc>
      </w:tr>
      <w:tr w:rsidR="00B9313A" w:rsidRPr="00237510" w14:paraId="363D9C7C"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244345EC"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43DE33F8" w14:textId="292AB26E"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Great crested grebe</w:t>
            </w:r>
          </w:p>
        </w:tc>
        <w:tc>
          <w:tcPr>
            <w:tcW w:w="1230" w:type="pct"/>
          </w:tcPr>
          <w:p w14:paraId="3E7C84A4" w14:textId="660BE87F"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Podiceps cristatus</w:t>
            </w:r>
          </w:p>
        </w:tc>
        <w:tc>
          <w:tcPr>
            <w:tcW w:w="409" w:type="pct"/>
            <w:tcMar>
              <w:left w:w="0" w:type="dxa"/>
              <w:right w:w="0" w:type="dxa"/>
            </w:tcMar>
          </w:tcPr>
          <w:p w14:paraId="49F94F5C"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410" w:type="pct"/>
            <w:tcMar>
              <w:left w:w="0" w:type="dxa"/>
              <w:right w:w="0" w:type="dxa"/>
            </w:tcMar>
          </w:tcPr>
          <w:p w14:paraId="7C6656B5" w14:textId="4FA6A4FC" w:rsidR="002A7965" w:rsidRPr="00237510" w:rsidRDefault="005E4AC8"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x</w:t>
            </w:r>
          </w:p>
        </w:tc>
        <w:tc>
          <w:tcPr>
            <w:tcW w:w="349" w:type="pct"/>
            <w:tcMar>
              <w:left w:w="0" w:type="dxa"/>
              <w:right w:w="0" w:type="dxa"/>
            </w:tcMar>
          </w:tcPr>
          <w:p w14:paraId="7D19593B" w14:textId="348319D6"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7</w:t>
            </w:r>
          </w:p>
        </w:tc>
        <w:tc>
          <w:tcPr>
            <w:tcW w:w="278" w:type="pct"/>
            <w:tcMar>
              <w:left w:w="0" w:type="dxa"/>
              <w:right w:w="0" w:type="dxa"/>
            </w:tcMar>
          </w:tcPr>
          <w:p w14:paraId="508139D3"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08942434" w14:textId="2482F3B2"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w:t>
            </w:r>
          </w:p>
        </w:tc>
      </w:tr>
      <w:tr w:rsidR="005C457A" w:rsidRPr="00237510" w14:paraId="23D5C0F6"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74A9005C"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127FB5EC" w14:textId="4ECBBC0B"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Gull-billed Tern</w:t>
            </w:r>
          </w:p>
        </w:tc>
        <w:tc>
          <w:tcPr>
            <w:tcW w:w="1230" w:type="pct"/>
            <w:tcBorders>
              <w:top w:val="none" w:sz="0" w:space="0" w:color="auto"/>
              <w:bottom w:val="none" w:sz="0" w:space="0" w:color="auto"/>
            </w:tcBorders>
          </w:tcPr>
          <w:p w14:paraId="4872D2CF" w14:textId="78F9DDAA"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Gelochelidon nilotica</w:t>
            </w:r>
          </w:p>
        </w:tc>
        <w:tc>
          <w:tcPr>
            <w:tcW w:w="409" w:type="pct"/>
            <w:tcBorders>
              <w:top w:val="none" w:sz="0" w:space="0" w:color="auto"/>
              <w:bottom w:val="none" w:sz="0" w:space="0" w:color="auto"/>
            </w:tcBorders>
            <w:tcMar>
              <w:left w:w="0" w:type="dxa"/>
              <w:right w:w="0" w:type="dxa"/>
            </w:tcMar>
          </w:tcPr>
          <w:p w14:paraId="780E3240"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410" w:type="pct"/>
            <w:tcBorders>
              <w:top w:val="none" w:sz="0" w:space="0" w:color="auto"/>
              <w:bottom w:val="none" w:sz="0" w:space="0" w:color="auto"/>
            </w:tcBorders>
            <w:tcMar>
              <w:left w:w="0" w:type="dxa"/>
              <w:right w:w="0" w:type="dxa"/>
            </w:tcMar>
          </w:tcPr>
          <w:p w14:paraId="53AAC666"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p>
        </w:tc>
        <w:tc>
          <w:tcPr>
            <w:tcW w:w="349" w:type="pct"/>
            <w:tcBorders>
              <w:top w:val="none" w:sz="0" w:space="0" w:color="auto"/>
              <w:bottom w:val="none" w:sz="0" w:space="0" w:color="auto"/>
            </w:tcBorders>
            <w:tcMar>
              <w:left w:w="0" w:type="dxa"/>
              <w:right w:w="0" w:type="dxa"/>
            </w:tcMar>
          </w:tcPr>
          <w:p w14:paraId="598A085A" w14:textId="24B9C3A3"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278" w:type="pct"/>
            <w:tcBorders>
              <w:top w:val="none" w:sz="0" w:space="0" w:color="auto"/>
              <w:bottom w:val="none" w:sz="0" w:space="0" w:color="auto"/>
            </w:tcBorders>
            <w:tcMar>
              <w:left w:w="0" w:type="dxa"/>
              <w:right w:w="0" w:type="dxa"/>
            </w:tcMar>
          </w:tcPr>
          <w:p w14:paraId="1F6F419C"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0A34BA25"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p>
        </w:tc>
      </w:tr>
      <w:tr w:rsidR="00B9313A" w:rsidRPr="00237510" w14:paraId="3A9B7841"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5A585497"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09B1F9AE" w14:textId="059307E1"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Hardhead</w:t>
            </w:r>
          </w:p>
        </w:tc>
        <w:tc>
          <w:tcPr>
            <w:tcW w:w="1230" w:type="pct"/>
          </w:tcPr>
          <w:p w14:paraId="0BC42D01" w14:textId="74A1F709"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Aythya australis</w:t>
            </w:r>
          </w:p>
        </w:tc>
        <w:tc>
          <w:tcPr>
            <w:tcW w:w="409" w:type="pct"/>
            <w:tcMar>
              <w:left w:w="0" w:type="dxa"/>
              <w:right w:w="0" w:type="dxa"/>
            </w:tcMar>
          </w:tcPr>
          <w:p w14:paraId="7FFF39F4" w14:textId="048F0C3C"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50</w:t>
            </w:r>
          </w:p>
        </w:tc>
        <w:tc>
          <w:tcPr>
            <w:tcW w:w="410" w:type="pct"/>
            <w:tcMar>
              <w:left w:w="0" w:type="dxa"/>
              <w:right w:w="0" w:type="dxa"/>
            </w:tcMar>
          </w:tcPr>
          <w:p w14:paraId="7D5F477D" w14:textId="7ED505ED"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80</w:t>
            </w:r>
          </w:p>
        </w:tc>
        <w:tc>
          <w:tcPr>
            <w:tcW w:w="349" w:type="pct"/>
            <w:tcMar>
              <w:left w:w="0" w:type="dxa"/>
              <w:right w:w="0" w:type="dxa"/>
            </w:tcMar>
          </w:tcPr>
          <w:p w14:paraId="4B467E5F" w14:textId="4D5154C6"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1000</w:t>
            </w:r>
          </w:p>
        </w:tc>
        <w:tc>
          <w:tcPr>
            <w:tcW w:w="278" w:type="pct"/>
            <w:tcMar>
              <w:left w:w="0" w:type="dxa"/>
              <w:right w:w="0" w:type="dxa"/>
            </w:tcMar>
          </w:tcPr>
          <w:p w14:paraId="6A6AD501"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1F7A870B" w14:textId="442E1D8D"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70</w:t>
            </w:r>
          </w:p>
        </w:tc>
      </w:tr>
      <w:tr w:rsidR="005C457A" w:rsidRPr="00237510" w14:paraId="403501B0"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5A529A0"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4C3AA961" w14:textId="38307A19"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Hoary-headed Grebe</w:t>
            </w:r>
          </w:p>
        </w:tc>
        <w:tc>
          <w:tcPr>
            <w:tcW w:w="1230" w:type="pct"/>
            <w:tcBorders>
              <w:top w:val="none" w:sz="0" w:space="0" w:color="auto"/>
              <w:bottom w:val="none" w:sz="0" w:space="0" w:color="auto"/>
            </w:tcBorders>
          </w:tcPr>
          <w:p w14:paraId="0180C84E" w14:textId="36C8DCB0"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Poliocephalus poliocephalus</w:t>
            </w:r>
          </w:p>
        </w:tc>
        <w:tc>
          <w:tcPr>
            <w:tcW w:w="409" w:type="pct"/>
            <w:tcBorders>
              <w:top w:val="none" w:sz="0" w:space="0" w:color="auto"/>
              <w:bottom w:val="none" w:sz="0" w:space="0" w:color="auto"/>
            </w:tcBorders>
            <w:tcMar>
              <w:left w:w="0" w:type="dxa"/>
              <w:right w:w="0" w:type="dxa"/>
            </w:tcMar>
          </w:tcPr>
          <w:p w14:paraId="4491188D" w14:textId="52C709FA"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38</w:t>
            </w:r>
          </w:p>
        </w:tc>
        <w:tc>
          <w:tcPr>
            <w:tcW w:w="410" w:type="pct"/>
            <w:tcBorders>
              <w:top w:val="none" w:sz="0" w:space="0" w:color="auto"/>
              <w:bottom w:val="none" w:sz="0" w:space="0" w:color="auto"/>
            </w:tcBorders>
            <w:tcMar>
              <w:left w:w="0" w:type="dxa"/>
              <w:right w:w="0" w:type="dxa"/>
            </w:tcMar>
          </w:tcPr>
          <w:p w14:paraId="0D67A641" w14:textId="38D6A4F2"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16</w:t>
            </w:r>
          </w:p>
        </w:tc>
        <w:tc>
          <w:tcPr>
            <w:tcW w:w="349" w:type="pct"/>
            <w:tcBorders>
              <w:top w:val="none" w:sz="0" w:space="0" w:color="auto"/>
              <w:bottom w:val="none" w:sz="0" w:space="0" w:color="auto"/>
            </w:tcBorders>
            <w:tcMar>
              <w:left w:w="0" w:type="dxa"/>
              <w:right w:w="0" w:type="dxa"/>
            </w:tcMar>
          </w:tcPr>
          <w:p w14:paraId="5C61C010" w14:textId="1D82ABB0"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97</w:t>
            </w:r>
          </w:p>
        </w:tc>
        <w:tc>
          <w:tcPr>
            <w:tcW w:w="278" w:type="pct"/>
            <w:tcBorders>
              <w:top w:val="none" w:sz="0" w:space="0" w:color="auto"/>
              <w:bottom w:val="none" w:sz="0" w:space="0" w:color="auto"/>
            </w:tcBorders>
            <w:tcMar>
              <w:left w:w="0" w:type="dxa"/>
              <w:right w:w="0" w:type="dxa"/>
            </w:tcMar>
          </w:tcPr>
          <w:p w14:paraId="2D120559"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2763F183" w14:textId="39013543"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3</w:t>
            </w:r>
          </w:p>
        </w:tc>
      </w:tr>
      <w:tr w:rsidR="00B9313A" w:rsidRPr="00237510" w14:paraId="1D99B6F9"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4C8E8146"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12022716" w14:textId="6CB19F31"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Little black cormorant</w:t>
            </w:r>
          </w:p>
        </w:tc>
        <w:tc>
          <w:tcPr>
            <w:tcW w:w="1230" w:type="pct"/>
          </w:tcPr>
          <w:p w14:paraId="77A2237F" w14:textId="07871BF3"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Phalacrocorax sulcirostris</w:t>
            </w:r>
          </w:p>
        </w:tc>
        <w:tc>
          <w:tcPr>
            <w:tcW w:w="409" w:type="pct"/>
            <w:tcMar>
              <w:left w:w="0" w:type="dxa"/>
              <w:right w:w="0" w:type="dxa"/>
            </w:tcMar>
          </w:tcPr>
          <w:p w14:paraId="2238BB4C" w14:textId="6547EF73"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1500</w:t>
            </w:r>
          </w:p>
        </w:tc>
        <w:tc>
          <w:tcPr>
            <w:tcW w:w="410" w:type="pct"/>
            <w:tcMar>
              <w:left w:w="0" w:type="dxa"/>
              <w:right w:w="0" w:type="dxa"/>
            </w:tcMar>
          </w:tcPr>
          <w:p w14:paraId="75760555" w14:textId="13B9F522"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350</w:t>
            </w:r>
          </w:p>
        </w:tc>
        <w:tc>
          <w:tcPr>
            <w:tcW w:w="349" w:type="pct"/>
            <w:tcMar>
              <w:left w:w="0" w:type="dxa"/>
              <w:right w:w="0" w:type="dxa"/>
            </w:tcMar>
          </w:tcPr>
          <w:p w14:paraId="4BB78CF5" w14:textId="5FFDD179"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148</w:t>
            </w:r>
          </w:p>
        </w:tc>
        <w:tc>
          <w:tcPr>
            <w:tcW w:w="278" w:type="pct"/>
            <w:tcMar>
              <w:left w:w="0" w:type="dxa"/>
              <w:right w:w="0" w:type="dxa"/>
            </w:tcMar>
          </w:tcPr>
          <w:p w14:paraId="5BA76F3D" w14:textId="6B16A763" w:rsidR="002A7965" w:rsidRPr="00237510" w:rsidRDefault="005E4AC8"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356" w:type="pct"/>
            <w:tcMar>
              <w:left w:w="0" w:type="dxa"/>
              <w:right w:w="0" w:type="dxa"/>
            </w:tcMar>
          </w:tcPr>
          <w:p w14:paraId="41636801" w14:textId="3F8C888C"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100</w:t>
            </w:r>
          </w:p>
        </w:tc>
      </w:tr>
      <w:tr w:rsidR="005C457A" w:rsidRPr="00237510" w14:paraId="0DE9306E"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D0D224F"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6BE9FED9" w14:textId="0DBF10B4"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Little pied cormora</w:t>
            </w:r>
            <w:r w:rsidR="002A7965" w:rsidRPr="00237510">
              <w:rPr>
                <w:rFonts w:ascii="Arial" w:hAnsi="Arial" w:cs="Arial"/>
                <w:sz w:val="18"/>
              </w:rPr>
              <w:t>nt</w:t>
            </w:r>
          </w:p>
        </w:tc>
        <w:tc>
          <w:tcPr>
            <w:tcW w:w="1230" w:type="pct"/>
            <w:tcBorders>
              <w:top w:val="none" w:sz="0" w:space="0" w:color="auto"/>
              <w:bottom w:val="none" w:sz="0" w:space="0" w:color="auto"/>
            </w:tcBorders>
          </w:tcPr>
          <w:p w14:paraId="0AE2B5FC" w14:textId="1B65FCA8"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Microcarbo melanoleucos</w:t>
            </w:r>
          </w:p>
        </w:tc>
        <w:tc>
          <w:tcPr>
            <w:tcW w:w="409" w:type="pct"/>
            <w:tcBorders>
              <w:top w:val="none" w:sz="0" w:space="0" w:color="auto"/>
              <w:bottom w:val="none" w:sz="0" w:space="0" w:color="auto"/>
            </w:tcBorders>
            <w:tcMar>
              <w:left w:w="0" w:type="dxa"/>
              <w:right w:w="0" w:type="dxa"/>
            </w:tcMar>
          </w:tcPr>
          <w:p w14:paraId="366C2E6F" w14:textId="329A7979"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1000</w:t>
            </w:r>
          </w:p>
        </w:tc>
        <w:tc>
          <w:tcPr>
            <w:tcW w:w="410" w:type="pct"/>
            <w:tcBorders>
              <w:top w:val="none" w:sz="0" w:space="0" w:color="auto"/>
              <w:bottom w:val="none" w:sz="0" w:space="0" w:color="auto"/>
            </w:tcBorders>
            <w:tcMar>
              <w:left w:w="0" w:type="dxa"/>
              <w:right w:w="0" w:type="dxa"/>
            </w:tcMar>
          </w:tcPr>
          <w:p w14:paraId="6F3E2067" w14:textId="6B32D286"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200</w:t>
            </w:r>
          </w:p>
        </w:tc>
        <w:tc>
          <w:tcPr>
            <w:tcW w:w="349" w:type="pct"/>
            <w:tcBorders>
              <w:top w:val="none" w:sz="0" w:space="0" w:color="auto"/>
              <w:bottom w:val="none" w:sz="0" w:space="0" w:color="auto"/>
            </w:tcBorders>
            <w:tcMar>
              <w:left w:w="0" w:type="dxa"/>
              <w:right w:w="0" w:type="dxa"/>
            </w:tcMar>
          </w:tcPr>
          <w:p w14:paraId="3D6E0595" w14:textId="17C34808"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200</w:t>
            </w:r>
          </w:p>
        </w:tc>
        <w:tc>
          <w:tcPr>
            <w:tcW w:w="278" w:type="pct"/>
            <w:tcBorders>
              <w:top w:val="none" w:sz="0" w:space="0" w:color="auto"/>
              <w:bottom w:val="none" w:sz="0" w:space="0" w:color="auto"/>
            </w:tcBorders>
            <w:tcMar>
              <w:left w:w="0" w:type="dxa"/>
              <w:right w:w="0" w:type="dxa"/>
            </w:tcMar>
          </w:tcPr>
          <w:p w14:paraId="40D8E9D7" w14:textId="39AF1D5E"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356" w:type="pct"/>
            <w:tcBorders>
              <w:top w:val="none" w:sz="0" w:space="0" w:color="auto"/>
              <w:bottom w:val="none" w:sz="0" w:space="0" w:color="auto"/>
            </w:tcBorders>
            <w:tcMar>
              <w:left w:w="0" w:type="dxa"/>
              <w:right w:w="0" w:type="dxa"/>
            </w:tcMar>
          </w:tcPr>
          <w:p w14:paraId="5C8FA63C" w14:textId="0E067D69"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100</w:t>
            </w:r>
          </w:p>
        </w:tc>
      </w:tr>
      <w:tr w:rsidR="00B9313A" w:rsidRPr="00237510" w14:paraId="0426812C"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363281BA"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4AA784BA" w14:textId="2501AD30"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Little tern</w:t>
            </w:r>
          </w:p>
        </w:tc>
        <w:tc>
          <w:tcPr>
            <w:tcW w:w="1230" w:type="pct"/>
          </w:tcPr>
          <w:p w14:paraId="179BAA57" w14:textId="4039BC11"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Sternula albifrons sinensis</w:t>
            </w:r>
          </w:p>
        </w:tc>
        <w:tc>
          <w:tcPr>
            <w:tcW w:w="409" w:type="pct"/>
            <w:tcMar>
              <w:left w:w="0" w:type="dxa"/>
              <w:right w:w="0" w:type="dxa"/>
            </w:tcMar>
          </w:tcPr>
          <w:p w14:paraId="49E28C1E"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410" w:type="pct"/>
            <w:tcMar>
              <w:left w:w="0" w:type="dxa"/>
              <w:right w:w="0" w:type="dxa"/>
            </w:tcMar>
          </w:tcPr>
          <w:p w14:paraId="132643CD"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p>
        </w:tc>
        <w:tc>
          <w:tcPr>
            <w:tcW w:w="349" w:type="pct"/>
            <w:tcMar>
              <w:left w:w="0" w:type="dxa"/>
              <w:right w:w="0" w:type="dxa"/>
            </w:tcMar>
          </w:tcPr>
          <w:p w14:paraId="3E03CE57" w14:textId="01F0BC82"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62</w:t>
            </w:r>
          </w:p>
        </w:tc>
        <w:tc>
          <w:tcPr>
            <w:tcW w:w="278" w:type="pct"/>
            <w:tcMar>
              <w:left w:w="0" w:type="dxa"/>
              <w:right w:w="0" w:type="dxa"/>
            </w:tcMar>
          </w:tcPr>
          <w:p w14:paraId="330FA24B" w14:textId="0B7C8306"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37</w:t>
            </w:r>
          </w:p>
        </w:tc>
        <w:tc>
          <w:tcPr>
            <w:tcW w:w="356" w:type="pct"/>
            <w:tcMar>
              <w:left w:w="0" w:type="dxa"/>
              <w:right w:w="0" w:type="dxa"/>
            </w:tcMar>
          </w:tcPr>
          <w:p w14:paraId="79D1E40B" w14:textId="42BB2EB6"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2</w:t>
            </w:r>
          </w:p>
        </w:tc>
      </w:tr>
      <w:tr w:rsidR="005C457A" w:rsidRPr="00237510" w14:paraId="55C08FCA"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54361C2C"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3AE39DC0" w14:textId="43628AA5"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Musk duck</w:t>
            </w:r>
          </w:p>
        </w:tc>
        <w:tc>
          <w:tcPr>
            <w:tcW w:w="1230" w:type="pct"/>
            <w:tcBorders>
              <w:top w:val="none" w:sz="0" w:space="0" w:color="auto"/>
              <w:bottom w:val="none" w:sz="0" w:space="0" w:color="auto"/>
            </w:tcBorders>
          </w:tcPr>
          <w:p w14:paraId="49279974" w14:textId="535D23E8"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Biziura lobata</w:t>
            </w:r>
          </w:p>
        </w:tc>
        <w:tc>
          <w:tcPr>
            <w:tcW w:w="409" w:type="pct"/>
            <w:tcBorders>
              <w:top w:val="none" w:sz="0" w:space="0" w:color="auto"/>
              <w:bottom w:val="none" w:sz="0" w:space="0" w:color="auto"/>
            </w:tcBorders>
            <w:tcMar>
              <w:left w:w="0" w:type="dxa"/>
              <w:right w:w="0" w:type="dxa"/>
            </w:tcMar>
          </w:tcPr>
          <w:p w14:paraId="0F36D4A8" w14:textId="373764DB"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3</w:t>
            </w:r>
          </w:p>
        </w:tc>
        <w:tc>
          <w:tcPr>
            <w:tcW w:w="410" w:type="pct"/>
            <w:tcBorders>
              <w:top w:val="none" w:sz="0" w:space="0" w:color="auto"/>
              <w:bottom w:val="none" w:sz="0" w:space="0" w:color="auto"/>
            </w:tcBorders>
            <w:tcMar>
              <w:left w:w="0" w:type="dxa"/>
              <w:right w:w="0" w:type="dxa"/>
            </w:tcMar>
          </w:tcPr>
          <w:p w14:paraId="4588D885" w14:textId="6324FCC6"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6</w:t>
            </w:r>
          </w:p>
        </w:tc>
        <w:tc>
          <w:tcPr>
            <w:tcW w:w="349" w:type="pct"/>
            <w:tcBorders>
              <w:top w:val="none" w:sz="0" w:space="0" w:color="auto"/>
              <w:bottom w:val="none" w:sz="0" w:space="0" w:color="auto"/>
            </w:tcBorders>
            <w:tcMar>
              <w:left w:w="0" w:type="dxa"/>
              <w:right w:w="0" w:type="dxa"/>
            </w:tcMar>
          </w:tcPr>
          <w:p w14:paraId="2DE73598" w14:textId="1D022241"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21</w:t>
            </w:r>
          </w:p>
        </w:tc>
        <w:tc>
          <w:tcPr>
            <w:tcW w:w="278" w:type="pct"/>
            <w:tcBorders>
              <w:top w:val="none" w:sz="0" w:space="0" w:color="auto"/>
              <w:bottom w:val="none" w:sz="0" w:space="0" w:color="auto"/>
            </w:tcBorders>
            <w:tcMar>
              <w:left w:w="0" w:type="dxa"/>
              <w:right w:w="0" w:type="dxa"/>
            </w:tcMar>
          </w:tcPr>
          <w:p w14:paraId="19FFC271" w14:textId="7777777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03D321B3" w14:textId="75E8E7C9"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3</w:t>
            </w:r>
          </w:p>
        </w:tc>
      </w:tr>
      <w:tr w:rsidR="00B9313A" w:rsidRPr="00237510" w14:paraId="5AF0D7DF"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57592853"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126CE03B" w14:textId="2AA142CB"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Pacific gull</w:t>
            </w:r>
          </w:p>
        </w:tc>
        <w:tc>
          <w:tcPr>
            <w:tcW w:w="1230" w:type="pct"/>
          </w:tcPr>
          <w:p w14:paraId="75E2F65F" w14:textId="3C0D6922"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Larus pacificus</w:t>
            </w:r>
          </w:p>
        </w:tc>
        <w:tc>
          <w:tcPr>
            <w:tcW w:w="409" w:type="pct"/>
            <w:tcMar>
              <w:left w:w="0" w:type="dxa"/>
              <w:right w:w="0" w:type="dxa"/>
            </w:tcMar>
          </w:tcPr>
          <w:p w14:paraId="1F128A88" w14:textId="69870894"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3</w:t>
            </w:r>
          </w:p>
        </w:tc>
        <w:tc>
          <w:tcPr>
            <w:tcW w:w="410" w:type="pct"/>
            <w:tcMar>
              <w:left w:w="0" w:type="dxa"/>
              <w:right w:w="0" w:type="dxa"/>
            </w:tcMar>
          </w:tcPr>
          <w:p w14:paraId="25594C2A" w14:textId="7C6114B1"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2</w:t>
            </w:r>
          </w:p>
        </w:tc>
        <w:tc>
          <w:tcPr>
            <w:tcW w:w="349" w:type="pct"/>
            <w:tcMar>
              <w:left w:w="0" w:type="dxa"/>
              <w:right w:w="0" w:type="dxa"/>
            </w:tcMar>
          </w:tcPr>
          <w:p w14:paraId="6DCBA90B" w14:textId="3363BEF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4</w:t>
            </w:r>
          </w:p>
        </w:tc>
        <w:tc>
          <w:tcPr>
            <w:tcW w:w="278" w:type="pct"/>
            <w:tcMar>
              <w:left w:w="0" w:type="dxa"/>
              <w:right w:w="0" w:type="dxa"/>
            </w:tcMar>
          </w:tcPr>
          <w:p w14:paraId="3920F745"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40BAD7AD"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r>
      <w:tr w:rsidR="005C457A" w:rsidRPr="00237510" w14:paraId="3BE3C958"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1F801222"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0F447094" w14:textId="29DAB5E4"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Pied cormorant</w:t>
            </w:r>
          </w:p>
        </w:tc>
        <w:tc>
          <w:tcPr>
            <w:tcW w:w="1230" w:type="pct"/>
            <w:tcBorders>
              <w:top w:val="none" w:sz="0" w:space="0" w:color="auto"/>
              <w:bottom w:val="none" w:sz="0" w:space="0" w:color="auto"/>
            </w:tcBorders>
          </w:tcPr>
          <w:p w14:paraId="4F9FA984" w14:textId="2095F5DF"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Phalacrocorax varius</w:t>
            </w:r>
          </w:p>
        </w:tc>
        <w:tc>
          <w:tcPr>
            <w:tcW w:w="409" w:type="pct"/>
            <w:tcBorders>
              <w:top w:val="none" w:sz="0" w:space="0" w:color="auto"/>
              <w:bottom w:val="none" w:sz="0" w:space="0" w:color="auto"/>
            </w:tcBorders>
            <w:tcMar>
              <w:left w:w="0" w:type="dxa"/>
              <w:right w:w="0" w:type="dxa"/>
            </w:tcMar>
          </w:tcPr>
          <w:p w14:paraId="3B371F4B" w14:textId="340622C9"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11</w:t>
            </w:r>
          </w:p>
        </w:tc>
        <w:tc>
          <w:tcPr>
            <w:tcW w:w="410" w:type="pct"/>
            <w:tcBorders>
              <w:top w:val="none" w:sz="0" w:space="0" w:color="auto"/>
              <w:bottom w:val="none" w:sz="0" w:space="0" w:color="auto"/>
            </w:tcBorders>
            <w:tcMar>
              <w:left w:w="0" w:type="dxa"/>
              <w:right w:w="0" w:type="dxa"/>
            </w:tcMar>
          </w:tcPr>
          <w:p w14:paraId="4CB86121" w14:textId="6A714A64"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2</w:t>
            </w:r>
          </w:p>
        </w:tc>
        <w:tc>
          <w:tcPr>
            <w:tcW w:w="349" w:type="pct"/>
            <w:tcBorders>
              <w:top w:val="none" w:sz="0" w:space="0" w:color="auto"/>
              <w:bottom w:val="none" w:sz="0" w:space="0" w:color="auto"/>
            </w:tcBorders>
            <w:tcMar>
              <w:left w:w="0" w:type="dxa"/>
              <w:right w:w="0" w:type="dxa"/>
            </w:tcMar>
          </w:tcPr>
          <w:p w14:paraId="58730382" w14:textId="173FC236"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200</w:t>
            </w:r>
          </w:p>
        </w:tc>
        <w:tc>
          <w:tcPr>
            <w:tcW w:w="278" w:type="pct"/>
            <w:tcBorders>
              <w:top w:val="none" w:sz="0" w:space="0" w:color="auto"/>
              <w:bottom w:val="none" w:sz="0" w:space="0" w:color="auto"/>
            </w:tcBorders>
            <w:tcMar>
              <w:left w:w="0" w:type="dxa"/>
              <w:right w:w="0" w:type="dxa"/>
            </w:tcMar>
          </w:tcPr>
          <w:p w14:paraId="4F5A67DE" w14:textId="040A49F8"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10</w:t>
            </w:r>
          </w:p>
        </w:tc>
        <w:tc>
          <w:tcPr>
            <w:tcW w:w="356" w:type="pct"/>
            <w:tcBorders>
              <w:top w:val="none" w:sz="0" w:space="0" w:color="auto"/>
              <w:bottom w:val="none" w:sz="0" w:space="0" w:color="auto"/>
            </w:tcBorders>
            <w:tcMar>
              <w:left w:w="0" w:type="dxa"/>
              <w:right w:w="0" w:type="dxa"/>
            </w:tcMar>
          </w:tcPr>
          <w:p w14:paraId="5A4FA117" w14:textId="19C452FD"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10</w:t>
            </w:r>
          </w:p>
        </w:tc>
      </w:tr>
      <w:tr w:rsidR="00B9313A" w:rsidRPr="00237510" w14:paraId="30F760DB"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2CB01494"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7A1242E9" w14:textId="52B95EFC" w:rsidR="002A7965" w:rsidRPr="00237510" w:rsidRDefault="005E4AC8"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Silver gull</w:t>
            </w:r>
          </w:p>
        </w:tc>
        <w:tc>
          <w:tcPr>
            <w:tcW w:w="1230" w:type="pct"/>
          </w:tcPr>
          <w:p w14:paraId="299DD9FC" w14:textId="5983B23F"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Chroicocephalus novaehollandiae</w:t>
            </w:r>
          </w:p>
        </w:tc>
        <w:tc>
          <w:tcPr>
            <w:tcW w:w="409" w:type="pct"/>
            <w:tcMar>
              <w:left w:w="0" w:type="dxa"/>
              <w:right w:w="0" w:type="dxa"/>
            </w:tcMar>
          </w:tcPr>
          <w:p w14:paraId="27C05D68" w14:textId="2C5A0E4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157</w:t>
            </w:r>
          </w:p>
        </w:tc>
        <w:tc>
          <w:tcPr>
            <w:tcW w:w="410" w:type="pct"/>
            <w:tcMar>
              <w:left w:w="0" w:type="dxa"/>
              <w:right w:w="0" w:type="dxa"/>
            </w:tcMar>
          </w:tcPr>
          <w:p w14:paraId="19CC35DA" w14:textId="15E28925"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154</w:t>
            </w:r>
          </w:p>
        </w:tc>
        <w:tc>
          <w:tcPr>
            <w:tcW w:w="349" w:type="pct"/>
            <w:tcMar>
              <w:left w:w="0" w:type="dxa"/>
              <w:right w:w="0" w:type="dxa"/>
            </w:tcMar>
          </w:tcPr>
          <w:p w14:paraId="4A3AA238" w14:textId="2EB411A1"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200</w:t>
            </w:r>
          </w:p>
        </w:tc>
        <w:tc>
          <w:tcPr>
            <w:tcW w:w="278" w:type="pct"/>
            <w:tcMar>
              <w:left w:w="0" w:type="dxa"/>
              <w:right w:w="0" w:type="dxa"/>
            </w:tcMar>
          </w:tcPr>
          <w:p w14:paraId="466E16C2" w14:textId="7A871D21" w:rsidR="002A7965" w:rsidRPr="00237510" w:rsidRDefault="005E4AC8"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356" w:type="pct"/>
            <w:tcMar>
              <w:left w:w="0" w:type="dxa"/>
              <w:right w:w="0" w:type="dxa"/>
            </w:tcMar>
          </w:tcPr>
          <w:p w14:paraId="086BF735" w14:textId="3FBAD161"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1804</w:t>
            </w:r>
          </w:p>
        </w:tc>
      </w:tr>
      <w:tr w:rsidR="005C457A" w:rsidRPr="00237510" w14:paraId="664F5918"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1D4B78AB" w14:textId="77777777" w:rsidR="002A7965" w:rsidRPr="00237510" w:rsidRDefault="002A7965" w:rsidP="002A7965">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7360FA0E" w14:textId="721363BC" w:rsidR="002A7965" w:rsidRPr="00237510" w:rsidRDefault="005E4AC8"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Whiskered tern</w:t>
            </w:r>
          </w:p>
        </w:tc>
        <w:tc>
          <w:tcPr>
            <w:tcW w:w="1230" w:type="pct"/>
            <w:tcBorders>
              <w:top w:val="none" w:sz="0" w:space="0" w:color="auto"/>
              <w:bottom w:val="none" w:sz="0" w:space="0" w:color="auto"/>
            </w:tcBorders>
          </w:tcPr>
          <w:p w14:paraId="6A65E54B" w14:textId="66B90314" w:rsidR="002A7965" w:rsidRPr="00237510" w:rsidRDefault="002A7965" w:rsidP="002A7965">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Chlidonias hybrida</w:t>
            </w:r>
          </w:p>
        </w:tc>
        <w:tc>
          <w:tcPr>
            <w:tcW w:w="409" w:type="pct"/>
            <w:tcBorders>
              <w:top w:val="none" w:sz="0" w:space="0" w:color="auto"/>
              <w:bottom w:val="none" w:sz="0" w:space="0" w:color="auto"/>
            </w:tcBorders>
            <w:tcMar>
              <w:left w:w="0" w:type="dxa"/>
              <w:right w:w="0" w:type="dxa"/>
            </w:tcMar>
          </w:tcPr>
          <w:p w14:paraId="621A51F9" w14:textId="62B7FD97"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30</w:t>
            </w:r>
          </w:p>
        </w:tc>
        <w:tc>
          <w:tcPr>
            <w:tcW w:w="410" w:type="pct"/>
            <w:tcBorders>
              <w:top w:val="none" w:sz="0" w:space="0" w:color="auto"/>
              <w:bottom w:val="none" w:sz="0" w:space="0" w:color="auto"/>
            </w:tcBorders>
            <w:tcMar>
              <w:left w:w="0" w:type="dxa"/>
              <w:right w:w="0" w:type="dxa"/>
            </w:tcMar>
          </w:tcPr>
          <w:p w14:paraId="26C7B498" w14:textId="47887634"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500</w:t>
            </w:r>
          </w:p>
        </w:tc>
        <w:tc>
          <w:tcPr>
            <w:tcW w:w="349" w:type="pct"/>
            <w:tcBorders>
              <w:top w:val="none" w:sz="0" w:space="0" w:color="auto"/>
              <w:bottom w:val="none" w:sz="0" w:space="0" w:color="auto"/>
            </w:tcBorders>
            <w:tcMar>
              <w:left w:w="0" w:type="dxa"/>
              <w:right w:w="0" w:type="dxa"/>
            </w:tcMar>
          </w:tcPr>
          <w:p w14:paraId="5667FDB7" w14:textId="592B7564"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300</w:t>
            </w:r>
          </w:p>
        </w:tc>
        <w:tc>
          <w:tcPr>
            <w:tcW w:w="278" w:type="pct"/>
            <w:tcBorders>
              <w:top w:val="none" w:sz="0" w:space="0" w:color="auto"/>
              <w:bottom w:val="none" w:sz="0" w:space="0" w:color="auto"/>
            </w:tcBorders>
            <w:tcMar>
              <w:left w:w="0" w:type="dxa"/>
              <w:right w:w="0" w:type="dxa"/>
            </w:tcMar>
          </w:tcPr>
          <w:p w14:paraId="6E7D2ECB" w14:textId="7343689F"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356" w:type="pct"/>
            <w:tcBorders>
              <w:top w:val="none" w:sz="0" w:space="0" w:color="auto"/>
              <w:bottom w:val="none" w:sz="0" w:space="0" w:color="auto"/>
            </w:tcBorders>
            <w:tcMar>
              <w:left w:w="0" w:type="dxa"/>
              <w:right w:w="0" w:type="dxa"/>
            </w:tcMar>
          </w:tcPr>
          <w:p w14:paraId="53790F5E" w14:textId="7C11A028" w:rsidR="002A7965" w:rsidRPr="00237510" w:rsidRDefault="002A7965" w:rsidP="002A7965">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6</w:t>
            </w:r>
          </w:p>
        </w:tc>
      </w:tr>
      <w:tr w:rsidR="00B9313A" w:rsidRPr="00237510" w14:paraId="0B8CE4AD"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3BB4DF6C" w14:textId="77777777" w:rsidR="002A7965" w:rsidRPr="00237510" w:rsidRDefault="002A7965" w:rsidP="002A7965">
            <w:pPr>
              <w:spacing w:after="0"/>
              <w:jc w:val="center"/>
              <w:rPr>
                <w:rFonts w:cs="Arial"/>
                <w:b w:val="0"/>
                <w:color w:val="000000"/>
                <w:sz w:val="18"/>
                <w:szCs w:val="18"/>
                <w:lang w:eastAsia="en-AU"/>
              </w:rPr>
            </w:pPr>
          </w:p>
        </w:tc>
        <w:tc>
          <w:tcPr>
            <w:tcW w:w="1226" w:type="pct"/>
          </w:tcPr>
          <w:p w14:paraId="24EBFA3E" w14:textId="4B3A1D3C"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White-winged Black Tern</w:t>
            </w:r>
          </w:p>
        </w:tc>
        <w:tc>
          <w:tcPr>
            <w:tcW w:w="1230" w:type="pct"/>
          </w:tcPr>
          <w:p w14:paraId="0BEBE55B" w14:textId="0F8066A2" w:rsidR="002A7965" w:rsidRPr="00237510" w:rsidRDefault="002A7965" w:rsidP="002A7965">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Chlidonias leucopterus</w:t>
            </w:r>
          </w:p>
        </w:tc>
        <w:tc>
          <w:tcPr>
            <w:tcW w:w="409" w:type="pct"/>
            <w:tcMar>
              <w:left w:w="0" w:type="dxa"/>
              <w:right w:w="0" w:type="dxa"/>
            </w:tcMar>
          </w:tcPr>
          <w:p w14:paraId="73CA9CD0" w14:textId="4BEE148A"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12</w:t>
            </w:r>
          </w:p>
        </w:tc>
        <w:tc>
          <w:tcPr>
            <w:tcW w:w="410" w:type="pct"/>
            <w:tcMar>
              <w:left w:w="0" w:type="dxa"/>
              <w:right w:w="0" w:type="dxa"/>
            </w:tcMar>
          </w:tcPr>
          <w:p w14:paraId="3EEEBFB7" w14:textId="0796DB1C"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33</w:t>
            </w:r>
          </w:p>
        </w:tc>
        <w:tc>
          <w:tcPr>
            <w:tcW w:w="349" w:type="pct"/>
            <w:tcMar>
              <w:left w:w="0" w:type="dxa"/>
              <w:right w:w="0" w:type="dxa"/>
            </w:tcMar>
          </w:tcPr>
          <w:p w14:paraId="683D9589" w14:textId="41608701"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30</w:t>
            </w:r>
          </w:p>
        </w:tc>
        <w:tc>
          <w:tcPr>
            <w:tcW w:w="278" w:type="pct"/>
            <w:tcMar>
              <w:left w:w="0" w:type="dxa"/>
              <w:right w:w="0" w:type="dxa"/>
            </w:tcMar>
          </w:tcPr>
          <w:p w14:paraId="1D9EA29B"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69D0D51F" w14:textId="77777777" w:rsidR="002A7965" w:rsidRPr="00237510" w:rsidRDefault="002A7965" w:rsidP="002A7965">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r>
      <w:tr w:rsidR="005C457A" w:rsidRPr="00237510" w14:paraId="00F4EA60"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val="restart"/>
            <w:tcBorders>
              <w:top w:val="none" w:sz="0" w:space="0" w:color="auto"/>
              <w:bottom w:val="none" w:sz="0" w:space="0" w:color="auto"/>
              <w:right w:val="none" w:sz="0" w:space="0" w:color="auto"/>
            </w:tcBorders>
          </w:tcPr>
          <w:p w14:paraId="372D6F3B" w14:textId="0B72ADA4" w:rsidR="005E4AC8" w:rsidRPr="00237510" w:rsidRDefault="005E4AC8" w:rsidP="005E4AC8">
            <w:pPr>
              <w:spacing w:after="0"/>
              <w:rPr>
                <w:rFonts w:cs="Arial"/>
                <w:b w:val="0"/>
                <w:color w:val="000000"/>
                <w:sz w:val="18"/>
                <w:szCs w:val="18"/>
                <w:lang w:eastAsia="en-AU"/>
              </w:rPr>
            </w:pPr>
            <w:r w:rsidRPr="00237510">
              <w:rPr>
                <w:rFonts w:cs="Arial"/>
                <w:b w:val="0"/>
                <w:color w:val="000000"/>
                <w:sz w:val="18"/>
                <w:szCs w:val="18"/>
                <w:lang w:eastAsia="en-AU"/>
              </w:rPr>
              <w:t>Small wader: Australian resident shorebird</w:t>
            </w:r>
          </w:p>
        </w:tc>
        <w:tc>
          <w:tcPr>
            <w:tcW w:w="1226" w:type="pct"/>
            <w:tcBorders>
              <w:top w:val="none" w:sz="0" w:space="0" w:color="auto"/>
              <w:bottom w:val="none" w:sz="0" w:space="0" w:color="auto"/>
            </w:tcBorders>
          </w:tcPr>
          <w:p w14:paraId="6510EE9E" w14:textId="3D6AF8E1"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Australasian pied stilt</w:t>
            </w:r>
          </w:p>
        </w:tc>
        <w:tc>
          <w:tcPr>
            <w:tcW w:w="1230" w:type="pct"/>
            <w:tcBorders>
              <w:top w:val="none" w:sz="0" w:space="0" w:color="auto"/>
              <w:bottom w:val="none" w:sz="0" w:space="0" w:color="auto"/>
            </w:tcBorders>
          </w:tcPr>
          <w:p w14:paraId="559F087A" w14:textId="4BDA9A71"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Himantopus himantopus</w:t>
            </w:r>
          </w:p>
        </w:tc>
        <w:tc>
          <w:tcPr>
            <w:tcW w:w="409" w:type="pct"/>
            <w:tcBorders>
              <w:top w:val="none" w:sz="0" w:space="0" w:color="auto"/>
              <w:bottom w:val="none" w:sz="0" w:space="0" w:color="auto"/>
            </w:tcBorders>
            <w:tcMar>
              <w:left w:w="0" w:type="dxa"/>
              <w:right w:w="0" w:type="dxa"/>
            </w:tcMar>
          </w:tcPr>
          <w:p w14:paraId="51150B6F" w14:textId="1C63BE90"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70</w:t>
            </w:r>
          </w:p>
        </w:tc>
        <w:tc>
          <w:tcPr>
            <w:tcW w:w="410" w:type="pct"/>
            <w:tcBorders>
              <w:top w:val="none" w:sz="0" w:space="0" w:color="auto"/>
              <w:bottom w:val="none" w:sz="0" w:space="0" w:color="auto"/>
            </w:tcBorders>
            <w:tcMar>
              <w:left w:w="0" w:type="dxa"/>
              <w:right w:w="0" w:type="dxa"/>
            </w:tcMar>
          </w:tcPr>
          <w:p w14:paraId="2F64765F" w14:textId="3992682A"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230</w:t>
            </w:r>
          </w:p>
        </w:tc>
        <w:tc>
          <w:tcPr>
            <w:tcW w:w="349" w:type="pct"/>
            <w:tcBorders>
              <w:top w:val="none" w:sz="0" w:space="0" w:color="auto"/>
              <w:bottom w:val="none" w:sz="0" w:space="0" w:color="auto"/>
            </w:tcBorders>
            <w:tcMar>
              <w:left w:w="0" w:type="dxa"/>
              <w:right w:w="0" w:type="dxa"/>
            </w:tcMar>
          </w:tcPr>
          <w:p w14:paraId="3C1DD435" w14:textId="31B07C60"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Borders>
              <w:top w:val="none" w:sz="0" w:space="0" w:color="auto"/>
              <w:bottom w:val="none" w:sz="0" w:space="0" w:color="auto"/>
            </w:tcBorders>
            <w:tcMar>
              <w:left w:w="0" w:type="dxa"/>
              <w:right w:w="0" w:type="dxa"/>
            </w:tcMar>
          </w:tcPr>
          <w:p w14:paraId="5F62C9D9"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6BE66671" w14:textId="29A95BFE"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170</w:t>
            </w:r>
          </w:p>
        </w:tc>
      </w:tr>
      <w:tr w:rsidR="00B9313A" w:rsidRPr="00237510" w14:paraId="315474EF"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4ED018F3"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205A0556" w14:textId="51E18EC9"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Australian painted snipe</w:t>
            </w:r>
          </w:p>
        </w:tc>
        <w:tc>
          <w:tcPr>
            <w:tcW w:w="1230" w:type="pct"/>
          </w:tcPr>
          <w:p w14:paraId="388B7821" w14:textId="297A3880"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Rostratula australis</w:t>
            </w:r>
          </w:p>
        </w:tc>
        <w:tc>
          <w:tcPr>
            <w:tcW w:w="409" w:type="pct"/>
            <w:tcMar>
              <w:left w:w="0" w:type="dxa"/>
              <w:right w:w="0" w:type="dxa"/>
            </w:tcMar>
          </w:tcPr>
          <w:p w14:paraId="598C5331"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410" w:type="pct"/>
            <w:tcMar>
              <w:left w:w="0" w:type="dxa"/>
              <w:right w:w="0" w:type="dxa"/>
            </w:tcMar>
          </w:tcPr>
          <w:p w14:paraId="77606A65"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p>
        </w:tc>
        <w:tc>
          <w:tcPr>
            <w:tcW w:w="349" w:type="pct"/>
            <w:tcMar>
              <w:left w:w="0" w:type="dxa"/>
              <w:right w:w="0" w:type="dxa"/>
            </w:tcMar>
          </w:tcPr>
          <w:p w14:paraId="48DE9E99"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278" w:type="pct"/>
            <w:tcMar>
              <w:left w:w="0" w:type="dxa"/>
              <w:right w:w="0" w:type="dxa"/>
            </w:tcMar>
          </w:tcPr>
          <w:p w14:paraId="1F7741CE"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3D2436BB" w14:textId="529117D1"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r>
      <w:tr w:rsidR="005C457A" w:rsidRPr="00237510" w14:paraId="78300AB0"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1016B5DD"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524BAC3C" w14:textId="1AF031F6"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Australian pied oystercatcher</w:t>
            </w:r>
          </w:p>
        </w:tc>
        <w:tc>
          <w:tcPr>
            <w:tcW w:w="1230" w:type="pct"/>
            <w:tcBorders>
              <w:top w:val="none" w:sz="0" w:space="0" w:color="auto"/>
              <w:bottom w:val="none" w:sz="0" w:space="0" w:color="auto"/>
            </w:tcBorders>
          </w:tcPr>
          <w:p w14:paraId="3C1B688B" w14:textId="2D7FA9E9"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Haematopus longirostris</w:t>
            </w:r>
          </w:p>
        </w:tc>
        <w:tc>
          <w:tcPr>
            <w:tcW w:w="409" w:type="pct"/>
            <w:tcBorders>
              <w:top w:val="none" w:sz="0" w:space="0" w:color="auto"/>
              <w:bottom w:val="none" w:sz="0" w:space="0" w:color="auto"/>
            </w:tcBorders>
            <w:tcMar>
              <w:left w:w="0" w:type="dxa"/>
              <w:right w:w="0" w:type="dxa"/>
            </w:tcMar>
          </w:tcPr>
          <w:p w14:paraId="028661CF"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410" w:type="pct"/>
            <w:tcBorders>
              <w:top w:val="none" w:sz="0" w:space="0" w:color="auto"/>
              <w:bottom w:val="none" w:sz="0" w:space="0" w:color="auto"/>
            </w:tcBorders>
            <w:tcMar>
              <w:left w:w="0" w:type="dxa"/>
              <w:right w:w="0" w:type="dxa"/>
            </w:tcMar>
          </w:tcPr>
          <w:p w14:paraId="7862F659"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p>
        </w:tc>
        <w:tc>
          <w:tcPr>
            <w:tcW w:w="349" w:type="pct"/>
            <w:tcBorders>
              <w:top w:val="none" w:sz="0" w:space="0" w:color="auto"/>
              <w:bottom w:val="none" w:sz="0" w:space="0" w:color="auto"/>
            </w:tcBorders>
            <w:tcMar>
              <w:left w:w="0" w:type="dxa"/>
              <w:right w:w="0" w:type="dxa"/>
            </w:tcMar>
          </w:tcPr>
          <w:p w14:paraId="07919E5D" w14:textId="4F01A975"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Borders>
              <w:top w:val="none" w:sz="0" w:space="0" w:color="auto"/>
              <w:bottom w:val="none" w:sz="0" w:space="0" w:color="auto"/>
            </w:tcBorders>
            <w:tcMar>
              <w:left w:w="0" w:type="dxa"/>
              <w:right w:w="0" w:type="dxa"/>
            </w:tcMar>
          </w:tcPr>
          <w:p w14:paraId="7874FAB9"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3AC37A1A"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p>
        </w:tc>
      </w:tr>
      <w:tr w:rsidR="00B9313A" w:rsidRPr="00237510" w14:paraId="204E2D55"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6616FA92"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1A979DF7" w14:textId="62B6691A"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Banded lapwing</w:t>
            </w:r>
          </w:p>
        </w:tc>
        <w:tc>
          <w:tcPr>
            <w:tcW w:w="1230" w:type="pct"/>
          </w:tcPr>
          <w:p w14:paraId="4593C7EC" w14:textId="560652D9"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Vanellus tricolor</w:t>
            </w:r>
          </w:p>
        </w:tc>
        <w:tc>
          <w:tcPr>
            <w:tcW w:w="409" w:type="pct"/>
            <w:tcMar>
              <w:left w:w="0" w:type="dxa"/>
              <w:right w:w="0" w:type="dxa"/>
            </w:tcMar>
          </w:tcPr>
          <w:p w14:paraId="5169959B"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410" w:type="pct"/>
            <w:tcMar>
              <w:left w:w="0" w:type="dxa"/>
              <w:right w:w="0" w:type="dxa"/>
            </w:tcMar>
          </w:tcPr>
          <w:p w14:paraId="5A9D3239"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p>
        </w:tc>
        <w:tc>
          <w:tcPr>
            <w:tcW w:w="349" w:type="pct"/>
            <w:tcMar>
              <w:left w:w="0" w:type="dxa"/>
              <w:right w:w="0" w:type="dxa"/>
            </w:tcMar>
          </w:tcPr>
          <w:p w14:paraId="5B9CA985" w14:textId="277A50F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Mar>
              <w:left w:w="0" w:type="dxa"/>
              <w:right w:w="0" w:type="dxa"/>
            </w:tcMar>
          </w:tcPr>
          <w:p w14:paraId="242033FA"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0276BD70"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r>
      <w:tr w:rsidR="005C457A" w:rsidRPr="00237510" w14:paraId="701F796B"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722DDFD5"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64F0E9EF" w14:textId="741BA9F6"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Banded stilt</w:t>
            </w:r>
          </w:p>
        </w:tc>
        <w:tc>
          <w:tcPr>
            <w:tcW w:w="1230" w:type="pct"/>
            <w:tcBorders>
              <w:top w:val="none" w:sz="0" w:space="0" w:color="auto"/>
              <w:bottom w:val="none" w:sz="0" w:space="0" w:color="auto"/>
            </w:tcBorders>
          </w:tcPr>
          <w:p w14:paraId="094B63E6" w14:textId="06A6F904"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Cladorhynchus leucocephalus</w:t>
            </w:r>
          </w:p>
        </w:tc>
        <w:tc>
          <w:tcPr>
            <w:tcW w:w="409" w:type="pct"/>
            <w:tcBorders>
              <w:top w:val="none" w:sz="0" w:space="0" w:color="auto"/>
              <w:bottom w:val="none" w:sz="0" w:space="0" w:color="auto"/>
            </w:tcBorders>
            <w:tcMar>
              <w:left w:w="0" w:type="dxa"/>
              <w:right w:w="0" w:type="dxa"/>
            </w:tcMar>
          </w:tcPr>
          <w:p w14:paraId="2C441B83" w14:textId="4EABB3FE"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8</w:t>
            </w:r>
          </w:p>
        </w:tc>
        <w:tc>
          <w:tcPr>
            <w:tcW w:w="410" w:type="pct"/>
            <w:tcBorders>
              <w:top w:val="none" w:sz="0" w:space="0" w:color="auto"/>
              <w:bottom w:val="none" w:sz="0" w:space="0" w:color="auto"/>
            </w:tcBorders>
            <w:tcMar>
              <w:left w:w="0" w:type="dxa"/>
              <w:right w:w="0" w:type="dxa"/>
            </w:tcMar>
          </w:tcPr>
          <w:p w14:paraId="4BE049D4" w14:textId="2C24F130"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7</w:t>
            </w:r>
          </w:p>
        </w:tc>
        <w:tc>
          <w:tcPr>
            <w:tcW w:w="349" w:type="pct"/>
            <w:tcBorders>
              <w:top w:val="none" w:sz="0" w:space="0" w:color="auto"/>
              <w:bottom w:val="none" w:sz="0" w:space="0" w:color="auto"/>
            </w:tcBorders>
            <w:tcMar>
              <w:left w:w="0" w:type="dxa"/>
              <w:right w:w="0" w:type="dxa"/>
            </w:tcMar>
          </w:tcPr>
          <w:p w14:paraId="767D30AA"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278" w:type="pct"/>
            <w:tcBorders>
              <w:top w:val="none" w:sz="0" w:space="0" w:color="auto"/>
              <w:bottom w:val="none" w:sz="0" w:space="0" w:color="auto"/>
            </w:tcBorders>
            <w:tcMar>
              <w:left w:w="0" w:type="dxa"/>
              <w:right w:w="0" w:type="dxa"/>
            </w:tcMar>
          </w:tcPr>
          <w:p w14:paraId="3BC0E41E"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71FC1E33"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p>
        </w:tc>
      </w:tr>
      <w:tr w:rsidR="00B9313A" w:rsidRPr="00237510" w14:paraId="0F89815E"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0281F77C"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4EFFFC07" w14:textId="11794F90"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Black-fronted dotterel</w:t>
            </w:r>
          </w:p>
        </w:tc>
        <w:tc>
          <w:tcPr>
            <w:tcW w:w="1230" w:type="pct"/>
          </w:tcPr>
          <w:p w14:paraId="4D748A49" w14:textId="28C1AF89"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Elseyornis melanops</w:t>
            </w:r>
          </w:p>
        </w:tc>
        <w:tc>
          <w:tcPr>
            <w:tcW w:w="409" w:type="pct"/>
            <w:tcMar>
              <w:left w:w="0" w:type="dxa"/>
              <w:right w:w="0" w:type="dxa"/>
            </w:tcMar>
          </w:tcPr>
          <w:p w14:paraId="0AE9F906" w14:textId="2977E95F"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17</w:t>
            </w:r>
          </w:p>
        </w:tc>
        <w:tc>
          <w:tcPr>
            <w:tcW w:w="410" w:type="pct"/>
            <w:tcMar>
              <w:left w:w="0" w:type="dxa"/>
              <w:right w:w="0" w:type="dxa"/>
            </w:tcMar>
          </w:tcPr>
          <w:p w14:paraId="4D03213D" w14:textId="7840A9BD"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21</w:t>
            </w:r>
          </w:p>
        </w:tc>
        <w:tc>
          <w:tcPr>
            <w:tcW w:w="349" w:type="pct"/>
            <w:tcMar>
              <w:left w:w="0" w:type="dxa"/>
              <w:right w:w="0" w:type="dxa"/>
            </w:tcMar>
          </w:tcPr>
          <w:p w14:paraId="0C1EF4A2" w14:textId="63BCBBC2"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278" w:type="pct"/>
            <w:tcMar>
              <w:left w:w="0" w:type="dxa"/>
              <w:right w:w="0" w:type="dxa"/>
            </w:tcMar>
          </w:tcPr>
          <w:p w14:paraId="1A9BABAB"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6115772A" w14:textId="5A7BE44E"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20</w:t>
            </w:r>
          </w:p>
        </w:tc>
      </w:tr>
      <w:tr w:rsidR="005C457A" w:rsidRPr="00237510" w14:paraId="51E35C5F"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934B756"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666A1CF5" w14:textId="0B3ADE73"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Masked lapwing</w:t>
            </w:r>
          </w:p>
        </w:tc>
        <w:tc>
          <w:tcPr>
            <w:tcW w:w="1230" w:type="pct"/>
            <w:tcBorders>
              <w:top w:val="none" w:sz="0" w:space="0" w:color="auto"/>
              <w:bottom w:val="none" w:sz="0" w:space="0" w:color="auto"/>
            </w:tcBorders>
          </w:tcPr>
          <w:p w14:paraId="0FE5BE1F" w14:textId="396F2F5A"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Vanellus miles</w:t>
            </w:r>
          </w:p>
        </w:tc>
        <w:tc>
          <w:tcPr>
            <w:tcW w:w="409" w:type="pct"/>
            <w:tcBorders>
              <w:top w:val="none" w:sz="0" w:space="0" w:color="auto"/>
              <w:bottom w:val="none" w:sz="0" w:space="0" w:color="auto"/>
            </w:tcBorders>
            <w:tcMar>
              <w:left w:w="0" w:type="dxa"/>
              <w:right w:w="0" w:type="dxa"/>
            </w:tcMar>
          </w:tcPr>
          <w:p w14:paraId="7BBB59F0" w14:textId="79786483"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18</w:t>
            </w:r>
          </w:p>
        </w:tc>
        <w:tc>
          <w:tcPr>
            <w:tcW w:w="410" w:type="pct"/>
            <w:tcBorders>
              <w:top w:val="none" w:sz="0" w:space="0" w:color="auto"/>
              <w:bottom w:val="none" w:sz="0" w:space="0" w:color="auto"/>
            </w:tcBorders>
            <w:tcMar>
              <w:left w:w="0" w:type="dxa"/>
              <w:right w:w="0" w:type="dxa"/>
            </w:tcMar>
          </w:tcPr>
          <w:p w14:paraId="5D76529B" w14:textId="1AB4E71C"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28</w:t>
            </w:r>
          </w:p>
        </w:tc>
        <w:tc>
          <w:tcPr>
            <w:tcW w:w="349" w:type="pct"/>
            <w:tcBorders>
              <w:top w:val="none" w:sz="0" w:space="0" w:color="auto"/>
              <w:bottom w:val="none" w:sz="0" w:space="0" w:color="auto"/>
            </w:tcBorders>
            <w:tcMar>
              <w:left w:w="0" w:type="dxa"/>
              <w:right w:w="0" w:type="dxa"/>
            </w:tcMar>
          </w:tcPr>
          <w:p w14:paraId="1F4BFF6B" w14:textId="2912D7D8"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18</w:t>
            </w:r>
          </w:p>
        </w:tc>
        <w:tc>
          <w:tcPr>
            <w:tcW w:w="278" w:type="pct"/>
            <w:tcBorders>
              <w:top w:val="none" w:sz="0" w:space="0" w:color="auto"/>
              <w:bottom w:val="none" w:sz="0" w:space="0" w:color="auto"/>
            </w:tcBorders>
            <w:tcMar>
              <w:left w:w="0" w:type="dxa"/>
              <w:right w:w="0" w:type="dxa"/>
            </w:tcMar>
          </w:tcPr>
          <w:p w14:paraId="4192700E" w14:textId="4446703F"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356" w:type="pct"/>
            <w:tcBorders>
              <w:top w:val="none" w:sz="0" w:space="0" w:color="auto"/>
              <w:bottom w:val="none" w:sz="0" w:space="0" w:color="auto"/>
            </w:tcBorders>
            <w:tcMar>
              <w:left w:w="0" w:type="dxa"/>
              <w:right w:w="0" w:type="dxa"/>
            </w:tcMar>
          </w:tcPr>
          <w:p w14:paraId="29E1AE2A" w14:textId="3DE6A2B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38</w:t>
            </w:r>
          </w:p>
        </w:tc>
      </w:tr>
      <w:tr w:rsidR="00B9313A" w:rsidRPr="00237510" w14:paraId="57A43BF7"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1A5B7D8F"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42EC90A5" w14:textId="0310932A"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Red-capped plover</w:t>
            </w:r>
          </w:p>
        </w:tc>
        <w:tc>
          <w:tcPr>
            <w:tcW w:w="1230" w:type="pct"/>
          </w:tcPr>
          <w:p w14:paraId="0875DE8A" w14:textId="2EB433A5"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Charadrius ruficapillus</w:t>
            </w:r>
          </w:p>
        </w:tc>
        <w:tc>
          <w:tcPr>
            <w:tcW w:w="409" w:type="pct"/>
            <w:tcMar>
              <w:left w:w="0" w:type="dxa"/>
              <w:right w:w="0" w:type="dxa"/>
            </w:tcMar>
          </w:tcPr>
          <w:p w14:paraId="2CE70A62" w14:textId="522E1DB4"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410" w:type="pct"/>
            <w:tcMar>
              <w:left w:w="0" w:type="dxa"/>
              <w:right w:w="0" w:type="dxa"/>
            </w:tcMar>
          </w:tcPr>
          <w:p w14:paraId="3686188F" w14:textId="4E365749"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125</w:t>
            </w:r>
          </w:p>
        </w:tc>
        <w:tc>
          <w:tcPr>
            <w:tcW w:w="349" w:type="pct"/>
            <w:tcMar>
              <w:left w:w="0" w:type="dxa"/>
              <w:right w:w="0" w:type="dxa"/>
            </w:tcMar>
          </w:tcPr>
          <w:p w14:paraId="51690050" w14:textId="5E4F3569"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Mar>
              <w:left w:w="0" w:type="dxa"/>
              <w:right w:w="0" w:type="dxa"/>
            </w:tcMar>
          </w:tcPr>
          <w:p w14:paraId="443DD926"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13C069B7" w14:textId="69783969"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w:t>
            </w:r>
          </w:p>
        </w:tc>
      </w:tr>
      <w:tr w:rsidR="005C457A" w:rsidRPr="00237510" w14:paraId="6E849F41"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529D4C32"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7780EF5B" w14:textId="55728176"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Red-kneed dotterel</w:t>
            </w:r>
          </w:p>
        </w:tc>
        <w:tc>
          <w:tcPr>
            <w:tcW w:w="1230" w:type="pct"/>
            <w:tcBorders>
              <w:top w:val="none" w:sz="0" w:space="0" w:color="auto"/>
              <w:bottom w:val="none" w:sz="0" w:space="0" w:color="auto"/>
            </w:tcBorders>
          </w:tcPr>
          <w:p w14:paraId="286B640E" w14:textId="5139D183"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Erythrogonys cinctus</w:t>
            </w:r>
          </w:p>
        </w:tc>
        <w:tc>
          <w:tcPr>
            <w:tcW w:w="409" w:type="pct"/>
            <w:tcBorders>
              <w:top w:val="none" w:sz="0" w:space="0" w:color="auto"/>
              <w:bottom w:val="none" w:sz="0" w:space="0" w:color="auto"/>
            </w:tcBorders>
            <w:tcMar>
              <w:left w:w="0" w:type="dxa"/>
              <w:right w:w="0" w:type="dxa"/>
            </w:tcMar>
          </w:tcPr>
          <w:p w14:paraId="3AEA3970" w14:textId="32276BCD"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2</w:t>
            </w:r>
          </w:p>
        </w:tc>
        <w:tc>
          <w:tcPr>
            <w:tcW w:w="410" w:type="pct"/>
            <w:tcBorders>
              <w:top w:val="none" w:sz="0" w:space="0" w:color="auto"/>
              <w:bottom w:val="none" w:sz="0" w:space="0" w:color="auto"/>
            </w:tcBorders>
            <w:tcMar>
              <w:left w:w="0" w:type="dxa"/>
              <w:right w:w="0" w:type="dxa"/>
            </w:tcMar>
          </w:tcPr>
          <w:p w14:paraId="46AA5B0C" w14:textId="2D5F6FD1"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8</w:t>
            </w:r>
          </w:p>
        </w:tc>
        <w:tc>
          <w:tcPr>
            <w:tcW w:w="349" w:type="pct"/>
            <w:tcBorders>
              <w:top w:val="none" w:sz="0" w:space="0" w:color="auto"/>
              <w:bottom w:val="none" w:sz="0" w:space="0" w:color="auto"/>
            </w:tcBorders>
            <w:tcMar>
              <w:left w:w="0" w:type="dxa"/>
              <w:right w:w="0" w:type="dxa"/>
            </w:tcMar>
          </w:tcPr>
          <w:p w14:paraId="1073C1A4" w14:textId="6A75832F"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Borders>
              <w:top w:val="none" w:sz="0" w:space="0" w:color="auto"/>
              <w:bottom w:val="none" w:sz="0" w:space="0" w:color="auto"/>
            </w:tcBorders>
            <w:tcMar>
              <w:left w:w="0" w:type="dxa"/>
              <w:right w:w="0" w:type="dxa"/>
            </w:tcMar>
          </w:tcPr>
          <w:p w14:paraId="43D861BB"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5F2A22C4" w14:textId="699C4EDF"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25</w:t>
            </w:r>
          </w:p>
        </w:tc>
      </w:tr>
      <w:tr w:rsidR="00B9313A" w:rsidRPr="00237510" w14:paraId="03F9479F"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70DE6996"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1F858BC4" w14:textId="5BDBAAB4"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Red-necked avocet</w:t>
            </w:r>
          </w:p>
        </w:tc>
        <w:tc>
          <w:tcPr>
            <w:tcW w:w="1230" w:type="pct"/>
          </w:tcPr>
          <w:p w14:paraId="614FA3CF" w14:textId="5F462DA1"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Recurvirostra novaehollandiae</w:t>
            </w:r>
          </w:p>
        </w:tc>
        <w:tc>
          <w:tcPr>
            <w:tcW w:w="409" w:type="pct"/>
            <w:tcMar>
              <w:left w:w="0" w:type="dxa"/>
              <w:right w:w="0" w:type="dxa"/>
            </w:tcMar>
          </w:tcPr>
          <w:p w14:paraId="474C3296" w14:textId="225161F1"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0</w:t>
            </w:r>
          </w:p>
        </w:tc>
        <w:tc>
          <w:tcPr>
            <w:tcW w:w="410" w:type="pct"/>
            <w:tcMar>
              <w:left w:w="0" w:type="dxa"/>
              <w:right w:w="0" w:type="dxa"/>
            </w:tcMar>
          </w:tcPr>
          <w:p w14:paraId="513D7E08" w14:textId="272715F9"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30</w:t>
            </w:r>
          </w:p>
        </w:tc>
        <w:tc>
          <w:tcPr>
            <w:tcW w:w="349" w:type="pct"/>
            <w:tcMar>
              <w:left w:w="0" w:type="dxa"/>
              <w:right w:w="0" w:type="dxa"/>
            </w:tcMar>
          </w:tcPr>
          <w:p w14:paraId="3F18D512"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278" w:type="pct"/>
            <w:tcMar>
              <w:left w:w="0" w:type="dxa"/>
              <w:right w:w="0" w:type="dxa"/>
            </w:tcMar>
          </w:tcPr>
          <w:p w14:paraId="36B2D70D"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05F0DA74" w14:textId="2182A682"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15</w:t>
            </w:r>
          </w:p>
        </w:tc>
      </w:tr>
      <w:tr w:rsidR="005C457A" w:rsidRPr="00237510" w14:paraId="0C886342"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val="restart"/>
            <w:tcBorders>
              <w:top w:val="none" w:sz="0" w:space="0" w:color="auto"/>
              <w:bottom w:val="none" w:sz="0" w:space="0" w:color="auto"/>
              <w:right w:val="none" w:sz="0" w:space="0" w:color="auto"/>
            </w:tcBorders>
          </w:tcPr>
          <w:p w14:paraId="0D3D4A13" w14:textId="7D2E9515" w:rsidR="005E4AC8" w:rsidRPr="00237510" w:rsidRDefault="005E4AC8" w:rsidP="005E4AC8">
            <w:pPr>
              <w:spacing w:after="0"/>
              <w:rPr>
                <w:rFonts w:cs="Arial"/>
                <w:b w:val="0"/>
                <w:color w:val="000000"/>
                <w:sz w:val="18"/>
                <w:szCs w:val="18"/>
                <w:lang w:eastAsia="en-AU"/>
              </w:rPr>
            </w:pPr>
            <w:r w:rsidRPr="00237510">
              <w:rPr>
                <w:rFonts w:cs="Arial"/>
                <w:b w:val="0"/>
                <w:color w:val="000000"/>
                <w:sz w:val="18"/>
                <w:szCs w:val="18"/>
                <w:lang w:eastAsia="en-AU"/>
              </w:rPr>
              <w:t>Small wader: Migratory shorebird</w:t>
            </w:r>
          </w:p>
        </w:tc>
        <w:tc>
          <w:tcPr>
            <w:tcW w:w="1226" w:type="pct"/>
            <w:tcBorders>
              <w:top w:val="none" w:sz="0" w:space="0" w:color="auto"/>
              <w:bottom w:val="none" w:sz="0" w:space="0" w:color="auto"/>
            </w:tcBorders>
          </w:tcPr>
          <w:p w14:paraId="034F6DEF" w14:textId="531594C5"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Bar-tailed godwit</w:t>
            </w:r>
          </w:p>
        </w:tc>
        <w:tc>
          <w:tcPr>
            <w:tcW w:w="1230" w:type="pct"/>
            <w:tcBorders>
              <w:top w:val="none" w:sz="0" w:space="0" w:color="auto"/>
              <w:bottom w:val="none" w:sz="0" w:space="0" w:color="auto"/>
            </w:tcBorders>
          </w:tcPr>
          <w:p w14:paraId="193911B0" w14:textId="68A223A6"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Limosa lapponica</w:t>
            </w:r>
          </w:p>
        </w:tc>
        <w:tc>
          <w:tcPr>
            <w:tcW w:w="409" w:type="pct"/>
            <w:tcBorders>
              <w:top w:val="none" w:sz="0" w:space="0" w:color="auto"/>
              <w:bottom w:val="none" w:sz="0" w:space="0" w:color="auto"/>
            </w:tcBorders>
            <w:tcMar>
              <w:left w:w="0" w:type="dxa"/>
              <w:right w:w="0" w:type="dxa"/>
            </w:tcMar>
          </w:tcPr>
          <w:p w14:paraId="3D6858B1"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410" w:type="pct"/>
            <w:tcBorders>
              <w:top w:val="none" w:sz="0" w:space="0" w:color="auto"/>
              <w:bottom w:val="none" w:sz="0" w:space="0" w:color="auto"/>
            </w:tcBorders>
            <w:tcMar>
              <w:left w:w="0" w:type="dxa"/>
              <w:right w:w="0" w:type="dxa"/>
            </w:tcMar>
          </w:tcPr>
          <w:p w14:paraId="671F6147"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p>
        </w:tc>
        <w:tc>
          <w:tcPr>
            <w:tcW w:w="349" w:type="pct"/>
            <w:tcBorders>
              <w:top w:val="none" w:sz="0" w:space="0" w:color="auto"/>
              <w:bottom w:val="none" w:sz="0" w:space="0" w:color="auto"/>
            </w:tcBorders>
            <w:tcMar>
              <w:left w:w="0" w:type="dxa"/>
              <w:right w:w="0" w:type="dxa"/>
            </w:tcMar>
          </w:tcPr>
          <w:p w14:paraId="39E3DEF9" w14:textId="7D3C0F25"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Borders>
              <w:top w:val="none" w:sz="0" w:space="0" w:color="auto"/>
              <w:bottom w:val="none" w:sz="0" w:space="0" w:color="auto"/>
            </w:tcBorders>
            <w:tcMar>
              <w:left w:w="0" w:type="dxa"/>
              <w:right w:w="0" w:type="dxa"/>
            </w:tcMar>
          </w:tcPr>
          <w:p w14:paraId="75EDCBCC"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3EB04D0B" w14:textId="0F821D50"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x</w:t>
            </w:r>
          </w:p>
        </w:tc>
      </w:tr>
      <w:tr w:rsidR="00B9313A" w:rsidRPr="00237510" w14:paraId="74EC5C3F"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6754A0A8"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34A44A63" w14:textId="51F8B47B"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Common greenshank</w:t>
            </w:r>
          </w:p>
        </w:tc>
        <w:tc>
          <w:tcPr>
            <w:tcW w:w="1230" w:type="pct"/>
          </w:tcPr>
          <w:p w14:paraId="1DC68D63" w14:textId="1B5231BC"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Tringa nebularia</w:t>
            </w:r>
          </w:p>
        </w:tc>
        <w:tc>
          <w:tcPr>
            <w:tcW w:w="409" w:type="pct"/>
            <w:tcMar>
              <w:left w:w="0" w:type="dxa"/>
              <w:right w:w="0" w:type="dxa"/>
            </w:tcMar>
          </w:tcPr>
          <w:p w14:paraId="652AC523" w14:textId="3B4AB45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52</w:t>
            </w:r>
          </w:p>
        </w:tc>
        <w:tc>
          <w:tcPr>
            <w:tcW w:w="410" w:type="pct"/>
            <w:tcMar>
              <w:left w:w="0" w:type="dxa"/>
              <w:right w:w="0" w:type="dxa"/>
            </w:tcMar>
          </w:tcPr>
          <w:p w14:paraId="34D9B611" w14:textId="3BF54C8A"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135</w:t>
            </w:r>
          </w:p>
        </w:tc>
        <w:tc>
          <w:tcPr>
            <w:tcW w:w="349" w:type="pct"/>
            <w:tcMar>
              <w:left w:w="0" w:type="dxa"/>
              <w:right w:w="0" w:type="dxa"/>
            </w:tcMar>
          </w:tcPr>
          <w:p w14:paraId="1F2A88AA" w14:textId="7D804CA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Mar>
              <w:left w:w="0" w:type="dxa"/>
              <w:right w:w="0" w:type="dxa"/>
            </w:tcMar>
          </w:tcPr>
          <w:p w14:paraId="3DC9971B"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79B6CD3B" w14:textId="51EAEFF2"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15</w:t>
            </w:r>
          </w:p>
        </w:tc>
      </w:tr>
      <w:tr w:rsidR="005C457A" w:rsidRPr="00237510" w14:paraId="0387824B"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A9BDAFE"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382D10B9" w14:textId="5EBC2955"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Curlew sandpiper</w:t>
            </w:r>
          </w:p>
        </w:tc>
        <w:tc>
          <w:tcPr>
            <w:tcW w:w="1230" w:type="pct"/>
            <w:tcBorders>
              <w:top w:val="none" w:sz="0" w:space="0" w:color="auto"/>
              <w:bottom w:val="none" w:sz="0" w:space="0" w:color="auto"/>
            </w:tcBorders>
          </w:tcPr>
          <w:p w14:paraId="33E769DE" w14:textId="5D4BB5DC"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Calidris ferruginea</w:t>
            </w:r>
          </w:p>
        </w:tc>
        <w:tc>
          <w:tcPr>
            <w:tcW w:w="409" w:type="pct"/>
            <w:tcBorders>
              <w:top w:val="none" w:sz="0" w:space="0" w:color="auto"/>
              <w:bottom w:val="none" w:sz="0" w:space="0" w:color="auto"/>
            </w:tcBorders>
            <w:tcMar>
              <w:left w:w="0" w:type="dxa"/>
              <w:right w:w="0" w:type="dxa"/>
            </w:tcMar>
          </w:tcPr>
          <w:p w14:paraId="4FD52943" w14:textId="3C8C972F"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410" w:type="pct"/>
            <w:tcBorders>
              <w:top w:val="none" w:sz="0" w:space="0" w:color="auto"/>
              <w:bottom w:val="none" w:sz="0" w:space="0" w:color="auto"/>
            </w:tcBorders>
            <w:tcMar>
              <w:left w:w="0" w:type="dxa"/>
              <w:right w:w="0" w:type="dxa"/>
            </w:tcMar>
          </w:tcPr>
          <w:p w14:paraId="3F9CD159"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p>
        </w:tc>
        <w:tc>
          <w:tcPr>
            <w:tcW w:w="349" w:type="pct"/>
            <w:tcBorders>
              <w:top w:val="none" w:sz="0" w:space="0" w:color="auto"/>
              <w:bottom w:val="none" w:sz="0" w:space="0" w:color="auto"/>
            </w:tcBorders>
            <w:tcMar>
              <w:left w:w="0" w:type="dxa"/>
              <w:right w:w="0" w:type="dxa"/>
            </w:tcMar>
          </w:tcPr>
          <w:p w14:paraId="7E180D48" w14:textId="13FEE813"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Borders>
              <w:top w:val="none" w:sz="0" w:space="0" w:color="auto"/>
              <w:bottom w:val="none" w:sz="0" w:space="0" w:color="auto"/>
            </w:tcBorders>
            <w:tcMar>
              <w:left w:w="0" w:type="dxa"/>
              <w:right w:w="0" w:type="dxa"/>
            </w:tcMar>
          </w:tcPr>
          <w:p w14:paraId="7BC28E12"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71D13FBF" w14:textId="6145268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40</w:t>
            </w:r>
          </w:p>
        </w:tc>
      </w:tr>
      <w:tr w:rsidR="00B9313A" w:rsidRPr="00237510" w14:paraId="579B70FD"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009E2D20"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4F35C8BD" w14:textId="5AFB1100"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Double-banded plover</w:t>
            </w:r>
          </w:p>
        </w:tc>
        <w:tc>
          <w:tcPr>
            <w:tcW w:w="1230" w:type="pct"/>
          </w:tcPr>
          <w:p w14:paraId="5D62E9A1" w14:textId="271637AB"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Charadrius bicinctus</w:t>
            </w:r>
          </w:p>
        </w:tc>
        <w:tc>
          <w:tcPr>
            <w:tcW w:w="409" w:type="pct"/>
            <w:tcMar>
              <w:left w:w="0" w:type="dxa"/>
              <w:right w:w="0" w:type="dxa"/>
            </w:tcMar>
          </w:tcPr>
          <w:p w14:paraId="36A9AB2B"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410" w:type="pct"/>
            <w:tcMar>
              <w:left w:w="0" w:type="dxa"/>
              <w:right w:w="0" w:type="dxa"/>
            </w:tcMar>
          </w:tcPr>
          <w:p w14:paraId="261856C2" w14:textId="1A627304"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3</w:t>
            </w:r>
          </w:p>
        </w:tc>
        <w:tc>
          <w:tcPr>
            <w:tcW w:w="349" w:type="pct"/>
            <w:tcMar>
              <w:left w:w="0" w:type="dxa"/>
              <w:right w:w="0" w:type="dxa"/>
            </w:tcMar>
          </w:tcPr>
          <w:p w14:paraId="0EC5048E" w14:textId="3A1808DE"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Mar>
              <w:left w:w="0" w:type="dxa"/>
              <w:right w:w="0" w:type="dxa"/>
            </w:tcMar>
          </w:tcPr>
          <w:p w14:paraId="374C7847"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0BAF1A95" w14:textId="1BDF3EDE"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15</w:t>
            </w:r>
          </w:p>
        </w:tc>
      </w:tr>
      <w:tr w:rsidR="005C457A" w:rsidRPr="00237510" w14:paraId="456028ED"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014A6FDB"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1FB1E526" w14:textId="5E7B8F22"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Eastern curlew</w:t>
            </w:r>
          </w:p>
        </w:tc>
        <w:tc>
          <w:tcPr>
            <w:tcW w:w="1230" w:type="pct"/>
            <w:tcBorders>
              <w:top w:val="none" w:sz="0" w:space="0" w:color="auto"/>
              <w:bottom w:val="none" w:sz="0" w:space="0" w:color="auto"/>
            </w:tcBorders>
          </w:tcPr>
          <w:p w14:paraId="06B0AC50" w14:textId="452EE5F1"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Numenius madagascariensis</w:t>
            </w:r>
          </w:p>
        </w:tc>
        <w:tc>
          <w:tcPr>
            <w:tcW w:w="409" w:type="pct"/>
            <w:tcBorders>
              <w:top w:val="none" w:sz="0" w:space="0" w:color="auto"/>
              <w:bottom w:val="none" w:sz="0" w:space="0" w:color="auto"/>
            </w:tcBorders>
            <w:tcMar>
              <w:left w:w="0" w:type="dxa"/>
              <w:right w:w="0" w:type="dxa"/>
            </w:tcMar>
          </w:tcPr>
          <w:p w14:paraId="42CF3F4F"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410" w:type="pct"/>
            <w:tcBorders>
              <w:top w:val="none" w:sz="0" w:space="0" w:color="auto"/>
              <w:bottom w:val="none" w:sz="0" w:space="0" w:color="auto"/>
            </w:tcBorders>
            <w:tcMar>
              <w:left w:w="0" w:type="dxa"/>
              <w:right w:w="0" w:type="dxa"/>
            </w:tcMar>
          </w:tcPr>
          <w:p w14:paraId="23BC8B69" w14:textId="3268AF03"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x</w:t>
            </w:r>
          </w:p>
        </w:tc>
        <w:tc>
          <w:tcPr>
            <w:tcW w:w="349" w:type="pct"/>
            <w:tcBorders>
              <w:top w:val="none" w:sz="0" w:space="0" w:color="auto"/>
              <w:bottom w:val="none" w:sz="0" w:space="0" w:color="auto"/>
            </w:tcBorders>
            <w:tcMar>
              <w:left w:w="0" w:type="dxa"/>
              <w:right w:w="0" w:type="dxa"/>
            </w:tcMar>
          </w:tcPr>
          <w:p w14:paraId="133D04E1" w14:textId="279909E2"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Borders>
              <w:top w:val="none" w:sz="0" w:space="0" w:color="auto"/>
              <w:bottom w:val="none" w:sz="0" w:space="0" w:color="auto"/>
            </w:tcBorders>
            <w:tcMar>
              <w:left w:w="0" w:type="dxa"/>
              <w:right w:w="0" w:type="dxa"/>
            </w:tcMar>
          </w:tcPr>
          <w:p w14:paraId="26F0D507"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0029243F"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p>
        </w:tc>
      </w:tr>
      <w:tr w:rsidR="00B9313A" w:rsidRPr="00237510" w14:paraId="17FFBF34"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150EF41A"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79B74FCD" w14:textId="27425F45"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Latham's snipe</w:t>
            </w:r>
          </w:p>
        </w:tc>
        <w:tc>
          <w:tcPr>
            <w:tcW w:w="1230" w:type="pct"/>
          </w:tcPr>
          <w:p w14:paraId="087D5AD2" w14:textId="12BC8C65"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Gallinago hardwickii</w:t>
            </w:r>
          </w:p>
        </w:tc>
        <w:tc>
          <w:tcPr>
            <w:tcW w:w="409" w:type="pct"/>
            <w:tcMar>
              <w:left w:w="0" w:type="dxa"/>
              <w:right w:w="0" w:type="dxa"/>
            </w:tcMar>
          </w:tcPr>
          <w:p w14:paraId="4C11DAC4" w14:textId="6662BC6E"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7</w:t>
            </w:r>
          </w:p>
        </w:tc>
        <w:tc>
          <w:tcPr>
            <w:tcW w:w="410" w:type="pct"/>
            <w:tcMar>
              <w:left w:w="0" w:type="dxa"/>
              <w:right w:w="0" w:type="dxa"/>
            </w:tcMar>
          </w:tcPr>
          <w:p w14:paraId="64027F0C" w14:textId="74E3BB93"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55</w:t>
            </w:r>
          </w:p>
        </w:tc>
        <w:tc>
          <w:tcPr>
            <w:tcW w:w="349" w:type="pct"/>
            <w:tcMar>
              <w:left w:w="0" w:type="dxa"/>
              <w:right w:w="0" w:type="dxa"/>
            </w:tcMar>
          </w:tcPr>
          <w:p w14:paraId="4ED0D423" w14:textId="5F9FDAA8"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2</w:t>
            </w:r>
          </w:p>
        </w:tc>
        <w:tc>
          <w:tcPr>
            <w:tcW w:w="278" w:type="pct"/>
            <w:tcMar>
              <w:left w:w="0" w:type="dxa"/>
              <w:right w:w="0" w:type="dxa"/>
            </w:tcMar>
          </w:tcPr>
          <w:p w14:paraId="3C672851"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5C8290F4" w14:textId="12943A5F"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15</w:t>
            </w:r>
          </w:p>
        </w:tc>
      </w:tr>
      <w:tr w:rsidR="005C457A" w:rsidRPr="00237510" w14:paraId="52589C8E"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4956EA35"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2663D590" w14:textId="5B901218"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Marsh sandpiper</w:t>
            </w:r>
          </w:p>
        </w:tc>
        <w:tc>
          <w:tcPr>
            <w:tcW w:w="1230" w:type="pct"/>
            <w:tcBorders>
              <w:top w:val="none" w:sz="0" w:space="0" w:color="auto"/>
              <w:bottom w:val="none" w:sz="0" w:space="0" w:color="auto"/>
            </w:tcBorders>
          </w:tcPr>
          <w:p w14:paraId="5F04B4C6" w14:textId="41131CC7"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Tringa stagnatilis</w:t>
            </w:r>
          </w:p>
        </w:tc>
        <w:tc>
          <w:tcPr>
            <w:tcW w:w="409" w:type="pct"/>
            <w:tcBorders>
              <w:top w:val="none" w:sz="0" w:space="0" w:color="auto"/>
              <w:bottom w:val="none" w:sz="0" w:space="0" w:color="auto"/>
            </w:tcBorders>
            <w:tcMar>
              <w:left w:w="0" w:type="dxa"/>
              <w:right w:w="0" w:type="dxa"/>
            </w:tcMar>
          </w:tcPr>
          <w:p w14:paraId="52980A5D" w14:textId="1543D404"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410" w:type="pct"/>
            <w:tcBorders>
              <w:top w:val="none" w:sz="0" w:space="0" w:color="auto"/>
              <w:bottom w:val="none" w:sz="0" w:space="0" w:color="auto"/>
            </w:tcBorders>
            <w:tcMar>
              <w:left w:w="0" w:type="dxa"/>
              <w:right w:w="0" w:type="dxa"/>
            </w:tcMar>
          </w:tcPr>
          <w:p w14:paraId="2DD263FC" w14:textId="66294922"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w:t>
            </w:r>
          </w:p>
        </w:tc>
        <w:tc>
          <w:tcPr>
            <w:tcW w:w="349" w:type="pct"/>
            <w:tcBorders>
              <w:top w:val="none" w:sz="0" w:space="0" w:color="auto"/>
              <w:bottom w:val="none" w:sz="0" w:space="0" w:color="auto"/>
            </w:tcBorders>
            <w:tcMar>
              <w:left w:w="0" w:type="dxa"/>
              <w:right w:w="0" w:type="dxa"/>
            </w:tcMar>
          </w:tcPr>
          <w:p w14:paraId="7B5277FC"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278" w:type="pct"/>
            <w:tcBorders>
              <w:top w:val="none" w:sz="0" w:space="0" w:color="auto"/>
              <w:bottom w:val="none" w:sz="0" w:space="0" w:color="auto"/>
            </w:tcBorders>
            <w:tcMar>
              <w:left w:w="0" w:type="dxa"/>
              <w:right w:w="0" w:type="dxa"/>
            </w:tcMar>
          </w:tcPr>
          <w:p w14:paraId="25D1FCA7"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03D6611F" w14:textId="58E79995"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2</w:t>
            </w:r>
          </w:p>
        </w:tc>
      </w:tr>
      <w:tr w:rsidR="00B9313A" w:rsidRPr="00237510" w14:paraId="55AE9C21"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2C7AD991"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7FF94B51" w14:textId="23FDF5DD"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Red-necked stint</w:t>
            </w:r>
          </w:p>
        </w:tc>
        <w:tc>
          <w:tcPr>
            <w:tcW w:w="1230" w:type="pct"/>
          </w:tcPr>
          <w:p w14:paraId="19CB52BF" w14:textId="215F2B2A"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Calidris ruficollis</w:t>
            </w:r>
          </w:p>
        </w:tc>
        <w:tc>
          <w:tcPr>
            <w:tcW w:w="409" w:type="pct"/>
            <w:tcMar>
              <w:left w:w="0" w:type="dxa"/>
              <w:right w:w="0" w:type="dxa"/>
            </w:tcMar>
          </w:tcPr>
          <w:p w14:paraId="283227A7" w14:textId="5B07A4A0"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38</w:t>
            </w:r>
          </w:p>
        </w:tc>
        <w:tc>
          <w:tcPr>
            <w:tcW w:w="410" w:type="pct"/>
            <w:tcMar>
              <w:left w:w="0" w:type="dxa"/>
              <w:right w:w="0" w:type="dxa"/>
            </w:tcMar>
          </w:tcPr>
          <w:p w14:paraId="27280956" w14:textId="4F437B12"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150</w:t>
            </w:r>
          </w:p>
        </w:tc>
        <w:tc>
          <w:tcPr>
            <w:tcW w:w="349" w:type="pct"/>
            <w:tcMar>
              <w:left w:w="0" w:type="dxa"/>
              <w:right w:w="0" w:type="dxa"/>
            </w:tcMar>
          </w:tcPr>
          <w:p w14:paraId="45FAEFA6" w14:textId="53618548"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Mar>
              <w:left w:w="0" w:type="dxa"/>
              <w:right w:w="0" w:type="dxa"/>
            </w:tcMar>
          </w:tcPr>
          <w:p w14:paraId="46C8911D"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1773EF43" w14:textId="11EF02EE"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w:t>
            </w:r>
          </w:p>
        </w:tc>
      </w:tr>
      <w:tr w:rsidR="005C457A" w:rsidRPr="00237510" w14:paraId="3CF96D41"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6A88012"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29460377" w14:textId="3F727AC6"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Sharp-tailed sandpiper</w:t>
            </w:r>
          </w:p>
        </w:tc>
        <w:tc>
          <w:tcPr>
            <w:tcW w:w="1230" w:type="pct"/>
            <w:tcBorders>
              <w:top w:val="none" w:sz="0" w:space="0" w:color="auto"/>
              <w:bottom w:val="none" w:sz="0" w:space="0" w:color="auto"/>
            </w:tcBorders>
          </w:tcPr>
          <w:p w14:paraId="7DFFA64C" w14:textId="31C71772"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Calidris acuminata</w:t>
            </w:r>
          </w:p>
        </w:tc>
        <w:tc>
          <w:tcPr>
            <w:tcW w:w="409" w:type="pct"/>
            <w:tcBorders>
              <w:top w:val="none" w:sz="0" w:space="0" w:color="auto"/>
              <w:bottom w:val="none" w:sz="0" w:space="0" w:color="auto"/>
            </w:tcBorders>
            <w:tcMar>
              <w:left w:w="0" w:type="dxa"/>
              <w:right w:w="0" w:type="dxa"/>
            </w:tcMar>
          </w:tcPr>
          <w:p w14:paraId="539BA90B" w14:textId="3DDB3DD1"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250</w:t>
            </w:r>
          </w:p>
        </w:tc>
        <w:tc>
          <w:tcPr>
            <w:tcW w:w="410" w:type="pct"/>
            <w:tcBorders>
              <w:top w:val="none" w:sz="0" w:space="0" w:color="auto"/>
              <w:bottom w:val="none" w:sz="0" w:space="0" w:color="auto"/>
            </w:tcBorders>
            <w:tcMar>
              <w:left w:w="0" w:type="dxa"/>
              <w:right w:w="0" w:type="dxa"/>
            </w:tcMar>
          </w:tcPr>
          <w:p w14:paraId="15B0F985" w14:textId="1EDF46C1"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200</w:t>
            </w:r>
          </w:p>
        </w:tc>
        <w:tc>
          <w:tcPr>
            <w:tcW w:w="349" w:type="pct"/>
            <w:tcBorders>
              <w:top w:val="none" w:sz="0" w:space="0" w:color="auto"/>
              <w:bottom w:val="none" w:sz="0" w:space="0" w:color="auto"/>
            </w:tcBorders>
            <w:tcMar>
              <w:left w:w="0" w:type="dxa"/>
              <w:right w:w="0" w:type="dxa"/>
            </w:tcMar>
          </w:tcPr>
          <w:p w14:paraId="416113B8" w14:textId="76AA2D0E"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30</w:t>
            </w:r>
          </w:p>
        </w:tc>
        <w:tc>
          <w:tcPr>
            <w:tcW w:w="278" w:type="pct"/>
            <w:tcBorders>
              <w:top w:val="none" w:sz="0" w:space="0" w:color="auto"/>
              <w:bottom w:val="none" w:sz="0" w:space="0" w:color="auto"/>
            </w:tcBorders>
            <w:tcMar>
              <w:left w:w="0" w:type="dxa"/>
              <w:right w:w="0" w:type="dxa"/>
            </w:tcMar>
          </w:tcPr>
          <w:p w14:paraId="443E60B8"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28115BBF" w14:textId="798F7535"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40</w:t>
            </w:r>
          </w:p>
        </w:tc>
      </w:tr>
      <w:tr w:rsidR="00B9313A" w:rsidRPr="00237510" w14:paraId="1FBEBDDA"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47E1194D"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21946BC7" w14:textId="0F906DAA"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Whimbrel</w:t>
            </w:r>
          </w:p>
        </w:tc>
        <w:tc>
          <w:tcPr>
            <w:tcW w:w="1230" w:type="pct"/>
          </w:tcPr>
          <w:p w14:paraId="55F76BBC" w14:textId="32CBCC87"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Numenius phaeopus</w:t>
            </w:r>
          </w:p>
        </w:tc>
        <w:tc>
          <w:tcPr>
            <w:tcW w:w="409" w:type="pct"/>
            <w:tcMar>
              <w:left w:w="0" w:type="dxa"/>
              <w:right w:w="0" w:type="dxa"/>
            </w:tcMar>
          </w:tcPr>
          <w:p w14:paraId="0FECFF37"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410" w:type="pct"/>
            <w:tcMar>
              <w:left w:w="0" w:type="dxa"/>
              <w:right w:w="0" w:type="dxa"/>
            </w:tcMar>
          </w:tcPr>
          <w:p w14:paraId="12079462"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p>
        </w:tc>
        <w:tc>
          <w:tcPr>
            <w:tcW w:w="349" w:type="pct"/>
            <w:tcMar>
              <w:left w:w="0" w:type="dxa"/>
              <w:right w:w="0" w:type="dxa"/>
            </w:tcMar>
          </w:tcPr>
          <w:p w14:paraId="47D43E4E" w14:textId="2AA5FF4E"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Mar>
              <w:left w:w="0" w:type="dxa"/>
              <w:right w:w="0" w:type="dxa"/>
            </w:tcMar>
          </w:tcPr>
          <w:p w14:paraId="346713D9"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717139AE"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r>
      <w:tr w:rsidR="005C457A" w:rsidRPr="00237510" w14:paraId="13F3245D"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0E638B5D"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1BE61AFF" w14:textId="15A5B7DB"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Wood sandpiper</w:t>
            </w:r>
          </w:p>
        </w:tc>
        <w:tc>
          <w:tcPr>
            <w:tcW w:w="1230" w:type="pct"/>
            <w:tcBorders>
              <w:top w:val="none" w:sz="0" w:space="0" w:color="auto"/>
              <w:bottom w:val="none" w:sz="0" w:space="0" w:color="auto"/>
            </w:tcBorders>
          </w:tcPr>
          <w:p w14:paraId="65A6628E" w14:textId="4F854BCE"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Tringa glareola</w:t>
            </w:r>
          </w:p>
        </w:tc>
        <w:tc>
          <w:tcPr>
            <w:tcW w:w="409" w:type="pct"/>
            <w:tcBorders>
              <w:top w:val="none" w:sz="0" w:space="0" w:color="auto"/>
              <w:bottom w:val="none" w:sz="0" w:space="0" w:color="auto"/>
            </w:tcBorders>
            <w:tcMar>
              <w:left w:w="0" w:type="dxa"/>
              <w:right w:w="0" w:type="dxa"/>
            </w:tcMar>
          </w:tcPr>
          <w:p w14:paraId="3B1FCB16"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410" w:type="pct"/>
            <w:tcBorders>
              <w:top w:val="none" w:sz="0" w:space="0" w:color="auto"/>
              <w:bottom w:val="none" w:sz="0" w:space="0" w:color="auto"/>
            </w:tcBorders>
            <w:tcMar>
              <w:left w:w="0" w:type="dxa"/>
              <w:right w:w="0" w:type="dxa"/>
            </w:tcMar>
          </w:tcPr>
          <w:p w14:paraId="4DBEDB3D"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p>
        </w:tc>
        <w:tc>
          <w:tcPr>
            <w:tcW w:w="349" w:type="pct"/>
            <w:tcBorders>
              <w:top w:val="none" w:sz="0" w:space="0" w:color="auto"/>
              <w:bottom w:val="none" w:sz="0" w:space="0" w:color="auto"/>
            </w:tcBorders>
            <w:tcMar>
              <w:left w:w="0" w:type="dxa"/>
              <w:right w:w="0" w:type="dxa"/>
            </w:tcMar>
          </w:tcPr>
          <w:p w14:paraId="2DEDA19B"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278" w:type="pct"/>
            <w:tcBorders>
              <w:top w:val="none" w:sz="0" w:space="0" w:color="auto"/>
              <w:bottom w:val="none" w:sz="0" w:space="0" w:color="auto"/>
            </w:tcBorders>
            <w:tcMar>
              <w:left w:w="0" w:type="dxa"/>
              <w:right w:w="0" w:type="dxa"/>
            </w:tcMar>
          </w:tcPr>
          <w:p w14:paraId="105D871C"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6F1501CE" w14:textId="47B9F4AD"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5</w:t>
            </w:r>
          </w:p>
        </w:tc>
      </w:tr>
      <w:tr w:rsidR="00B9313A" w:rsidRPr="00237510" w14:paraId="4112D858"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val="restart"/>
            <w:tcBorders>
              <w:right w:val="none" w:sz="0" w:space="0" w:color="auto"/>
            </w:tcBorders>
          </w:tcPr>
          <w:p w14:paraId="71C6C63E" w14:textId="49F8BBAF" w:rsidR="005E4AC8" w:rsidRPr="00237510" w:rsidRDefault="005E4AC8" w:rsidP="005E4AC8">
            <w:pPr>
              <w:spacing w:after="0"/>
              <w:rPr>
                <w:rFonts w:cs="Arial"/>
                <w:b w:val="0"/>
                <w:color w:val="000000"/>
                <w:sz w:val="18"/>
                <w:szCs w:val="18"/>
                <w:lang w:eastAsia="en-AU"/>
              </w:rPr>
            </w:pPr>
            <w:r w:rsidRPr="00237510">
              <w:rPr>
                <w:rFonts w:cs="Arial"/>
                <w:b w:val="0"/>
                <w:color w:val="000000"/>
                <w:sz w:val="18"/>
                <w:szCs w:val="18"/>
                <w:lang w:eastAsia="en-AU"/>
              </w:rPr>
              <w:t>Wetland generalist</w:t>
            </w:r>
          </w:p>
        </w:tc>
        <w:tc>
          <w:tcPr>
            <w:tcW w:w="1226" w:type="pct"/>
          </w:tcPr>
          <w:p w14:paraId="71B03D25" w14:textId="1E75D4F5"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Australasian shoveler</w:t>
            </w:r>
          </w:p>
        </w:tc>
        <w:tc>
          <w:tcPr>
            <w:tcW w:w="1230" w:type="pct"/>
          </w:tcPr>
          <w:p w14:paraId="1126A1C4" w14:textId="25CD74B1"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Anas rhynchotis</w:t>
            </w:r>
          </w:p>
        </w:tc>
        <w:tc>
          <w:tcPr>
            <w:tcW w:w="409" w:type="pct"/>
            <w:tcMar>
              <w:left w:w="0" w:type="dxa"/>
              <w:right w:w="0" w:type="dxa"/>
            </w:tcMar>
          </w:tcPr>
          <w:p w14:paraId="12189048" w14:textId="56025FB9"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150</w:t>
            </w:r>
          </w:p>
        </w:tc>
        <w:tc>
          <w:tcPr>
            <w:tcW w:w="410" w:type="pct"/>
            <w:tcMar>
              <w:left w:w="0" w:type="dxa"/>
              <w:right w:w="0" w:type="dxa"/>
            </w:tcMar>
          </w:tcPr>
          <w:p w14:paraId="5363D6D9" w14:textId="341F299A"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220</w:t>
            </w:r>
          </w:p>
        </w:tc>
        <w:tc>
          <w:tcPr>
            <w:tcW w:w="349" w:type="pct"/>
            <w:tcMar>
              <w:left w:w="0" w:type="dxa"/>
              <w:right w:w="0" w:type="dxa"/>
            </w:tcMar>
          </w:tcPr>
          <w:p w14:paraId="3836219E" w14:textId="2A8BDA4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35</w:t>
            </w:r>
          </w:p>
        </w:tc>
        <w:tc>
          <w:tcPr>
            <w:tcW w:w="278" w:type="pct"/>
            <w:tcMar>
              <w:left w:w="0" w:type="dxa"/>
              <w:right w:w="0" w:type="dxa"/>
            </w:tcMar>
          </w:tcPr>
          <w:p w14:paraId="0FB47BA0"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19F758B5" w14:textId="5241ADC2"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50</w:t>
            </w:r>
          </w:p>
        </w:tc>
      </w:tr>
      <w:tr w:rsidR="005C457A" w:rsidRPr="00237510" w14:paraId="3366A297"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0B02717A"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77C81010" w14:textId="6A03863E"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Black swan</w:t>
            </w:r>
          </w:p>
        </w:tc>
        <w:tc>
          <w:tcPr>
            <w:tcW w:w="1230" w:type="pct"/>
            <w:tcBorders>
              <w:top w:val="none" w:sz="0" w:space="0" w:color="auto"/>
              <w:bottom w:val="none" w:sz="0" w:space="0" w:color="auto"/>
            </w:tcBorders>
          </w:tcPr>
          <w:p w14:paraId="511D1F3C" w14:textId="590FB5CD"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Cygnus atratus</w:t>
            </w:r>
          </w:p>
        </w:tc>
        <w:tc>
          <w:tcPr>
            <w:tcW w:w="409" w:type="pct"/>
            <w:tcBorders>
              <w:top w:val="none" w:sz="0" w:space="0" w:color="auto"/>
              <w:bottom w:val="none" w:sz="0" w:space="0" w:color="auto"/>
            </w:tcBorders>
            <w:tcMar>
              <w:left w:w="0" w:type="dxa"/>
              <w:right w:w="0" w:type="dxa"/>
            </w:tcMar>
          </w:tcPr>
          <w:p w14:paraId="65443083" w14:textId="4ABE64B2"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1162</w:t>
            </w:r>
          </w:p>
        </w:tc>
        <w:tc>
          <w:tcPr>
            <w:tcW w:w="410" w:type="pct"/>
            <w:tcBorders>
              <w:top w:val="none" w:sz="0" w:space="0" w:color="auto"/>
              <w:bottom w:val="none" w:sz="0" w:space="0" w:color="auto"/>
            </w:tcBorders>
            <w:tcMar>
              <w:left w:w="0" w:type="dxa"/>
              <w:right w:w="0" w:type="dxa"/>
            </w:tcMar>
          </w:tcPr>
          <w:p w14:paraId="04060B21" w14:textId="0529D7BC"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1500</w:t>
            </w:r>
          </w:p>
        </w:tc>
        <w:tc>
          <w:tcPr>
            <w:tcW w:w="349" w:type="pct"/>
            <w:tcBorders>
              <w:top w:val="none" w:sz="0" w:space="0" w:color="auto"/>
              <w:bottom w:val="none" w:sz="0" w:space="0" w:color="auto"/>
            </w:tcBorders>
            <w:tcMar>
              <w:left w:w="0" w:type="dxa"/>
              <w:right w:w="0" w:type="dxa"/>
            </w:tcMar>
          </w:tcPr>
          <w:p w14:paraId="76E595ED" w14:textId="3145FD52"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3000</w:t>
            </w:r>
          </w:p>
        </w:tc>
        <w:tc>
          <w:tcPr>
            <w:tcW w:w="278" w:type="pct"/>
            <w:tcBorders>
              <w:top w:val="none" w:sz="0" w:space="0" w:color="auto"/>
              <w:bottom w:val="none" w:sz="0" w:space="0" w:color="auto"/>
            </w:tcBorders>
            <w:tcMar>
              <w:left w:w="0" w:type="dxa"/>
              <w:right w:w="0" w:type="dxa"/>
            </w:tcMar>
          </w:tcPr>
          <w:p w14:paraId="60B593FD" w14:textId="5FCD4324"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356" w:type="pct"/>
            <w:tcBorders>
              <w:top w:val="none" w:sz="0" w:space="0" w:color="auto"/>
              <w:bottom w:val="none" w:sz="0" w:space="0" w:color="auto"/>
            </w:tcBorders>
            <w:tcMar>
              <w:left w:w="0" w:type="dxa"/>
              <w:right w:w="0" w:type="dxa"/>
            </w:tcMar>
          </w:tcPr>
          <w:p w14:paraId="30FB4A85" w14:textId="4CFEB09E"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1150</w:t>
            </w:r>
          </w:p>
        </w:tc>
      </w:tr>
      <w:tr w:rsidR="00B9313A" w:rsidRPr="00237510" w14:paraId="6C477E30"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03783F45"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371FE753" w14:textId="0FB4A75F"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Black-tailed native-hen</w:t>
            </w:r>
          </w:p>
        </w:tc>
        <w:tc>
          <w:tcPr>
            <w:tcW w:w="1230" w:type="pct"/>
          </w:tcPr>
          <w:p w14:paraId="5DFA29E7" w14:textId="2F784EE5"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Tribonyx ventralis</w:t>
            </w:r>
          </w:p>
        </w:tc>
        <w:tc>
          <w:tcPr>
            <w:tcW w:w="409" w:type="pct"/>
            <w:tcMar>
              <w:left w:w="0" w:type="dxa"/>
              <w:right w:w="0" w:type="dxa"/>
            </w:tcMar>
          </w:tcPr>
          <w:p w14:paraId="61265915" w14:textId="33D80891"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410" w:type="pct"/>
            <w:tcMar>
              <w:left w:w="0" w:type="dxa"/>
              <w:right w:w="0" w:type="dxa"/>
            </w:tcMar>
          </w:tcPr>
          <w:p w14:paraId="1734767D" w14:textId="6998FC85"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x</w:t>
            </w:r>
          </w:p>
        </w:tc>
        <w:tc>
          <w:tcPr>
            <w:tcW w:w="349" w:type="pct"/>
            <w:tcMar>
              <w:left w:w="0" w:type="dxa"/>
              <w:right w:w="0" w:type="dxa"/>
            </w:tcMar>
          </w:tcPr>
          <w:p w14:paraId="52B2568D"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278" w:type="pct"/>
            <w:tcMar>
              <w:left w:w="0" w:type="dxa"/>
              <w:right w:w="0" w:type="dxa"/>
            </w:tcMar>
          </w:tcPr>
          <w:p w14:paraId="1EAF4175"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446EDE00"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r>
      <w:tr w:rsidR="005C457A" w:rsidRPr="00237510" w14:paraId="3129B912"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0DC0EFA0"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3DB58E17" w14:textId="1218076F"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Chestnut teal</w:t>
            </w:r>
          </w:p>
        </w:tc>
        <w:tc>
          <w:tcPr>
            <w:tcW w:w="1230" w:type="pct"/>
            <w:tcBorders>
              <w:top w:val="none" w:sz="0" w:space="0" w:color="auto"/>
              <w:bottom w:val="none" w:sz="0" w:space="0" w:color="auto"/>
            </w:tcBorders>
          </w:tcPr>
          <w:p w14:paraId="7918CE56" w14:textId="5BD11013"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Anas castanea</w:t>
            </w:r>
          </w:p>
        </w:tc>
        <w:tc>
          <w:tcPr>
            <w:tcW w:w="409" w:type="pct"/>
            <w:tcBorders>
              <w:top w:val="none" w:sz="0" w:space="0" w:color="auto"/>
              <w:bottom w:val="none" w:sz="0" w:space="0" w:color="auto"/>
            </w:tcBorders>
            <w:tcMar>
              <w:left w:w="0" w:type="dxa"/>
              <w:right w:w="0" w:type="dxa"/>
            </w:tcMar>
          </w:tcPr>
          <w:p w14:paraId="47B0AC1B" w14:textId="7E627F84"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1500</w:t>
            </w:r>
          </w:p>
        </w:tc>
        <w:tc>
          <w:tcPr>
            <w:tcW w:w="410" w:type="pct"/>
            <w:tcBorders>
              <w:top w:val="none" w:sz="0" w:space="0" w:color="auto"/>
              <w:bottom w:val="none" w:sz="0" w:space="0" w:color="auto"/>
            </w:tcBorders>
            <w:tcMar>
              <w:left w:w="0" w:type="dxa"/>
              <w:right w:w="0" w:type="dxa"/>
            </w:tcMar>
          </w:tcPr>
          <w:p w14:paraId="5FC7732E" w14:textId="23C2EA42"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1500</w:t>
            </w:r>
          </w:p>
        </w:tc>
        <w:tc>
          <w:tcPr>
            <w:tcW w:w="349" w:type="pct"/>
            <w:tcBorders>
              <w:top w:val="none" w:sz="0" w:space="0" w:color="auto"/>
              <w:bottom w:val="none" w:sz="0" w:space="0" w:color="auto"/>
            </w:tcBorders>
            <w:tcMar>
              <w:left w:w="0" w:type="dxa"/>
              <w:right w:w="0" w:type="dxa"/>
            </w:tcMar>
          </w:tcPr>
          <w:p w14:paraId="019A90B8" w14:textId="07A1B0D5"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2800</w:t>
            </w:r>
          </w:p>
        </w:tc>
        <w:tc>
          <w:tcPr>
            <w:tcW w:w="278" w:type="pct"/>
            <w:tcBorders>
              <w:top w:val="none" w:sz="0" w:space="0" w:color="auto"/>
              <w:bottom w:val="none" w:sz="0" w:space="0" w:color="auto"/>
            </w:tcBorders>
            <w:tcMar>
              <w:left w:w="0" w:type="dxa"/>
              <w:right w:w="0" w:type="dxa"/>
            </w:tcMar>
          </w:tcPr>
          <w:p w14:paraId="21AE90A1" w14:textId="6109A076"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150</w:t>
            </w:r>
          </w:p>
        </w:tc>
        <w:tc>
          <w:tcPr>
            <w:tcW w:w="356" w:type="pct"/>
            <w:tcBorders>
              <w:top w:val="none" w:sz="0" w:space="0" w:color="auto"/>
              <w:bottom w:val="none" w:sz="0" w:space="0" w:color="auto"/>
            </w:tcBorders>
            <w:tcMar>
              <w:left w:w="0" w:type="dxa"/>
              <w:right w:w="0" w:type="dxa"/>
            </w:tcMar>
          </w:tcPr>
          <w:p w14:paraId="40EF234B" w14:textId="495DBAD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412</w:t>
            </w:r>
          </w:p>
        </w:tc>
      </w:tr>
      <w:tr w:rsidR="00B9313A" w:rsidRPr="00237510" w14:paraId="437656DB"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28ADA7FB"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291203C1" w14:textId="7D42CA11"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Dusky moorhen</w:t>
            </w:r>
          </w:p>
        </w:tc>
        <w:tc>
          <w:tcPr>
            <w:tcW w:w="1230" w:type="pct"/>
          </w:tcPr>
          <w:p w14:paraId="3326C61A" w14:textId="3C86BD87"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Gallinula tenebrosa</w:t>
            </w:r>
          </w:p>
        </w:tc>
        <w:tc>
          <w:tcPr>
            <w:tcW w:w="409" w:type="pct"/>
            <w:tcMar>
              <w:left w:w="0" w:type="dxa"/>
              <w:right w:w="0" w:type="dxa"/>
            </w:tcMar>
          </w:tcPr>
          <w:p w14:paraId="718A95C1" w14:textId="1821C035"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3</w:t>
            </w:r>
          </w:p>
        </w:tc>
        <w:tc>
          <w:tcPr>
            <w:tcW w:w="410" w:type="pct"/>
            <w:tcMar>
              <w:left w:w="0" w:type="dxa"/>
              <w:right w:w="0" w:type="dxa"/>
            </w:tcMar>
          </w:tcPr>
          <w:p w14:paraId="6CA003CC" w14:textId="61D774C3"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4</w:t>
            </w:r>
          </w:p>
        </w:tc>
        <w:tc>
          <w:tcPr>
            <w:tcW w:w="349" w:type="pct"/>
            <w:tcMar>
              <w:left w:w="0" w:type="dxa"/>
              <w:right w:w="0" w:type="dxa"/>
            </w:tcMar>
          </w:tcPr>
          <w:p w14:paraId="51BE9E85" w14:textId="21A74FEF"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4</w:t>
            </w:r>
          </w:p>
        </w:tc>
        <w:tc>
          <w:tcPr>
            <w:tcW w:w="278" w:type="pct"/>
            <w:tcMar>
              <w:left w:w="0" w:type="dxa"/>
              <w:right w:w="0" w:type="dxa"/>
            </w:tcMar>
          </w:tcPr>
          <w:p w14:paraId="18D4466F" w14:textId="01CD6272"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x0</w:t>
            </w:r>
          </w:p>
        </w:tc>
        <w:tc>
          <w:tcPr>
            <w:tcW w:w="356" w:type="pct"/>
            <w:tcMar>
              <w:left w:w="0" w:type="dxa"/>
              <w:right w:w="0" w:type="dxa"/>
            </w:tcMar>
          </w:tcPr>
          <w:p w14:paraId="229EDC4E" w14:textId="120056A6"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42</w:t>
            </w:r>
          </w:p>
        </w:tc>
      </w:tr>
      <w:tr w:rsidR="005C457A" w:rsidRPr="00237510" w14:paraId="22EBE1EE"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2DEEE414"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40B0A8E9" w14:textId="1F1B79F8"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Freckled duck</w:t>
            </w:r>
          </w:p>
        </w:tc>
        <w:tc>
          <w:tcPr>
            <w:tcW w:w="1230" w:type="pct"/>
            <w:tcBorders>
              <w:top w:val="none" w:sz="0" w:space="0" w:color="auto"/>
              <w:bottom w:val="none" w:sz="0" w:space="0" w:color="auto"/>
            </w:tcBorders>
          </w:tcPr>
          <w:p w14:paraId="544CBDB9" w14:textId="1753781B"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Stictonetta naevosa</w:t>
            </w:r>
          </w:p>
        </w:tc>
        <w:tc>
          <w:tcPr>
            <w:tcW w:w="409" w:type="pct"/>
            <w:tcBorders>
              <w:top w:val="none" w:sz="0" w:space="0" w:color="auto"/>
              <w:bottom w:val="none" w:sz="0" w:space="0" w:color="auto"/>
            </w:tcBorders>
            <w:tcMar>
              <w:left w:w="0" w:type="dxa"/>
              <w:right w:w="0" w:type="dxa"/>
            </w:tcMar>
          </w:tcPr>
          <w:p w14:paraId="1F173C33" w14:textId="78336F8F"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4</w:t>
            </w:r>
          </w:p>
        </w:tc>
        <w:tc>
          <w:tcPr>
            <w:tcW w:w="410" w:type="pct"/>
            <w:tcBorders>
              <w:top w:val="none" w:sz="0" w:space="0" w:color="auto"/>
              <w:bottom w:val="none" w:sz="0" w:space="0" w:color="auto"/>
            </w:tcBorders>
            <w:tcMar>
              <w:left w:w="0" w:type="dxa"/>
              <w:right w:w="0" w:type="dxa"/>
            </w:tcMar>
          </w:tcPr>
          <w:p w14:paraId="596D29C5" w14:textId="684BB34A"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w:t>
            </w:r>
          </w:p>
        </w:tc>
        <w:tc>
          <w:tcPr>
            <w:tcW w:w="349" w:type="pct"/>
            <w:tcBorders>
              <w:top w:val="none" w:sz="0" w:space="0" w:color="auto"/>
              <w:bottom w:val="none" w:sz="0" w:space="0" w:color="auto"/>
            </w:tcBorders>
            <w:tcMar>
              <w:left w:w="0" w:type="dxa"/>
              <w:right w:w="0" w:type="dxa"/>
            </w:tcMar>
          </w:tcPr>
          <w:p w14:paraId="4BE86214" w14:textId="3B29FEEA"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30</w:t>
            </w:r>
          </w:p>
        </w:tc>
        <w:tc>
          <w:tcPr>
            <w:tcW w:w="278" w:type="pct"/>
            <w:tcBorders>
              <w:top w:val="none" w:sz="0" w:space="0" w:color="auto"/>
              <w:bottom w:val="none" w:sz="0" w:space="0" w:color="auto"/>
            </w:tcBorders>
            <w:tcMar>
              <w:left w:w="0" w:type="dxa"/>
              <w:right w:w="0" w:type="dxa"/>
            </w:tcMar>
          </w:tcPr>
          <w:p w14:paraId="2D07683E"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1036D73C" w14:textId="55253976"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13</w:t>
            </w:r>
          </w:p>
        </w:tc>
      </w:tr>
      <w:tr w:rsidR="00B9313A" w:rsidRPr="00237510" w14:paraId="492E7840"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4E4725BA"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1A7F283D" w14:textId="101A57A2"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Grey teal</w:t>
            </w:r>
          </w:p>
        </w:tc>
        <w:tc>
          <w:tcPr>
            <w:tcW w:w="1230" w:type="pct"/>
          </w:tcPr>
          <w:p w14:paraId="1B377392" w14:textId="5DA0ADAD"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Anas gracilis</w:t>
            </w:r>
          </w:p>
        </w:tc>
        <w:tc>
          <w:tcPr>
            <w:tcW w:w="409" w:type="pct"/>
            <w:tcMar>
              <w:left w:w="0" w:type="dxa"/>
              <w:right w:w="0" w:type="dxa"/>
            </w:tcMar>
          </w:tcPr>
          <w:p w14:paraId="39595F7D" w14:textId="7833BF2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600</w:t>
            </w:r>
          </w:p>
        </w:tc>
        <w:tc>
          <w:tcPr>
            <w:tcW w:w="410" w:type="pct"/>
            <w:tcMar>
              <w:left w:w="0" w:type="dxa"/>
              <w:right w:w="0" w:type="dxa"/>
            </w:tcMar>
          </w:tcPr>
          <w:p w14:paraId="34B101C6" w14:textId="74393E4A"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3400</w:t>
            </w:r>
          </w:p>
        </w:tc>
        <w:tc>
          <w:tcPr>
            <w:tcW w:w="349" w:type="pct"/>
            <w:tcMar>
              <w:left w:w="0" w:type="dxa"/>
              <w:right w:w="0" w:type="dxa"/>
            </w:tcMar>
          </w:tcPr>
          <w:p w14:paraId="059DC7B9" w14:textId="5317984A"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1500</w:t>
            </w:r>
          </w:p>
        </w:tc>
        <w:tc>
          <w:tcPr>
            <w:tcW w:w="278" w:type="pct"/>
            <w:tcMar>
              <w:left w:w="0" w:type="dxa"/>
              <w:right w:w="0" w:type="dxa"/>
            </w:tcMar>
          </w:tcPr>
          <w:p w14:paraId="1103BFEE" w14:textId="4B3A2F04"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190</w:t>
            </w:r>
          </w:p>
        </w:tc>
        <w:tc>
          <w:tcPr>
            <w:tcW w:w="356" w:type="pct"/>
            <w:tcMar>
              <w:left w:w="0" w:type="dxa"/>
              <w:right w:w="0" w:type="dxa"/>
            </w:tcMar>
          </w:tcPr>
          <w:p w14:paraId="57E6B805" w14:textId="122A8805"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350</w:t>
            </w:r>
          </w:p>
        </w:tc>
      </w:tr>
      <w:tr w:rsidR="005C457A" w:rsidRPr="00237510" w14:paraId="590DDD8B"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16C80053"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11C13829" w14:textId="5F3CD97A"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Pacific black duck</w:t>
            </w:r>
          </w:p>
        </w:tc>
        <w:tc>
          <w:tcPr>
            <w:tcW w:w="1230" w:type="pct"/>
            <w:tcBorders>
              <w:top w:val="none" w:sz="0" w:space="0" w:color="auto"/>
              <w:bottom w:val="none" w:sz="0" w:space="0" w:color="auto"/>
            </w:tcBorders>
          </w:tcPr>
          <w:p w14:paraId="3C9445BA" w14:textId="0FA5E040"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Anas superciliosa</w:t>
            </w:r>
          </w:p>
        </w:tc>
        <w:tc>
          <w:tcPr>
            <w:tcW w:w="409" w:type="pct"/>
            <w:tcBorders>
              <w:top w:val="none" w:sz="0" w:space="0" w:color="auto"/>
              <w:bottom w:val="none" w:sz="0" w:space="0" w:color="auto"/>
            </w:tcBorders>
            <w:tcMar>
              <w:left w:w="0" w:type="dxa"/>
              <w:right w:w="0" w:type="dxa"/>
            </w:tcMar>
          </w:tcPr>
          <w:p w14:paraId="1F43B954" w14:textId="6998A7BA"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2000</w:t>
            </w:r>
          </w:p>
        </w:tc>
        <w:tc>
          <w:tcPr>
            <w:tcW w:w="410" w:type="pct"/>
            <w:tcBorders>
              <w:top w:val="none" w:sz="0" w:space="0" w:color="auto"/>
              <w:bottom w:val="none" w:sz="0" w:space="0" w:color="auto"/>
            </w:tcBorders>
            <w:tcMar>
              <w:left w:w="0" w:type="dxa"/>
              <w:right w:w="0" w:type="dxa"/>
            </w:tcMar>
          </w:tcPr>
          <w:p w14:paraId="04298D4F" w14:textId="2067786B"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1200</w:t>
            </w:r>
          </w:p>
        </w:tc>
        <w:tc>
          <w:tcPr>
            <w:tcW w:w="349" w:type="pct"/>
            <w:tcBorders>
              <w:top w:val="none" w:sz="0" w:space="0" w:color="auto"/>
              <w:bottom w:val="none" w:sz="0" w:space="0" w:color="auto"/>
            </w:tcBorders>
            <w:tcMar>
              <w:left w:w="0" w:type="dxa"/>
              <w:right w:w="0" w:type="dxa"/>
            </w:tcMar>
          </w:tcPr>
          <w:p w14:paraId="491EAF3E" w14:textId="3C835F49"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607</w:t>
            </w:r>
          </w:p>
        </w:tc>
        <w:tc>
          <w:tcPr>
            <w:tcW w:w="278" w:type="pct"/>
            <w:tcBorders>
              <w:top w:val="none" w:sz="0" w:space="0" w:color="auto"/>
              <w:bottom w:val="none" w:sz="0" w:space="0" w:color="auto"/>
            </w:tcBorders>
            <w:tcMar>
              <w:left w:w="0" w:type="dxa"/>
              <w:right w:w="0" w:type="dxa"/>
            </w:tcMar>
          </w:tcPr>
          <w:p w14:paraId="3935C96C" w14:textId="16EB5920"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35</w:t>
            </w:r>
          </w:p>
        </w:tc>
        <w:tc>
          <w:tcPr>
            <w:tcW w:w="356" w:type="pct"/>
            <w:tcBorders>
              <w:top w:val="none" w:sz="0" w:space="0" w:color="auto"/>
              <w:bottom w:val="none" w:sz="0" w:space="0" w:color="auto"/>
            </w:tcBorders>
            <w:tcMar>
              <w:left w:w="0" w:type="dxa"/>
              <w:right w:w="0" w:type="dxa"/>
            </w:tcMar>
          </w:tcPr>
          <w:p w14:paraId="5F7CFD4A" w14:textId="5DC6DFCA"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460</w:t>
            </w:r>
          </w:p>
        </w:tc>
      </w:tr>
      <w:tr w:rsidR="00B9313A" w:rsidRPr="00237510" w14:paraId="20F22687"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03F8F94A"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01802C8E" w14:textId="22C0F709"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Pink-eared duck</w:t>
            </w:r>
          </w:p>
        </w:tc>
        <w:tc>
          <w:tcPr>
            <w:tcW w:w="1230" w:type="pct"/>
          </w:tcPr>
          <w:p w14:paraId="2D39FE8E" w14:textId="35D6CE3B"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Malacorhynchus membranaceus</w:t>
            </w:r>
          </w:p>
        </w:tc>
        <w:tc>
          <w:tcPr>
            <w:tcW w:w="409" w:type="pct"/>
            <w:tcMar>
              <w:left w:w="0" w:type="dxa"/>
              <w:right w:w="0" w:type="dxa"/>
            </w:tcMar>
          </w:tcPr>
          <w:p w14:paraId="24E7658E" w14:textId="0CB28FBE"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20</w:t>
            </w:r>
          </w:p>
        </w:tc>
        <w:tc>
          <w:tcPr>
            <w:tcW w:w="410" w:type="pct"/>
            <w:tcMar>
              <w:left w:w="0" w:type="dxa"/>
              <w:right w:w="0" w:type="dxa"/>
            </w:tcMar>
          </w:tcPr>
          <w:p w14:paraId="5C2FC101" w14:textId="39412B7D"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1000</w:t>
            </w:r>
          </w:p>
        </w:tc>
        <w:tc>
          <w:tcPr>
            <w:tcW w:w="349" w:type="pct"/>
            <w:tcMar>
              <w:left w:w="0" w:type="dxa"/>
              <w:right w:w="0" w:type="dxa"/>
            </w:tcMar>
          </w:tcPr>
          <w:p w14:paraId="2F0C1F57" w14:textId="07DCD292"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Mar>
              <w:left w:w="0" w:type="dxa"/>
              <w:right w:w="0" w:type="dxa"/>
            </w:tcMar>
          </w:tcPr>
          <w:p w14:paraId="7F1B11D6"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356" w:type="pct"/>
            <w:tcMar>
              <w:left w:w="0" w:type="dxa"/>
              <w:right w:w="0" w:type="dxa"/>
            </w:tcMar>
          </w:tcPr>
          <w:p w14:paraId="4C8838A6" w14:textId="4AB9F6E1"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100</w:t>
            </w:r>
          </w:p>
        </w:tc>
      </w:tr>
      <w:tr w:rsidR="005C457A" w:rsidRPr="00237510" w14:paraId="6B95389B" w14:textId="77777777" w:rsidTr="005E4AC8">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top w:val="none" w:sz="0" w:space="0" w:color="auto"/>
              <w:bottom w:val="none" w:sz="0" w:space="0" w:color="auto"/>
              <w:right w:val="none" w:sz="0" w:space="0" w:color="auto"/>
            </w:tcBorders>
          </w:tcPr>
          <w:p w14:paraId="766AA99C" w14:textId="77777777" w:rsidR="005E4AC8" w:rsidRPr="00237510" w:rsidRDefault="005E4AC8" w:rsidP="005E4AC8">
            <w:pPr>
              <w:spacing w:after="0"/>
              <w:jc w:val="center"/>
              <w:rPr>
                <w:rFonts w:cs="Arial"/>
                <w:b w:val="0"/>
                <w:color w:val="000000"/>
                <w:sz w:val="18"/>
                <w:szCs w:val="18"/>
                <w:lang w:eastAsia="en-AU"/>
              </w:rPr>
            </w:pPr>
          </w:p>
        </w:tc>
        <w:tc>
          <w:tcPr>
            <w:tcW w:w="1226" w:type="pct"/>
            <w:tcBorders>
              <w:top w:val="none" w:sz="0" w:space="0" w:color="auto"/>
              <w:bottom w:val="none" w:sz="0" w:space="0" w:color="auto"/>
            </w:tcBorders>
          </w:tcPr>
          <w:p w14:paraId="74F9BE27" w14:textId="302A1D65"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Sacred kingfisher</w:t>
            </w:r>
          </w:p>
        </w:tc>
        <w:tc>
          <w:tcPr>
            <w:tcW w:w="1230" w:type="pct"/>
            <w:tcBorders>
              <w:top w:val="none" w:sz="0" w:space="0" w:color="auto"/>
              <w:bottom w:val="none" w:sz="0" w:space="0" w:color="auto"/>
            </w:tcBorders>
          </w:tcPr>
          <w:p w14:paraId="2C00E15E" w14:textId="66B2213C" w:rsidR="005E4AC8" w:rsidRPr="00237510" w:rsidRDefault="005E4AC8" w:rsidP="005E4AC8">
            <w:pPr>
              <w:pStyle w:val="tabletextalluvium"/>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Todiramphus sanctus</w:t>
            </w:r>
          </w:p>
        </w:tc>
        <w:tc>
          <w:tcPr>
            <w:tcW w:w="409" w:type="pct"/>
            <w:tcBorders>
              <w:top w:val="none" w:sz="0" w:space="0" w:color="auto"/>
              <w:bottom w:val="none" w:sz="0" w:space="0" w:color="auto"/>
            </w:tcBorders>
            <w:tcMar>
              <w:left w:w="0" w:type="dxa"/>
              <w:right w:w="0" w:type="dxa"/>
            </w:tcMar>
          </w:tcPr>
          <w:p w14:paraId="38D2AF16"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410" w:type="pct"/>
            <w:tcBorders>
              <w:top w:val="none" w:sz="0" w:space="0" w:color="auto"/>
              <w:bottom w:val="none" w:sz="0" w:space="0" w:color="auto"/>
            </w:tcBorders>
            <w:tcMar>
              <w:left w:w="0" w:type="dxa"/>
              <w:right w:w="0" w:type="dxa"/>
            </w:tcMar>
          </w:tcPr>
          <w:p w14:paraId="0593B3F7" w14:textId="5AB1EF89"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w:t>
            </w:r>
          </w:p>
        </w:tc>
        <w:tc>
          <w:tcPr>
            <w:tcW w:w="349" w:type="pct"/>
            <w:tcBorders>
              <w:top w:val="none" w:sz="0" w:space="0" w:color="auto"/>
              <w:bottom w:val="none" w:sz="0" w:space="0" w:color="auto"/>
            </w:tcBorders>
            <w:tcMar>
              <w:left w:w="0" w:type="dxa"/>
              <w:right w:w="0" w:type="dxa"/>
            </w:tcMar>
          </w:tcPr>
          <w:p w14:paraId="0E6BBD76" w14:textId="797DC659"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r w:rsidRPr="00237510">
              <w:rPr>
                <w:rFonts w:ascii="Arial" w:hAnsi="Arial" w:cs="Arial"/>
                <w:sz w:val="18"/>
              </w:rPr>
              <w:t>x</w:t>
            </w:r>
          </w:p>
        </w:tc>
        <w:tc>
          <w:tcPr>
            <w:tcW w:w="278" w:type="pct"/>
            <w:tcBorders>
              <w:top w:val="none" w:sz="0" w:space="0" w:color="auto"/>
              <w:bottom w:val="none" w:sz="0" w:space="0" w:color="auto"/>
            </w:tcBorders>
            <w:tcMar>
              <w:left w:w="0" w:type="dxa"/>
              <w:right w:w="0" w:type="dxa"/>
            </w:tcMar>
          </w:tcPr>
          <w:p w14:paraId="56500A38" w14:textId="77777777"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i/>
                <w:iCs/>
                <w:sz w:val="18"/>
                <w:lang w:eastAsia="en-AU"/>
              </w:rPr>
            </w:pPr>
          </w:p>
        </w:tc>
        <w:tc>
          <w:tcPr>
            <w:tcW w:w="356" w:type="pct"/>
            <w:tcBorders>
              <w:top w:val="none" w:sz="0" w:space="0" w:color="auto"/>
              <w:bottom w:val="none" w:sz="0" w:space="0" w:color="auto"/>
            </w:tcBorders>
            <w:tcMar>
              <w:left w:w="0" w:type="dxa"/>
              <w:right w:w="0" w:type="dxa"/>
            </w:tcMar>
          </w:tcPr>
          <w:p w14:paraId="57A4E294" w14:textId="4ECC569A" w:rsidR="005E4AC8" w:rsidRPr="00237510" w:rsidRDefault="005E4AC8" w:rsidP="005E4AC8">
            <w:pPr>
              <w:pStyle w:val="tabletextalluvium"/>
              <w:jc w:val="center"/>
              <w:cnfStyle w:val="000000100000" w:firstRow="0" w:lastRow="0" w:firstColumn="0" w:lastColumn="0" w:oddVBand="0" w:evenVBand="0" w:oddHBand="1" w:evenHBand="0" w:firstRowFirstColumn="0" w:firstRowLastColumn="0" w:lastRowFirstColumn="0" w:lastRowLastColumn="0"/>
              <w:rPr>
                <w:rFonts w:ascii="Arial" w:hAnsi="Arial" w:cs="Arial"/>
                <w:sz w:val="18"/>
                <w:lang w:eastAsia="en-AU"/>
              </w:rPr>
            </w:pPr>
            <w:r w:rsidRPr="00237510">
              <w:rPr>
                <w:rFonts w:ascii="Arial" w:hAnsi="Arial" w:cs="Arial"/>
                <w:sz w:val="18"/>
              </w:rPr>
              <w:t>3</w:t>
            </w:r>
          </w:p>
        </w:tc>
      </w:tr>
      <w:tr w:rsidR="00B9313A" w:rsidRPr="00237510" w14:paraId="3672A83C" w14:textId="77777777" w:rsidTr="005E4AC8">
        <w:trPr>
          <w:trHeight w:val="283"/>
        </w:trPr>
        <w:tc>
          <w:tcPr>
            <w:cnfStyle w:val="001000000000" w:firstRow="0" w:lastRow="0" w:firstColumn="1" w:lastColumn="0" w:oddVBand="0" w:evenVBand="0" w:oddHBand="0" w:evenHBand="0" w:firstRowFirstColumn="0" w:firstRowLastColumn="0" w:lastRowFirstColumn="0" w:lastRowLastColumn="0"/>
            <w:tcW w:w="741" w:type="pct"/>
            <w:vMerge/>
            <w:tcBorders>
              <w:right w:val="none" w:sz="0" w:space="0" w:color="auto"/>
            </w:tcBorders>
          </w:tcPr>
          <w:p w14:paraId="56A98147" w14:textId="77777777" w:rsidR="005E4AC8" w:rsidRPr="00237510" w:rsidRDefault="005E4AC8" w:rsidP="005E4AC8">
            <w:pPr>
              <w:spacing w:after="0"/>
              <w:jc w:val="center"/>
              <w:rPr>
                <w:rFonts w:cs="Arial"/>
                <w:b w:val="0"/>
                <w:color w:val="000000"/>
                <w:sz w:val="18"/>
                <w:szCs w:val="18"/>
                <w:lang w:eastAsia="en-AU"/>
              </w:rPr>
            </w:pPr>
          </w:p>
        </w:tc>
        <w:tc>
          <w:tcPr>
            <w:tcW w:w="1226" w:type="pct"/>
          </w:tcPr>
          <w:p w14:paraId="3FD15B15" w14:textId="10233395"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r w:rsidRPr="00237510">
              <w:rPr>
                <w:rFonts w:ascii="Arial" w:hAnsi="Arial" w:cs="Arial"/>
                <w:sz w:val="18"/>
              </w:rPr>
              <w:t>White-bellied sea eagle</w:t>
            </w:r>
          </w:p>
        </w:tc>
        <w:tc>
          <w:tcPr>
            <w:tcW w:w="1230" w:type="pct"/>
          </w:tcPr>
          <w:p w14:paraId="5DA009BF" w14:textId="317E823E" w:rsidR="005E4AC8" w:rsidRPr="00237510" w:rsidRDefault="005E4AC8" w:rsidP="005E4AC8">
            <w:pPr>
              <w:pStyle w:val="tabletextalluvium"/>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i/>
                <w:iCs/>
                <w:sz w:val="18"/>
              </w:rPr>
              <w:t>Haliaeetus leucogaster</w:t>
            </w:r>
          </w:p>
        </w:tc>
        <w:tc>
          <w:tcPr>
            <w:tcW w:w="409" w:type="pct"/>
            <w:tcMar>
              <w:left w:w="0" w:type="dxa"/>
              <w:right w:w="0" w:type="dxa"/>
            </w:tcMar>
          </w:tcPr>
          <w:p w14:paraId="5FA2CB69" w14:textId="5D575751"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1</w:t>
            </w:r>
          </w:p>
        </w:tc>
        <w:tc>
          <w:tcPr>
            <w:tcW w:w="410" w:type="pct"/>
            <w:tcMar>
              <w:left w:w="0" w:type="dxa"/>
              <w:right w:w="0" w:type="dxa"/>
            </w:tcMar>
          </w:tcPr>
          <w:p w14:paraId="036271FC" w14:textId="7ABDB39C"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8"/>
                <w:lang w:eastAsia="en-AU"/>
              </w:rPr>
            </w:pPr>
            <w:r w:rsidRPr="00237510">
              <w:rPr>
                <w:rFonts w:ascii="Arial" w:hAnsi="Arial" w:cs="Arial"/>
                <w:sz w:val="18"/>
              </w:rPr>
              <w:t>1</w:t>
            </w:r>
          </w:p>
        </w:tc>
        <w:tc>
          <w:tcPr>
            <w:tcW w:w="349" w:type="pct"/>
            <w:tcMar>
              <w:left w:w="0" w:type="dxa"/>
              <w:right w:w="0" w:type="dxa"/>
            </w:tcMar>
          </w:tcPr>
          <w:p w14:paraId="72BB872B"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p>
        </w:tc>
        <w:tc>
          <w:tcPr>
            <w:tcW w:w="278" w:type="pct"/>
            <w:tcMar>
              <w:left w:w="0" w:type="dxa"/>
              <w:right w:w="0" w:type="dxa"/>
            </w:tcMar>
          </w:tcPr>
          <w:p w14:paraId="1F3D666C" w14:textId="5AA06B2B"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i/>
                <w:iCs/>
                <w:sz w:val="18"/>
                <w:lang w:eastAsia="en-AU"/>
              </w:rPr>
            </w:pPr>
            <w:r w:rsidRPr="00237510">
              <w:rPr>
                <w:rFonts w:ascii="Arial" w:hAnsi="Arial" w:cs="Arial"/>
                <w:sz w:val="18"/>
              </w:rPr>
              <w:t>2</w:t>
            </w:r>
          </w:p>
        </w:tc>
        <w:tc>
          <w:tcPr>
            <w:tcW w:w="356" w:type="pct"/>
            <w:tcMar>
              <w:left w:w="0" w:type="dxa"/>
              <w:right w:w="0" w:type="dxa"/>
            </w:tcMar>
          </w:tcPr>
          <w:p w14:paraId="118F02FF" w14:textId="77777777" w:rsidR="005E4AC8" w:rsidRPr="00237510" w:rsidRDefault="005E4AC8" w:rsidP="005E4AC8">
            <w:pPr>
              <w:pStyle w:val="tabletextalluvium"/>
              <w:jc w:val="center"/>
              <w:cnfStyle w:val="000000000000" w:firstRow="0" w:lastRow="0" w:firstColumn="0" w:lastColumn="0" w:oddVBand="0" w:evenVBand="0" w:oddHBand="0" w:evenHBand="0" w:firstRowFirstColumn="0" w:firstRowLastColumn="0" w:lastRowFirstColumn="0" w:lastRowLastColumn="0"/>
              <w:rPr>
                <w:rFonts w:ascii="Arial" w:hAnsi="Arial" w:cs="Arial"/>
                <w:sz w:val="18"/>
                <w:lang w:eastAsia="en-AU"/>
              </w:rPr>
            </w:pPr>
          </w:p>
        </w:tc>
      </w:tr>
    </w:tbl>
    <w:p w14:paraId="603DB6C4" w14:textId="4F597FBD" w:rsidR="00F11855" w:rsidRPr="001312B7" w:rsidRDefault="00F11855" w:rsidP="001312B7">
      <w:pPr>
        <w:spacing w:after="0"/>
        <w:rPr>
          <w:highlight w:val="yellow"/>
          <w:lang w:eastAsia="en-US"/>
        </w:rPr>
      </w:pPr>
    </w:p>
    <w:sectPr w:rsidR="00F11855" w:rsidRPr="001312B7" w:rsidSect="00220C21">
      <w:pgSz w:w="11900" w:h="16840"/>
      <w:pgMar w:top="1188" w:right="1311" w:bottom="1340" w:left="1800"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7F705D7" w14:textId="77777777" w:rsidR="00BA44CB" w:rsidRDefault="00BA44CB" w:rsidP="00C7523A">
      <w:pPr>
        <w:spacing w:after="0"/>
      </w:pPr>
      <w:r>
        <w:separator/>
      </w:r>
    </w:p>
  </w:endnote>
  <w:endnote w:type="continuationSeparator" w:id="0">
    <w:p w14:paraId="107EABDB" w14:textId="77777777" w:rsidR="00BA44CB" w:rsidRDefault="00BA44CB" w:rsidP="00C7523A">
      <w:pPr>
        <w:spacing w:after="0"/>
      </w:pPr>
      <w:r>
        <w:continuationSeparator/>
      </w:r>
    </w:p>
  </w:endnote>
  <w:endnote w:type="continuationNotice" w:id="1">
    <w:p w14:paraId="494DBBD6" w14:textId="77777777" w:rsidR="00BA44CB" w:rsidRDefault="00BA44CB">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031596" w14:textId="77777777" w:rsidR="00AF508C" w:rsidRPr="00DF3496" w:rsidRDefault="00AF508C" w:rsidP="00DF34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961A6E" w14:textId="77777777" w:rsidR="00BA44CB" w:rsidRDefault="00BA44CB" w:rsidP="00C7523A">
      <w:pPr>
        <w:spacing w:after="0"/>
      </w:pPr>
      <w:r>
        <w:separator/>
      </w:r>
    </w:p>
  </w:footnote>
  <w:footnote w:type="continuationSeparator" w:id="0">
    <w:p w14:paraId="61AE04E7" w14:textId="77777777" w:rsidR="00BA44CB" w:rsidRDefault="00BA44CB" w:rsidP="00C7523A">
      <w:pPr>
        <w:spacing w:after="0"/>
      </w:pPr>
      <w:r>
        <w:continuationSeparator/>
      </w:r>
    </w:p>
  </w:footnote>
  <w:footnote w:type="continuationNotice" w:id="1">
    <w:p w14:paraId="32F4061C" w14:textId="77777777" w:rsidR="00BA44CB" w:rsidRDefault="00BA44CB">
      <w:pPr>
        <w:spacing w:after="0"/>
      </w:pPr>
    </w:p>
  </w:footnote>
  <w:footnote w:id="2">
    <w:p w14:paraId="306509E1" w14:textId="07B53C5A" w:rsidR="00081AFB" w:rsidRPr="00B37C01" w:rsidRDefault="00081AFB" w:rsidP="00615913">
      <w:pPr>
        <w:pStyle w:val="FootnoteText"/>
        <w:rPr>
          <w:sz w:val="16"/>
          <w:szCs w:val="16"/>
        </w:rPr>
      </w:pPr>
      <w:r w:rsidRPr="00B37C01">
        <w:rPr>
          <w:rStyle w:val="FootnoteReference"/>
          <w:sz w:val="12"/>
          <w:szCs w:val="12"/>
        </w:rPr>
        <w:footnoteRef/>
      </w:r>
      <w:r w:rsidRPr="00B37C01">
        <w:rPr>
          <w:sz w:val="12"/>
          <w:szCs w:val="12"/>
        </w:rPr>
        <w:t xml:space="preserve"> </w:t>
      </w:r>
      <w:r w:rsidR="00D62F0B">
        <w:rPr>
          <w:sz w:val="12"/>
          <w:szCs w:val="12"/>
        </w:rPr>
        <w:t xml:space="preserve"> </w:t>
      </w:r>
      <w:r w:rsidRPr="00B37C01">
        <w:rPr>
          <w:sz w:val="12"/>
          <w:szCs w:val="12"/>
        </w:rPr>
        <w:t xml:space="preserve">Formal citation for report: Hale, J., Boon, P., Lloyd, L., Vietz, G. and Jempson, M. (2020) </w:t>
      </w:r>
      <w:r w:rsidRPr="00B37C01">
        <w:rPr>
          <w:i/>
          <w:iCs/>
          <w:sz w:val="12"/>
          <w:szCs w:val="12"/>
        </w:rPr>
        <w:t>Latrobe Valley Regional Water Study – Ecological Effects Assessment.</w:t>
      </w:r>
      <w:r w:rsidRPr="00B37C01">
        <w:rPr>
          <w:sz w:val="12"/>
          <w:szCs w:val="12"/>
        </w:rPr>
        <w:t xml:space="preserve"> A report to the Department of Environment, Land, Water and Planning.</w:t>
      </w:r>
    </w:p>
  </w:footnote>
  <w:footnote w:id="3">
    <w:p w14:paraId="2F38B6F5" w14:textId="471D47F6" w:rsidR="00081AFB" w:rsidRDefault="00081AFB">
      <w:pPr>
        <w:pStyle w:val="FootnoteText"/>
      </w:pPr>
      <w:r w:rsidRPr="00D62F0B">
        <w:rPr>
          <w:rStyle w:val="FootnoteReference"/>
          <w:sz w:val="12"/>
          <w:szCs w:val="12"/>
        </w:rPr>
        <w:footnoteRef/>
      </w:r>
      <w:r w:rsidRPr="00D62F0B">
        <w:rPr>
          <w:rStyle w:val="FootnoteReference"/>
          <w:sz w:val="12"/>
          <w:szCs w:val="12"/>
        </w:rPr>
        <w:t xml:space="preserve"> </w:t>
      </w:r>
      <w:r w:rsidRPr="004012B9">
        <w:rPr>
          <w:sz w:val="12"/>
          <w:szCs w:val="12"/>
        </w:rPr>
        <w:t xml:space="preserve">The EEA was informed by Alluvium (2020) </w:t>
      </w:r>
      <w:r w:rsidRPr="00A06CC7">
        <w:rPr>
          <w:i/>
          <w:iCs/>
          <w:sz w:val="12"/>
          <w:szCs w:val="12"/>
        </w:rPr>
        <w:t>Latrobe environmental water requirements investigation</w:t>
      </w:r>
      <w:r w:rsidRPr="004012B9">
        <w:rPr>
          <w:sz w:val="12"/>
          <w:szCs w:val="12"/>
        </w:rPr>
        <w:t xml:space="preserve">, dated June 2020. A copy of this report is available at: </w:t>
      </w:r>
      <w:hyperlink r:id="rId1" w:history="1">
        <w:r w:rsidRPr="004012B9">
          <w:rPr>
            <w:sz w:val="12"/>
            <w:szCs w:val="12"/>
          </w:rPr>
          <w:t>https://www.water.vic.gov.au/planning/LVRRS/support</w:t>
        </w:r>
      </w:hyperlink>
      <w:r w:rsidR="00615913">
        <w:rPr>
          <w:sz w:val="12"/>
          <w:szCs w:val="12"/>
        </w:rPr>
        <w:t xml:space="preserve"> </w:t>
      </w:r>
      <w:r>
        <w:rPr>
          <w:sz w:val="12"/>
          <w:szCs w:val="12"/>
        </w:rPr>
        <w:t xml:space="preserve"> </w:t>
      </w:r>
      <w:r>
        <w:rPr>
          <w:sz w:val="20"/>
        </w:rPr>
        <w:t xml:space="preserve"> </w:t>
      </w:r>
    </w:p>
  </w:footnote>
  <w:footnote w:id="4">
    <w:p w14:paraId="0AC74C9B" w14:textId="7E031D72" w:rsidR="00AF508C" w:rsidRDefault="00AF508C">
      <w:pPr>
        <w:pStyle w:val="FootnoteText"/>
      </w:pPr>
      <w:r>
        <w:rPr>
          <w:rStyle w:val="FootnoteReference"/>
        </w:rPr>
        <w:footnoteRef/>
      </w:r>
      <w:r>
        <w:t xml:space="preserve"> </w:t>
      </w:r>
      <w:r w:rsidRPr="00212783">
        <w:t>http://report.hazelwoodinquiry.vic.gov.au/</w:t>
      </w:r>
    </w:p>
  </w:footnote>
  <w:footnote w:id="5">
    <w:p w14:paraId="6E87B28B" w14:textId="1E19FA18" w:rsidR="00AF508C" w:rsidRDefault="00AF508C">
      <w:pPr>
        <w:pStyle w:val="FootnoteText"/>
      </w:pPr>
      <w:r>
        <w:rPr>
          <w:rStyle w:val="FootnoteReference"/>
        </w:rPr>
        <w:footnoteRef/>
      </w:r>
      <w:r>
        <w:t xml:space="preserve"> The Latrobe Environmental Flows Assessment was informed with the input of a steering committee comprising representatives of the Department of Environment, Land Water and Planning (DELWP), West Gippsland Catchment Management Authority (CMA), Gunaikurnai Land and Waters Aboriginal Corporation (GLaWAC), Victorian Environmental Water Holder (VEWH) and East Gippsland CMA, and an advisory group which included representatives from Gippsland Water, Southern Rural Water, Field and Game Australia, VRFish, Native Fish Australia, and Latrobe Valley Field Naturalists, as well as landholders whose properties adjoin the river.</w:t>
      </w:r>
    </w:p>
  </w:footnote>
  <w:footnote w:id="6">
    <w:p w14:paraId="07F50D8F" w14:textId="349DAF17" w:rsidR="00AF508C" w:rsidRDefault="00AF508C">
      <w:pPr>
        <w:pStyle w:val="FootnoteText"/>
      </w:pPr>
      <w:r>
        <w:rPr>
          <w:rStyle w:val="FootnoteReference"/>
        </w:rPr>
        <w:footnoteRef/>
      </w:r>
      <w:r>
        <w:t xml:space="preserve"> Noting that while Lakes Victoria and King are connected to Lake Wellington through McLennan Strait these </w:t>
      </w:r>
      <w:r w:rsidRPr="003B1BB6">
        <w:t>are more heavily</w:t>
      </w:r>
      <w:r>
        <w:t xml:space="preserve"> </w:t>
      </w:r>
      <w:r w:rsidRPr="003B1BB6">
        <w:t>influenced by the eastern rivers and the</w:t>
      </w:r>
      <w:r>
        <w:t>ir proximity to the permanent ocean entrance, rather than the Latrobe River and are not considered in this EEA.</w:t>
      </w:r>
    </w:p>
  </w:footnote>
  <w:footnote w:id="7">
    <w:p w14:paraId="4BCF7FCB" w14:textId="030F3E73" w:rsidR="000946A2" w:rsidRDefault="000946A2">
      <w:pPr>
        <w:pStyle w:val="FootnoteText"/>
      </w:pPr>
      <w:r>
        <w:rPr>
          <w:rStyle w:val="FootnoteReference"/>
        </w:rPr>
        <w:footnoteRef/>
      </w:r>
      <w:r>
        <w:t xml:space="preserve"> </w:t>
      </w:r>
      <w:r w:rsidR="00AC43C6">
        <w:t xml:space="preserve">Data based on </w:t>
      </w:r>
      <w:r w:rsidR="001756C6">
        <w:t>monthly samples between 2002 to 2020 (200+ sample points)</w:t>
      </w:r>
      <w:r w:rsidR="00BD0F2B">
        <w:t xml:space="preserve"> </w:t>
      </w:r>
      <w:r w:rsidR="00BD0F2B" w:rsidRPr="00237510">
        <w:rPr>
          <w:lang w:eastAsia="en-US"/>
        </w:rPr>
        <w:t>Victorian Water Measurement Information System</w:t>
      </w:r>
    </w:p>
  </w:footnote>
  <w:footnote w:id="8">
    <w:p w14:paraId="16CAC322" w14:textId="53649016" w:rsidR="00AF508C" w:rsidRDefault="00AF508C">
      <w:pPr>
        <w:pStyle w:val="FootnoteText"/>
      </w:pPr>
      <w:r>
        <w:rPr>
          <w:rStyle w:val="FootnoteReference"/>
        </w:rPr>
        <w:footnoteRef/>
      </w:r>
      <w:r>
        <w:t xml:space="preserve"> </w:t>
      </w:r>
      <w:r w:rsidRPr="0090073A">
        <w:t xml:space="preserve">The hydrological modelling was undertaken </w:t>
      </w:r>
      <w:r>
        <w:t>using the REALM model as that described in Alluvium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57AD75" w14:textId="5324F7F5" w:rsidR="00AF508C" w:rsidRDefault="00AF508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9C38E4" w14:textId="4C4941CD" w:rsidR="00AF508C" w:rsidRDefault="00AF508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6D67EE" w14:textId="445A3160" w:rsidR="00AF508C" w:rsidRDefault="00AF508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36E1E"/>
    <w:multiLevelType w:val="hybridMultilevel"/>
    <w:tmpl w:val="7CA8B9B8"/>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1" w15:restartNumberingAfterBreak="0">
    <w:nsid w:val="02BC0E7C"/>
    <w:multiLevelType w:val="hybridMultilevel"/>
    <w:tmpl w:val="9D3A3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FF6FBA"/>
    <w:multiLevelType w:val="hybridMultilevel"/>
    <w:tmpl w:val="FA10DFEC"/>
    <w:lvl w:ilvl="0" w:tplc="08090001">
      <w:start w:val="1"/>
      <w:numFmt w:val="bullet"/>
      <w:lvlText w:val=""/>
      <w:lvlJc w:val="left"/>
      <w:pPr>
        <w:ind w:left="781" w:hanging="360"/>
      </w:pPr>
      <w:rPr>
        <w:rFonts w:ascii="Symbol" w:hAnsi="Symbol" w:hint="default"/>
      </w:rPr>
    </w:lvl>
    <w:lvl w:ilvl="1" w:tplc="08090003" w:tentative="1">
      <w:start w:val="1"/>
      <w:numFmt w:val="bullet"/>
      <w:lvlText w:val="o"/>
      <w:lvlJc w:val="left"/>
      <w:pPr>
        <w:ind w:left="1501" w:hanging="360"/>
      </w:pPr>
      <w:rPr>
        <w:rFonts w:ascii="Courier New" w:hAnsi="Courier New" w:cs="Courier New" w:hint="default"/>
      </w:rPr>
    </w:lvl>
    <w:lvl w:ilvl="2" w:tplc="08090005" w:tentative="1">
      <w:start w:val="1"/>
      <w:numFmt w:val="bullet"/>
      <w:lvlText w:val=""/>
      <w:lvlJc w:val="left"/>
      <w:pPr>
        <w:ind w:left="2221" w:hanging="360"/>
      </w:pPr>
      <w:rPr>
        <w:rFonts w:ascii="Wingdings" w:hAnsi="Wingdings" w:hint="default"/>
      </w:rPr>
    </w:lvl>
    <w:lvl w:ilvl="3" w:tplc="08090001" w:tentative="1">
      <w:start w:val="1"/>
      <w:numFmt w:val="bullet"/>
      <w:lvlText w:val=""/>
      <w:lvlJc w:val="left"/>
      <w:pPr>
        <w:ind w:left="2941" w:hanging="360"/>
      </w:pPr>
      <w:rPr>
        <w:rFonts w:ascii="Symbol" w:hAnsi="Symbol" w:hint="default"/>
      </w:rPr>
    </w:lvl>
    <w:lvl w:ilvl="4" w:tplc="08090003" w:tentative="1">
      <w:start w:val="1"/>
      <w:numFmt w:val="bullet"/>
      <w:lvlText w:val="o"/>
      <w:lvlJc w:val="left"/>
      <w:pPr>
        <w:ind w:left="3661" w:hanging="360"/>
      </w:pPr>
      <w:rPr>
        <w:rFonts w:ascii="Courier New" w:hAnsi="Courier New" w:cs="Courier New" w:hint="default"/>
      </w:rPr>
    </w:lvl>
    <w:lvl w:ilvl="5" w:tplc="08090005" w:tentative="1">
      <w:start w:val="1"/>
      <w:numFmt w:val="bullet"/>
      <w:lvlText w:val=""/>
      <w:lvlJc w:val="left"/>
      <w:pPr>
        <w:ind w:left="4381" w:hanging="360"/>
      </w:pPr>
      <w:rPr>
        <w:rFonts w:ascii="Wingdings" w:hAnsi="Wingdings" w:hint="default"/>
      </w:rPr>
    </w:lvl>
    <w:lvl w:ilvl="6" w:tplc="08090001" w:tentative="1">
      <w:start w:val="1"/>
      <w:numFmt w:val="bullet"/>
      <w:lvlText w:val=""/>
      <w:lvlJc w:val="left"/>
      <w:pPr>
        <w:ind w:left="5101" w:hanging="360"/>
      </w:pPr>
      <w:rPr>
        <w:rFonts w:ascii="Symbol" w:hAnsi="Symbol" w:hint="default"/>
      </w:rPr>
    </w:lvl>
    <w:lvl w:ilvl="7" w:tplc="08090003" w:tentative="1">
      <w:start w:val="1"/>
      <w:numFmt w:val="bullet"/>
      <w:lvlText w:val="o"/>
      <w:lvlJc w:val="left"/>
      <w:pPr>
        <w:ind w:left="5821" w:hanging="360"/>
      </w:pPr>
      <w:rPr>
        <w:rFonts w:ascii="Courier New" w:hAnsi="Courier New" w:cs="Courier New" w:hint="default"/>
      </w:rPr>
    </w:lvl>
    <w:lvl w:ilvl="8" w:tplc="08090005" w:tentative="1">
      <w:start w:val="1"/>
      <w:numFmt w:val="bullet"/>
      <w:lvlText w:val=""/>
      <w:lvlJc w:val="left"/>
      <w:pPr>
        <w:ind w:left="6541" w:hanging="360"/>
      </w:pPr>
      <w:rPr>
        <w:rFonts w:ascii="Wingdings" w:hAnsi="Wingdings" w:hint="default"/>
      </w:rPr>
    </w:lvl>
  </w:abstractNum>
  <w:abstractNum w:abstractNumId="3" w15:restartNumberingAfterBreak="0">
    <w:nsid w:val="05414301"/>
    <w:multiLevelType w:val="hybridMultilevel"/>
    <w:tmpl w:val="8D0802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8B37FE"/>
    <w:multiLevelType w:val="hybridMultilevel"/>
    <w:tmpl w:val="A2EE2272"/>
    <w:name w:val="DEPIListBullets"/>
    <w:lvl w:ilvl="0" w:tplc="DB586B16">
      <w:start w:val="1"/>
      <w:numFmt w:val="bullet"/>
      <w:pStyle w:val="ListBullet"/>
      <w:lvlText w:val="•"/>
      <w:lvlJc w:val="left"/>
      <w:pPr>
        <w:tabs>
          <w:tab w:val="num" w:pos="170"/>
        </w:tabs>
        <w:ind w:left="170" w:hanging="170"/>
      </w:pPr>
      <w:rPr>
        <w:rFonts w:ascii="Times New Roman" w:hAnsi="Times New Roman" w:cs="Times New Roman" w:hint="default"/>
        <w:b w:val="0"/>
        <w:i w:val="0"/>
        <w:color w:val="000000" w:themeColor="text1"/>
        <w:position w:val="0"/>
        <w:sz w:val="20"/>
      </w:rPr>
    </w:lvl>
    <w:lvl w:ilvl="1" w:tplc="915E2A7E">
      <w:start w:val="1"/>
      <w:numFmt w:val="bullet"/>
      <w:pStyle w:val="ListBullet2"/>
      <w:lvlText w:val="–"/>
      <w:lvlJc w:val="left"/>
      <w:pPr>
        <w:tabs>
          <w:tab w:val="num" w:pos="170"/>
        </w:tabs>
        <w:ind w:left="170" w:hanging="170"/>
      </w:pPr>
      <w:rPr>
        <w:rFonts w:asciiTheme="minorHAnsi" w:hAnsiTheme="minorHAnsi" w:hint="default"/>
        <w:b w:val="0"/>
        <w:i w:val="0"/>
        <w:color w:val="auto"/>
        <w:position w:val="2"/>
        <w:sz w:val="20"/>
      </w:rPr>
    </w:lvl>
    <w:lvl w:ilvl="2" w:tplc="ACBAD8AC">
      <w:start w:val="1"/>
      <w:numFmt w:val="bullet"/>
      <w:pStyle w:val="ListBullet3"/>
      <w:lvlText w:val="&gt;"/>
      <w:lvlJc w:val="left"/>
      <w:pPr>
        <w:tabs>
          <w:tab w:val="num" w:pos="510"/>
        </w:tabs>
        <w:ind w:left="510" w:hanging="170"/>
      </w:pPr>
      <w:rPr>
        <w:rFonts w:ascii="Symbol" w:hAnsi="Symbol" w:hint="default"/>
        <w:b w:val="0"/>
        <w:i w:val="0"/>
        <w:color w:val="000000" w:themeColor="text1"/>
        <w:spacing w:val="0"/>
        <w:w w:val="100"/>
        <w:position w:val="3"/>
        <w:sz w:val="18"/>
        <w:szCs w:val="16"/>
      </w:rPr>
    </w:lvl>
    <w:lvl w:ilvl="3" w:tplc="C7D61A9A">
      <w:start w:val="1"/>
      <w:numFmt w:val="none"/>
      <w:lvlText w:val=""/>
      <w:lvlJc w:val="left"/>
      <w:pPr>
        <w:tabs>
          <w:tab w:val="num" w:pos="-31680"/>
        </w:tabs>
        <w:ind w:left="-32767" w:firstLine="0"/>
      </w:pPr>
      <w:rPr>
        <w:rFonts w:hint="default"/>
      </w:rPr>
    </w:lvl>
    <w:lvl w:ilvl="4" w:tplc="D722AD2E">
      <w:start w:val="1"/>
      <w:numFmt w:val="none"/>
      <w:lvlText w:val=""/>
      <w:lvlJc w:val="left"/>
      <w:pPr>
        <w:tabs>
          <w:tab w:val="num" w:pos="-31680"/>
        </w:tabs>
        <w:ind w:left="-32767" w:firstLine="0"/>
      </w:pPr>
      <w:rPr>
        <w:rFonts w:hint="default"/>
      </w:rPr>
    </w:lvl>
    <w:lvl w:ilvl="5" w:tplc="4EFCA88A">
      <w:start w:val="1"/>
      <w:numFmt w:val="none"/>
      <w:lvlText w:val=""/>
      <w:lvlJc w:val="left"/>
      <w:pPr>
        <w:tabs>
          <w:tab w:val="num" w:pos="-31680"/>
        </w:tabs>
        <w:ind w:left="-32767" w:firstLine="0"/>
      </w:pPr>
      <w:rPr>
        <w:rFonts w:hint="default"/>
      </w:rPr>
    </w:lvl>
    <w:lvl w:ilvl="6" w:tplc="38C8CB1E">
      <w:start w:val="1"/>
      <w:numFmt w:val="none"/>
      <w:lvlText w:val=""/>
      <w:lvlJc w:val="left"/>
      <w:pPr>
        <w:tabs>
          <w:tab w:val="num" w:pos="-31680"/>
        </w:tabs>
        <w:ind w:left="-32767" w:firstLine="0"/>
      </w:pPr>
      <w:rPr>
        <w:rFonts w:hint="default"/>
      </w:rPr>
    </w:lvl>
    <w:lvl w:ilvl="7" w:tplc="D5A6CA6A">
      <w:start w:val="1"/>
      <w:numFmt w:val="none"/>
      <w:lvlText w:val=""/>
      <w:lvlJc w:val="left"/>
      <w:pPr>
        <w:tabs>
          <w:tab w:val="num" w:pos="-31680"/>
        </w:tabs>
        <w:ind w:left="-32767" w:firstLine="0"/>
      </w:pPr>
      <w:rPr>
        <w:rFonts w:hint="default"/>
      </w:rPr>
    </w:lvl>
    <w:lvl w:ilvl="8" w:tplc="032ACF42">
      <w:start w:val="1"/>
      <w:numFmt w:val="none"/>
      <w:lvlText w:val=""/>
      <w:lvlJc w:val="left"/>
      <w:pPr>
        <w:tabs>
          <w:tab w:val="num" w:pos="-31680"/>
        </w:tabs>
        <w:ind w:left="-32767" w:firstLine="0"/>
      </w:pPr>
      <w:rPr>
        <w:rFonts w:hint="default"/>
      </w:rPr>
    </w:lvl>
  </w:abstractNum>
  <w:abstractNum w:abstractNumId="5" w15:restartNumberingAfterBreak="0">
    <w:nsid w:val="0A0473FF"/>
    <w:multiLevelType w:val="hybridMultilevel"/>
    <w:tmpl w:val="951497FA"/>
    <w:lvl w:ilvl="0" w:tplc="04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331714E"/>
    <w:multiLevelType w:val="hybridMultilevel"/>
    <w:tmpl w:val="2114727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57267F1"/>
    <w:multiLevelType w:val="hybridMultilevel"/>
    <w:tmpl w:val="8F38EC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61E34F5"/>
    <w:multiLevelType w:val="hybridMultilevel"/>
    <w:tmpl w:val="8D1AA1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ADE465C"/>
    <w:multiLevelType w:val="hybridMultilevel"/>
    <w:tmpl w:val="00D2E4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10" w15:restartNumberingAfterBreak="0">
    <w:nsid w:val="2B824CFD"/>
    <w:multiLevelType w:val="hybridMultilevel"/>
    <w:tmpl w:val="99606F7C"/>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11" w15:restartNumberingAfterBreak="0">
    <w:nsid w:val="2DC80C20"/>
    <w:multiLevelType w:val="hybridMultilevel"/>
    <w:tmpl w:val="C3E26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6701289"/>
    <w:multiLevelType w:val="hybridMultilevel"/>
    <w:tmpl w:val="A384AB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B451AE"/>
    <w:multiLevelType w:val="hybridMultilevel"/>
    <w:tmpl w:val="8CCC1A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FD1656B"/>
    <w:multiLevelType w:val="hybridMultilevel"/>
    <w:tmpl w:val="F8EAB32C"/>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4CBB545A"/>
    <w:multiLevelType w:val="hybridMultilevel"/>
    <w:tmpl w:val="6F522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5887F35"/>
    <w:multiLevelType w:val="hybridMultilevel"/>
    <w:tmpl w:val="AD3C7F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6EE3020"/>
    <w:multiLevelType w:val="hybridMultilevel"/>
    <w:tmpl w:val="16ECA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D5C4A86"/>
    <w:multiLevelType w:val="multilevel"/>
    <w:tmpl w:val="DAAA4BA2"/>
    <w:lvl w:ilvl="0">
      <w:start w:val="1"/>
      <w:numFmt w:val="decimal"/>
      <w:pStyle w:val="Heading1"/>
      <w:lvlText w:val="%1"/>
      <w:lvlJc w:val="left"/>
      <w:pPr>
        <w:ind w:left="432" w:hanging="432"/>
      </w:pPr>
    </w:lvl>
    <w:lvl w:ilvl="1">
      <w:start w:val="1"/>
      <w:numFmt w:val="decimal"/>
      <w:pStyle w:val="Heading2"/>
      <w:lvlText w:val="%1.%2"/>
      <w:lvlJc w:val="left"/>
      <w:pPr>
        <w:ind w:left="1002" w:hanging="576"/>
      </w:pPr>
    </w:lvl>
    <w:lvl w:ilvl="2">
      <w:start w:val="1"/>
      <w:numFmt w:val="decimal"/>
      <w:pStyle w:val="Heading3"/>
      <w:lvlText w:val="%1.%2.%3"/>
      <w:lvlJc w:val="left"/>
      <w:pPr>
        <w:ind w:left="1146"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D6F24D1"/>
    <w:multiLevelType w:val="hybridMultilevel"/>
    <w:tmpl w:val="5458332C"/>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20" w15:restartNumberingAfterBreak="0">
    <w:nsid w:val="61694A08"/>
    <w:multiLevelType w:val="hybridMultilevel"/>
    <w:tmpl w:val="94D41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22204A1"/>
    <w:multiLevelType w:val="hybridMultilevel"/>
    <w:tmpl w:val="EB4C7930"/>
    <w:lvl w:ilvl="0" w:tplc="F2CC0CF2">
      <w:start w:val="1"/>
      <w:numFmt w:val="decimal"/>
      <w:lvlText w:val="%1."/>
      <w:lvlJc w:val="left"/>
      <w:pPr>
        <w:ind w:left="720" w:hanging="360"/>
      </w:pPr>
      <w:rPr>
        <w:rFonts w:ascii="Arial" w:hAnsi="Arial" w:cs="Times New Roman" w:hint="default"/>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64BF41ED"/>
    <w:multiLevelType w:val="hybridMultilevel"/>
    <w:tmpl w:val="B90486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A840B1F"/>
    <w:multiLevelType w:val="hybridMultilevel"/>
    <w:tmpl w:val="B2141E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E05145D"/>
    <w:multiLevelType w:val="hybridMultilevel"/>
    <w:tmpl w:val="D8FA891A"/>
    <w:lvl w:ilvl="0" w:tplc="08090001">
      <w:start w:val="1"/>
      <w:numFmt w:val="bullet"/>
      <w:lvlText w:val=""/>
      <w:lvlJc w:val="left"/>
      <w:pPr>
        <w:ind w:left="781" w:hanging="360"/>
      </w:pPr>
      <w:rPr>
        <w:rFonts w:ascii="Symbol" w:hAnsi="Symbol" w:hint="default"/>
      </w:rPr>
    </w:lvl>
    <w:lvl w:ilvl="1" w:tplc="08090003" w:tentative="1">
      <w:start w:val="1"/>
      <w:numFmt w:val="bullet"/>
      <w:lvlText w:val="o"/>
      <w:lvlJc w:val="left"/>
      <w:pPr>
        <w:ind w:left="1501" w:hanging="360"/>
      </w:pPr>
      <w:rPr>
        <w:rFonts w:ascii="Courier New" w:hAnsi="Courier New" w:hint="default"/>
      </w:rPr>
    </w:lvl>
    <w:lvl w:ilvl="2" w:tplc="08090005" w:tentative="1">
      <w:start w:val="1"/>
      <w:numFmt w:val="bullet"/>
      <w:lvlText w:val=""/>
      <w:lvlJc w:val="left"/>
      <w:pPr>
        <w:ind w:left="2221" w:hanging="360"/>
      </w:pPr>
      <w:rPr>
        <w:rFonts w:ascii="Wingdings" w:hAnsi="Wingdings" w:hint="default"/>
      </w:rPr>
    </w:lvl>
    <w:lvl w:ilvl="3" w:tplc="08090001" w:tentative="1">
      <w:start w:val="1"/>
      <w:numFmt w:val="bullet"/>
      <w:lvlText w:val=""/>
      <w:lvlJc w:val="left"/>
      <w:pPr>
        <w:ind w:left="2941" w:hanging="360"/>
      </w:pPr>
      <w:rPr>
        <w:rFonts w:ascii="Symbol" w:hAnsi="Symbol" w:hint="default"/>
      </w:rPr>
    </w:lvl>
    <w:lvl w:ilvl="4" w:tplc="08090003" w:tentative="1">
      <w:start w:val="1"/>
      <w:numFmt w:val="bullet"/>
      <w:lvlText w:val="o"/>
      <w:lvlJc w:val="left"/>
      <w:pPr>
        <w:ind w:left="3661" w:hanging="360"/>
      </w:pPr>
      <w:rPr>
        <w:rFonts w:ascii="Courier New" w:hAnsi="Courier New" w:hint="default"/>
      </w:rPr>
    </w:lvl>
    <w:lvl w:ilvl="5" w:tplc="08090005" w:tentative="1">
      <w:start w:val="1"/>
      <w:numFmt w:val="bullet"/>
      <w:lvlText w:val=""/>
      <w:lvlJc w:val="left"/>
      <w:pPr>
        <w:ind w:left="4381" w:hanging="360"/>
      </w:pPr>
      <w:rPr>
        <w:rFonts w:ascii="Wingdings" w:hAnsi="Wingdings" w:hint="default"/>
      </w:rPr>
    </w:lvl>
    <w:lvl w:ilvl="6" w:tplc="08090001" w:tentative="1">
      <w:start w:val="1"/>
      <w:numFmt w:val="bullet"/>
      <w:lvlText w:val=""/>
      <w:lvlJc w:val="left"/>
      <w:pPr>
        <w:ind w:left="5101" w:hanging="360"/>
      </w:pPr>
      <w:rPr>
        <w:rFonts w:ascii="Symbol" w:hAnsi="Symbol" w:hint="default"/>
      </w:rPr>
    </w:lvl>
    <w:lvl w:ilvl="7" w:tplc="08090003" w:tentative="1">
      <w:start w:val="1"/>
      <w:numFmt w:val="bullet"/>
      <w:lvlText w:val="o"/>
      <w:lvlJc w:val="left"/>
      <w:pPr>
        <w:ind w:left="5821" w:hanging="360"/>
      </w:pPr>
      <w:rPr>
        <w:rFonts w:ascii="Courier New" w:hAnsi="Courier New" w:hint="default"/>
      </w:rPr>
    </w:lvl>
    <w:lvl w:ilvl="8" w:tplc="08090005" w:tentative="1">
      <w:start w:val="1"/>
      <w:numFmt w:val="bullet"/>
      <w:lvlText w:val=""/>
      <w:lvlJc w:val="left"/>
      <w:pPr>
        <w:ind w:left="6541" w:hanging="360"/>
      </w:pPr>
      <w:rPr>
        <w:rFonts w:ascii="Wingdings" w:hAnsi="Wingdings" w:hint="default"/>
      </w:rPr>
    </w:lvl>
  </w:abstractNum>
  <w:abstractNum w:abstractNumId="25" w15:restartNumberingAfterBreak="0">
    <w:nsid w:val="721675D9"/>
    <w:multiLevelType w:val="hybridMultilevel"/>
    <w:tmpl w:val="A112AA04"/>
    <w:lvl w:ilvl="0" w:tplc="D738F94E">
      <w:start w:val="1"/>
      <w:numFmt w:val="bullet"/>
      <w:lvlText w:val=""/>
      <w:lvlJc w:val="left"/>
      <w:pPr>
        <w:ind w:left="720" w:hanging="360"/>
      </w:pPr>
      <w:rPr>
        <w:rFonts w:ascii="Symbol" w:hAnsi="Symbol" w:hint="default"/>
      </w:rPr>
    </w:lvl>
    <w:lvl w:ilvl="1" w:tplc="E2880444">
      <w:start w:val="1"/>
      <w:numFmt w:val="bullet"/>
      <w:lvlText w:val="o"/>
      <w:lvlJc w:val="left"/>
      <w:pPr>
        <w:ind w:left="1440" w:hanging="360"/>
      </w:pPr>
      <w:rPr>
        <w:rFonts w:ascii="Courier New" w:hAnsi="Courier New" w:hint="default"/>
      </w:rPr>
    </w:lvl>
    <w:lvl w:ilvl="2" w:tplc="1B48DE28">
      <w:start w:val="1"/>
      <w:numFmt w:val="bullet"/>
      <w:lvlText w:val=""/>
      <w:lvlJc w:val="left"/>
      <w:pPr>
        <w:ind w:left="2160" w:hanging="360"/>
      </w:pPr>
      <w:rPr>
        <w:rFonts w:ascii="Wingdings" w:hAnsi="Wingdings" w:hint="default"/>
      </w:rPr>
    </w:lvl>
    <w:lvl w:ilvl="3" w:tplc="585079FA">
      <w:start w:val="1"/>
      <w:numFmt w:val="bullet"/>
      <w:lvlText w:val=""/>
      <w:lvlJc w:val="left"/>
      <w:pPr>
        <w:ind w:left="2880" w:hanging="360"/>
      </w:pPr>
      <w:rPr>
        <w:rFonts w:ascii="Symbol" w:hAnsi="Symbol" w:hint="default"/>
      </w:rPr>
    </w:lvl>
    <w:lvl w:ilvl="4" w:tplc="F878AF5A">
      <w:start w:val="1"/>
      <w:numFmt w:val="bullet"/>
      <w:lvlText w:val="o"/>
      <w:lvlJc w:val="left"/>
      <w:pPr>
        <w:ind w:left="3600" w:hanging="360"/>
      </w:pPr>
      <w:rPr>
        <w:rFonts w:ascii="Courier New" w:hAnsi="Courier New" w:hint="default"/>
      </w:rPr>
    </w:lvl>
    <w:lvl w:ilvl="5" w:tplc="88EAE4FA">
      <w:start w:val="1"/>
      <w:numFmt w:val="bullet"/>
      <w:lvlText w:val=""/>
      <w:lvlJc w:val="left"/>
      <w:pPr>
        <w:ind w:left="4320" w:hanging="360"/>
      </w:pPr>
      <w:rPr>
        <w:rFonts w:ascii="Wingdings" w:hAnsi="Wingdings" w:hint="default"/>
      </w:rPr>
    </w:lvl>
    <w:lvl w:ilvl="6" w:tplc="D73EFFFC">
      <w:start w:val="1"/>
      <w:numFmt w:val="bullet"/>
      <w:lvlText w:val=""/>
      <w:lvlJc w:val="left"/>
      <w:pPr>
        <w:ind w:left="5040" w:hanging="360"/>
      </w:pPr>
      <w:rPr>
        <w:rFonts w:ascii="Symbol" w:hAnsi="Symbol" w:hint="default"/>
      </w:rPr>
    </w:lvl>
    <w:lvl w:ilvl="7" w:tplc="02EEA818">
      <w:start w:val="1"/>
      <w:numFmt w:val="bullet"/>
      <w:lvlText w:val="o"/>
      <w:lvlJc w:val="left"/>
      <w:pPr>
        <w:ind w:left="5760" w:hanging="360"/>
      </w:pPr>
      <w:rPr>
        <w:rFonts w:ascii="Courier New" w:hAnsi="Courier New" w:hint="default"/>
      </w:rPr>
    </w:lvl>
    <w:lvl w:ilvl="8" w:tplc="298648FC">
      <w:start w:val="1"/>
      <w:numFmt w:val="bullet"/>
      <w:lvlText w:val=""/>
      <w:lvlJc w:val="left"/>
      <w:pPr>
        <w:ind w:left="6480" w:hanging="360"/>
      </w:pPr>
      <w:rPr>
        <w:rFonts w:ascii="Wingdings" w:hAnsi="Wingdings" w:hint="default"/>
      </w:rPr>
    </w:lvl>
  </w:abstractNum>
  <w:abstractNum w:abstractNumId="26" w15:restartNumberingAfterBreak="0">
    <w:nsid w:val="735A04BA"/>
    <w:multiLevelType w:val="hybridMultilevel"/>
    <w:tmpl w:val="1182F804"/>
    <w:lvl w:ilvl="0" w:tplc="04090001">
      <w:start w:val="1"/>
      <w:numFmt w:val="bullet"/>
      <w:lvlText w:val=""/>
      <w:lvlJc w:val="left"/>
      <w:pPr>
        <w:ind w:left="779" w:hanging="360"/>
      </w:pPr>
      <w:rPr>
        <w:rFonts w:ascii="Symbol" w:hAnsi="Symbol" w:hint="default"/>
      </w:rPr>
    </w:lvl>
    <w:lvl w:ilvl="1" w:tplc="04090003">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27" w15:restartNumberingAfterBreak="0">
    <w:nsid w:val="74BE6BD0"/>
    <w:multiLevelType w:val="hybridMultilevel"/>
    <w:tmpl w:val="2A0A30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7E44606"/>
    <w:multiLevelType w:val="hybridMultilevel"/>
    <w:tmpl w:val="30BC18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A5149A6"/>
    <w:multiLevelType w:val="hybridMultilevel"/>
    <w:tmpl w:val="37E81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18"/>
  </w:num>
  <w:num w:numId="3">
    <w:abstractNumId w:val="18"/>
  </w:num>
  <w:num w:numId="4">
    <w:abstractNumId w:val="5"/>
  </w:num>
  <w:num w:numId="5">
    <w:abstractNumId w:val="29"/>
  </w:num>
  <w:num w:numId="6">
    <w:abstractNumId w:val="26"/>
  </w:num>
  <w:num w:numId="7">
    <w:abstractNumId w:val="2"/>
  </w:num>
  <w:num w:numId="8">
    <w:abstractNumId w:val="13"/>
  </w:num>
  <w:num w:numId="9">
    <w:abstractNumId w:val="15"/>
  </w:num>
  <w:num w:numId="10">
    <w:abstractNumId w:val="6"/>
  </w:num>
  <w:num w:numId="11">
    <w:abstractNumId w:val="4"/>
  </w:num>
  <w:num w:numId="12">
    <w:abstractNumId w:val="0"/>
  </w:num>
  <w:num w:numId="13">
    <w:abstractNumId w:val="14"/>
  </w:num>
  <w:num w:numId="14">
    <w:abstractNumId w:val="16"/>
  </w:num>
  <w:num w:numId="15">
    <w:abstractNumId w:val="19"/>
  </w:num>
  <w:num w:numId="16">
    <w:abstractNumId w:val="10"/>
  </w:num>
  <w:num w:numId="17">
    <w:abstractNumId w:val="9"/>
  </w:num>
  <w:num w:numId="18">
    <w:abstractNumId w:val="20"/>
  </w:num>
  <w:num w:numId="19">
    <w:abstractNumId w:val="1"/>
  </w:num>
  <w:num w:numId="20">
    <w:abstractNumId w:val="28"/>
  </w:num>
  <w:num w:numId="21">
    <w:abstractNumId w:val="24"/>
  </w:num>
  <w:num w:numId="22">
    <w:abstractNumId w:val="27"/>
  </w:num>
  <w:num w:numId="23">
    <w:abstractNumId w:val="23"/>
  </w:num>
  <w:num w:numId="24">
    <w:abstractNumId w:val="17"/>
  </w:num>
  <w:num w:numId="25">
    <w:abstractNumId w:val="11"/>
  </w:num>
  <w:num w:numId="26">
    <w:abstractNumId w:val="22"/>
  </w:num>
  <w:num w:numId="27">
    <w:abstractNumId w:val="12"/>
  </w:num>
  <w:num w:numId="28">
    <w:abstractNumId w:val="8"/>
  </w:num>
  <w:num w:numId="29">
    <w:abstractNumId w:val="21"/>
  </w:num>
  <w:num w:numId="30">
    <w:abstractNumId w:val="7"/>
  </w:num>
  <w:num w:numId="31">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oNotDisplayPageBoundaries/>
  <w:embedSystemFonts/>
  <w:proofState w:grammar="clean"/>
  <w:defaultTabStop w:val="720"/>
  <w:drawingGridHorizontalSpacing w:val="100"/>
  <w:drawingGridVerticalSpacing w:val="136"/>
  <w:displayHorizontalDrawingGridEvery w:val="0"/>
  <w:displayVerticalDrawingGridEvery w:val="0"/>
  <w:characterSpacingControl w:val="doNotCompress"/>
  <w:hdrShapeDefaults>
    <o:shapedefaults v:ext="edit" spidmax="4097"/>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4B75"/>
    <w:rsid w:val="000012B9"/>
    <w:rsid w:val="00002BD4"/>
    <w:rsid w:val="00003D2A"/>
    <w:rsid w:val="00004006"/>
    <w:rsid w:val="00005D02"/>
    <w:rsid w:val="00006E2A"/>
    <w:rsid w:val="0000768E"/>
    <w:rsid w:val="000078CE"/>
    <w:rsid w:val="0000799B"/>
    <w:rsid w:val="00013E7F"/>
    <w:rsid w:val="00014DD4"/>
    <w:rsid w:val="00017970"/>
    <w:rsid w:val="0002041D"/>
    <w:rsid w:val="00024C5B"/>
    <w:rsid w:val="00025C89"/>
    <w:rsid w:val="000265A6"/>
    <w:rsid w:val="00027F2E"/>
    <w:rsid w:val="000310A7"/>
    <w:rsid w:val="000313B0"/>
    <w:rsid w:val="00033A76"/>
    <w:rsid w:val="000349D3"/>
    <w:rsid w:val="000350CB"/>
    <w:rsid w:val="000351B1"/>
    <w:rsid w:val="000367E9"/>
    <w:rsid w:val="00036E4B"/>
    <w:rsid w:val="00040D64"/>
    <w:rsid w:val="00040DF8"/>
    <w:rsid w:val="00041296"/>
    <w:rsid w:val="00042080"/>
    <w:rsid w:val="00042352"/>
    <w:rsid w:val="0004292B"/>
    <w:rsid w:val="000439FA"/>
    <w:rsid w:val="0004475B"/>
    <w:rsid w:val="00046234"/>
    <w:rsid w:val="00046F32"/>
    <w:rsid w:val="00050B78"/>
    <w:rsid w:val="00052D19"/>
    <w:rsid w:val="000539A0"/>
    <w:rsid w:val="0005545E"/>
    <w:rsid w:val="000557BE"/>
    <w:rsid w:val="00055D35"/>
    <w:rsid w:val="00055EDA"/>
    <w:rsid w:val="00055EE6"/>
    <w:rsid w:val="00056E68"/>
    <w:rsid w:val="000571BF"/>
    <w:rsid w:val="0006021C"/>
    <w:rsid w:val="00062E7F"/>
    <w:rsid w:val="0006596D"/>
    <w:rsid w:val="00066861"/>
    <w:rsid w:val="00066DC2"/>
    <w:rsid w:val="0007054C"/>
    <w:rsid w:val="0007138F"/>
    <w:rsid w:val="00071875"/>
    <w:rsid w:val="00072AFA"/>
    <w:rsid w:val="00072CA4"/>
    <w:rsid w:val="00073B99"/>
    <w:rsid w:val="000740CD"/>
    <w:rsid w:val="00075859"/>
    <w:rsid w:val="00075CCF"/>
    <w:rsid w:val="0007684C"/>
    <w:rsid w:val="000774EB"/>
    <w:rsid w:val="00080C7F"/>
    <w:rsid w:val="00081AFB"/>
    <w:rsid w:val="000823A5"/>
    <w:rsid w:val="00082B65"/>
    <w:rsid w:val="00083779"/>
    <w:rsid w:val="00085BD8"/>
    <w:rsid w:val="00086561"/>
    <w:rsid w:val="00091065"/>
    <w:rsid w:val="000913A8"/>
    <w:rsid w:val="00092D89"/>
    <w:rsid w:val="000946A2"/>
    <w:rsid w:val="00095683"/>
    <w:rsid w:val="00095739"/>
    <w:rsid w:val="00095E66"/>
    <w:rsid w:val="00096FE2"/>
    <w:rsid w:val="0009701C"/>
    <w:rsid w:val="000A1A83"/>
    <w:rsid w:val="000A3179"/>
    <w:rsid w:val="000A5123"/>
    <w:rsid w:val="000A5231"/>
    <w:rsid w:val="000A538D"/>
    <w:rsid w:val="000A58C2"/>
    <w:rsid w:val="000A7CF6"/>
    <w:rsid w:val="000B0F6E"/>
    <w:rsid w:val="000B3BC5"/>
    <w:rsid w:val="000B3E48"/>
    <w:rsid w:val="000B5566"/>
    <w:rsid w:val="000B5CAD"/>
    <w:rsid w:val="000B7D8E"/>
    <w:rsid w:val="000C09BA"/>
    <w:rsid w:val="000C3690"/>
    <w:rsid w:val="000C3C7B"/>
    <w:rsid w:val="000C656A"/>
    <w:rsid w:val="000C751B"/>
    <w:rsid w:val="000D0C44"/>
    <w:rsid w:val="000D2634"/>
    <w:rsid w:val="000D633B"/>
    <w:rsid w:val="000D7C5F"/>
    <w:rsid w:val="000E103E"/>
    <w:rsid w:val="000E47E9"/>
    <w:rsid w:val="000E622C"/>
    <w:rsid w:val="000E66AE"/>
    <w:rsid w:val="000F17A5"/>
    <w:rsid w:val="000F1B1B"/>
    <w:rsid w:val="000F2109"/>
    <w:rsid w:val="000F59D3"/>
    <w:rsid w:val="000F773D"/>
    <w:rsid w:val="00100340"/>
    <w:rsid w:val="001013BB"/>
    <w:rsid w:val="00101B2F"/>
    <w:rsid w:val="001025E8"/>
    <w:rsid w:val="00102F22"/>
    <w:rsid w:val="00103F83"/>
    <w:rsid w:val="00104666"/>
    <w:rsid w:val="00105985"/>
    <w:rsid w:val="00105B25"/>
    <w:rsid w:val="00105E45"/>
    <w:rsid w:val="0011004A"/>
    <w:rsid w:val="00110B22"/>
    <w:rsid w:val="00111162"/>
    <w:rsid w:val="00112870"/>
    <w:rsid w:val="0011316A"/>
    <w:rsid w:val="00114CD0"/>
    <w:rsid w:val="00116544"/>
    <w:rsid w:val="001169DC"/>
    <w:rsid w:val="00117BEA"/>
    <w:rsid w:val="001220A9"/>
    <w:rsid w:val="001220FF"/>
    <w:rsid w:val="0012315D"/>
    <w:rsid w:val="00125B40"/>
    <w:rsid w:val="00125BFC"/>
    <w:rsid w:val="00126B46"/>
    <w:rsid w:val="00127022"/>
    <w:rsid w:val="001273DB"/>
    <w:rsid w:val="001312B7"/>
    <w:rsid w:val="00132B5A"/>
    <w:rsid w:val="00136356"/>
    <w:rsid w:val="00141302"/>
    <w:rsid w:val="00141480"/>
    <w:rsid w:val="00143696"/>
    <w:rsid w:val="0015042F"/>
    <w:rsid w:val="00150763"/>
    <w:rsid w:val="0015279F"/>
    <w:rsid w:val="00153458"/>
    <w:rsid w:val="00153EBC"/>
    <w:rsid w:val="00154E6F"/>
    <w:rsid w:val="00156BBF"/>
    <w:rsid w:val="00156CDA"/>
    <w:rsid w:val="00156E7C"/>
    <w:rsid w:val="0016022B"/>
    <w:rsid w:val="0016055F"/>
    <w:rsid w:val="00160CBA"/>
    <w:rsid w:val="00162558"/>
    <w:rsid w:val="0016295E"/>
    <w:rsid w:val="0016303C"/>
    <w:rsid w:val="001639C5"/>
    <w:rsid w:val="00163A54"/>
    <w:rsid w:val="00164612"/>
    <w:rsid w:val="00165934"/>
    <w:rsid w:val="00166F08"/>
    <w:rsid w:val="0017123E"/>
    <w:rsid w:val="001756C6"/>
    <w:rsid w:val="00176987"/>
    <w:rsid w:val="00176C4D"/>
    <w:rsid w:val="00176D81"/>
    <w:rsid w:val="001776A0"/>
    <w:rsid w:val="00177FE6"/>
    <w:rsid w:val="00184045"/>
    <w:rsid w:val="00185178"/>
    <w:rsid w:val="001857C6"/>
    <w:rsid w:val="001872C8"/>
    <w:rsid w:val="00190D76"/>
    <w:rsid w:val="00190EFA"/>
    <w:rsid w:val="001915BF"/>
    <w:rsid w:val="00191C9C"/>
    <w:rsid w:val="00192024"/>
    <w:rsid w:val="0019240F"/>
    <w:rsid w:val="001924B2"/>
    <w:rsid w:val="00193313"/>
    <w:rsid w:val="0019483E"/>
    <w:rsid w:val="001959F5"/>
    <w:rsid w:val="00196F9B"/>
    <w:rsid w:val="001A0F67"/>
    <w:rsid w:val="001A2281"/>
    <w:rsid w:val="001A260A"/>
    <w:rsid w:val="001A2E0A"/>
    <w:rsid w:val="001A3CA0"/>
    <w:rsid w:val="001A4F2B"/>
    <w:rsid w:val="001A5817"/>
    <w:rsid w:val="001A652D"/>
    <w:rsid w:val="001A7350"/>
    <w:rsid w:val="001B0B6B"/>
    <w:rsid w:val="001B16B6"/>
    <w:rsid w:val="001B2F27"/>
    <w:rsid w:val="001B375E"/>
    <w:rsid w:val="001B3F23"/>
    <w:rsid w:val="001B459E"/>
    <w:rsid w:val="001B53C5"/>
    <w:rsid w:val="001B5616"/>
    <w:rsid w:val="001B6685"/>
    <w:rsid w:val="001B6E45"/>
    <w:rsid w:val="001C0B84"/>
    <w:rsid w:val="001C399E"/>
    <w:rsid w:val="001C4E3B"/>
    <w:rsid w:val="001C4E6C"/>
    <w:rsid w:val="001C600B"/>
    <w:rsid w:val="001D4195"/>
    <w:rsid w:val="001D457E"/>
    <w:rsid w:val="001D49FD"/>
    <w:rsid w:val="001D5247"/>
    <w:rsid w:val="001E003A"/>
    <w:rsid w:val="001E188B"/>
    <w:rsid w:val="001E1C48"/>
    <w:rsid w:val="001E2A0B"/>
    <w:rsid w:val="001E2C53"/>
    <w:rsid w:val="001E3808"/>
    <w:rsid w:val="001E4ABF"/>
    <w:rsid w:val="001E4D85"/>
    <w:rsid w:val="001E5ECF"/>
    <w:rsid w:val="001E678C"/>
    <w:rsid w:val="001E7C0C"/>
    <w:rsid w:val="001F0C0B"/>
    <w:rsid w:val="001F1607"/>
    <w:rsid w:val="001F2DF6"/>
    <w:rsid w:val="001F3B31"/>
    <w:rsid w:val="001F5773"/>
    <w:rsid w:val="00203482"/>
    <w:rsid w:val="0020462C"/>
    <w:rsid w:val="00204F85"/>
    <w:rsid w:val="00210B4C"/>
    <w:rsid w:val="00210F68"/>
    <w:rsid w:val="002120E7"/>
    <w:rsid w:val="00212783"/>
    <w:rsid w:val="0021511F"/>
    <w:rsid w:val="002166CF"/>
    <w:rsid w:val="00217743"/>
    <w:rsid w:val="00220C21"/>
    <w:rsid w:val="00221BC9"/>
    <w:rsid w:val="00221CFE"/>
    <w:rsid w:val="0022256A"/>
    <w:rsid w:val="002255D2"/>
    <w:rsid w:val="00225BC1"/>
    <w:rsid w:val="00230860"/>
    <w:rsid w:val="0023181C"/>
    <w:rsid w:val="002324C8"/>
    <w:rsid w:val="0023335D"/>
    <w:rsid w:val="002344F1"/>
    <w:rsid w:val="00236510"/>
    <w:rsid w:val="00236ACA"/>
    <w:rsid w:val="00236C4C"/>
    <w:rsid w:val="00237258"/>
    <w:rsid w:val="00237510"/>
    <w:rsid w:val="00237C49"/>
    <w:rsid w:val="00241194"/>
    <w:rsid w:val="00243054"/>
    <w:rsid w:val="00245C08"/>
    <w:rsid w:val="00247EBE"/>
    <w:rsid w:val="002503A3"/>
    <w:rsid w:val="00250F4A"/>
    <w:rsid w:val="00251BFB"/>
    <w:rsid w:val="0025317D"/>
    <w:rsid w:val="00253C21"/>
    <w:rsid w:val="00255BD6"/>
    <w:rsid w:val="00256ADD"/>
    <w:rsid w:val="00256BA2"/>
    <w:rsid w:val="00257355"/>
    <w:rsid w:val="00257B46"/>
    <w:rsid w:val="0026032B"/>
    <w:rsid w:val="00260F82"/>
    <w:rsid w:val="00261E9F"/>
    <w:rsid w:val="00265A90"/>
    <w:rsid w:val="00265ACD"/>
    <w:rsid w:val="002672CB"/>
    <w:rsid w:val="0027024E"/>
    <w:rsid w:val="00270952"/>
    <w:rsid w:val="00272039"/>
    <w:rsid w:val="00272161"/>
    <w:rsid w:val="00276550"/>
    <w:rsid w:val="00277F3C"/>
    <w:rsid w:val="002806E8"/>
    <w:rsid w:val="00281342"/>
    <w:rsid w:val="002818A2"/>
    <w:rsid w:val="00282B51"/>
    <w:rsid w:val="00284219"/>
    <w:rsid w:val="00284EB2"/>
    <w:rsid w:val="00286644"/>
    <w:rsid w:val="00291C0A"/>
    <w:rsid w:val="00292EFF"/>
    <w:rsid w:val="002942F1"/>
    <w:rsid w:val="00294BA9"/>
    <w:rsid w:val="00295D4A"/>
    <w:rsid w:val="00297A01"/>
    <w:rsid w:val="002A0016"/>
    <w:rsid w:val="002A0D41"/>
    <w:rsid w:val="002A15E6"/>
    <w:rsid w:val="002A294C"/>
    <w:rsid w:val="002A5324"/>
    <w:rsid w:val="002A6BD6"/>
    <w:rsid w:val="002A7797"/>
    <w:rsid w:val="002A7965"/>
    <w:rsid w:val="002B0156"/>
    <w:rsid w:val="002B0427"/>
    <w:rsid w:val="002B08DE"/>
    <w:rsid w:val="002B2753"/>
    <w:rsid w:val="002B3136"/>
    <w:rsid w:val="002B7453"/>
    <w:rsid w:val="002B7816"/>
    <w:rsid w:val="002C12B3"/>
    <w:rsid w:val="002C31D3"/>
    <w:rsid w:val="002C430A"/>
    <w:rsid w:val="002C58BD"/>
    <w:rsid w:val="002C6C35"/>
    <w:rsid w:val="002C74FC"/>
    <w:rsid w:val="002C773E"/>
    <w:rsid w:val="002C797E"/>
    <w:rsid w:val="002D0505"/>
    <w:rsid w:val="002D29E6"/>
    <w:rsid w:val="002D3825"/>
    <w:rsid w:val="002D50E8"/>
    <w:rsid w:val="002D6B13"/>
    <w:rsid w:val="002E0094"/>
    <w:rsid w:val="002E032A"/>
    <w:rsid w:val="002E30D3"/>
    <w:rsid w:val="002E3104"/>
    <w:rsid w:val="002E4C3D"/>
    <w:rsid w:val="002E5970"/>
    <w:rsid w:val="002E5BEE"/>
    <w:rsid w:val="002E5D1E"/>
    <w:rsid w:val="002E5E2D"/>
    <w:rsid w:val="002E606B"/>
    <w:rsid w:val="002E701B"/>
    <w:rsid w:val="002F4ACB"/>
    <w:rsid w:val="002F4B0E"/>
    <w:rsid w:val="002F556B"/>
    <w:rsid w:val="002F60E0"/>
    <w:rsid w:val="002F61C0"/>
    <w:rsid w:val="002F74DD"/>
    <w:rsid w:val="002F7AB4"/>
    <w:rsid w:val="002F7D1C"/>
    <w:rsid w:val="00300878"/>
    <w:rsid w:val="00301983"/>
    <w:rsid w:val="00302858"/>
    <w:rsid w:val="003036A5"/>
    <w:rsid w:val="00306BE6"/>
    <w:rsid w:val="003073D8"/>
    <w:rsid w:val="00307F2A"/>
    <w:rsid w:val="00314A4D"/>
    <w:rsid w:val="0031580A"/>
    <w:rsid w:val="00316157"/>
    <w:rsid w:val="003161DF"/>
    <w:rsid w:val="003165B4"/>
    <w:rsid w:val="00316A1E"/>
    <w:rsid w:val="00316FAA"/>
    <w:rsid w:val="0032017A"/>
    <w:rsid w:val="003213D2"/>
    <w:rsid w:val="00322520"/>
    <w:rsid w:val="003234B4"/>
    <w:rsid w:val="00324C84"/>
    <w:rsid w:val="003253DF"/>
    <w:rsid w:val="003261CB"/>
    <w:rsid w:val="0032714F"/>
    <w:rsid w:val="00327B90"/>
    <w:rsid w:val="00330A94"/>
    <w:rsid w:val="00332007"/>
    <w:rsid w:val="0033605F"/>
    <w:rsid w:val="00336EFB"/>
    <w:rsid w:val="00340498"/>
    <w:rsid w:val="00341069"/>
    <w:rsid w:val="00341406"/>
    <w:rsid w:val="00343083"/>
    <w:rsid w:val="00343B43"/>
    <w:rsid w:val="00343C80"/>
    <w:rsid w:val="00343E68"/>
    <w:rsid w:val="00344E97"/>
    <w:rsid w:val="0034550A"/>
    <w:rsid w:val="0034730C"/>
    <w:rsid w:val="00351063"/>
    <w:rsid w:val="0035216A"/>
    <w:rsid w:val="003553DE"/>
    <w:rsid w:val="003554D1"/>
    <w:rsid w:val="0035596F"/>
    <w:rsid w:val="003568A0"/>
    <w:rsid w:val="0035720A"/>
    <w:rsid w:val="0035720F"/>
    <w:rsid w:val="003574E4"/>
    <w:rsid w:val="003604D4"/>
    <w:rsid w:val="00360E11"/>
    <w:rsid w:val="00363428"/>
    <w:rsid w:val="003656BD"/>
    <w:rsid w:val="00366881"/>
    <w:rsid w:val="00366DE9"/>
    <w:rsid w:val="0036754D"/>
    <w:rsid w:val="00367C25"/>
    <w:rsid w:val="00370243"/>
    <w:rsid w:val="00370B4D"/>
    <w:rsid w:val="003715F4"/>
    <w:rsid w:val="00371FFD"/>
    <w:rsid w:val="00373F48"/>
    <w:rsid w:val="0037441F"/>
    <w:rsid w:val="003758E7"/>
    <w:rsid w:val="00375CD7"/>
    <w:rsid w:val="00376A66"/>
    <w:rsid w:val="003800BD"/>
    <w:rsid w:val="003810DA"/>
    <w:rsid w:val="00383609"/>
    <w:rsid w:val="003837BE"/>
    <w:rsid w:val="00383EF2"/>
    <w:rsid w:val="00383FB3"/>
    <w:rsid w:val="0038544F"/>
    <w:rsid w:val="003860FC"/>
    <w:rsid w:val="00387C6A"/>
    <w:rsid w:val="00390B33"/>
    <w:rsid w:val="00392A76"/>
    <w:rsid w:val="0039315E"/>
    <w:rsid w:val="00394952"/>
    <w:rsid w:val="00394B04"/>
    <w:rsid w:val="00394FED"/>
    <w:rsid w:val="00395AF3"/>
    <w:rsid w:val="003971E1"/>
    <w:rsid w:val="00397917"/>
    <w:rsid w:val="003A08F3"/>
    <w:rsid w:val="003A2605"/>
    <w:rsid w:val="003A32E8"/>
    <w:rsid w:val="003A356F"/>
    <w:rsid w:val="003A5A27"/>
    <w:rsid w:val="003A5ABF"/>
    <w:rsid w:val="003A7841"/>
    <w:rsid w:val="003B1041"/>
    <w:rsid w:val="003B1794"/>
    <w:rsid w:val="003B1BB6"/>
    <w:rsid w:val="003B299F"/>
    <w:rsid w:val="003B2E82"/>
    <w:rsid w:val="003B3CBE"/>
    <w:rsid w:val="003B4D77"/>
    <w:rsid w:val="003B5849"/>
    <w:rsid w:val="003C3031"/>
    <w:rsid w:val="003C417C"/>
    <w:rsid w:val="003C6EF8"/>
    <w:rsid w:val="003D0AB6"/>
    <w:rsid w:val="003D0FB6"/>
    <w:rsid w:val="003D3A67"/>
    <w:rsid w:val="003D44AF"/>
    <w:rsid w:val="003D4635"/>
    <w:rsid w:val="003D529F"/>
    <w:rsid w:val="003D5648"/>
    <w:rsid w:val="003D619D"/>
    <w:rsid w:val="003D6353"/>
    <w:rsid w:val="003D66EB"/>
    <w:rsid w:val="003E0353"/>
    <w:rsid w:val="003E0AFA"/>
    <w:rsid w:val="003E1203"/>
    <w:rsid w:val="003E21CF"/>
    <w:rsid w:val="003E2344"/>
    <w:rsid w:val="003E5112"/>
    <w:rsid w:val="003E5486"/>
    <w:rsid w:val="003E5529"/>
    <w:rsid w:val="003F03C1"/>
    <w:rsid w:val="003F161F"/>
    <w:rsid w:val="003F2094"/>
    <w:rsid w:val="003F2E01"/>
    <w:rsid w:val="003F2E40"/>
    <w:rsid w:val="003F4894"/>
    <w:rsid w:val="003F719C"/>
    <w:rsid w:val="00401308"/>
    <w:rsid w:val="00401735"/>
    <w:rsid w:val="0040479C"/>
    <w:rsid w:val="00412B1E"/>
    <w:rsid w:val="00417D48"/>
    <w:rsid w:val="004200F0"/>
    <w:rsid w:val="00420E8C"/>
    <w:rsid w:val="00421AEC"/>
    <w:rsid w:val="00425193"/>
    <w:rsid w:val="004263AF"/>
    <w:rsid w:val="00426A37"/>
    <w:rsid w:val="0043049E"/>
    <w:rsid w:val="00431264"/>
    <w:rsid w:val="004318A1"/>
    <w:rsid w:val="0043245D"/>
    <w:rsid w:val="00433305"/>
    <w:rsid w:val="00434513"/>
    <w:rsid w:val="00435A0E"/>
    <w:rsid w:val="00435C62"/>
    <w:rsid w:val="004419EF"/>
    <w:rsid w:val="004458F5"/>
    <w:rsid w:val="00445A23"/>
    <w:rsid w:val="00445CC8"/>
    <w:rsid w:val="00446999"/>
    <w:rsid w:val="00450E32"/>
    <w:rsid w:val="00452112"/>
    <w:rsid w:val="00452274"/>
    <w:rsid w:val="00452C02"/>
    <w:rsid w:val="00455C51"/>
    <w:rsid w:val="00457169"/>
    <w:rsid w:val="00460267"/>
    <w:rsid w:val="004602DF"/>
    <w:rsid w:val="0046372B"/>
    <w:rsid w:val="00463A82"/>
    <w:rsid w:val="004648FA"/>
    <w:rsid w:val="00465C26"/>
    <w:rsid w:val="004700FF"/>
    <w:rsid w:val="00470E3E"/>
    <w:rsid w:val="00471E9C"/>
    <w:rsid w:val="004721AE"/>
    <w:rsid w:val="0047228D"/>
    <w:rsid w:val="00472359"/>
    <w:rsid w:val="00473527"/>
    <w:rsid w:val="00474469"/>
    <w:rsid w:val="004776B7"/>
    <w:rsid w:val="00482A63"/>
    <w:rsid w:val="00484592"/>
    <w:rsid w:val="00486FB1"/>
    <w:rsid w:val="00486FFF"/>
    <w:rsid w:val="004907B2"/>
    <w:rsid w:val="00491D35"/>
    <w:rsid w:val="0049200C"/>
    <w:rsid w:val="00493DF0"/>
    <w:rsid w:val="00495436"/>
    <w:rsid w:val="00495BBE"/>
    <w:rsid w:val="004A2AC3"/>
    <w:rsid w:val="004A3E45"/>
    <w:rsid w:val="004A471A"/>
    <w:rsid w:val="004A52DC"/>
    <w:rsid w:val="004A5570"/>
    <w:rsid w:val="004A7061"/>
    <w:rsid w:val="004B0F3F"/>
    <w:rsid w:val="004B1724"/>
    <w:rsid w:val="004B1D0C"/>
    <w:rsid w:val="004B1D99"/>
    <w:rsid w:val="004B5E5F"/>
    <w:rsid w:val="004B66C7"/>
    <w:rsid w:val="004C1DCC"/>
    <w:rsid w:val="004C2E38"/>
    <w:rsid w:val="004C2F8D"/>
    <w:rsid w:val="004C344C"/>
    <w:rsid w:val="004C41D0"/>
    <w:rsid w:val="004C4EAC"/>
    <w:rsid w:val="004C5BC1"/>
    <w:rsid w:val="004C620D"/>
    <w:rsid w:val="004C64AA"/>
    <w:rsid w:val="004C780E"/>
    <w:rsid w:val="004D0888"/>
    <w:rsid w:val="004D1DE7"/>
    <w:rsid w:val="004D22D6"/>
    <w:rsid w:val="004D5996"/>
    <w:rsid w:val="004D5DFC"/>
    <w:rsid w:val="004D707B"/>
    <w:rsid w:val="004D7AEB"/>
    <w:rsid w:val="004E0D3E"/>
    <w:rsid w:val="004E1696"/>
    <w:rsid w:val="004E3871"/>
    <w:rsid w:val="004E5A16"/>
    <w:rsid w:val="004E75AF"/>
    <w:rsid w:val="004F193F"/>
    <w:rsid w:val="004F260B"/>
    <w:rsid w:val="004F2996"/>
    <w:rsid w:val="005023F0"/>
    <w:rsid w:val="00502803"/>
    <w:rsid w:val="00503ED8"/>
    <w:rsid w:val="005044D4"/>
    <w:rsid w:val="00504DCF"/>
    <w:rsid w:val="00505B75"/>
    <w:rsid w:val="00506057"/>
    <w:rsid w:val="00506B66"/>
    <w:rsid w:val="00506C5C"/>
    <w:rsid w:val="00506CD6"/>
    <w:rsid w:val="00507650"/>
    <w:rsid w:val="00507E50"/>
    <w:rsid w:val="00513687"/>
    <w:rsid w:val="00514C20"/>
    <w:rsid w:val="0051554D"/>
    <w:rsid w:val="00520D5A"/>
    <w:rsid w:val="005215D3"/>
    <w:rsid w:val="00521E73"/>
    <w:rsid w:val="005227A3"/>
    <w:rsid w:val="005241A0"/>
    <w:rsid w:val="005241AC"/>
    <w:rsid w:val="0052458A"/>
    <w:rsid w:val="005250F0"/>
    <w:rsid w:val="00525B30"/>
    <w:rsid w:val="00526F1F"/>
    <w:rsid w:val="00530A8F"/>
    <w:rsid w:val="00532B9B"/>
    <w:rsid w:val="00532EED"/>
    <w:rsid w:val="00535670"/>
    <w:rsid w:val="00535713"/>
    <w:rsid w:val="00535817"/>
    <w:rsid w:val="00537202"/>
    <w:rsid w:val="00544AEA"/>
    <w:rsid w:val="0055003B"/>
    <w:rsid w:val="0055545B"/>
    <w:rsid w:val="00555B37"/>
    <w:rsid w:val="0055739D"/>
    <w:rsid w:val="00560028"/>
    <w:rsid w:val="00560D40"/>
    <w:rsid w:val="005616B9"/>
    <w:rsid w:val="00562CEC"/>
    <w:rsid w:val="0056321D"/>
    <w:rsid w:val="005648A1"/>
    <w:rsid w:val="005651A7"/>
    <w:rsid w:val="00565333"/>
    <w:rsid w:val="00566C31"/>
    <w:rsid w:val="00566E64"/>
    <w:rsid w:val="0057061E"/>
    <w:rsid w:val="00570F1D"/>
    <w:rsid w:val="005743FF"/>
    <w:rsid w:val="00574741"/>
    <w:rsid w:val="00581130"/>
    <w:rsid w:val="00583502"/>
    <w:rsid w:val="00583662"/>
    <w:rsid w:val="00583FAE"/>
    <w:rsid w:val="00584FEC"/>
    <w:rsid w:val="005851A2"/>
    <w:rsid w:val="00590586"/>
    <w:rsid w:val="00590B11"/>
    <w:rsid w:val="0059103A"/>
    <w:rsid w:val="005922B7"/>
    <w:rsid w:val="0059273D"/>
    <w:rsid w:val="00592BEC"/>
    <w:rsid w:val="00597F2B"/>
    <w:rsid w:val="005A0386"/>
    <w:rsid w:val="005A03E3"/>
    <w:rsid w:val="005A175E"/>
    <w:rsid w:val="005A7000"/>
    <w:rsid w:val="005B2698"/>
    <w:rsid w:val="005B4088"/>
    <w:rsid w:val="005B4D8E"/>
    <w:rsid w:val="005B5FF0"/>
    <w:rsid w:val="005C0A2A"/>
    <w:rsid w:val="005C2AE5"/>
    <w:rsid w:val="005C457A"/>
    <w:rsid w:val="005D0488"/>
    <w:rsid w:val="005D1489"/>
    <w:rsid w:val="005D1547"/>
    <w:rsid w:val="005D2B24"/>
    <w:rsid w:val="005D32FB"/>
    <w:rsid w:val="005D3862"/>
    <w:rsid w:val="005D38A4"/>
    <w:rsid w:val="005D3FFC"/>
    <w:rsid w:val="005D46C4"/>
    <w:rsid w:val="005E0208"/>
    <w:rsid w:val="005E271D"/>
    <w:rsid w:val="005E47B4"/>
    <w:rsid w:val="005E4AC8"/>
    <w:rsid w:val="005E55ED"/>
    <w:rsid w:val="005E6A7C"/>
    <w:rsid w:val="005F20BC"/>
    <w:rsid w:val="005F22F6"/>
    <w:rsid w:val="005F4118"/>
    <w:rsid w:val="005F4608"/>
    <w:rsid w:val="005F4D94"/>
    <w:rsid w:val="005F624B"/>
    <w:rsid w:val="005F7CBE"/>
    <w:rsid w:val="0060039A"/>
    <w:rsid w:val="00600FFE"/>
    <w:rsid w:val="00601458"/>
    <w:rsid w:val="00601E4C"/>
    <w:rsid w:val="006050CD"/>
    <w:rsid w:val="006053C8"/>
    <w:rsid w:val="006057E9"/>
    <w:rsid w:val="00605BB9"/>
    <w:rsid w:val="006072E3"/>
    <w:rsid w:val="006075AD"/>
    <w:rsid w:val="0061120C"/>
    <w:rsid w:val="006117CF"/>
    <w:rsid w:val="00611918"/>
    <w:rsid w:val="00612A8C"/>
    <w:rsid w:val="006132AF"/>
    <w:rsid w:val="00615913"/>
    <w:rsid w:val="00615B11"/>
    <w:rsid w:val="00616680"/>
    <w:rsid w:val="00617893"/>
    <w:rsid w:val="006208DA"/>
    <w:rsid w:val="00621614"/>
    <w:rsid w:val="006226DE"/>
    <w:rsid w:val="00622FB9"/>
    <w:rsid w:val="00623609"/>
    <w:rsid w:val="00625043"/>
    <w:rsid w:val="0063080D"/>
    <w:rsid w:val="006312E5"/>
    <w:rsid w:val="00631BC7"/>
    <w:rsid w:val="00633C8B"/>
    <w:rsid w:val="00635B9E"/>
    <w:rsid w:val="00635DEC"/>
    <w:rsid w:val="00636833"/>
    <w:rsid w:val="00637A4A"/>
    <w:rsid w:val="0064229B"/>
    <w:rsid w:val="00642D55"/>
    <w:rsid w:val="00643E22"/>
    <w:rsid w:val="006450C2"/>
    <w:rsid w:val="00647600"/>
    <w:rsid w:val="00651312"/>
    <w:rsid w:val="006528F6"/>
    <w:rsid w:val="00652F66"/>
    <w:rsid w:val="006538AE"/>
    <w:rsid w:val="0065395C"/>
    <w:rsid w:val="006541B0"/>
    <w:rsid w:val="00655034"/>
    <w:rsid w:val="00657E6C"/>
    <w:rsid w:val="00660EA7"/>
    <w:rsid w:val="00663400"/>
    <w:rsid w:val="00663AE9"/>
    <w:rsid w:val="00665ACA"/>
    <w:rsid w:val="00666DE1"/>
    <w:rsid w:val="00666EDF"/>
    <w:rsid w:val="0067053C"/>
    <w:rsid w:val="006706FB"/>
    <w:rsid w:val="0067113A"/>
    <w:rsid w:val="00671717"/>
    <w:rsid w:val="00677F2A"/>
    <w:rsid w:val="00680B7C"/>
    <w:rsid w:val="00680E1C"/>
    <w:rsid w:val="00681A3F"/>
    <w:rsid w:val="00681B46"/>
    <w:rsid w:val="00685DAE"/>
    <w:rsid w:val="00686408"/>
    <w:rsid w:val="00686C4B"/>
    <w:rsid w:val="00692707"/>
    <w:rsid w:val="00692E04"/>
    <w:rsid w:val="0069515B"/>
    <w:rsid w:val="00696C2F"/>
    <w:rsid w:val="00696DF7"/>
    <w:rsid w:val="00697183"/>
    <w:rsid w:val="00697968"/>
    <w:rsid w:val="006A0B75"/>
    <w:rsid w:val="006A0BD0"/>
    <w:rsid w:val="006A0F86"/>
    <w:rsid w:val="006A3286"/>
    <w:rsid w:val="006A3DEB"/>
    <w:rsid w:val="006A7718"/>
    <w:rsid w:val="006B040B"/>
    <w:rsid w:val="006B0C65"/>
    <w:rsid w:val="006B1D5C"/>
    <w:rsid w:val="006B2A44"/>
    <w:rsid w:val="006B3466"/>
    <w:rsid w:val="006B36FA"/>
    <w:rsid w:val="006B50FC"/>
    <w:rsid w:val="006C3ECD"/>
    <w:rsid w:val="006C5E8D"/>
    <w:rsid w:val="006C699C"/>
    <w:rsid w:val="006D0A33"/>
    <w:rsid w:val="006D34C0"/>
    <w:rsid w:val="006D44D9"/>
    <w:rsid w:val="006D4987"/>
    <w:rsid w:val="006D53AD"/>
    <w:rsid w:val="006D57EE"/>
    <w:rsid w:val="006D7C49"/>
    <w:rsid w:val="006E0427"/>
    <w:rsid w:val="006E1100"/>
    <w:rsid w:val="006E11AB"/>
    <w:rsid w:val="006E3F97"/>
    <w:rsid w:val="006E56D5"/>
    <w:rsid w:val="006E610E"/>
    <w:rsid w:val="006E702C"/>
    <w:rsid w:val="006F05EF"/>
    <w:rsid w:val="006F13BC"/>
    <w:rsid w:val="006F1F85"/>
    <w:rsid w:val="006F206B"/>
    <w:rsid w:val="006F2EB6"/>
    <w:rsid w:val="006F3B3F"/>
    <w:rsid w:val="006F3F93"/>
    <w:rsid w:val="006F4F8F"/>
    <w:rsid w:val="006F5838"/>
    <w:rsid w:val="006F6940"/>
    <w:rsid w:val="006F6B5B"/>
    <w:rsid w:val="006F6C25"/>
    <w:rsid w:val="006F74DD"/>
    <w:rsid w:val="006F7892"/>
    <w:rsid w:val="007006FB"/>
    <w:rsid w:val="00700922"/>
    <w:rsid w:val="007030BA"/>
    <w:rsid w:val="007060FB"/>
    <w:rsid w:val="00710196"/>
    <w:rsid w:val="00711349"/>
    <w:rsid w:val="007125EB"/>
    <w:rsid w:val="007127A0"/>
    <w:rsid w:val="00714D72"/>
    <w:rsid w:val="00715961"/>
    <w:rsid w:val="00716CCA"/>
    <w:rsid w:val="00716D5D"/>
    <w:rsid w:val="00717845"/>
    <w:rsid w:val="00720F70"/>
    <w:rsid w:val="007238D9"/>
    <w:rsid w:val="0072489C"/>
    <w:rsid w:val="007248A2"/>
    <w:rsid w:val="00724FDB"/>
    <w:rsid w:val="00726299"/>
    <w:rsid w:val="00727DE2"/>
    <w:rsid w:val="00730BF1"/>
    <w:rsid w:val="00731590"/>
    <w:rsid w:val="007348BB"/>
    <w:rsid w:val="007350B9"/>
    <w:rsid w:val="0073646B"/>
    <w:rsid w:val="007367A6"/>
    <w:rsid w:val="00741BCB"/>
    <w:rsid w:val="00743134"/>
    <w:rsid w:val="007467D4"/>
    <w:rsid w:val="00747B1D"/>
    <w:rsid w:val="00751AE4"/>
    <w:rsid w:val="007527E6"/>
    <w:rsid w:val="00753E65"/>
    <w:rsid w:val="00756FC6"/>
    <w:rsid w:val="00757DA1"/>
    <w:rsid w:val="007677F1"/>
    <w:rsid w:val="007677FF"/>
    <w:rsid w:val="0077009B"/>
    <w:rsid w:val="00773E2F"/>
    <w:rsid w:val="00775947"/>
    <w:rsid w:val="00776132"/>
    <w:rsid w:val="00776480"/>
    <w:rsid w:val="00776590"/>
    <w:rsid w:val="00776F93"/>
    <w:rsid w:val="00777F2D"/>
    <w:rsid w:val="0078026D"/>
    <w:rsid w:val="007803C7"/>
    <w:rsid w:val="00780FAE"/>
    <w:rsid w:val="00782A94"/>
    <w:rsid w:val="0078486B"/>
    <w:rsid w:val="0078552F"/>
    <w:rsid w:val="007855B5"/>
    <w:rsid w:val="0078626E"/>
    <w:rsid w:val="007869CF"/>
    <w:rsid w:val="007908FF"/>
    <w:rsid w:val="00792EE6"/>
    <w:rsid w:val="00793354"/>
    <w:rsid w:val="00793C22"/>
    <w:rsid w:val="007943BF"/>
    <w:rsid w:val="00795D12"/>
    <w:rsid w:val="0079615F"/>
    <w:rsid w:val="0079751C"/>
    <w:rsid w:val="007A0F94"/>
    <w:rsid w:val="007A1A4D"/>
    <w:rsid w:val="007A48FC"/>
    <w:rsid w:val="007A6D78"/>
    <w:rsid w:val="007A7919"/>
    <w:rsid w:val="007B0513"/>
    <w:rsid w:val="007B0F76"/>
    <w:rsid w:val="007B2A19"/>
    <w:rsid w:val="007B2F99"/>
    <w:rsid w:val="007B4F34"/>
    <w:rsid w:val="007B51B6"/>
    <w:rsid w:val="007B5730"/>
    <w:rsid w:val="007B6314"/>
    <w:rsid w:val="007B6C7B"/>
    <w:rsid w:val="007B6E53"/>
    <w:rsid w:val="007C0CB3"/>
    <w:rsid w:val="007C1B85"/>
    <w:rsid w:val="007C33C7"/>
    <w:rsid w:val="007C37C8"/>
    <w:rsid w:val="007C3CAC"/>
    <w:rsid w:val="007C3E9F"/>
    <w:rsid w:val="007C4224"/>
    <w:rsid w:val="007C5BA6"/>
    <w:rsid w:val="007C71A5"/>
    <w:rsid w:val="007D0B8E"/>
    <w:rsid w:val="007D0DAA"/>
    <w:rsid w:val="007D0E9F"/>
    <w:rsid w:val="007D279F"/>
    <w:rsid w:val="007D3835"/>
    <w:rsid w:val="007D3B5F"/>
    <w:rsid w:val="007D4995"/>
    <w:rsid w:val="007D5463"/>
    <w:rsid w:val="007D5AF1"/>
    <w:rsid w:val="007D760F"/>
    <w:rsid w:val="007E0865"/>
    <w:rsid w:val="007E1093"/>
    <w:rsid w:val="007E2DEF"/>
    <w:rsid w:val="007E45B3"/>
    <w:rsid w:val="007E4DC6"/>
    <w:rsid w:val="007E566A"/>
    <w:rsid w:val="007E6BAB"/>
    <w:rsid w:val="007E6C3E"/>
    <w:rsid w:val="007E6EC3"/>
    <w:rsid w:val="007F0F4F"/>
    <w:rsid w:val="007F109B"/>
    <w:rsid w:val="007F301C"/>
    <w:rsid w:val="007F30BC"/>
    <w:rsid w:val="007F4023"/>
    <w:rsid w:val="007F6FA7"/>
    <w:rsid w:val="00801877"/>
    <w:rsid w:val="0080189D"/>
    <w:rsid w:val="00801A73"/>
    <w:rsid w:val="00801D7A"/>
    <w:rsid w:val="00802C2D"/>
    <w:rsid w:val="00802C97"/>
    <w:rsid w:val="0080320C"/>
    <w:rsid w:val="00803A41"/>
    <w:rsid w:val="0080402A"/>
    <w:rsid w:val="0080454E"/>
    <w:rsid w:val="00805F9A"/>
    <w:rsid w:val="00806338"/>
    <w:rsid w:val="008107B9"/>
    <w:rsid w:val="00810EFE"/>
    <w:rsid w:val="00812EBA"/>
    <w:rsid w:val="00813C9B"/>
    <w:rsid w:val="00815500"/>
    <w:rsid w:val="00815763"/>
    <w:rsid w:val="00815CFD"/>
    <w:rsid w:val="008162D4"/>
    <w:rsid w:val="00816AEA"/>
    <w:rsid w:val="0081772A"/>
    <w:rsid w:val="00817A33"/>
    <w:rsid w:val="0082049D"/>
    <w:rsid w:val="00822697"/>
    <w:rsid w:val="00823299"/>
    <w:rsid w:val="00823D46"/>
    <w:rsid w:val="00825E68"/>
    <w:rsid w:val="00827240"/>
    <w:rsid w:val="00827DC2"/>
    <w:rsid w:val="00832B47"/>
    <w:rsid w:val="00832CC1"/>
    <w:rsid w:val="00836482"/>
    <w:rsid w:val="008376F8"/>
    <w:rsid w:val="008406CE"/>
    <w:rsid w:val="008419D1"/>
    <w:rsid w:val="0084269B"/>
    <w:rsid w:val="00842865"/>
    <w:rsid w:val="00842DA7"/>
    <w:rsid w:val="008438B0"/>
    <w:rsid w:val="00844AFC"/>
    <w:rsid w:val="00846614"/>
    <w:rsid w:val="008473CD"/>
    <w:rsid w:val="008475E1"/>
    <w:rsid w:val="00850A75"/>
    <w:rsid w:val="0085250C"/>
    <w:rsid w:val="008527E0"/>
    <w:rsid w:val="0085355B"/>
    <w:rsid w:val="0085363D"/>
    <w:rsid w:val="0085455D"/>
    <w:rsid w:val="008558C0"/>
    <w:rsid w:val="00856DF0"/>
    <w:rsid w:val="00857F38"/>
    <w:rsid w:val="00860008"/>
    <w:rsid w:val="00860069"/>
    <w:rsid w:val="00861EE2"/>
    <w:rsid w:val="0086372B"/>
    <w:rsid w:val="00863F2A"/>
    <w:rsid w:val="008671E8"/>
    <w:rsid w:val="00870861"/>
    <w:rsid w:val="00870B00"/>
    <w:rsid w:val="008717F3"/>
    <w:rsid w:val="008725A2"/>
    <w:rsid w:val="00872792"/>
    <w:rsid w:val="00872B0C"/>
    <w:rsid w:val="00873401"/>
    <w:rsid w:val="00873854"/>
    <w:rsid w:val="0087391B"/>
    <w:rsid w:val="00873D05"/>
    <w:rsid w:val="00881DA9"/>
    <w:rsid w:val="00882148"/>
    <w:rsid w:val="00882445"/>
    <w:rsid w:val="008852CF"/>
    <w:rsid w:val="0088575C"/>
    <w:rsid w:val="00885C69"/>
    <w:rsid w:val="00886419"/>
    <w:rsid w:val="0088732D"/>
    <w:rsid w:val="00887D72"/>
    <w:rsid w:val="008906A9"/>
    <w:rsid w:val="00891C74"/>
    <w:rsid w:val="008955C8"/>
    <w:rsid w:val="008A0647"/>
    <w:rsid w:val="008A1124"/>
    <w:rsid w:val="008A30C6"/>
    <w:rsid w:val="008A3D2C"/>
    <w:rsid w:val="008A4E55"/>
    <w:rsid w:val="008A5E5C"/>
    <w:rsid w:val="008B1516"/>
    <w:rsid w:val="008B2F1F"/>
    <w:rsid w:val="008B31DC"/>
    <w:rsid w:val="008B39C3"/>
    <w:rsid w:val="008B3E77"/>
    <w:rsid w:val="008B3EFD"/>
    <w:rsid w:val="008B4894"/>
    <w:rsid w:val="008B6FD7"/>
    <w:rsid w:val="008C0C39"/>
    <w:rsid w:val="008C0F84"/>
    <w:rsid w:val="008C1DC7"/>
    <w:rsid w:val="008C26AA"/>
    <w:rsid w:val="008C3107"/>
    <w:rsid w:val="008C63EE"/>
    <w:rsid w:val="008C6DFC"/>
    <w:rsid w:val="008C72C8"/>
    <w:rsid w:val="008D2E72"/>
    <w:rsid w:val="008D311B"/>
    <w:rsid w:val="008D4478"/>
    <w:rsid w:val="008E2C1D"/>
    <w:rsid w:val="008E2C9E"/>
    <w:rsid w:val="008E3AEA"/>
    <w:rsid w:val="008E5B08"/>
    <w:rsid w:val="008E6027"/>
    <w:rsid w:val="008F02FC"/>
    <w:rsid w:val="008F2449"/>
    <w:rsid w:val="008F49A1"/>
    <w:rsid w:val="008F4AAB"/>
    <w:rsid w:val="008F4F4B"/>
    <w:rsid w:val="008F513C"/>
    <w:rsid w:val="00900019"/>
    <w:rsid w:val="009006E5"/>
    <w:rsid w:val="0090073A"/>
    <w:rsid w:val="00900BA7"/>
    <w:rsid w:val="00901187"/>
    <w:rsid w:val="00903206"/>
    <w:rsid w:val="00911F12"/>
    <w:rsid w:val="009120A9"/>
    <w:rsid w:val="009122D5"/>
    <w:rsid w:val="009140F7"/>
    <w:rsid w:val="00915118"/>
    <w:rsid w:val="00915BF7"/>
    <w:rsid w:val="009167EF"/>
    <w:rsid w:val="009178F4"/>
    <w:rsid w:val="009213A1"/>
    <w:rsid w:val="009217BC"/>
    <w:rsid w:val="00921EE2"/>
    <w:rsid w:val="00922126"/>
    <w:rsid w:val="00922DD8"/>
    <w:rsid w:val="0092338C"/>
    <w:rsid w:val="00924699"/>
    <w:rsid w:val="00925412"/>
    <w:rsid w:val="00927169"/>
    <w:rsid w:val="0092726B"/>
    <w:rsid w:val="0093042A"/>
    <w:rsid w:val="00930E6E"/>
    <w:rsid w:val="00932287"/>
    <w:rsid w:val="00933030"/>
    <w:rsid w:val="00934283"/>
    <w:rsid w:val="00934A21"/>
    <w:rsid w:val="00937BBE"/>
    <w:rsid w:val="00940FDE"/>
    <w:rsid w:val="00941E9F"/>
    <w:rsid w:val="00941EA9"/>
    <w:rsid w:val="00947080"/>
    <w:rsid w:val="00947536"/>
    <w:rsid w:val="00950FD5"/>
    <w:rsid w:val="00951308"/>
    <w:rsid w:val="0095259C"/>
    <w:rsid w:val="00952CA6"/>
    <w:rsid w:val="00954CC4"/>
    <w:rsid w:val="0095562A"/>
    <w:rsid w:val="00956837"/>
    <w:rsid w:val="009616DA"/>
    <w:rsid w:val="009639BB"/>
    <w:rsid w:val="00964338"/>
    <w:rsid w:val="00965359"/>
    <w:rsid w:val="00965CFE"/>
    <w:rsid w:val="0096602B"/>
    <w:rsid w:val="00966603"/>
    <w:rsid w:val="00970534"/>
    <w:rsid w:val="0097150C"/>
    <w:rsid w:val="00971902"/>
    <w:rsid w:val="00971A09"/>
    <w:rsid w:val="00971AE8"/>
    <w:rsid w:val="00980D94"/>
    <w:rsid w:val="00981D1C"/>
    <w:rsid w:val="0098225A"/>
    <w:rsid w:val="00983101"/>
    <w:rsid w:val="00985414"/>
    <w:rsid w:val="00990710"/>
    <w:rsid w:val="009907A7"/>
    <w:rsid w:val="00993060"/>
    <w:rsid w:val="00993519"/>
    <w:rsid w:val="00993AD7"/>
    <w:rsid w:val="00993E4C"/>
    <w:rsid w:val="00993FB4"/>
    <w:rsid w:val="0099449F"/>
    <w:rsid w:val="00994DB2"/>
    <w:rsid w:val="00996482"/>
    <w:rsid w:val="0099765B"/>
    <w:rsid w:val="009A1047"/>
    <w:rsid w:val="009A1B82"/>
    <w:rsid w:val="009A2953"/>
    <w:rsid w:val="009A5203"/>
    <w:rsid w:val="009A5BF8"/>
    <w:rsid w:val="009A696A"/>
    <w:rsid w:val="009A6EEA"/>
    <w:rsid w:val="009A752D"/>
    <w:rsid w:val="009B19F3"/>
    <w:rsid w:val="009B20DE"/>
    <w:rsid w:val="009B57D8"/>
    <w:rsid w:val="009B6C99"/>
    <w:rsid w:val="009C043B"/>
    <w:rsid w:val="009C65AE"/>
    <w:rsid w:val="009C67AF"/>
    <w:rsid w:val="009C6F0D"/>
    <w:rsid w:val="009C7342"/>
    <w:rsid w:val="009C79DE"/>
    <w:rsid w:val="009D074D"/>
    <w:rsid w:val="009D0D55"/>
    <w:rsid w:val="009D28AE"/>
    <w:rsid w:val="009E1EA7"/>
    <w:rsid w:val="009E38ED"/>
    <w:rsid w:val="009E4F2A"/>
    <w:rsid w:val="009E554D"/>
    <w:rsid w:val="009E65F0"/>
    <w:rsid w:val="009F02A1"/>
    <w:rsid w:val="009F0723"/>
    <w:rsid w:val="009F0960"/>
    <w:rsid w:val="009F0AEF"/>
    <w:rsid w:val="009F0DF4"/>
    <w:rsid w:val="009F14E6"/>
    <w:rsid w:val="009F2335"/>
    <w:rsid w:val="009F2520"/>
    <w:rsid w:val="009F48F1"/>
    <w:rsid w:val="009F60AF"/>
    <w:rsid w:val="009F6EB9"/>
    <w:rsid w:val="009F75A9"/>
    <w:rsid w:val="00A00A01"/>
    <w:rsid w:val="00A01E05"/>
    <w:rsid w:val="00A03094"/>
    <w:rsid w:val="00A04C6C"/>
    <w:rsid w:val="00A057E9"/>
    <w:rsid w:val="00A102A7"/>
    <w:rsid w:val="00A10AAB"/>
    <w:rsid w:val="00A1121F"/>
    <w:rsid w:val="00A112A8"/>
    <w:rsid w:val="00A11E19"/>
    <w:rsid w:val="00A12CDD"/>
    <w:rsid w:val="00A1302C"/>
    <w:rsid w:val="00A15705"/>
    <w:rsid w:val="00A15E53"/>
    <w:rsid w:val="00A16870"/>
    <w:rsid w:val="00A17924"/>
    <w:rsid w:val="00A17B8F"/>
    <w:rsid w:val="00A17D1A"/>
    <w:rsid w:val="00A21FB7"/>
    <w:rsid w:val="00A2264E"/>
    <w:rsid w:val="00A22BDD"/>
    <w:rsid w:val="00A22CD9"/>
    <w:rsid w:val="00A23805"/>
    <w:rsid w:val="00A2393E"/>
    <w:rsid w:val="00A23A78"/>
    <w:rsid w:val="00A24871"/>
    <w:rsid w:val="00A25EE4"/>
    <w:rsid w:val="00A27BAF"/>
    <w:rsid w:val="00A31112"/>
    <w:rsid w:val="00A32C8B"/>
    <w:rsid w:val="00A32ED5"/>
    <w:rsid w:val="00A33F53"/>
    <w:rsid w:val="00A33FC7"/>
    <w:rsid w:val="00A34BAA"/>
    <w:rsid w:val="00A34D27"/>
    <w:rsid w:val="00A35BEA"/>
    <w:rsid w:val="00A37AAC"/>
    <w:rsid w:val="00A40249"/>
    <w:rsid w:val="00A40C4E"/>
    <w:rsid w:val="00A428E0"/>
    <w:rsid w:val="00A440CE"/>
    <w:rsid w:val="00A44C83"/>
    <w:rsid w:val="00A45704"/>
    <w:rsid w:val="00A458BB"/>
    <w:rsid w:val="00A469B1"/>
    <w:rsid w:val="00A471D0"/>
    <w:rsid w:val="00A47F82"/>
    <w:rsid w:val="00A51778"/>
    <w:rsid w:val="00A51B2C"/>
    <w:rsid w:val="00A51C47"/>
    <w:rsid w:val="00A5207C"/>
    <w:rsid w:val="00A52496"/>
    <w:rsid w:val="00A56831"/>
    <w:rsid w:val="00A57F6C"/>
    <w:rsid w:val="00A64379"/>
    <w:rsid w:val="00A647EB"/>
    <w:rsid w:val="00A65160"/>
    <w:rsid w:val="00A65976"/>
    <w:rsid w:val="00A67025"/>
    <w:rsid w:val="00A720E6"/>
    <w:rsid w:val="00A73950"/>
    <w:rsid w:val="00A73A52"/>
    <w:rsid w:val="00A762BE"/>
    <w:rsid w:val="00A77211"/>
    <w:rsid w:val="00A778D2"/>
    <w:rsid w:val="00A80AE0"/>
    <w:rsid w:val="00A82418"/>
    <w:rsid w:val="00A82609"/>
    <w:rsid w:val="00A82D9D"/>
    <w:rsid w:val="00A8334C"/>
    <w:rsid w:val="00A83D0E"/>
    <w:rsid w:val="00A84638"/>
    <w:rsid w:val="00A8492C"/>
    <w:rsid w:val="00A84E77"/>
    <w:rsid w:val="00A856F6"/>
    <w:rsid w:val="00A86581"/>
    <w:rsid w:val="00A870F0"/>
    <w:rsid w:val="00A8750D"/>
    <w:rsid w:val="00A87804"/>
    <w:rsid w:val="00A87E52"/>
    <w:rsid w:val="00A92546"/>
    <w:rsid w:val="00A933F8"/>
    <w:rsid w:val="00A9628C"/>
    <w:rsid w:val="00A96EAD"/>
    <w:rsid w:val="00AA1003"/>
    <w:rsid w:val="00AA289E"/>
    <w:rsid w:val="00AA5AB7"/>
    <w:rsid w:val="00AA6E63"/>
    <w:rsid w:val="00AB2207"/>
    <w:rsid w:val="00AB6D36"/>
    <w:rsid w:val="00AC1A6E"/>
    <w:rsid w:val="00AC1EA6"/>
    <w:rsid w:val="00AC3151"/>
    <w:rsid w:val="00AC33D0"/>
    <w:rsid w:val="00AC3B8C"/>
    <w:rsid w:val="00AC3E15"/>
    <w:rsid w:val="00AC43C6"/>
    <w:rsid w:val="00AC508C"/>
    <w:rsid w:val="00AC52FA"/>
    <w:rsid w:val="00AC5908"/>
    <w:rsid w:val="00AC5F06"/>
    <w:rsid w:val="00AC62D5"/>
    <w:rsid w:val="00AC6B19"/>
    <w:rsid w:val="00AC7EFB"/>
    <w:rsid w:val="00AD1192"/>
    <w:rsid w:val="00AD149E"/>
    <w:rsid w:val="00AD25D1"/>
    <w:rsid w:val="00AD2B3C"/>
    <w:rsid w:val="00AD2C3F"/>
    <w:rsid w:val="00AD3ECE"/>
    <w:rsid w:val="00AD3F1E"/>
    <w:rsid w:val="00AE48D2"/>
    <w:rsid w:val="00AE498F"/>
    <w:rsid w:val="00AE50AE"/>
    <w:rsid w:val="00AE5BE9"/>
    <w:rsid w:val="00AE6779"/>
    <w:rsid w:val="00AE6B9B"/>
    <w:rsid w:val="00AF20C2"/>
    <w:rsid w:val="00AF2597"/>
    <w:rsid w:val="00AF2BD4"/>
    <w:rsid w:val="00AF2CAD"/>
    <w:rsid w:val="00AF3204"/>
    <w:rsid w:val="00AF4243"/>
    <w:rsid w:val="00AF508C"/>
    <w:rsid w:val="00AF7DFB"/>
    <w:rsid w:val="00B072BE"/>
    <w:rsid w:val="00B1084E"/>
    <w:rsid w:val="00B12EC6"/>
    <w:rsid w:val="00B1312C"/>
    <w:rsid w:val="00B141C0"/>
    <w:rsid w:val="00B141DB"/>
    <w:rsid w:val="00B14DBF"/>
    <w:rsid w:val="00B160B7"/>
    <w:rsid w:val="00B16D7C"/>
    <w:rsid w:val="00B174E9"/>
    <w:rsid w:val="00B20ABA"/>
    <w:rsid w:val="00B24E24"/>
    <w:rsid w:val="00B25BCE"/>
    <w:rsid w:val="00B30FDF"/>
    <w:rsid w:val="00B31DBF"/>
    <w:rsid w:val="00B339CC"/>
    <w:rsid w:val="00B33C8E"/>
    <w:rsid w:val="00B34140"/>
    <w:rsid w:val="00B34F22"/>
    <w:rsid w:val="00B35263"/>
    <w:rsid w:val="00B4033C"/>
    <w:rsid w:val="00B40A23"/>
    <w:rsid w:val="00B4160E"/>
    <w:rsid w:val="00B424ED"/>
    <w:rsid w:val="00B439D8"/>
    <w:rsid w:val="00B43BFD"/>
    <w:rsid w:val="00B44FD3"/>
    <w:rsid w:val="00B47257"/>
    <w:rsid w:val="00B47B94"/>
    <w:rsid w:val="00B47CC1"/>
    <w:rsid w:val="00B506F7"/>
    <w:rsid w:val="00B51DE9"/>
    <w:rsid w:val="00B5433D"/>
    <w:rsid w:val="00B55CC3"/>
    <w:rsid w:val="00B5697F"/>
    <w:rsid w:val="00B56D1A"/>
    <w:rsid w:val="00B5773F"/>
    <w:rsid w:val="00B60163"/>
    <w:rsid w:val="00B6118F"/>
    <w:rsid w:val="00B615A6"/>
    <w:rsid w:val="00B62805"/>
    <w:rsid w:val="00B62D1E"/>
    <w:rsid w:val="00B636E0"/>
    <w:rsid w:val="00B65362"/>
    <w:rsid w:val="00B65D06"/>
    <w:rsid w:val="00B72250"/>
    <w:rsid w:val="00B73A6C"/>
    <w:rsid w:val="00B75726"/>
    <w:rsid w:val="00B76C0D"/>
    <w:rsid w:val="00B8168C"/>
    <w:rsid w:val="00B817B5"/>
    <w:rsid w:val="00B81B0A"/>
    <w:rsid w:val="00B82A04"/>
    <w:rsid w:val="00B86090"/>
    <w:rsid w:val="00B860C7"/>
    <w:rsid w:val="00B863C6"/>
    <w:rsid w:val="00B87457"/>
    <w:rsid w:val="00B8789C"/>
    <w:rsid w:val="00B90411"/>
    <w:rsid w:val="00B9047A"/>
    <w:rsid w:val="00B9313A"/>
    <w:rsid w:val="00B939D1"/>
    <w:rsid w:val="00BA19D6"/>
    <w:rsid w:val="00BA1B51"/>
    <w:rsid w:val="00BA2BC7"/>
    <w:rsid w:val="00BA3331"/>
    <w:rsid w:val="00BA44CB"/>
    <w:rsid w:val="00BA47E6"/>
    <w:rsid w:val="00BA4CCE"/>
    <w:rsid w:val="00BA4F58"/>
    <w:rsid w:val="00BA7129"/>
    <w:rsid w:val="00BB2486"/>
    <w:rsid w:val="00BB33C4"/>
    <w:rsid w:val="00BB39CD"/>
    <w:rsid w:val="00BB5937"/>
    <w:rsid w:val="00BB5E14"/>
    <w:rsid w:val="00BB7AEC"/>
    <w:rsid w:val="00BC1E41"/>
    <w:rsid w:val="00BC41C5"/>
    <w:rsid w:val="00BC5642"/>
    <w:rsid w:val="00BD0439"/>
    <w:rsid w:val="00BD09EB"/>
    <w:rsid w:val="00BD0F2B"/>
    <w:rsid w:val="00BD121B"/>
    <w:rsid w:val="00BD2671"/>
    <w:rsid w:val="00BD2832"/>
    <w:rsid w:val="00BD64B7"/>
    <w:rsid w:val="00BD68FF"/>
    <w:rsid w:val="00BD75D0"/>
    <w:rsid w:val="00BE0CFB"/>
    <w:rsid w:val="00BE12E4"/>
    <w:rsid w:val="00BE1371"/>
    <w:rsid w:val="00BE3A25"/>
    <w:rsid w:val="00BE43EF"/>
    <w:rsid w:val="00BE53A7"/>
    <w:rsid w:val="00BE7A7E"/>
    <w:rsid w:val="00BF15B1"/>
    <w:rsid w:val="00BF2F49"/>
    <w:rsid w:val="00BF49E2"/>
    <w:rsid w:val="00BF50F8"/>
    <w:rsid w:val="00C0118F"/>
    <w:rsid w:val="00C03635"/>
    <w:rsid w:val="00C05DCE"/>
    <w:rsid w:val="00C0620E"/>
    <w:rsid w:val="00C07C67"/>
    <w:rsid w:val="00C110C3"/>
    <w:rsid w:val="00C12782"/>
    <w:rsid w:val="00C13118"/>
    <w:rsid w:val="00C164AA"/>
    <w:rsid w:val="00C17254"/>
    <w:rsid w:val="00C22930"/>
    <w:rsid w:val="00C24050"/>
    <w:rsid w:val="00C25D34"/>
    <w:rsid w:val="00C25D57"/>
    <w:rsid w:val="00C268C5"/>
    <w:rsid w:val="00C32F13"/>
    <w:rsid w:val="00C33B56"/>
    <w:rsid w:val="00C34667"/>
    <w:rsid w:val="00C349B5"/>
    <w:rsid w:val="00C34ABA"/>
    <w:rsid w:val="00C42024"/>
    <w:rsid w:val="00C42EE0"/>
    <w:rsid w:val="00C45475"/>
    <w:rsid w:val="00C46439"/>
    <w:rsid w:val="00C4677E"/>
    <w:rsid w:val="00C51EB2"/>
    <w:rsid w:val="00C52213"/>
    <w:rsid w:val="00C528BA"/>
    <w:rsid w:val="00C550B0"/>
    <w:rsid w:val="00C561AE"/>
    <w:rsid w:val="00C563EE"/>
    <w:rsid w:val="00C61738"/>
    <w:rsid w:val="00C63278"/>
    <w:rsid w:val="00C6394E"/>
    <w:rsid w:val="00C64AB0"/>
    <w:rsid w:val="00C66342"/>
    <w:rsid w:val="00C663D7"/>
    <w:rsid w:val="00C66509"/>
    <w:rsid w:val="00C702A7"/>
    <w:rsid w:val="00C72887"/>
    <w:rsid w:val="00C73955"/>
    <w:rsid w:val="00C74456"/>
    <w:rsid w:val="00C7523A"/>
    <w:rsid w:val="00C7581B"/>
    <w:rsid w:val="00C76907"/>
    <w:rsid w:val="00C76CE2"/>
    <w:rsid w:val="00C77BB1"/>
    <w:rsid w:val="00C800A1"/>
    <w:rsid w:val="00C80321"/>
    <w:rsid w:val="00C81DC1"/>
    <w:rsid w:val="00C84B75"/>
    <w:rsid w:val="00C86B95"/>
    <w:rsid w:val="00C9357C"/>
    <w:rsid w:val="00C93C6F"/>
    <w:rsid w:val="00C974AA"/>
    <w:rsid w:val="00C977FF"/>
    <w:rsid w:val="00CA0A5B"/>
    <w:rsid w:val="00CA0B88"/>
    <w:rsid w:val="00CA125D"/>
    <w:rsid w:val="00CA2739"/>
    <w:rsid w:val="00CA280D"/>
    <w:rsid w:val="00CA4ABC"/>
    <w:rsid w:val="00CA5EAC"/>
    <w:rsid w:val="00CA66DF"/>
    <w:rsid w:val="00CA70E1"/>
    <w:rsid w:val="00CA72F0"/>
    <w:rsid w:val="00CB0456"/>
    <w:rsid w:val="00CB0C30"/>
    <w:rsid w:val="00CB0C3F"/>
    <w:rsid w:val="00CB1417"/>
    <w:rsid w:val="00CB1981"/>
    <w:rsid w:val="00CB223E"/>
    <w:rsid w:val="00CB2F8F"/>
    <w:rsid w:val="00CB2FCD"/>
    <w:rsid w:val="00CB4266"/>
    <w:rsid w:val="00CB4391"/>
    <w:rsid w:val="00CB4F4A"/>
    <w:rsid w:val="00CB73EF"/>
    <w:rsid w:val="00CB7676"/>
    <w:rsid w:val="00CB7E40"/>
    <w:rsid w:val="00CC0E67"/>
    <w:rsid w:val="00CC2087"/>
    <w:rsid w:val="00CC3555"/>
    <w:rsid w:val="00CC75E5"/>
    <w:rsid w:val="00CD0393"/>
    <w:rsid w:val="00CD194D"/>
    <w:rsid w:val="00CD360B"/>
    <w:rsid w:val="00CD3B3D"/>
    <w:rsid w:val="00CD3E54"/>
    <w:rsid w:val="00CD3ECE"/>
    <w:rsid w:val="00CD4F1F"/>
    <w:rsid w:val="00CD7E79"/>
    <w:rsid w:val="00CE0073"/>
    <w:rsid w:val="00CE02BD"/>
    <w:rsid w:val="00CE0E53"/>
    <w:rsid w:val="00CE125A"/>
    <w:rsid w:val="00CE19C5"/>
    <w:rsid w:val="00CE2FB3"/>
    <w:rsid w:val="00CE3176"/>
    <w:rsid w:val="00CE554B"/>
    <w:rsid w:val="00CE5B16"/>
    <w:rsid w:val="00CE5B36"/>
    <w:rsid w:val="00CF170B"/>
    <w:rsid w:val="00CF174D"/>
    <w:rsid w:val="00CF2C4E"/>
    <w:rsid w:val="00CF2C5C"/>
    <w:rsid w:val="00CF37DA"/>
    <w:rsid w:val="00CF44F3"/>
    <w:rsid w:val="00CF4AB6"/>
    <w:rsid w:val="00CF6C34"/>
    <w:rsid w:val="00CF6C99"/>
    <w:rsid w:val="00CF7CC7"/>
    <w:rsid w:val="00D02EA5"/>
    <w:rsid w:val="00D0341D"/>
    <w:rsid w:val="00D06622"/>
    <w:rsid w:val="00D06BE9"/>
    <w:rsid w:val="00D06BF9"/>
    <w:rsid w:val="00D074C6"/>
    <w:rsid w:val="00D07946"/>
    <w:rsid w:val="00D10BDB"/>
    <w:rsid w:val="00D11CAD"/>
    <w:rsid w:val="00D11FAA"/>
    <w:rsid w:val="00D14260"/>
    <w:rsid w:val="00D14E70"/>
    <w:rsid w:val="00D158B6"/>
    <w:rsid w:val="00D16EEB"/>
    <w:rsid w:val="00D170CF"/>
    <w:rsid w:val="00D2053F"/>
    <w:rsid w:val="00D2197B"/>
    <w:rsid w:val="00D23043"/>
    <w:rsid w:val="00D23360"/>
    <w:rsid w:val="00D23EC0"/>
    <w:rsid w:val="00D24798"/>
    <w:rsid w:val="00D24F21"/>
    <w:rsid w:val="00D267EA"/>
    <w:rsid w:val="00D26AB2"/>
    <w:rsid w:val="00D27E74"/>
    <w:rsid w:val="00D31DBD"/>
    <w:rsid w:val="00D324EA"/>
    <w:rsid w:val="00D33060"/>
    <w:rsid w:val="00D349B1"/>
    <w:rsid w:val="00D36006"/>
    <w:rsid w:val="00D36EAD"/>
    <w:rsid w:val="00D37CFB"/>
    <w:rsid w:val="00D415AC"/>
    <w:rsid w:val="00D424B9"/>
    <w:rsid w:val="00D45F9C"/>
    <w:rsid w:val="00D46574"/>
    <w:rsid w:val="00D50CA6"/>
    <w:rsid w:val="00D5112A"/>
    <w:rsid w:val="00D55628"/>
    <w:rsid w:val="00D600C6"/>
    <w:rsid w:val="00D60A2E"/>
    <w:rsid w:val="00D61183"/>
    <w:rsid w:val="00D61A4B"/>
    <w:rsid w:val="00D62F0B"/>
    <w:rsid w:val="00D652CA"/>
    <w:rsid w:val="00D6612F"/>
    <w:rsid w:val="00D67117"/>
    <w:rsid w:val="00D70B94"/>
    <w:rsid w:val="00D71966"/>
    <w:rsid w:val="00D71F52"/>
    <w:rsid w:val="00D76705"/>
    <w:rsid w:val="00D771AD"/>
    <w:rsid w:val="00D8083D"/>
    <w:rsid w:val="00D814E5"/>
    <w:rsid w:val="00D81C53"/>
    <w:rsid w:val="00D81C74"/>
    <w:rsid w:val="00D81CF7"/>
    <w:rsid w:val="00D83133"/>
    <w:rsid w:val="00D83CAB"/>
    <w:rsid w:val="00D842CE"/>
    <w:rsid w:val="00D86DD2"/>
    <w:rsid w:val="00D87EE6"/>
    <w:rsid w:val="00D907B5"/>
    <w:rsid w:val="00D93677"/>
    <w:rsid w:val="00D9383C"/>
    <w:rsid w:val="00D93D39"/>
    <w:rsid w:val="00D943A6"/>
    <w:rsid w:val="00D94C8A"/>
    <w:rsid w:val="00D9629F"/>
    <w:rsid w:val="00D963B5"/>
    <w:rsid w:val="00D97252"/>
    <w:rsid w:val="00D9744C"/>
    <w:rsid w:val="00D97FA9"/>
    <w:rsid w:val="00DA2162"/>
    <w:rsid w:val="00DA22C8"/>
    <w:rsid w:val="00DA29F7"/>
    <w:rsid w:val="00DA3127"/>
    <w:rsid w:val="00DA3DB9"/>
    <w:rsid w:val="00DA4E33"/>
    <w:rsid w:val="00DA5376"/>
    <w:rsid w:val="00DA664C"/>
    <w:rsid w:val="00DB17C1"/>
    <w:rsid w:val="00DB21E2"/>
    <w:rsid w:val="00DB2C6B"/>
    <w:rsid w:val="00DB312C"/>
    <w:rsid w:val="00DB3DBF"/>
    <w:rsid w:val="00DB66E4"/>
    <w:rsid w:val="00DB705C"/>
    <w:rsid w:val="00DB7A75"/>
    <w:rsid w:val="00DC06A6"/>
    <w:rsid w:val="00DC2126"/>
    <w:rsid w:val="00DC28E4"/>
    <w:rsid w:val="00DC3736"/>
    <w:rsid w:val="00DC4815"/>
    <w:rsid w:val="00DC6010"/>
    <w:rsid w:val="00DC66BF"/>
    <w:rsid w:val="00DC7145"/>
    <w:rsid w:val="00DD457A"/>
    <w:rsid w:val="00DD4E22"/>
    <w:rsid w:val="00DD5500"/>
    <w:rsid w:val="00DD73DD"/>
    <w:rsid w:val="00DD7D1E"/>
    <w:rsid w:val="00DE1A12"/>
    <w:rsid w:val="00DE4513"/>
    <w:rsid w:val="00DE4E4B"/>
    <w:rsid w:val="00DE5DA1"/>
    <w:rsid w:val="00DE62CC"/>
    <w:rsid w:val="00DF1106"/>
    <w:rsid w:val="00DF2846"/>
    <w:rsid w:val="00DF3496"/>
    <w:rsid w:val="00DF4704"/>
    <w:rsid w:val="00DF4711"/>
    <w:rsid w:val="00DF5E14"/>
    <w:rsid w:val="00DF65C7"/>
    <w:rsid w:val="00DF6EBB"/>
    <w:rsid w:val="00DF725B"/>
    <w:rsid w:val="00E01BFD"/>
    <w:rsid w:val="00E02E09"/>
    <w:rsid w:val="00E043CD"/>
    <w:rsid w:val="00E04717"/>
    <w:rsid w:val="00E06E63"/>
    <w:rsid w:val="00E1035D"/>
    <w:rsid w:val="00E11576"/>
    <w:rsid w:val="00E11EC2"/>
    <w:rsid w:val="00E12412"/>
    <w:rsid w:val="00E14413"/>
    <w:rsid w:val="00E16F6F"/>
    <w:rsid w:val="00E17B93"/>
    <w:rsid w:val="00E32EDE"/>
    <w:rsid w:val="00E33B3C"/>
    <w:rsid w:val="00E34382"/>
    <w:rsid w:val="00E35F07"/>
    <w:rsid w:val="00E37536"/>
    <w:rsid w:val="00E3774B"/>
    <w:rsid w:val="00E3795A"/>
    <w:rsid w:val="00E41BDF"/>
    <w:rsid w:val="00E42963"/>
    <w:rsid w:val="00E52038"/>
    <w:rsid w:val="00E533F4"/>
    <w:rsid w:val="00E5394D"/>
    <w:rsid w:val="00E55120"/>
    <w:rsid w:val="00E55830"/>
    <w:rsid w:val="00E55EB8"/>
    <w:rsid w:val="00E578DB"/>
    <w:rsid w:val="00E623CC"/>
    <w:rsid w:val="00E63CBF"/>
    <w:rsid w:val="00E64250"/>
    <w:rsid w:val="00E659D5"/>
    <w:rsid w:val="00E66F39"/>
    <w:rsid w:val="00E671CE"/>
    <w:rsid w:val="00E723FE"/>
    <w:rsid w:val="00E738BE"/>
    <w:rsid w:val="00E74088"/>
    <w:rsid w:val="00E74DB8"/>
    <w:rsid w:val="00E75BA4"/>
    <w:rsid w:val="00E77A19"/>
    <w:rsid w:val="00E80828"/>
    <w:rsid w:val="00E84A98"/>
    <w:rsid w:val="00E856EF"/>
    <w:rsid w:val="00E85A86"/>
    <w:rsid w:val="00E85FDA"/>
    <w:rsid w:val="00E90998"/>
    <w:rsid w:val="00E921FF"/>
    <w:rsid w:val="00E9244D"/>
    <w:rsid w:val="00E92651"/>
    <w:rsid w:val="00E92CB8"/>
    <w:rsid w:val="00E92E15"/>
    <w:rsid w:val="00E9449D"/>
    <w:rsid w:val="00E94653"/>
    <w:rsid w:val="00E96085"/>
    <w:rsid w:val="00EA098C"/>
    <w:rsid w:val="00EA0B42"/>
    <w:rsid w:val="00EA11B4"/>
    <w:rsid w:val="00EA4AC1"/>
    <w:rsid w:val="00EA59A6"/>
    <w:rsid w:val="00EA6395"/>
    <w:rsid w:val="00EB06BF"/>
    <w:rsid w:val="00EB0DC3"/>
    <w:rsid w:val="00EB3114"/>
    <w:rsid w:val="00EB3BB4"/>
    <w:rsid w:val="00EB4010"/>
    <w:rsid w:val="00EB5B0A"/>
    <w:rsid w:val="00EB738E"/>
    <w:rsid w:val="00EB73C1"/>
    <w:rsid w:val="00EB7B78"/>
    <w:rsid w:val="00EB7BDB"/>
    <w:rsid w:val="00EC0338"/>
    <w:rsid w:val="00EC4142"/>
    <w:rsid w:val="00EC458A"/>
    <w:rsid w:val="00EC4A95"/>
    <w:rsid w:val="00EC51DA"/>
    <w:rsid w:val="00EC583D"/>
    <w:rsid w:val="00EC7499"/>
    <w:rsid w:val="00ED0198"/>
    <w:rsid w:val="00ED0208"/>
    <w:rsid w:val="00ED2AF8"/>
    <w:rsid w:val="00ED3E3C"/>
    <w:rsid w:val="00ED41F5"/>
    <w:rsid w:val="00ED503B"/>
    <w:rsid w:val="00EE1B5B"/>
    <w:rsid w:val="00EE21DE"/>
    <w:rsid w:val="00EE2ED1"/>
    <w:rsid w:val="00EE3F4B"/>
    <w:rsid w:val="00EE43E9"/>
    <w:rsid w:val="00EE55AB"/>
    <w:rsid w:val="00EE77CE"/>
    <w:rsid w:val="00EE7BE0"/>
    <w:rsid w:val="00EF1AE3"/>
    <w:rsid w:val="00EF2780"/>
    <w:rsid w:val="00EF37D9"/>
    <w:rsid w:val="00EF3C6C"/>
    <w:rsid w:val="00EF59D4"/>
    <w:rsid w:val="00EF62F1"/>
    <w:rsid w:val="00EF7AC3"/>
    <w:rsid w:val="00F00F3E"/>
    <w:rsid w:val="00F03E56"/>
    <w:rsid w:val="00F041D1"/>
    <w:rsid w:val="00F06177"/>
    <w:rsid w:val="00F0740A"/>
    <w:rsid w:val="00F07F65"/>
    <w:rsid w:val="00F11855"/>
    <w:rsid w:val="00F11D35"/>
    <w:rsid w:val="00F12C8F"/>
    <w:rsid w:val="00F170BB"/>
    <w:rsid w:val="00F17408"/>
    <w:rsid w:val="00F20320"/>
    <w:rsid w:val="00F204EE"/>
    <w:rsid w:val="00F205B4"/>
    <w:rsid w:val="00F21274"/>
    <w:rsid w:val="00F217DC"/>
    <w:rsid w:val="00F22211"/>
    <w:rsid w:val="00F260C3"/>
    <w:rsid w:val="00F30986"/>
    <w:rsid w:val="00F36E6B"/>
    <w:rsid w:val="00F37EDA"/>
    <w:rsid w:val="00F4037E"/>
    <w:rsid w:val="00F40C61"/>
    <w:rsid w:val="00F42F6B"/>
    <w:rsid w:val="00F4429C"/>
    <w:rsid w:val="00F45D9D"/>
    <w:rsid w:val="00F462B6"/>
    <w:rsid w:val="00F46867"/>
    <w:rsid w:val="00F517D6"/>
    <w:rsid w:val="00F551A7"/>
    <w:rsid w:val="00F570C6"/>
    <w:rsid w:val="00F57ED5"/>
    <w:rsid w:val="00F60418"/>
    <w:rsid w:val="00F615F7"/>
    <w:rsid w:val="00F628BD"/>
    <w:rsid w:val="00F63197"/>
    <w:rsid w:val="00F6408C"/>
    <w:rsid w:val="00F65253"/>
    <w:rsid w:val="00F676EC"/>
    <w:rsid w:val="00F67B62"/>
    <w:rsid w:val="00F70397"/>
    <w:rsid w:val="00F70615"/>
    <w:rsid w:val="00F727D6"/>
    <w:rsid w:val="00F73202"/>
    <w:rsid w:val="00F74EFC"/>
    <w:rsid w:val="00F82B7C"/>
    <w:rsid w:val="00F85227"/>
    <w:rsid w:val="00F85A88"/>
    <w:rsid w:val="00F87A74"/>
    <w:rsid w:val="00F910DE"/>
    <w:rsid w:val="00F9244F"/>
    <w:rsid w:val="00F9479D"/>
    <w:rsid w:val="00F9615B"/>
    <w:rsid w:val="00F965FE"/>
    <w:rsid w:val="00F975A7"/>
    <w:rsid w:val="00FA21AB"/>
    <w:rsid w:val="00FA28A5"/>
    <w:rsid w:val="00FA3332"/>
    <w:rsid w:val="00FA35D6"/>
    <w:rsid w:val="00FA5D34"/>
    <w:rsid w:val="00FA71E5"/>
    <w:rsid w:val="00FA7E7D"/>
    <w:rsid w:val="00FB06FF"/>
    <w:rsid w:val="00FB0CB9"/>
    <w:rsid w:val="00FB7FC0"/>
    <w:rsid w:val="00FC035C"/>
    <w:rsid w:val="00FC39D0"/>
    <w:rsid w:val="00FC4208"/>
    <w:rsid w:val="00FC4457"/>
    <w:rsid w:val="00FC4E8B"/>
    <w:rsid w:val="00FC543E"/>
    <w:rsid w:val="00FC5918"/>
    <w:rsid w:val="00FC71DE"/>
    <w:rsid w:val="00FC7912"/>
    <w:rsid w:val="00FC7B2C"/>
    <w:rsid w:val="00FD217F"/>
    <w:rsid w:val="00FD2C08"/>
    <w:rsid w:val="00FD2FCC"/>
    <w:rsid w:val="00FD3407"/>
    <w:rsid w:val="00FD3DC3"/>
    <w:rsid w:val="00FD497B"/>
    <w:rsid w:val="00FD4B37"/>
    <w:rsid w:val="00FD58B3"/>
    <w:rsid w:val="00FD6D62"/>
    <w:rsid w:val="00FE034F"/>
    <w:rsid w:val="00FE0AEC"/>
    <w:rsid w:val="00FE242D"/>
    <w:rsid w:val="00FE40F5"/>
    <w:rsid w:val="00FE7389"/>
    <w:rsid w:val="00FF3887"/>
    <w:rsid w:val="00FF3AAD"/>
    <w:rsid w:val="00FF5A88"/>
    <w:rsid w:val="00FF6826"/>
    <w:rsid w:val="00FF6D73"/>
    <w:rsid w:val="00FF7CE3"/>
    <w:rsid w:val="013AD18B"/>
    <w:rsid w:val="03240565"/>
    <w:rsid w:val="04D7E55E"/>
    <w:rsid w:val="0619505D"/>
    <w:rsid w:val="06CC884E"/>
    <w:rsid w:val="073DE1AC"/>
    <w:rsid w:val="0D7080A8"/>
    <w:rsid w:val="0E1D41B0"/>
    <w:rsid w:val="0EB0C3CF"/>
    <w:rsid w:val="11C89F5F"/>
    <w:rsid w:val="13A79B48"/>
    <w:rsid w:val="143A960F"/>
    <w:rsid w:val="14D6AC8A"/>
    <w:rsid w:val="16E9DB0D"/>
    <w:rsid w:val="1BA62D9E"/>
    <w:rsid w:val="1EBD15E5"/>
    <w:rsid w:val="1F06C514"/>
    <w:rsid w:val="1F92FACE"/>
    <w:rsid w:val="2162F1CA"/>
    <w:rsid w:val="21F70950"/>
    <w:rsid w:val="224B0285"/>
    <w:rsid w:val="23450D89"/>
    <w:rsid w:val="250C197D"/>
    <w:rsid w:val="2515A140"/>
    <w:rsid w:val="2612D05D"/>
    <w:rsid w:val="26C9CA72"/>
    <w:rsid w:val="29765166"/>
    <w:rsid w:val="2BEB6F08"/>
    <w:rsid w:val="2D0EDC03"/>
    <w:rsid w:val="2E0C4066"/>
    <w:rsid w:val="2E479DF5"/>
    <w:rsid w:val="2EA57EE8"/>
    <w:rsid w:val="2F88E0EF"/>
    <w:rsid w:val="33BE2DA6"/>
    <w:rsid w:val="390636A1"/>
    <w:rsid w:val="39929E66"/>
    <w:rsid w:val="399DF87D"/>
    <w:rsid w:val="3A2C6DF3"/>
    <w:rsid w:val="3C1F8E21"/>
    <w:rsid w:val="3D326223"/>
    <w:rsid w:val="3E111A94"/>
    <w:rsid w:val="3E21FC30"/>
    <w:rsid w:val="3E2D1703"/>
    <w:rsid w:val="4253E5CE"/>
    <w:rsid w:val="43D5551A"/>
    <w:rsid w:val="44250324"/>
    <w:rsid w:val="4514C2EE"/>
    <w:rsid w:val="46F744F4"/>
    <w:rsid w:val="48340E78"/>
    <w:rsid w:val="484969CC"/>
    <w:rsid w:val="4AC1A310"/>
    <w:rsid w:val="4F5D89C5"/>
    <w:rsid w:val="50B8AE1E"/>
    <w:rsid w:val="51424EE3"/>
    <w:rsid w:val="52B05E93"/>
    <w:rsid w:val="539735B3"/>
    <w:rsid w:val="542A01A3"/>
    <w:rsid w:val="548BF306"/>
    <w:rsid w:val="54A325A6"/>
    <w:rsid w:val="56179C3D"/>
    <w:rsid w:val="56FC7989"/>
    <w:rsid w:val="5811BE46"/>
    <w:rsid w:val="59CBBDD5"/>
    <w:rsid w:val="5B036757"/>
    <w:rsid w:val="5CB42728"/>
    <w:rsid w:val="5D680AF6"/>
    <w:rsid w:val="5DF9B386"/>
    <w:rsid w:val="5EA4A94F"/>
    <w:rsid w:val="617FC8BB"/>
    <w:rsid w:val="627D252F"/>
    <w:rsid w:val="63BF3088"/>
    <w:rsid w:val="655CE2FC"/>
    <w:rsid w:val="67C9973F"/>
    <w:rsid w:val="6957318F"/>
    <w:rsid w:val="6994DF23"/>
    <w:rsid w:val="6A83312D"/>
    <w:rsid w:val="6C0DD7E1"/>
    <w:rsid w:val="6C34C50F"/>
    <w:rsid w:val="6C3DC100"/>
    <w:rsid w:val="6CC2D13B"/>
    <w:rsid w:val="70AB686E"/>
    <w:rsid w:val="77A20A78"/>
    <w:rsid w:val="7849093A"/>
    <w:rsid w:val="7A459612"/>
    <w:rsid w:val="7AC19E00"/>
    <w:rsid w:val="7CE23F34"/>
    <w:rsid w:val="7D053F61"/>
  </w:rsids>
  <m:mathPr>
    <m:mathFont m:val="Cambria Math"/>
    <m:brkBin m:val="before"/>
    <m:brkBinSub m:val="--"/>
    <m:smallFrac/>
    <m:dispDef/>
    <m:lMargin m:val="0"/>
    <m:rMargin m:val="0"/>
    <m:defJc m:val="centerGroup"/>
    <m:wrapRight/>
    <m:intLim m:val="subSup"/>
    <m:naryLim m:val="subSup"/>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5BBA3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AU"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857F38"/>
    <w:pPr>
      <w:spacing w:after="120"/>
    </w:pPr>
    <w:rPr>
      <w:rFonts w:ascii="Arial" w:hAnsi="Arial" w:cs="Times New Roman"/>
      <w:sz w:val="20"/>
      <w:szCs w:val="20"/>
    </w:rPr>
  </w:style>
  <w:style w:type="paragraph" w:styleId="Heading1">
    <w:name w:val="heading 1"/>
    <w:basedOn w:val="Normal"/>
    <w:next w:val="Normal"/>
    <w:link w:val="Heading1Char"/>
    <w:autoRedefine/>
    <w:qFormat/>
    <w:rsid w:val="001E4D85"/>
    <w:pPr>
      <w:keepNext/>
      <w:numPr>
        <w:numId w:val="3"/>
      </w:numPr>
      <w:jc w:val="both"/>
      <w:outlineLvl w:val="0"/>
    </w:pPr>
    <w:rPr>
      <w:rFonts w:ascii="Georgia" w:eastAsia="Times New Roman" w:hAnsi="Georgia"/>
      <w:b/>
      <w:color w:val="31849B" w:themeColor="accent5" w:themeShade="BF"/>
      <w:sz w:val="30"/>
      <w:lang w:eastAsia="en-US"/>
    </w:rPr>
  </w:style>
  <w:style w:type="paragraph" w:styleId="Heading2">
    <w:name w:val="heading 2"/>
    <w:basedOn w:val="Normal"/>
    <w:next w:val="Normal"/>
    <w:link w:val="Heading2Char"/>
    <w:autoRedefine/>
    <w:qFormat/>
    <w:rsid w:val="00A84638"/>
    <w:pPr>
      <w:keepNext/>
      <w:numPr>
        <w:ilvl w:val="1"/>
        <w:numId w:val="2"/>
      </w:numPr>
      <w:spacing w:after="40"/>
      <w:ind w:left="576"/>
      <w:jc w:val="both"/>
      <w:outlineLvl w:val="1"/>
    </w:pPr>
    <w:rPr>
      <w:rFonts w:ascii="Georgia" w:eastAsia="Times New Roman" w:hAnsi="Georgia"/>
      <w:b/>
      <w:color w:val="31849B" w:themeColor="accent5" w:themeShade="BF"/>
      <w:sz w:val="24"/>
      <w:lang w:eastAsia="en-US"/>
    </w:rPr>
  </w:style>
  <w:style w:type="paragraph" w:styleId="Heading3">
    <w:name w:val="heading 3"/>
    <w:basedOn w:val="Normal"/>
    <w:next w:val="Normal"/>
    <w:link w:val="Heading3Char"/>
    <w:autoRedefine/>
    <w:qFormat/>
    <w:rsid w:val="005743FF"/>
    <w:pPr>
      <w:keepNext/>
      <w:numPr>
        <w:ilvl w:val="2"/>
        <w:numId w:val="3"/>
      </w:numPr>
      <w:spacing w:before="60" w:after="60"/>
      <w:outlineLvl w:val="2"/>
    </w:pPr>
    <w:rPr>
      <w:rFonts w:ascii="Georgia" w:eastAsia="Times New Roman" w:hAnsi="Georgia"/>
      <w:b/>
      <w:i/>
      <w:color w:val="31849B" w:themeColor="accent5" w:themeShade="BF"/>
      <w:lang w:eastAsia="en-US"/>
    </w:rPr>
  </w:style>
  <w:style w:type="paragraph" w:styleId="Heading4">
    <w:name w:val="heading 4"/>
    <w:basedOn w:val="Normal"/>
    <w:next w:val="Normal"/>
    <w:link w:val="Heading4Char"/>
    <w:qFormat/>
    <w:rsid w:val="001E4D85"/>
    <w:pPr>
      <w:keepNext/>
      <w:numPr>
        <w:ilvl w:val="3"/>
        <w:numId w:val="3"/>
      </w:numPr>
      <w:jc w:val="both"/>
      <w:outlineLvl w:val="3"/>
    </w:pPr>
    <w:rPr>
      <w:rFonts w:ascii="Georgia" w:eastAsia="Times New Roman" w:hAnsi="Georgia"/>
      <w:b/>
      <w:color w:val="31849B" w:themeColor="accent5" w:themeShade="BF"/>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E4D85"/>
    <w:rPr>
      <w:rFonts w:ascii="Georgia" w:eastAsia="Times New Roman" w:hAnsi="Georgia" w:cs="Times New Roman"/>
      <w:b/>
      <w:color w:val="31849B" w:themeColor="accent5" w:themeShade="BF"/>
      <w:sz w:val="30"/>
      <w:szCs w:val="20"/>
      <w:lang w:eastAsia="en-US"/>
    </w:rPr>
  </w:style>
  <w:style w:type="character" w:customStyle="1" w:styleId="Heading2Char">
    <w:name w:val="Heading 2 Char"/>
    <w:basedOn w:val="DefaultParagraphFont"/>
    <w:link w:val="Heading2"/>
    <w:rsid w:val="00A84638"/>
    <w:rPr>
      <w:rFonts w:ascii="Georgia" w:eastAsia="Times New Roman" w:hAnsi="Georgia" w:cs="Times New Roman"/>
      <w:b/>
      <w:color w:val="31849B" w:themeColor="accent5" w:themeShade="BF"/>
      <w:szCs w:val="20"/>
      <w:lang w:eastAsia="en-US"/>
    </w:rPr>
  </w:style>
  <w:style w:type="character" w:customStyle="1" w:styleId="Heading3Char">
    <w:name w:val="Heading 3 Char"/>
    <w:basedOn w:val="DefaultParagraphFont"/>
    <w:link w:val="Heading3"/>
    <w:rsid w:val="005743FF"/>
    <w:rPr>
      <w:rFonts w:ascii="Georgia" w:eastAsia="Times New Roman" w:hAnsi="Georgia" w:cs="Times New Roman"/>
      <w:b/>
      <w:i/>
      <w:color w:val="31849B" w:themeColor="accent5" w:themeShade="BF"/>
      <w:sz w:val="20"/>
      <w:szCs w:val="20"/>
      <w:lang w:eastAsia="en-US"/>
    </w:rPr>
  </w:style>
  <w:style w:type="character" w:customStyle="1" w:styleId="Heading4Char">
    <w:name w:val="Heading 4 Char"/>
    <w:basedOn w:val="DefaultParagraphFont"/>
    <w:link w:val="Heading4"/>
    <w:rsid w:val="001E4D85"/>
    <w:rPr>
      <w:rFonts w:ascii="Georgia" w:eastAsia="Times New Roman" w:hAnsi="Georgia" w:cs="Times New Roman"/>
      <w:b/>
      <w:color w:val="31849B" w:themeColor="accent5" w:themeShade="BF"/>
      <w:sz w:val="20"/>
      <w:szCs w:val="20"/>
      <w:lang w:val="en-US" w:eastAsia="en-US"/>
    </w:rPr>
  </w:style>
  <w:style w:type="table" w:customStyle="1" w:styleId="Table">
    <w:name w:val="Table"/>
    <w:basedOn w:val="TableWeb2"/>
    <w:rsid w:val="00BB33C4"/>
    <w:pPr>
      <w:spacing w:after="200"/>
    </w:pPr>
    <w:rPr>
      <w:rFonts w:ascii="Arial" w:hAnsi="Arial"/>
      <w:sz w:val="18"/>
      <w:szCs w:val="20"/>
      <w:lang w:val="en-US" w:eastAsia="en-US"/>
    </w:rPr>
    <w:tblPr/>
    <w:tcPr>
      <w:shd w:val="clear" w:color="auto" w:fill="auto"/>
    </w:tcPr>
    <w:tblStylePr w:type="firstRow">
      <w:rPr>
        <w:rFonts w:ascii="Arial" w:hAnsi="Arial"/>
        <w:b/>
        <w:color w:val="auto"/>
        <w:sz w:val="18"/>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BB33C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Caption">
    <w:name w:val="caption"/>
    <w:basedOn w:val="Normal"/>
    <w:next w:val="Normal"/>
    <w:link w:val="CaptionChar"/>
    <w:qFormat/>
    <w:rsid w:val="004200F0"/>
    <w:rPr>
      <w:bCs/>
      <w:i/>
      <w:color w:val="31849B" w:themeColor="accent5" w:themeShade="BF"/>
      <w:sz w:val="18"/>
    </w:rPr>
  </w:style>
  <w:style w:type="paragraph" w:styleId="FootnoteText">
    <w:name w:val="footnote text"/>
    <w:basedOn w:val="Normal"/>
    <w:link w:val="FootnoteTextChar"/>
    <w:rsid w:val="00BB33C4"/>
    <w:rPr>
      <w:sz w:val="18"/>
    </w:rPr>
  </w:style>
  <w:style w:type="character" w:customStyle="1" w:styleId="FootnoteTextChar">
    <w:name w:val="Footnote Text Char"/>
    <w:basedOn w:val="DefaultParagraphFont"/>
    <w:link w:val="FootnoteText"/>
    <w:rsid w:val="00BB33C4"/>
    <w:rPr>
      <w:rFonts w:ascii="Arial" w:eastAsia="Times New Roman" w:hAnsi="Arial" w:cs="Times New Roman"/>
      <w:sz w:val="18"/>
      <w:szCs w:val="20"/>
    </w:rPr>
  </w:style>
  <w:style w:type="paragraph" w:styleId="BalloonText">
    <w:name w:val="Balloon Text"/>
    <w:basedOn w:val="Normal"/>
    <w:link w:val="BalloonTextChar"/>
    <w:uiPriority w:val="99"/>
    <w:semiHidden/>
    <w:unhideWhenUsed/>
    <w:rsid w:val="005F7CBE"/>
    <w:rPr>
      <w:rFonts w:cstheme="minorBidi"/>
      <w:sz w:val="18"/>
      <w:szCs w:val="18"/>
    </w:rPr>
  </w:style>
  <w:style w:type="character" w:customStyle="1" w:styleId="BalloonTextChar">
    <w:name w:val="Balloon Text Char"/>
    <w:basedOn w:val="DefaultParagraphFont"/>
    <w:link w:val="BalloonText"/>
    <w:uiPriority w:val="99"/>
    <w:semiHidden/>
    <w:rsid w:val="005F7CBE"/>
    <w:rPr>
      <w:rFonts w:ascii="Arial" w:hAnsi="Arial"/>
      <w:sz w:val="18"/>
      <w:szCs w:val="18"/>
    </w:rPr>
  </w:style>
  <w:style w:type="table" w:styleId="TableGrid">
    <w:name w:val="Table Grid"/>
    <w:basedOn w:val="TableNormal"/>
    <w:rsid w:val="00236C4C"/>
    <w:rPr>
      <w:rFonts w:ascii="Arial" w:hAnsi="Arial" w:cs="Times New Roman"/>
      <w:sz w:val="18"/>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1-nonumbers">
    <w:name w:val="Heading 1 - no numbers"/>
    <w:basedOn w:val="Heading1"/>
    <w:next w:val="Normal"/>
    <w:link w:val="Heading1-nonumbersChar"/>
    <w:qFormat/>
    <w:rsid w:val="000C3690"/>
    <w:pPr>
      <w:numPr>
        <w:numId w:val="0"/>
      </w:numPr>
    </w:pPr>
  </w:style>
  <w:style w:type="paragraph" w:styleId="Title">
    <w:name w:val="Title"/>
    <w:basedOn w:val="Normal"/>
    <w:next w:val="Normal"/>
    <w:link w:val="TitleChar"/>
    <w:uiPriority w:val="99"/>
    <w:qFormat/>
    <w:rsid w:val="000C3690"/>
    <w:pPr>
      <w:pBdr>
        <w:bottom w:val="single" w:sz="8" w:space="4" w:color="215868" w:themeColor="accent5" w:themeShade="80"/>
      </w:pBdr>
      <w:spacing w:after="300"/>
      <w:contextualSpacing/>
    </w:pPr>
    <w:rPr>
      <w:rFonts w:asciiTheme="majorHAnsi" w:eastAsiaTheme="majorEastAsia" w:hAnsiTheme="majorHAnsi" w:cstheme="majorBidi"/>
      <w:color w:val="31849B" w:themeColor="accent5" w:themeShade="BF"/>
      <w:spacing w:val="5"/>
      <w:kern w:val="28"/>
      <w:sz w:val="52"/>
      <w:szCs w:val="52"/>
    </w:rPr>
  </w:style>
  <w:style w:type="character" w:customStyle="1" w:styleId="TitleChar">
    <w:name w:val="Title Char"/>
    <w:basedOn w:val="DefaultParagraphFont"/>
    <w:link w:val="Title"/>
    <w:uiPriority w:val="99"/>
    <w:rsid w:val="000C3690"/>
    <w:rPr>
      <w:rFonts w:asciiTheme="majorHAnsi" w:eastAsiaTheme="majorEastAsia" w:hAnsiTheme="majorHAnsi" w:cstheme="majorBidi"/>
      <w:color w:val="31849B" w:themeColor="accent5" w:themeShade="BF"/>
      <w:spacing w:val="5"/>
      <w:kern w:val="28"/>
      <w:sz w:val="52"/>
      <w:szCs w:val="52"/>
    </w:rPr>
  </w:style>
  <w:style w:type="paragraph" w:styleId="ListParagraph">
    <w:name w:val="List Paragraph"/>
    <w:aliases w:val="DDM Gen Text,List Paragraph1,Bullet List,number List"/>
    <w:basedOn w:val="Normal"/>
    <w:link w:val="ListParagraphChar"/>
    <w:uiPriority w:val="34"/>
    <w:qFormat/>
    <w:rsid w:val="00C84B75"/>
    <w:pPr>
      <w:ind w:left="720"/>
      <w:contextualSpacing/>
    </w:pPr>
  </w:style>
  <w:style w:type="table" w:styleId="LightList-Accent3">
    <w:name w:val="Light List Accent 3"/>
    <w:basedOn w:val="TableNormal"/>
    <w:uiPriority w:val="61"/>
    <w:rsid w:val="00801A73"/>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NormalWeb">
    <w:name w:val="Normal (Web)"/>
    <w:basedOn w:val="Normal"/>
    <w:uiPriority w:val="99"/>
    <w:semiHidden/>
    <w:unhideWhenUsed/>
    <w:rsid w:val="00801A73"/>
    <w:pPr>
      <w:spacing w:before="100" w:beforeAutospacing="1" w:after="100" w:afterAutospacing="1"/>
    </w:pPr>
    <w:rPr>
      <w:rFonts w:ascii="Times" w:hAnsi="Times"/>
      <w:lang w:eastAsia="en-US"/>
    </w:rPr>
  </w:style>
  <w:style w:type="table" w:customStyle="1" w:styleId="ListTable3-Accent31">
    <w:name w:val="List Table 3 - Accent 31"/>
    <w:basedOn w:val="TableNormal"/>
    <w:uiPriority w:val="48"/>
    <w:rsid w:val="005651A7"/>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paragraph" w:customStyle="1" w:styleId="Heading1nonumbers">
    <w:name w:val="Heading 1 no numbers"/>
    <w:basedOn w:val="Heading1"/>
    <w:next w:val="Normal"/>
    <w:link w:val="Heading1nonumbersChar"/>
    <w:qFormat/>
    <w:rsid w:val="003C417C"/>
    <w:pPr>
      <w:numPr>
        <w:numId w:val="0"/>
      </w:numPr>
    </w:pPr>
  </w:style>
  <w:style w:type="character" w:customStyle="1" w:styleId="Heading1nonumbersChar">
    <w:name w:val="Heading 1 no numbers Char"/>
    <w:basedOn w:val="Heading1Char"/>
    <w:link w:val="Heading1nonumbers"/>
    <w:rsid w:val="003C417C"/>
    <w:rPr>
      <w:rFonts w:ascii="Georgia" w:eastAsia="Times New Roman" w:hAnsi="Georgia" w:cs="Times New Roman"/>
      <w:b/>
      <w:color w:val="76923C" w:themeColor="accent3" w:themeShade="BF"/>
      <w:sz w:val="30"/>
      <w:szCs w:val="20"/>
      <w:lang w:eastAsia="en-US"/>
    </w:rPr>
  </w:style>
  <w:style w:type="paragraph" w:customStyle="1" w:styleId="Heading2nonumbers">
    <w:name w:val="Heading 2 no numbers"/>
    <w:basedOn w:val="Heading2"/>
    <w:next w:val="Normal"/>
    <w:link w:val="Heading2nonumbersChar"/>
    <w:qFormat/>
    <w:rsid w:val="000C3690"/>
    <w:pPr>
      <w:numPr>
        <w:ilvl w:val="0"/>
        <w:numId w:val="0"/>
      </w:numPr>
    </w:pPr>
  </w:style>
  <w:style w:type="character" w:customStyle="1" w:styleId="Heading2nonumbersChar">
    <w:name w:val="Heading 2 no numbers Char"/>
    <w:basedOn w:val="Heading2Char"/>
    <w:link w:val="Heading2nonumbers"/>
    <w:rsid w:val="000C3690"/>
    <w:rPr>
      <w:rFonts w:ascii="Georgia" w:eastAsia="Times New Roman" w:hAnsi="Georgia" w:cs="Times New Roman"/>
      <w:b/>
      <w:color w:val="31849B" w:themeColor="accent5" w:themeShade="BF"/>
      <w:szCs w:val="20"/>
      <w:lang w:eastAsia="en-US"/>
    </w:rPr>
  </w:style>
  <w:style w:type="character" w:styleId="FootnoteReference">
    <w:name w:val="footnote reference"/>
    <w:basedOn w:val="DefaultParagraphFont"/>
    <w:unhideWhenUsed/>
    <w:rsid w:val="00C7523A"/>
    <w:rPr>
      <w:vertAlign w:val="superscript"/>
    </w:rPr>
  </w:style>
  <w:style w:type="paragraph" w:styleId="Header">
    <w:name w:val="header"/>
    <w:basedOn w:val="Normal"/>
    <w:link w:val="HeaderChar"/>
    <w:unhideWhenUsed/>
    <w:rsid w:val="008406CE"/>
    <w:pPr>
      <w:tabs>
        <w:tab w:val="center" w:pos="4513"/>
        <w:tab w:val="right" w:pos="9026"/>
      </w:tabs>
      <w:spacing w:after="0"/>
    </w:pPr>
  </w:style>
  <w:style w:type="character" w:customStyle="1" w:styleId="HeaderChar">
    <w:name w:val="Header Char"/>
    <w:basedOn w:val="DefaultParagraphFont"/>
    <w:link w:val="Header"/>
    <w:rsid w:val="008406CE"/>
    <w:rPr>
      <w:rFonts w:ascii="Arial" w:hAnsi="Arial" w:cs="Times New Roman"/>
      <w:sz w:val="20"/>
      <w:szCs w:val="20"/>
    </w:rPr>
  </w:style>
  <w:style w:type="paragraph" w:styleId="Footer">
    <w:name w:val="footer"/>
    <w:basedOn w:val="Normal"/>
    <w:link w:val="FooterChar"/>
    <w:unhideWhenUsed/>
    <w:rsid w:val="008406CE"/>
    <w:pPr>
      <w:tabs>
        <w:tab w:val="center" w:pos="4513"/>
        <w:tab w:val="right" w:pos="9026"/>
      </w:tabs>
      <w:spacing w:after="0"/>
    </w:pPr>
  </w:style>
  <w:style w:type="character" w:customStyle="1" w:styleId="FooterChar">
    <w:name w:val="Footer Char"/>
    <w:basedOn w:val="DefaultParagraphFont"/>
    <w:link w:val="Footer"/>
    <w:rsid w:val="008406CE"/>
    <w:rPr>
      <w:rFonts w:ascii="Arial" w:hAnsi="Arial" w:cs="Times New Roman"/>
      <w:sz w:val="20"/>
      <w:szCs w:val="20"/>
    </w:rPr>
  </w:style>
  <w:style w:type="character" w:styleId="CommentReference">
    <w:name w:val="annotation reference"/>
    <w:basedOn w:val="DefaultParagraphFont"/>
    <w:uiPriority w:val="99"/>
    <w:semiHidden/>
    <w:unhideWhenUsed/>
    <w:rsid w:val="006050CD"/>
    <w:rPr>
      <w:sz w:val="16"/>
      <w:szCs w:val="16"/>
    </w:rPr>
  </w:style>
  <w:style w:type="paragraph" w:styleId="CommentText">
    <w:name w:val="annotation text"/>
    <w:basedOn w:val="Normal"/>
    <w:link w:val="CommentTextChar"/>
    <w:uiPriority w:val="99"/>
    <w:unhideWhenUsed/>
    <w:rsid w:val="006050CD"/>
  </w:style>
  <w:style w:type="character" w:customStyle="1" w:styleId="CommentTextChar">
    <w:name w:val="Comment Text Char"/>
    <w:basedOn w:val="DefaultParagraphFont"/>
    <w:link w:val="CommentText"/>
    <w:uiPriority w:val="99"/>
    <w:rsid w:val="006050CD"/>
    <w:rPr>
      <w:rFonts w:ascii="Arial" w:hAnsi="Arial" w:cs="Times New Roman"/>
      <w:sz w:val="20"/>
      <w:szCs w:val="20"/>
    </w:rPr>
  </w:style>
  <w:style w:type="paragraph" w:styleId="CommentSubject">
    <w:name w:val="annotation subject"/>
    <w:basedOn w:val="CommentText"/>
    <w:next w:val="CommentText"/>
    <w:link w:val="CommentSubjectChar"/>
    <w:uiPriority w:val="99"/>
    <w:semiHidden/>
    <w:unhideWhenUsed/>
    <w:rsid w:val="006050CD"/>
    <w:rPr>
      <w:b/>
      <w:bCs/>
    </w:rPr>
  </w:style>
  <w:style w:type="character" w:customStyle="1" w:styleId="CommentSubjectChar">
    <w:name w:val="Comment Subject Char"/>
    <w:basedOn w:val="CommentTextChar"/>
    <w:link w:val="CommentSubject"/>
    <w:uiPriority w:val="99"/>
    <w:semiHidden/>
    <w:rsid w:val="006050CD"/>
    <w:rPr>
      <w:rFonts w:ascii="Arial" w:hAnsi="Arial" w:cs="Times New Roman"/>
      <w:b/>
      <w:bCs/>
      <w:sz w:val="20"/>
      <w:szCs w:val="20"/>
    </w:rPr>
  </w:style>
  <w:style w:type="paragraph" w:styleId="Revision">
    <w:name w:val="Revision"/>
    <w:hidden/>
    <w:uiPriority w:val="99"/>
    <w:semiHidden/>
    <w:rsid w:val="00C33B56"/>
    <w:rPr>
      <w:rFonts w:ascii="Arial" w:hAnsi="Arial" w:cs="Times New Roman"/>
      <w:sz w:val="20"/>
      <w:szCs w:val="20"/>
    </w:rPr>
  </w:style>
  <w:style w:type="paragraph" w:styleId="TOC1">
    <w:name w:val="toc 1"/>
    <w:basedOn w:val="Normal"/>
    <w:next w:val="Normal"/>
    <w:autoRedefine/>
    <w:uiPriority w:val="39"/>
    <w:unhideWhenUsed/>
    <w:rsid w:val="008B39C3"/>
    <w:pPr>
      <w:tabs>
        <w:tab w:val="left" w:pos="400"/>
        <w:tab w:val="right" w:leader="dot" w:pos="8290"/>
      </w:tabs>
    </w:pPr>
  </w:style>
  <w:style w:type="paragraph" w:customStyle="1" w:styleId="Heading4nonumbers">
    <w:name w:val="Heading 4 no numbers"/>
    <w:basedOn w:val="Heading3"/>
    <w:next w:val="Normal"/>
    <w:link w:val="Heading4nonumbersChar"/>
    <w:qFormat/>
    <w:rsid w:val="004776B7"/>
    <w:pPr>
      <w:numPr>
        <w:ilvl w:val="0"/>
        <w:numId w:val="0"/>
      </w:numPr>
      <w:ind w:left="432" w:hanging="432"/>
    </w:pPr>
    <w:rPr>
      <w:b w:val="0"/>
    </w:rPr>
  </w:style>
  <w:style w:type="character" w:customStyle="1" w:styleId="Heading1-nonumbersChar">
    <w:name w:val="Heading 1 - no numbers Char"/>
    <w:basedOn w:val="Heading1Char"/>
    <w:link w:val="Heading1-nonumbers"/>
    <w:rsid w:val="001E4D85"/>
    <w:rPr>
      <w:rFonts w:ascii="Georgia" w:eastAsia="Times New Roman" w:hAnsi="Georgia" w:cs="Times New Roman"/>
      <w:b/>
      <w:color w:val="31849B" w:themeColor="accent5" w:themeShade="BF"/>
      <w:sz w:val="30"/>
      <w:szCs w:val="20"/>
      <w:lang w:eastAsia="en-US"/>
    </w:rPr>
  </w:style>
  <w:style w:type="character" w:customStyle="1" w:styleId="Heading4nonumbersChar">
    <w:name w:val="Heading 4 no numbers Char"/>
    <w:basedOn w:val="Heading1-nonumbersChar"/>
    <w:link w:val="Heading4nonumbers"/>
    <w:rsid w:val="004776B7"/>
    <w:rPr>
      <w:rFonts w:ascii="Georgia" w:eastAsia="Times New Roman" w:hAnsi="Georgia" w:cs="Times New Roman"/>
      <w:b w:val="0"/>
      <w:i/>
      <w:color w:val="31849B" w:themeColor="accent5" w:themeShade="BF"/>
      <w:sz w:val="20"/>
      <w:szCs w:val="20"/>
      <w:lang w:eastAsia="en-US"/>
    </w:rPr>
  </w:style>
  <w:style w:type="paragraph" w:styleId="TOC2">
    <w:name w:val="toc 2"/>
    <w:basedOn w:val="Normal"/>
    <w:next w:val="Normal"/>
    <w:autoRedefine/>
    <w:uiPriority w:val="39"/>
    <w:unhideWhenUsed/>
    <w:rsid w:val="0047228D"/>
    <w:pPr>
      <w:ind w:left="200"/>
    </w:pPr>
  </w:style>
  <w:style w:type="paragraph" w:styleId="TOC3">
    <w:name w:val="toc 3"/>
    <w:basedOn w:val="Normal"/>
    <w:next w:val="Normal"/>
    <w:autoRedefine/>
    <w:uiPriority w:val="39"/>
    <w:unhideWhenUsed/>
    <w:rsid w:val="0047228D"/>
    <w:pPr>
      <w:ind w:left="400"/>
    </w:pPr>
  </w:style>
  <w:style w:type="paragraph" w:styleId="TOC4">
    <w:name w:val="toc 4"/>
    <w:basedOn w:val="Normal"/>
    <w:next w:val="Normal"/>
    <w:autoRedefine/>
    <w:uiPriority w:val="39"/>
    <w:unhideWhenUsed/>
    <w:rsid w:val="0047228D"/>
    <w:pPr>
      <w:ind w:left="600"/>
    </w:pPr>
  </w:style>
  <w:style w:type="paragraph" w:styleId="TOC5">
    <w:name w:val="toc 5"/>
    <w:basedOn w:val="Normal"/>
    <w:next w:val="Normal"/>
    <w:autoRedefine/>
    <w:uiPriority w:val="39"/>
    <w:unhideWhenUsed/>
    <w:rsid w:val="0047228D"/>
    <w:pPr>
      <w:ind w:left="800"/>
    </w:pPr>
  </w:style>
  <w:style w:type="paragraph" w:styleId="TOC6">
    <w:name w:val="toc 6"/>
    <w:basedOn w:val="Normal"/>
    <w:next w:val="Normal"/>
    <w:autoRedefine/>
    <w:uiPriority w:val="39"/>
    <w:unhideWhenUsed/>
    <w:rsid w:val="0047228D"/>
    <w:pPr>
      <w:ind w:left="1000"/>
    </w:pPr>
  </w:style>
  <w:style w:type="paragraph" w:styleId="TOC7">
    <w:name w:val="toc 7"/>
    <w:basedOn w:val="Normal"/>
    <w:next w:val="Normal"/>
    <w:autoRedefine/>
    <w:uiPriority w:val="39"/>
    <w:unhideWhenUsed/>
    <w:rsid w:val="0047228D"/>
    <w:pPr>
      <w:ind w:left="1200"/>
    </w:pPr>
  </w:style>
  <w:style w:type="paragraph" w:styleId="TOC8">
    <w:name w:val="toc 8"/>
    <w:basedOn w:val="Normal"/>
    <w:next w:val="Normal"/>
    <w:autoRedefine/>
    <w:uiPriority w:val="39"/>
    <w:unhideWhenUsed/>
    <w:rsid w:val="0047228D"/>
    <w:pPr>
      <w:ind w:left="1400"/>
    </w:pPr>
  </w:style>
  <w:style w:type="paragraph" w:styleId="TOC9">
    <w:name w:val="toc 9"/>
    <w:basedOn w:val="Normal"/>
    <w:next w:val="Normal"/>
    <w:autoRedefine/>
    <w:uiPriority w:val="39"/>
    <w:unhideWhenUsed/>
    <w:rsid w:val="0047228D"/>
    <w:pPr>
      <w:ind w:left="1600"/>
    </w:pPr>
  </w:style>
  <w:style w:type="character" w:styleId="Hyperlink">
    <w:name w:val="Hyperlink"/>
    <w:basedOn w:val="DefaultParagraphFont"/>
    <w:uiPriority w:val="99"/>
    <w:unhideWhenUsed/>
    <w:rsid w:val="0047228D"/>
    <w:rPr>
      <w:color w:val="0000FF" w:themeColor="hyperlink"/>
      <w:u w:val="single"/>
    </w:rPr>
  </w:style>
  <w:style w:type="character" w:styleId="PageNumber">
    <w:name w:val="page number"/>
    <w:basedOn w:val="DefaultParagraphFont"/>
    <w:uiPriority w:val="99"/>
    <w:semiHidden/>
    <w:unhideWhenUsed/>
    <w:rsid w:val="0047228D"/>
  </w:style>
  <w:style w:type="table" w:styleId="GridTable4-Accent5">
    <w:name w:val="Grid Table 4 Accent 5"/>
    <w:basedOn w:val="TableNormal"/>
    <w:uiPriority w:val="49"/>
    <w:rsid w:val="00A11E19"/>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ListTable3-Accent5">
    <w:name w:val="List Table 3 Accent 5"/>
    <w:basedOn w:val="TableNormal"/>
    <w:uiPriority w:val="48"/>
    <w:rsid w:val="00A11E1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styleId="BodyText">
    <w:name w:val="Body Text"/>
    <w:basedOn w:val="Normal"/>
    <w:link w:val="BodyTextChar"/>
    <w:qFormat/>
    <w:rsid w:val="00863F2A"/>
    <w:pPr>
      <w:spacing w:before="60" w:line="240" w:lineRule="atLeast"/>
    </w:pPr>
    <w:rPr>
      <w:rFonts w:asciiTheme="minorHAnsi" w:eastAsia="Times New Roman" w:hAnsiTheme="minorHAnsi"/>
      <w:color w:val="000000" w:themeColor="text1"/>
      <w:lang w:eastAsia="en-US"/>
    </w:rPr>
  </w:style>
  <w:style w:type="character" w:customStyle="1" w:styleId="BodyTextChar">
    <w:name w:val="Body Text Char"/>
    <w:basedOn w:val="DefaultParagraphFont"/>
    <w:link w:val="BodyText"/>
    <w:rsid w:val="00863F2A"/>
    <w:rPr>
      <w:rFonts w:eastAsia="Times New Roman" w:cs="Times New Roman"/>
      <w:color w:val="000000" w:themeColor="text1"/>
      <w:sz w:val="20"/>
      <w:szCs w:val="20"/>
      <w:lang w:eastAsia="en-US"/>
    </w:rPr>
  </w:style>
  <w:style w:type="paragraph" w:customStyle="1" w:styleId="TableHeadingLeft">
    <w:name w:val="Table Heading Left"/>
    <w:basedOn w:val="TableTextLeft"/>
    <w:qFormat/>
    <w:rsid w:val="00863F2A"/>
    <w:pPr>
      <w:keepNext/>
      <w:keepLines/>
    </w:pPr>
    <w:rPr>
      <w:b/>
      <w:color w:val="FFFFFF"/>
    </w:rPr>
  </w:style>
  <w:style w:type="paragraph" w:customStyle="1" w:styleId="TableTextLeft">
    <w:name w:val="Table Text Left"/>
    <w:basedOn w:val="Normal"/>
    <w:qFormat/>
    <w:rsid w:val="00863F2A"/>
    <w:pPr>
      <w:spacing w:before="60" w:after="60" w:line="220" w:lineRule="atLeast"/>
      <w:ind w:left="113" w:right="113"/>
    </w:pPr>
    <w:rPr>
      <w:rFonts w:asciiTheme="minorHAnsi" w:eastAsia="Times New Roman" w:hAnsiTheme="minorHAnsi" w:cs="Arial"/>
      <w:color w:val="000000" w:themeColor="text1"/>
      <w:sz w:val="18"/>
      <w:lang w:eastAsia="en-AU"/>
    </w:rPr>
  </w:style>
  <w:style w:type="paragraph" w:styleId="Bibliography">
    <w:name w:val="Bibliography"/>
    <w:basedOn w:val="Normal"/>
    <w:next w:val="Normal"/>
    <w:uiPriority w:val="37"/>
    <w:unhideWhenUsed/>
    <w:rsid w:val="00A84638"/>
    <w:pPr>
      <w:spacing w:after="0"/>
      <w:ind w:left="720" w:hanging="720"/>
    </w:pPr>
  </w:style>
  <w:style w:type="paragraph" w:customStyle="1" w:styleId="p1">
    <w:name w:val="p1"/>
    <w:basedOn w:val="Normal"/>
    <w:rsid w:val="00472359"/>
    <w:pPr>
      <w:spacing w:after="0"/>
    </w:pPr>
    <w:rPr>
      <w:rFonts w:ascii="Helvetica" w:hAnsi="Helvetica"/>
      <w:sz w:val="11"/>
      <w:szCs w:val="11"/>
      <w:lang w:val="en-GB" w:eastAsia="en-GB"/>
    </w:rPr>
  </w:style>
  <w:style w:type="paragraph" w:styleId="BodyText2">
    <w:name w:val="Body Text 2"/>
    <w:basedOn w:val="Normal"/>
    <w:link w:val="BodyText2Char"/>
    <w:uiPriority w:val="99"/>
    <w:semiHidden/>
    <w:unhideWhenUsed/>
    <w:rsid w:val="00E12412"/>
    <w:pPr>
      <w:spacing w:line="480" w:lineRule="auto"/>
    </w:pPr>
  </w:style>
  <w:style w:type="character" w:customStyle="1" w:styleId="BodyText2Char">
    <w:name w:val="Body Text 2 Char"/>
    <w:basedOn w:val="DefaultParagraphFont"/>
    <w:link w:val="BodyText2"/>
    <w:uiPriority w:val="99"/>
    <w:semiHidden/>
    <w:rsid w:val="00E12412"/>
    <w:rPr>
      <w:rFonts w:ascii="Arial" w:hAnsi="Arial" w:cs="Times New Roman"/>
      <w:sz w:val="20"/>
      <w:szCs w:val="20"/>
    </w:rPr>
  </w:style>
  <w:style w:type="paragraph" w:customStyle="1" w:styleId="Text">
    <w:name w:val="Text"/>
    <w:basedOn w:val="Normal"/>
    <w:rsid w:val="00E12412"/>
    <w:pPr>
      <w:spacing w:before="220" w:after="0" w:line="300" w:lineRule="atLeast"/>
      <w:ind w:left="851"/>
      <w:jc w:val="both"/>
    </w:pPr>
    <w:rPr>
      <w:rFonts w:ascii="Times New Roman" w:eastAsia="Times New Roman" w:hAnsi="Times New Roman"/>
      <w:spacing w:val="-2"/>
      <w:sz w:val="22"/>
      <w:lang w:eastAsia="en-US"/>
    </w:rPr>
  </w:style>
  <w:style w:type="character" w:styleId="UnresolvedMention">
    <w:name w:val="Unresolved Mention"/>
    <w:basedOn w:val="DefaultParagraphFont"/>
    <w:uiPriority w:val="99"/>
    <w:rsid w:val="00465C26"/>
    <w:rPr>
      <w:color w:val="808080"/>
      <w:shd w:val="clear" w:color="auto" w:fill="E6E6E6"/>
    </w:rPr>
  </w:style>
  <w:style w:type="paragraph" w:customStyle="1" w:styleId="Para12">
    <w:name w:val="Para 12"/>
    <w:basedOn w:val="Normal"/>
    <w:uiPriority w:val="99"/>
    <w:rsid w:val="000A3179"/>
    <w:pPr>
      <w:spacing w:after="240"/>
    </w:pPr>
    <w:rPr>
      <w:rFonts w:ascii="Times New Roman" w:eastAsia="Times New Roman" w:hAnsi="Times New Roman"/>
      <w:color w:val="000000"/>
      <w:sz w:val="24"/>
      <w:lang w:eastAsia="en-US"/>
    </w:rPr>
  </w:style>
  <w:style w:type="character" w:customStyle="1" w:styleId="st">
    <w:name w:val="st"/>
    <w:rsid w:val="00AA5AB7"/>
  </w:style>
  <w:style w:type="character" w:customStyle="1" w:styleId="ListParagraphChar">
    <w:name w:val="List Paragraph Char"/>
    <w:aliases w:val="DDM Gen Text Char,List Paragraph1 Char,Bullet List Char,number List Char"/>
    <w:basedOn w:val="DefaultParagraphFont"/>
    <w:link w:val="ListParagraph"/>
    <w:uiPriority w:val="34"/>
    <w:rsid w:val="0021511F"/>
    <w:rPr>
      <w:rFonts w:ascii="Arial" w:hAnsi="Arial" w:cs="Times New Roman"/>
      <w:sz w:val="20"/>
      <w:szCs w:val="20"/>
    </w:rPr>
  </w:style>
  <w:style w:type="character" w:styleId="Emphasis">
    <w:name w:val="Emphasis"/>
    <w:basedOn w:val="DefaultParagraphFont"/>
    <w:uiPriority w:val="20"/>
    <w:qFormat/>
    <w:rsid w:val="00EB4010"/>
    <w:rPr>
      <w:i/>
      <w:iCs/>
    </w:rPr>
  </w:style>
  <w:style w:type="table" w:customStyle="1" w:styleId="ListTable3-Accent51">
    <w:name w:val="List Table 3 - Accent 51"/>
    <w:basedOn w:val="TableNormal"/>
    <w:uiPriority w:val="48"/>
    <w:rsid w:val="00104666"/>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ListTable3-Accent52">
    <w:name w:val="List Table 3 - Accent 52"/>
    <w:basedOn w:val="TableNormal"/>
    <w:uiPriority w:val="48"/>
    <w:rsid w:val="003D44AF"/>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paragraph" w:customStyle="1" w:styleId="tabletextalluvium">
    <w:name w:val="table text alluvium"/>
    <w:basedOn w:val="Normal"/>
    <w:link w:val="tabletextalluviumChar"/>
    <w:qFormat/>
    <w:rsid w:val="003B1041"/>
    <w:pPr>
      <w:spacing w:before="40" w:after="40"/>
    </w:pPr>
    <w:rPr>
      <w:rFonts w:asciiTheme="minorHAnsi" w:eastAsia="Times New Roman" w:hAnsiTheme="minorHAnsi" w:cs="Calibri Light"/>
      <w:szCs w:val="18"/>
      <w:lang w:eastAsia="en-US"/>
    </w:rPr>
  </w:style>
  <w:style w:type="character" w:customStyle="1" w:styleId="tabletextalluviumChar">
    <w:name w:val="table text alluvium Char"/>
    <w:basedOn w:val="DefaultParagraphFont"/>
    <w:link w:val="tabletextalluvium"/>
    <w:rsid w:val="003B1041"/>
    <w:rPr>
      <w:rFonts w:eastAsia="Times New Roman" w:cs="Calibri Light"/>
      <w:sz w:val="20"/>
      <w:szCs w:val="18"/>
      <w:lang w:eastAsia="en-US"/>
    </w:rPr>
  </w:style>
  <w:style w:type="table" w:customStyle="1" w:styleId="Alluvium">
    <w:name w:val="Alluvium"/>
    <w:basedOn w:val="TableNormal"/>
    <w:uiPriority w:val="99"/>
    <w:qFormat/>
    <w:rsid w:val="003B1041"/>
    <w:pPr>
      <w:spacing w:before="40" w:after="40"/>
    </w:pPr>
    <w:rPr>
      <w:rFonts w:ascii="Calibri" w:eastAsia="Times New Roman" w:hAnsi="Calibri"/>
      <w:color w:val="000000" w:themeColor="text1"/>
      <w:sz w:val="18"/>
      <w:szCs w:val="22"/>
      <w:lang w:eastAsia="en-US"/>
    </w:rPr>
    <w:tblPr>
      <w:tblBorders>
        <w:bottom w:val="single" w:sz="4" w:space="0" w:color="1F497D" w:themeColor="text2"/>
        <w:insideH w:val="single" w:sz="4" w:space="0" w:color="1F497D" w:themeColor="text2"/>
      </w:tblBorders>
    </w:tblPr>
    <w:tcPr>
      <w:vAlign w:val="center"/>
    </w:tcPr>
    <w:tblStylePr w:type="firstRow">
      <w:pPr>
        <w:wordWrap/>
        <w:spacing w:beforeLines="40" w:beforeAutospacing="0" w:afterLines="40" w:afterAutospacing="0" w:line="240" w:lineRule="auto"/>
        <w:ind w:firstLineChars="0" w:firstLine="0"/>
        <w:contextualSpacing w:val="0"/>
        <w:mirrorIndents w:val="0"/>
        <w:jc w:val="left"/>
        <w:outlineLvl w:val="9"/>
      </w:pPr>
      <w:rPr>
        <w:rFonts w:ascii="Calibri" w:hAnsi="Calibri"/>
        <w:b/>
        <w:color w:val="000000" w:themeColor="text1"/>
        <w:sz w:val="18"/>
      </w:rPr>
      <w:tblPr/>
      <w:tcPr>
        <w:tcBorders>
          <w:top w:val="nil"/>
          <w:left w:val="nil"/>
          <w:bottom w:val="nil"/>
          <w:right w:val="nil"/>
          <w:insideH w:val="nil"/>
          <w:insideV w:val="nil"/>
          <w:tl2br w:val="nil"/>
          <w:tr2bl w:val="nil"/>
        </w:tcBorders>
      </w:tcPr>
    </w:tblStylePr>
  </w:style>
  <w:style w:type="paragraph" w:styleId="ListBullet">
    <w:name w:val="List Bullet"/>
    <w:basedOn w:val="Normal"/>
    <w:unhideWhenUsed/>
    <w:qFormat/>
    <w:rsid w:val="005A175E"/>
    <w:pPr>
      <w:numPr>
        <w:numId w:val="11"/>
      </w:numPr>
      <w:spacing w:before="120" w:line="240" w:lineRule="atLeast"/>
    </w:pPr>
    <w:rPr>
      <w:rFonts w:asciiTheme="minorHAnsi" w:eastAsia="Times New Roman" w:hAnsiTheme="minorHAnsi" w:cs="Arial"/>
      <w:color w:val="000000" w:themeColor="text1"/>
      <w:lang w:eastAsia="en-AU"/>
    </w:rPr>
  </w:style>
  <w:style w:type="paragraph" w:styleId="ListBullet2">
    <w:name w:val="List Bullet 2"/>
    <w:basedOn w:val="ListBullet"/>
    <w:unhideWhenUsed/>
    <w:qFormat/>
    <w:rsid w:val="005A175E"/>
    <w:pPr>
      <w:numPr>
        <w:ilvl w:val="1"/>
      </w:numPr>
      <w:tabs>
        <w:tab w:val="clear" w:pos="170"/>
        <w:tab w:val="num" w:pos="340"/>
      </w:tabs>
    </w:pPr>
  </w:style>
  <w:style w:type="paragraph" w:styleId="ListBullet3">
    <w:name w:val="List Bullet 3"/>
    <w:basedOn w:val="Normal"/>
    <w:unhideWhenUsed/>
    <w:rsid w:val="005A175E"/>
    <w:pPr>
      <w:numPr>
        <w:ilvl w:val="2"/>
        <w:numId w:val="11"/>
      </w:numPr>
      <w:spacing w:before="120" w:line="240" w:lineRule="atLeast"/>
    </w:pPr>
    <w:rPr>
      <w:rFonts w:asciiTheme="minorHAnsi" w:eastAsia="Times New Roman" w:hAnsiTheme="minorHAnsi" w:cs="Arial"/>
      <w:color w:val="000000" w:themeColor="text1"/>
      <w:lang w:eastAsia="en-AU"/>
    </w:rPr>
  </w:style>
  <w:style w:type="character" w:customStyle="1" w:styleId="CaptionChar">
    <w:name w:val="Caption Char"/>
    <w:link w:val="Caption"/>
    <w:rsid w:val="004200F0"/>
    <w:rPr>
      <w:rFonts w:ascii="Arial" w:hAnsi="Arial" w:cs="Times New Roman"/>
      <w:bCs/>
      <w:i/>
      <w:color w:val="31849B" w:themeColor="accent5" w:themeShade="BF"/>
      <w:sz w:val="18"/>
      <w:szCs w:val="20"/>
    </w:rPr>
  </w:style>
  <w:style w:type="paragraph" w:customStyle="1" w:styleId="paragraph">
    <w:name w:val="paragraph"/>
    <w:basedOn w:val="Normal"/>
    <w:rsid w:val="00775947"/>
    <w:pPr>
      <w:spacing w:before="100" w:beforeAutospacing="1" w:after="100" w:afterAutospacing="1"/>
    </w:pPr>
    <w:rPr>
      <w:rFonts w:ascii="Times New Roman" w:eastAsia="Times New Roman" w:hAnsi="Times New Roman"/>
      <w:sz w:val="24"/>
      <w:szCs w:val="24"/>
      <w:lang w:eastAsia="en-GB"/>
    </w:rPr>
  </w:style>
  <w:style w:type="table" w:customStyle="1" w:styleId="DELWPTable">
    <w:name w:val="DELWP_Table"/>
    <w:basedOn w:val="TableNormal"/>
    <w:uiPriority w:val="99"/>
    <w:rsid w:val="00915118"/>
    <w:rPr>
      <w:rFonts w:ascii="Times New Roman" w:eastAsia="Times New Roman" w:hAnsi="Times New Roman" w:cs="Times New Roman"/>
      <w:sz w:val="20"/>
      <w:szCs w:val="20"/>
      <w:lang w:eastAsia="en-AU"/>
    </w:rPr>
    <w:tblPr>
      <w:tblInd w:w="108" w:type="dxa"/>
      <w:tblBorders>
        <w:bottom w:val="single" w:sz="4" w:space="0" w:color="228591"/>
        <w:insideH w:val="single" w:sz="4" w:space="0" w:color="228591"/>
      </w:tblBorders>
    </w:tblPr>
    <w:tblStylePr w:type="firstRow">
      <w:rPr>
        <w:b/>
        <w:color w:val="FFFFFF" w:themeColor="background1"/>
      </w:rPr>
      <w:tblPr/>
      <w:tcPr>
        <w:shd w:val="clear" w:color="auto" w:fill="228591"/>
      </w:tcPr>
    </w:tblStylePr>
  </w:style>
  <w:style w:type="paragraph" w:customStyle="1" w:styleId="Default">
    <w:name w:val="Default"/>
    <w:rsid w:val="00815500"/>
    <w:pPr>
      <w:autoSpaceDE w:val="0"/>
      <w:autoSpaceDN w:val="0"/>
      <w:adjustRightInd w:val="0"/>
    </w:pPr>
    <w:rPr>
      <w:rFonts w:ascii="Times New Roman" w:hAnsi="Times New Roman" w:cs="Times New Roman"/>
      <w:color w:val="000000"/>
      <w:lang w:val="en-US"/>
    </w:rPr>
  </w:style>
  <w:style w:type="paragraph" w:customStyle="1" w:styleId="FooterEven">
    <w:name w:val="Footer Even"/>
    <w:next w:val="Footer"/>
    <w:semiHidden/>
    <w:rsid w:val="00210F68"/>
    <w:pPr>
      <w:spacing w:line="200" w:lineRule="atLeast"/>
    </w:pPr>
    <w:rPr>
      <w:rFonts w:eastAsia="Times New Roman" w:cs="Arial"/>
      <w:color w:val="000000" w:themeColor="text1"/>
      <w:sz w:val="16"/>
      <w:szCs w:val="20"/>
      <w:lang w:eastAsia="en-AU"/>
    </w:rPr>
  </w:style>
  <w:style w:type="paragraph" w:styleId="Subtitle">
    <w:name w:val="Subtitle"/>
    <w:basedOn w:val="Normal"/>
    <w:next w:val="Normal"/>
    <w:link w:val="SubtitleChar"/>
    <w:uiPriority w:val="99"/>
    <w:rsid w:val="00210F68"/>
    <w:pPr>
      <w:numPr>
        <w:ilvl w:val="1"/>
      </w:numPr>
      <w:spacing w:after="0" w:line="320" w:lineRule="exact"/>
      <w:jc w:val="right"/>
    </w:pPr>
    <w:rPr>
      <w:rFonts w:asciiTheme="majorHAnsi" w:eastAsiaTheme="majorEastAsia" w:hAnsiTheme="majorHAnsi" w:cstheme="majorBidi"/>
      <w:iCs/>
      <w:color w:val="1F497D" w:themeColor="text2"/>
      <w:spacing w:val="-2"/>
      <w:sz w:val="28"/>
      <w:szCs w:val="24"/>
      <w:lang w:eastAsia="en-AU"/>
    </w:rPr>
  </w:style>
  <w:style w:type="character" w:customStyle="1" w:styleId="SubtitleChar">
    <w:name w:val="Subtitle Char"/>
    <w:basedOn w:val="DefaultParagraphFont"/>
    <w:link w:val="Subtitle"/>
    <w:uiPriority w:val="99"/>
    <w:rsid w:val="00210F68"/>
    <w:rPr>
      <w:rFonts w:asciiTheme="majorHAnsi" w:eastAsiaTheme="majorEastAsia" w:hAnsiTheme="majorHAnsi" w:cstheme="majorBidi"/>
      <w:iCs/>
      <w:color w:val="1F497D" w:themeColor="text2"/>
      <w:spacing w:val="-2"/>
      <w:sz w:val="28"/>
      <w:lang w:eastAsia="en-AU"/>
    </w:rPr>
  </w:style>
  <w:style w:type="paragraph" w:customStyle="1" w:styleId="xStatus">
    <w:name w:val="xStatus"/>
    <w:basedOn w:val="Normal"/>
    <w:uiPriority w:val="3"/>
    <w:semiHidden/>
    <w:rsid w:val="00210F68"/>
    <w:pPr>
      <w:tabs>
        <w:tab w:val="left" w:pos="1134"/>
        <w:tab w:val="left" w:pos="2268"/>
        <w:tab w:val="left" w:pos="3402"/>
        <w:tab w:val="left" w:pos="4536"/>
        <w:tab w:val="left" w:pos="5103"/>
      </w:tabs>
      <w:spacing w:after="0"/>
      <w:jc w:val="center"/>
    </w:pPr>
    <w:rPr>
      <w:rFonts w:asciiTheme="minorHAnsi" w:eastAsia="Times New Roman" w:hAnsiTheme="minorHAnsi" w:cs="Arial"/>
      <w:caps/>
      <w:color w:val="EAEAEA"/>
      <w:spacing w:val="40"/>
      <w:sz w:val="120"/>
      <w:szCs w:val="24"/>
      <w:lang w:eastAsia="en-AU"/>
    </w:rPr>
  </w:style>
  <w:style w:type="paragraph" w:customStyle="1" w:styleId="SmallBodyText">
    <w:name w:val="Small Body Text"/>
    <w:basedOn w:val="Normal"/>
    <w:rsid w:val="00210F68"/>
    <w:pPr>
      <w:spacing w:before="40" w:after="40" w:line="160" w:lineRule="atLeast"/>
      <w:ind w:right="340"/>
    </w:pPr>
    <w:rPr>
      <w:rFonts w:asciiTheme="minorHAnsi" w:eastAsia="Times New Roman" w:hAnsiTheme="minorHAnsi" w:cs="Arial"/>
      <w:color w:val="000000" w:themeColor="text1"/>
      <w:spacing w:val="2"/>
      <w:sz w:val="12"/>
      <w:lang w:eastAsia="en-AU"/>
    </w:rPr>
  </w:style>
  <w:style w:type="paragraph" w:customStyle="1" w:styleId="xWeb">
    <w:name w:val="xWeb"/>
    <w:basedOn w:val="Normal"/>
    <w:rsid w:val="00210F68"/>
    <w:pPr>
      <w:spacing w:after="0"/>
    </w:pPr>
    <w:rPr>
      <w:rFonts w:asciiTheme="minorHAnsi" w:eastAsia="Times New Roman" w:hAnsiTheme="minorHAnsi" w:cs="Arial"/>
      <w:b/>
      <w:color w:val="00A9B2"/>
      <w:spacing w:val="-4"/>
      <w:sz w:val="25"/>
      <w:szCs w:val="42"/>
      <w:lang w:eastAsia="en-AU"/>
    </w:rPr>
  </w:style>
  <w:style w:type="paragraph" w:customStyle="1" w:styleId="xAccessibilityText">
    <w:name w:val="xAccessibility Text"/>
    <w:basedOn w:val="Normal"/>
    <w:semiHidden/>
    <w:qFormat/>
    <w:rsid w:val="00210F68"/>
    <w:pPr>
      <w:spacing w:after="0" w:line="276" w:lineRule="exact"/>
    </w:pPr>
    <w:rPr>
      <w:rFonts w:asciiTheme="minorHAnsi" w:eastAsia="Times New Roman" w:hAnsiTheme="minorHAnsi" w:cs="Arial"/>
      <w:color w:val="000000" w:themeColor="text1"/>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13908">
      <w:bodyDiv w:val="1"/>
      <w:marLeft w:val="0"/>
      <w:marRight w:val="0"/>
      <w:marTop w:val="0"/>
      <w:marBottom w:val="0"/>
      <w:divBdr>
        <w:top w:val="none" w:sz="0" w:space="0" w:color="auto"/>
        <w:left w:val="none" w:sz="0" w:space="0" w:color="auto"/>
        <w:bottom w:val="none" w:sz="0" w:space="0" w:color="auto"/>
        <w:right w:val="none" w:sz="0" w:space="0" w:color="auto"/>
      </w:divBdr>
    </w:div>
    <w:div w:id="21369041">
      <w:bodyDiv w:val="1"/>
      <w:marLeft w:val="0"/>
      <w:marRight w:val="0"/>
      <w:marTop w:val="0"/>
      <w:marBottom w:val="0"/>
      <w:divBdr>
        <w:top w:val="none" w:sz="0" w:space="0" w:color="auto"/>
        <w:left w:val="none" w:sz="0" w:space="0" w:color="auto"/>
        <w:bottom w:val="none" w:sz="0" w:space="0" w:color="auto"/>
        <w:right w:val="none" w:sz="0" w:space="0" w:color="auto"/>
      </w:divBdr>
    </w:div>
    <w:div w:id="78337000">
      <w:bodyDiv w:val="1"/>
      <w:marLeft w:val="0"/>
      <w:marRight w:val="0"/>
      <w:marTop w:val="0"/>
      <w:marBottom w:val="0"/>
      <w:divBdr>
        <w:top w:val="none" w:sz="0" w:space="0" w:color="auto"/>
        <w:left w:val="none" w:sz="0" w:space="0" w:color="auto"/>
        <w:bottom w:val="none" w:sz="0" w:space="0" w:color="auto"/>
        <w:right w:val="none" w:sz="0" w:space="0" w:color="auto"/>
      </w:divBdr>
    </w:div>
    <w:div w:id="318533268">
      <w:bodyDiv w:val="1"/>
      <w:marLeft w:val="0"/>
      <w:marRight w:val="0"/>
      <w:marTop w:val="0"/>
      <w:marBottom w:val="0"/>
      <w:divBdr>
        <w:top w:val="none" w:sz="0" w:space="0" w:color="auto"/>
        <w:left w:val="none" w:sz="0" w:space="0" w:color="auto"/>
        <w:bottom w:val="none" w:sz="0" w:space="0" w:color="auto"/>
        <w:right w:val="none" w:sz="0" w:space="0" w:color="auto"/>
      </w:divBdr>
    </w:div>
    <w:div w:id="352074910">
      <w:bodyDiv w:val="1"/>
      <w:marLeft w:val="0"/>
      <w:marRight w:val="0"/>
      <w:marTop w:val="0"/>
      <w:marBottom w:val="0"/>
      <w:divBdr>
        <w:top w:val="none" w:sz="0" w:space="0" w:color="auto"/>
        <w:left w:val="none" w:sz="0" w:space="0" w:color="auto"/>
        <w:bottom w:val="none" w:sz="0" w:space="0" w:color="auto"/>
        <w:right w:val="none" w:sz="0" w:space="0" w:color="auto"/>
      </w:divBdr>
    </w:div>
    <w:div w:id="352341001">
      <w:bodyDiv w:val="1"/>
      <w:marLeft w:val="0"/>
      <w:marRight w:val="0"/>
      <w:marTop w:val="0"/>
      <w:marBottom w:val="0"/>
      <w:divBdr>
        <w:top w:val="none" w:sz="0" w:space="0" w:color="auto"/>
        <w:left w:val="none" w:sz="0" w:space="0" w:color="auto"/>
        <w:bottom w:val="none" w:sz="0" w:space="0" w:color="auto"/>
        <w:right w:val="none" w:sz="0" w:space="0" w:color="auto"/>
      </w:divBdr>
    </w:div>
    <w:div w:id="459033920">
      <w:bodyDiv w:val="1"/>
      <w:marLeft w:val="0"/>
      <w:marRight w:val="0"/>
      <w:marTop w:val="0"/>
      <w:marBottom w:val="0"/>
      <w:divBdr>
        <w:top w:val="none" w:sz="0" w:space="0" w:color="auto"/>
        <w:left w:val="none" w:sz="0" w:space="0" w:color="auto"/>
        <w:bottom w:val="none" w:sz="0" w:space="0" w:color="auto"/>
        <w:right w:val="none" w:sz="0" w:space="0" w:color="auto"/>
      </w:divBdr>
    </w:div>
    <w:div w:id="478546081">
      <w:bodyDiv w:val="1"/>
      <w:marLeft w:val="0"/>
      <w:marRight w:val="0"/>
      <w:marTop w:val="0"/>
      <w:marBottom w:val="0"/>
      <w:divBdr>
        <w:top w:val="none" w:sz="0" w:space="0" w:color="auto"/>
        <w:left w:val="none" w:sz="0" w:space="0" w:color="auto"/>
        <w:bottom w:val="none" w:sz="0" w:space="0" w:color="auto"/>
        <w:right w:val="none" w:sz="0" w:space="0" w:color="auto"/>
      </w:divBdr>
    </w:div>
    <w:div w:id="484931931">
      <w:bodyDiv w:val="1"/>
      <w:marLeft w:val="0"/>
      <w:marRight w:val="0"/>
      <w:marTop w:val="0"/>
      <w:marBottom w:val="0"/>
      <w:divBdr>
        <w:top w:val="none" w:sz="0" w:space="0" w:color="auto"/>
        <w:left w:val="none" w:sz="0" w:space="0" w:color="auto"/>
        <w:bottom w:val="none" w:sz="0" w:space="0" w:color="auto"/>
        <w:right w:val="none" w:sz="0" w:space="0" w:color="auto"/>
      </w:divBdr>
      <w:divsChild>
        <w:div w:id="1867405145">
          <w:marLeft w:val="0"/>
          <w:marRight w:val="0"/>
          <w:marTop w:val="0"/>
          <w:marBottom w:val="0"/>
          <w:divBdr>
            <w:top w:val="none" w:sz="0" w:space="0" w:color="auto"/>
            <w:left w:val="none" w:sz="0" w:space="0" w:color="auto"/>
            <w:bottom w:val="none" w:sz="0" w:space="0" w:color="auto"/>
            <w:right w:val="none" w:sz="0" w:space="0" w:color="auto"/>
          </w:divBdr>
        </w:div>
      </w:divsChild>
    </w:div>
    <w:div w:id="543522039">
      <w:bodyDiv w:val="1"/>
      <w:marLeft w:val="0"/>
      <w:marRight w:val="0"/>
      <w:marTop w:val="0"/>
      <w:marBottom w:val="0"/>
      <w:divBdr>
        <w:top w:val="none" w:sz="0" w:space="0" w:color="auto"/>
        <w:left w:val="none" w:sz="0" w:space="0" w:color="auto"/>
        <w:bottom w:val="none" w:sz="0" w:space="0" w:color="auto"/>
        <w:right w:val="none" w:sz="0" w:space="0" w:color="auto"/>
      </w:divBdr>
    </w:div>
    <w:div w:id="561409533">
      <w:bodyDiv w:val="1"/>
      <w:marLeft w:val="0"/>
      <w:marRight w:val="0"/>
      <w:marTop w:val="0"/>
      <w:marBottom w:val="0"/>
      <w:divBdr>
        <w:top w:val="none" w:sz="0" w:space="0" w:color="auto"/>
        <w:left w:val="none" w:sz="0" w:space="0" w:color="auto"/>
        <w:bottom w:val="none" w:sz="0" w:space="0" w:color="auto"/>
        <w:right w:val="none" w:sz="0" w:space="0" w:color="auto"/>
      </w:divBdr>
      <w:divsChild>
        <w:div w:id="17309590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998470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1594336">
                  <w:marLeft w:val="0"/>
                  <w:marRight w:val="0"/>
                  <w:marTop w:val="0"/>
                  <w:marBottom w:val="0"/>
                  <w:divBdr>
                    <w:top w:val="none" w:sz="0" w:space="0" w:color="auto"/>
                    <w:left w:val="none" w:sz="0" w:space="0" w:color="auto"/>
                    <w:bottom w:val="none" w:sz="0" w:space="0" w:color="auto"/>
                    <w:right w:val="none" w:sz="0" w:space="0" w:color="auto"/>
                  </w:divBdr>
                  <w:divsChild>
                    <w:div w:id="925963486">
                      <w:marLeft w:val="0"/>
                      <w:marRight w:val="0"/>
                      <w:marTop w:val="0"/>
                      <w:marBottom w:val="0"/>
                      <w:divBdr>
                        <w:top w:val="none" w:sz="0" w:space="0" w:color="auto"/>
                        <w:left w:val="none" w:sz="0" w:space="0" w:color="auto"/>
                        <w:bottom w:val="none" w:sz="0" w:space="0" w:color="auto"/>
                        <w:right w:val="none" w:sz="0" w:space="0" w:color="auto"/>
                      </w:divBdr>
                      <w:divsChild>
                        <w:div w:id="1948584922">
                          <w:marLeft w:val="0"/>
                          <w:marRight w:val="0"/>
                          <w:marTop w:val="0"/>
                          <w:marBottom w:val="0"/>
                          <w:divBdr>
                            <w:top w:val="none" w:sz="0" w:space="0" w:color="auto"/>
                            <w:left w:val="none" w:sz="0" w:space="0" w:color="auto"/>
                            <w:bottom w:val="none" w:sz="0" w:space="0" w:color="auto"/>
                            <w:right w:val="none" w:sz="0" w:space="0" w:color="auto"/>
                          </w:divBdr>
                          <w:divsChild>
                            <w:div w:id="661203010">
                              <w:marLeft w:val="0"/>
                              <w:marRight w:val="0"/>
                              <w:marTop w:val="0"/>
                              <w:marBottom w:val="0"/>
                              <w:divBdr>
                                <w:top w:val="none" w:sz="0" w:space="0" w:color="auto"/>
                                <w:left w:val="none" w:sz="0" w:space="0" w:color="auto"/>
                                <w:bottom w:val="none" w:sz="0" w:space="0" w:color="auto"/>
                                <w:right w:val="none" w:sz="0" w:space="0" w:color="auto"/>
                              </w:divBdr>
                              <w:divsChild>
                                <w:div w:id="13835966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77778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3299997">
      <w:bodyDiv w:val="1"/>
      <w:marLeft w:val="0"/>
      <w:marRight w:val="0"/>
      <w:marTop w:val="0"/>
      <w:marBottom w:val="0"/>
      <w:divBdr>
        <w:top w:val="none" w:sz="0" w:space="0" w:color="auto"/>
        <w:left w:val="none" w:sz="0" w:space="0" w:color="auto"/>
        <w:bottom w:val="none" w:sz="0" w:space="0" w:color="auto"/>
        <w:right w:val="none" w:sz="0" w:space="0" w:color="auto"/>
      </w:divBdr>
    </w:div>
    <w:div w:id="625502522">
      <w:bodyDiv w:val="1"/>
      <w:marLeft w:val="0"/>
      <w:marRight w:val="0"/>
      <w:marTop w:val="0"/>
      <w:marBottom w:val="0"/>
      <w:divBdr>
        <w:top w:val="none" w:sz="0" w:space="0" w:color="auto"/>
        <w:left w:val="none" w:sz="0" w:space="0" w:color="auto"/>
        <w:bottom w:val="none" w:sz="0" w:space="0" w:color="auto"/>
        <w:right w:val="none" w:sz="0" w:space="0" w:color="auto"/>
      </w:divBdr>
    </w:div>
    <w:div w:id="749273189">
      <w:bodyDiv w:val="1"/>
      <w:marLeft w:val="0"/>
      <w:marRight w:val="0"/>
      <w:marTop w:val="0"/>
      <w:marBottom w:val="0"/>
      <w:divBdr>
        <w:top w:val="none" w:sz="0" w:space="0" w:color="auto"/>
        <w:left w:val="none" w:sz="0" w:space="0" w:color="auto"/>
        <w:bottom w:val="none" w:sz="0" w:space="0" w:color="auto"/>
        <w:right w:val="none" w:sz="0" w:space="0" w:color="auto"/>
      </w:divBdr>
      <w:divsChild>
        <w:div w:id="20398896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882670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7854531">
                  <w:marLeft w:val="0"/>
                  <w:marRight w:val="0"/>
                  <w:marTop w:val="0"/>
                  <w:marBottom w:val="0"/>
                  <w:divBdr>
                    <w:top w:val="none" w:sz="0" w:space="0" w:color="auto"/>
                    <w:left w:val="none" w:sz="0" w:space="0" w:color="auto"/>
                    <w:bottom w:val="none" w:sz="0" w:space="0" w:color="auto"/>
                    <w:right w:val="none" w:sz="0" w:space="0" w:color="auto"/>
                  </w:divBdr>
                  <w:divsChild>
                    <w:div w:id="1150558343">
                      <w:marLeft w:val="0"/>
                      <w:marRight w:val="0"/>
                      <w:marTop w:val="0"/>
                      <w:marBottom w:val="0"/>
                      <w:divBdr>
                        <w:top w:val="none" w:sz="0" w:space="0" w:color="auto"/>
                        <w:left w:val="none" w:sz="0" w:space="0" w:color="auto"/>
                        <w:bottom w:val="none" w:sz="0" w:space="0" w:color="auto"/>
                        <w:right w:val="none" w:sz="0" w:space="0" w:color="auto"/>
                      </w:divBdr>
                      <w:divsChild>
                        <w:div w:id="1232034591">
                          <w:marLeft w:val="0"/>
                          <w:marRight w:val="0"/>
                          <w:marTop w:val="0"/>
                          <w:marBottom w:val="0"/>
                          <w:divBdr>
                            <w:top w:val="none" w:sz="0" w:space="0" w:color="auto"/>
                            <w:left w:val="none" w:sz="0" w:space="0" w:color="auto"/>
                            <w:bottom w:val="none" w:sz="0" w:space="0" w:color="auto"/>
                            <w:right w:val="none" w:sz="0" w:space="0" w:color="auto"/>
                          </w:divBdr>
                          <w:divsChild>
                            <w:div w:id="37096187">
                              <w:marLeft w:val="0"/>
                              <w:marRight w:val="0"/>
                              <w:marTop w:val="0"/>
                              <w:marBottom w:val="0"/>
                              <w:divBdr>
                                <w:top w:val="none" w:sz="0" w:space="0" w:color="auto"/>
                                <w:left w:val="none" w:sz="0" w:space="0" w:color="auto"/>
                                <w:bottom w:val="none" w:sz="0" w:space="0" w:color="auto"/>
                                <w:right w:val="none" w:sz="0" w:space="0" w:color="auto"/>
                              </w:divBdr>
                              <w:divsChild>
                                <w:div w:id="10571214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285656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4175563">
      <w:bodyDiv w:val="1"/>
      <w:marLeft w:val="0"/>
      <w:marRight w:val="0"/>
      <w:marTop w:val="0"/>
      <w:marBottom w:val="0"/>
      <w:divBdr>
        <w:top w:val="none" w:sz="0" w:space="0" w:color="auto"/>
        <w:left w:val="none" w:sz="0" w:space="0" w:color="auto"/>
        <w:bottom w:val="none" w:sz="0" w:space="0" w:color="auto"/>
        <w:right w:val="none" w:sz="0" w:space="0" w:color="auto"/>
      </w:divBdr>
    </w:div>
    <w:div w:id="1016419684">
      <w:bodyDiv w:val="1"/>
      <w:marLeft w:val="0"/>
      <w:marRight w:val="0"/>
      <w:marTop w:val="0"/>
      <w:marBottom w:val="0"/>
      <w:divBdr>
        <w:top w:val="none" w:sz="0" w:space="0" w:color="auto"/>
        <w:left w:val="none" w:sz="0" w:space="0" w:color="auto"/>
        <w:bottom w:val="none" w:sz="0" w:space="0" w:color="auto"/>
        <w:right w:val="none" w:sz="0" w:space="0" w:color="auto"/>
      </w:divBdr>
    </w:div>
    <w:div w:id="1141771922">
      <w:bodyDiv w:val="1"/>
      <w:marLeft w:val="0"/>
      <w:marRight w:val="0"/>
      <w:marTop w:val="0"/>
      <w:marBottom w:val="0"/>
      <w:divBdr>
        <w:top w:val="none" w:sz="0" w:space="0" w:color="auto"/>
        <w:left w:val="none" w:sz="0" w:space="0" w:color="auto"/>
        <w:bottom w:val="none" w:sz="0" w:space="0" w:color="auto"/>
        <w:right w:val="none" w:sz="0" w:space="0" w:color="auto"/>
      </w:divBdr>
    </w:div>
    <w:div w:id="1214972716">
      <w:bodyDiv w:val="1"/>
      <w:marLeft w:val="0"/>
      <w:marRight w:val="0"/>
      <w:marTop w:val="0"/>
      <w:marBottom w:val="0"/>
      <w:divBdr>
        <w:top w:val="none" w:sz="0" w:space="0" w:color="auto"/>
        <w:left w:val="none" w:sz="0" w:space="0" w:color="auto"/>
        <w:bottom w:val="none" w:sz="0" w:space="0" w:color="auto"/>
        <w:right w:val="none" w:sz="0" w:space="0" w:color="auto"/>
      </w:divBdr>
    </w:div>
    <w:div w:id="1312128656">
      <w:bodyDiv w:val="1"/>
      <w:marLeft w:val="0"/>
      <w:marRight w:val="0"/>
      <w:marTop w:val="0"/>
      <w:marBottom w:val="0"/>
      <w:divBdr>
        <w:top w:val="none" w:sz="0" w:space="0" w:color="auto"/>
        <w:left w:val="none" w:sz="0" w:space="0" w:color="auto"/>
        <w:bottom w:val="none" w:sz="0" w:space="0" w:color="auto"/>
        <w:right w:val="none" w:sz="0" w:space="0" w:color="auto"/>
      </w:divBdr>
    </w:div>
    <w:div w:id="1342732570">
      <w:bodyDiv w:val="1"/>
      <w:marLeft w:val="0"/>
      <w:marRight w:val="0"/>
      <w:marTop w:val="0"/>
      <w:marBottom w:val="0"/>
      <w:divBdr>
        <w:top w:val="none" w:sz="0" w:space="0" w:color="auto"/>
        <w:left w:val="none" w:sz="0" w:space="0" w:color="auto"/>
        <w:bottom w:val="none" w:sz="0" w:space="0" w:color="auto"/>
        <w:right w:val="none" w:sz="0" w:space="0" w:color="auto"/>
      </w:divBdr>
    </w:div>
    <w:div w:id="1380592832">
      <w:bodyDiv w:val="1"/>
      <w:marLeft w:val="0"/>
      <w:marRight w:val="0"/>
      <w:marTop w:val="0"/>
      <w:marBottom w:val="0"/>
      <w:divBdr>
        <w:top w:val="none" w:sz="0" w:space="0" w:color="auto"/>
        <w:left w:val="none" w:sz="0" w:space="0" w:color="auto"/>
        <w:bottom w:val="none" w:sz="0" w:space="0" w:color="auto"/>
        <w:right w:val="none" w:sz="0" w:space="0" w:color="auto"/>
      </w:divBdr>
    </w:div>
    <w:div w:id="1458915462">
      <w:bodyDiv w:val="1"/>
      <w:marLeft w:val="0"/>
      <w:marRight w:val="0"/>
      <w:marTop w:val="0"/>
      <w:marBottom w:val="0"/>
      <w:divBdr>
        <w:top w:val="none" w:sz="0" w:space="0" w:color="auto"/>
        <w:left w:val="none" w:sz="0" w:space="0" w:color="auto"/>
        <w:bottom w:val="none" w:sz="0" w:space="0" w:color="auto"/>
        <w:right w:val="none" w:sz="0" w:space="0" w:color="auto"/>
      </w:divBdr>
    </w:div>
    <w:div w:id="1471240048">
      <w:bodyDiv w:val="1"/>
      <w:marLeft w:val="0"/>
      <w:marRight w:val="0"/>
      <w:marTop w:val="0"/>
      <w:marBottom w:val="0"/>
      <w:divBdr>
        <w:top w:val="none" w:sz="0" w:space="0" w:color="auto"/>
        <w:left w:val="none" w:sz="0" w:space="0" w:color="auto"/>
        <w:bottom w:val="none" w:sz="0" w:space="0" w:color="auto"/>
        <w:right w:val="none" w:sz="0" w:space="0" w:color="auto"/>
      </w:divBdr>
    </w:div>
    <w:div w:id="1548763741">
      <w:bodyDiv w:val="1"/>
      <w:marLeft w:val="0"/>
      <w:marRight w:val="0"/>
      <w:marTop w:val="0"/>
      <w:marBottom w:val="0"/>
      <w:divBdr>
        <w:top w:val="none" w:sz="0" w:space="0" w:color="auto"/>
        <w:left w:val="none" w:sz="0" w:space="0" w:color="auto"/>
        <w:bottom w:val="none" w:sz="0" w:space="0" w:color="auto"/>
        <w:right w:val="none" w:sz="0" w:space="0" w:color="auto"/>
      </w:divBdr>
    </w:div>
    <w:div w:id="1557816622">
      <w:bodyDiv w:val="1"/>
      <w:marLeft w:val="0"/>
      <w:marRight w:val="0"/>
      <w:marTop w:val="0"/>
      <w:marBottom w:val="0"/>
      <w:divBdr>
        <w:top w:val="none" w:sz="0" w:space="0" w:color="auto"/>
        <w:left w:val="none" w:sz="0" w:space="0" w:color="auto"/>
        <w:bottom w:val="none" w:sz="0" w:space="0" w:color="auto"/>
        <w:right w:val="none" w:sz="0" w:space="0" w:color="auto"/>
      </w:divBdr>
    </w:div>
    <w:div w:id="1580480729">
      <w:bodyDiv w:val="1"/>
      <w:marLeft w:val="0"/>
      <w:marRight w:val="0"/>
      <w:marTop w:val="0"/>
      <w:marBottom w:val="0"/>
      <w:divBdr>
        <w:top w:val="none" w:sz="0" w:space="0" w:color="auto"/>
        <w:left w:val="none" w:sz="0" w:space="0" w:color="auto"/>
        <w:bottom w:val="none" w:sz="0" w:space="0" w:color="auto"/>
        <w:right w:val="none" w:sz="0" w:space="0" w:color="auto"/>
      </w:divBdr>
    </w:div>
    <w:div w:id="1662660143">
      <w:bodyDiv w:val="1"/>
      <w:marLeft w:val="0"/>
      <w:marRight w:val="0"/>
      <w:marTop w:val="0"/>
      <w:marBottom w:val="0"/>
      <w:divBdr>
        <w:top w:val="none" w:sz="0" w:space="0" w:color="auto"/>
        <w:left w:val="none" w:sz="0" w:space="0" w:color="auto"/>
        <w:bottom w:val="none" w:sz="0" w:space="0" w:color="auto"/>
        <w:right w:val="none" w:sz="0" w:space="0" w:color="auto"/>
      </w:divBdr>
    </w:div>
    <w:div w:id="1728919432">
      <w:bodyDiv w:val="1"/>
      <w:marLeft w:val="0"/>
      <w:marRight w:val="0"/>
      <w:marTop w:val="0"/>
      <w:marBottom w:val="0"/>
      <w:divBdr>
        <w:top w:val="none" w:sz="0" w:space="0" w:color="auto"/>
        <w:left w:val="none" w:sz="0" w:space="0" w:color="auto"/>
        <w:bottom w:val="none" w:sz="0" w:space="0" w:color="auto"/>
        <w:right w:val="none" w:sz="0" w:space="0" w:color="auto"/>
      </w:divBdr>
    </w:div>
    <w:div w:id="1749887110">
      <w:bodyDiv w:val="1"/>
      <w:marLeft w:val="0"/>
      <w:marRight w:val="0"/>
      <w:marTop w:val="0"/>
      <w:marBottom w:val="0"/>
      <w:divBdr>
        <w:top w:val="none" w:sz="0" w:space="0" w:color="auto"/>
        <w:left w:val="none" w:sz="0" w:space="0" w:color="auto"/>
        <w:bottom w:val="none" w:sz="0" w:space="0" w:color="auto"/>
        <w:right w:val="none" w:sz="0" w:space="0" w:color="auto"/>
      </w:divBdr>
    </w:div>
    <w:div w:id="1801535776">
      <w:bodyDiv w:val="1"/>
      <w:marLeft w:val="0"/>
      <w:marRight w:val="0"/>
      <w:marTop w:val="0"/>
      <w:marBottom w:val="0"/>
      <w:divBdr>
        <w:top w:val="none" w:sz="0" w:space="0" w:color="auto"/>
        <w:left w:val="none" w:sz="0" w:space="0" w:color="auto"/>
        <w:bottom w:val="none" w:sz="0" w:space="0" w:color="auto"/>
        <w:right w:val="none" w:sz="0" w:space="0" w:color="auto"/>
      </w:divBdr>
      <w:divsChild>
        <w:div w:id="823400856">
          <w:marLeft w:val="0"/>
          <w:marRight w:val="0"/>
          <w:marTop w:val="0"/>
          <w:marBottom w:val="0"/>
          <w:divBdr>
            <w:top w:val="none" w:sz="0" w:space="0" w:color="auto"/>
            <w:left w:val="none" w:sz="0" w:space="0" w:color="auto"/>
            <w:bottom w:val="none" w:sz="0" w:space="0" w:color="auto"/>
            <w:right w:val="none" w:sz="0" w:space="0" w:color="auto"/>
          </w:divBdr>
          <w:divsChild>
            <w:div w:id="205988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916328">
      <w:bodyDiv w:val="1"/>
      <w:marLeft w:val="0"/>
      <w:marRight w:val="0"/>
      <w:marTop w:val="0"/>
      <w:marBottom w:val="0"/>
      <w:divBdr>
        <w:top w:val="none" w:sz="0" w:space="0" w:color="auto"/>
        <w:left w:val="none" w:sz="0" w:space="0" w:color="auto"/>
        <w:bottom w:val="none" w:sz="0" w:space="0" w:color="auto"/>
        <w:right w:val="none" w:sz="0" w:space="0" w:color="auto"/>
      </w:divBdr>
    </w:div>
    <w:div w:id="213621465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26" Type="http://schemas.openxmlformats.org/officeDocument/2006/relationships/image" Target="media/image60.png"/><Relationship Id="rId39" Type="http://schemas.openxmlformats.org/officeDocument/2006/relationships/image" Target="media/image17.tiff"/><Relationship Id="rId34" Type="http://schemas.openxmlformats.org/officeDocument/2006/relationships/hyperlink" Target="http://data.water.vic.gov.au/" TargetMode="External"/><Relationship Id="rId42" Type="http://schemas.openxmlformats.org/officeDocument/2006/relationships/image" Target="media/image19.emf"/><Relationship Id="rId47" Type="http://schemas.openxmlformats.org/officeDocument/2006/relationships/image" Target="media/image24.jpeg"/><Relationship Id="rId50" Type="http://schemas.openxmlformats.org/officeDocument/2006/relationships/image" Target="media/image27.emf"/><Relationship Id="rId55" Type="http://schemas.openxmlformats.org/officeDocument/2006/relationships/image" Target="media/image32.png"/><Relationship Id="rId63" Type="http://schemas.openxmlformats.org/officeDocument/2006/relationships/image" Target="media/image37.jpeg"/><Relationship Id="rId68" Type="http://schemas.openxmlformats.org/officeDocument/2006/relationships/image" Target="media/image42.emf"/><Relationship Id="rId76" Type="http://schemas.openxmlformats.org/officeDocument/2006/relationships/image" Target="media/image45.jpeg"/><Relationship Id="rId7" Type="http://schemas.openxmlformats.org/officeDocument/2006/relationships/image" Target="media/image1.png"/><Relationship Id="rId71"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32" Type="http://schemas.openxmlformats.org/officeDocument/2006/relationships/image" Target="media/image11.emf"/><Relationship Id="rId37" Type="http://schemas.openxmlformats.org/officeDocument/2006/relationships/image" Target="media/image15.tiff"/><Relationship Id="rId40" Type="http://schemas.openxmlformats.org/officeDocument/2006/relationships/image" Target="media/image18.emf"/><Relationship Id="rId45" Type="http://schemas.openxmlformats.org/officeDocument/2006/relationships/image" Target="media/image22.jpeg"/><Relationship Id="rId53" Type="http://schemas.openxmlformats.org/officeDocument/2006/relationships/image" Target="media/image30.jpeg"/><Relationship Id="rId58" Type="http://schemas.openxmlformats.org/officeDocument/2006/relationships/image" Target="media/image35.jpeg"/><Relationship Id="rId66" Type="http://schemas.openxmlformats.org/officeDocument/2006/relationships/image" Target="media/image40.emf"/><Relationship Id="rId74" Type="http://schemas.openxmlformats.org/officeDocument/2006/relationships/image" Target="media/image44.emf"/><Relationship Id="rId79" Type="http://schemas.openxmlformats.org/officeDocument/2006/relationships/fontTable" Target="fontTable.xml"/><Relationship Id="rId5" Type="http://schemas.openxmlformats.org/officeDocument/2006/relationships/footnotes" Target="footnotes.xml"/><Relationship Id="rId28" Type="http://schemas.openxmlformats.org/officeDocument/2006/relationships/hyperlink" Target="http://data.water.vic.gov.au" TargetMode="External"/><Relationship Id="rId36" Type="http://schemas.openxmlformats.org/officeDocument/2006/relationships/image" Target="media/image14.jpeg"/><Relationship Id="rId49" Type="http://schemas.openxmlformats.org/officeDocument/2006/relationships/image" Target="media/image26.emf"/><Relationship Id="rId57" Type="http://schemas.openxmlformats.org/officeDocument/2006/relationships/image" Target="media/image34.png"/><Relationship Id="rId61" Type="http://schemas.openxmlformats.org/officeDocument/2006/relationships/image" Target="media/image350.jpeg"/><Relationship Id="rId10" Type="http://schemas.openxmlformats.org/officeDocument/2006/relationships/image" Target="media/image3.png"/><Relationship Id="rId31" Type="http://schemas.openxmlformats.org/officeDocument/2006/relationships/image" Target="media/image10.emf"/><Relationship Id="rId44" Type="http://schemas.openxmlformats.org/officeDocument/2006/relationships/image" Target="media/image21.jpeg"/><Relationship Id="rId52" Type="http://schemas.openxmlformats.org/officeDocument/2006/relationships/image" Target="media/image29.JPG"/><Relationship Id="rId65" Type="http://schemas.openxmlformats.org/officeDocument/2006/relationships/image" Target="media/image39.jpeg"/><Relationship Id="rId73" Type="http://schemas.openxmlformats.org/officeDocument/2006/relationships/image" Target="media/image43.emf"/><Relationship Id="rId78" Type="http://schemas.openxmlformats.org/officeDocument/2006/relationships/image" Target="media/image460.jpeg"/><Relationship Id="rId8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file:////Users/jenifer/Business/Current%20Projects/LV%20EEA/LVEEA%20Final.docx" TargetMode="External"/><Relationship Id="rId27" Type="http://schemas.openxmlformats.org/officeDocument/2006/relationships/image" Target="media/image7.emf"/><Relationship Id="rId30" Type="http://schemas.openxmlformats.org/officeDocument/2006/relationships/image" Target="media/image9.emf"/><Relationship Id="rId35" Type="http://schemas.openxmlformats.org/officeDocument/2006/relationships/image" Target="media/image13.tiff"/><Relationship Id="rId43" Type="http://schemas.openxmlformats.org/officeDocument/2006/relationships/image" Target="media/image20.jpeg"/><Relationship Id="rId48" Type="http://schemas.openxmlformats.org/officeDocument/2006/relationships/image" Target="media/image25.png"/><Relationship Id="rId56" Type="http://schemas.openxmlformats.org/officeDocument/2006/relationships/image" Target="media/image33.jpeg"/><Relationship Id="rId64" Type="http://schemas.openxmlformats.org/officeDocument/2006/relationships/image" Target="media/image38.emf"/><Relationship Id="rId69" Type="http://schemas.openxmlformats.org/officeDocument/2006/relationships/header" Target="header1.xml"/><Relationship Id="rId77" Type="http://schemas.openxmlformats.org/officeDocument/2006/relationships/image" Target="media/image46.jpeg"/><Relationship Id="rId8" Type="http://schemas.openxmlformats.org/officeDocument/2006/relationships/image" Target="media/image2.jpeg"/><Relationship Id="rId51" Type="http://schemas.openxmlformats.org/officeDocument/2006/relationships/image" Target="media/image28.png"/><Relationship Id="rId72" Type="http://schemas.openxmlformats.org/officeDocument/2006/relationships/header" Target="header3.xml"/><Relationship Id="rId80" Type="http://schemas.openxmlformats.org/officeDocument/2006/relationships/glossaryDocument" Target="glossary/document.xml"/><Relationship Id="rId3" Type="http://schemas.openxmlformats.org/officeDocument/2006/relationships/settings" Target="settings.xml"/><Relationship Id="rId12" Type="http://schemas.openxmlformats.org/officeDocument/2006/relationships/image" Target="media/image5.emf"/><Relationship Id="rId25" Type="http://schemas.openxmlformats.org/officeDocument/2006/relationships/image" Target="media/image50.emf"/><Relationship Id="rId33" Type="http://schemas.openxmlformats.org/officeDocument/2006/relationships/image" Target="media/image12.emf"/><Relationship Id="rId38" Type="http://schemas.openxmlformats.org/officeDocument/2006/relationships/image" Target="media/image16.tiff"/><Relationship Id="rId46" Type="http://schemas.openxmlformats.org/officeDocument/2006/relationships/image" Target="media/image23.jpeg"/><Relationship Id="rId67" Type="http://schemas.openxmlformats.org/officeDocument/2006/relationships/image" Target="media/image41.emf"/><Relationship Id="rId41" Type="http://schemas.openxmlformats.org/officeDocument/2006/relationships/hyperlink" Target="http://data.water.vic.gov.au/" TargetMode="External"/><Relationship Id="rId54" Type="http://schemas.openxmlformats.org/officeDocument/2006/relationships/image" Target="media/image31.jpeg"/><Relationship Id="rId62" Type="http://schemas.openxmlformats.org/officeDocument/2006/relationships/image" Target="media/image36.jpeg"/><Relationship Id="rId70" Type="http://schemas.openxmlformats.org/officeDocument/2006/relationships/header" Target="header2.xml"/><Relationship Id="rId75" Type="http://schemas.openxmlformats.org/officeDocument/2006/relationships/hyperlink" Target="http://data.water.vic.gov.a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water.vic.gov.au/planning/LVRRS/support"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F17720D2D5E9474AAB852DD81C0D8CC4"/>
        <w:category>
          <w:name w:val="General"/>
          <w:gallery w:val="placeholder"/>
        </w:category>
        <w:types>
          <w:type w:val="bbPlcHdr"/>
        </w:types>
        <w:behaviors>
          <w:behavior w:val="content"/>
        </w:behaviors>
        <w:guid w:val="{FF897077-4FA9-6147-A745-C58CC04A353C}"/>
      </w:docPartPr>
      <w:docPartBody>
        <w:p w:rsidR="00BE3A25" w:rsidRDefault="00BE3A25" w:rsidP="00BE3A25">
          <w:pPr>
            <w:pStyle w:val="F17720D2D5E9474AAB852DD81C0D8CC4"/>
          </w:pPr>
          <w:r>
            <w:rPr>
              <w:rFonts w:cs="Arial"/>
              <w:b/>
              <w:sz w:val="40"/>
              <w:szCs w:val="40"/>
            </w:rPr>
            <w:t>PROJECT NAME</w:t>
          </w:r>
          <w:r w:rsidRPr="003909FA">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3A25"/>
    <w:rsid w:val="000628DA"/>
    <w:rsid w:val="000E480E"/>
    <w:rsid w:val="000F53F4"/>
    <w:rsid w:val="00236C0B"/>
    <w:rsid w:val="00276B5E"/>
    <w:rsid w:val="00393483"/>
    <w:rsid w:val="003A35DB"/>
    <w:rsid w:val="003B408C"/>
    <w:rsid w:val="00476BC7"/>
    <w:rsid w:val="004D5081"/>
    <w:rsid w:val="00594F4E"/>
    <w:rsid w:val="005A700B"/>
    <w:rsid w:val="005F0BE3"/>
    <w:rsid w:val="00655E31"/>
    <w:rsid w:val="00674274"/>
    <w:rsid w:val="006D67EA"/>
    <w:rsid w:val="00725ABC"/>
    <w:rsid w:val="007803C7"/>
    <w:rsid w:val="00792248"/>
    <w:rsid w:val="0080657F"/>
    <w:rsid w:val="008D1EAD"/>
    <w:rsid w:val="009246C0"/>
    <w:rsid w:val="009A78F9"/>
    <w:rsid w:val="00A05B9F"/>
    <w:rsid w:val="00B037A2"/>
    <w:rsid w:val="00BE3A25"/>
    <w:rsid w:val="00C70A85"/>
    <w:rsid w:val="00C74F3F"/>
    <w:rsid w:val="00C82205"/>
    <w:rsid w:val="00D45144"/>
    <w:rsid w:val="00D46C28"/>
    <w:rsid w:val="00D83A9C"/>
    <w:rsid w:val="00DA5E36"/>
    <w:rsid w:val="00E03361"/>
    <w:rsid w:val="00E334D0"/>
    <w:rsid w:val="00EA515D"/>
    <w:rsid w:val="00EC257B"/>
    <w:rsid w:val="00EE00FB"/>
    <w:rsid w:val="00F04CB9"/>
    <w:rsid w:val="00F11061"/>
    <w:rsid w:val="00F54315"/>
    <w:rsid w:val="00FA7CB9"/>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03C7"/>
    <w:rPr>
      <w:color w:val="808080"/>
    </w:rPr>
  </w:style>
  <w:style w:type="paragraph" w:customStyle="1" w:styleId="D350DB15FCE6DA4093D9ED6EA9F1EDB5">
    <w:name w:val="D350DB15FCE6DA4093D9ED6EA9F1EDB5"/>
    <w:rsid w:val="00BE3A25"/>
  </w:style>
  <w:style w:type="paragraph" w:customStyle="1" w:styleId="F17720D2D5E9474AAB852DD81C0D8CC4">
    <w:name w:val="F17720D2D5E9474AAB852DD81C0D8CC4"/>
    <w:rsid w:val="00BE3A25"/>
  </w:style>
  <w:style w:type="paragraph" w:customStyle="1" w:styleId="4808ACDD712A6A45BC06E183DDB6AB26">
    <w:name w:val="4808ACDD712A6A45BC06E183DDB6AB26"/>
    <w:rsid w:val="007803C7"/>
  </w:style>
  <w:style w:type="paragraph" w:customStyle="1" w:styleId="B8A064509204154C8A90C198B943C9CE">
    <w:name w:val="B8A064509204154C8A90C198B943C9CE"/>
    <w:rsid w:val="007803C7"/>
  </w:style>
  <w:style w:type="paragraph" w:customStyle="1" w:styleId="10E5E8DAB1874FEDA68F414090916302">
    <w:name w:val="10E5E8DAB1874FEDA68F414090916302"/>
    <w:rsid w:val="00F11061"/>
    <w:pPr>
      <w:spacing w:after="160" w:line="259" w:lineRule="auto"/>
    </w:pPr>
    <w:rPr>
      <w:sz w:val="22"/>
      <w:szCs w:val="22"/>
      <w:lang w:eastAsia="en-AU"/>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Metadata/LabelInfo.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Normal.dotm</Template>
  <TotalTime>0</TotalTime>
  <Pages>58</Pages>
  <Words>37998</Words>
  <Characters>216592</Characters>
  <Application>Microsoft Office Word</Application>
  <DocSecurity>0</DocSecurity>
  <Lines>1804</Lines>
  <Paragraphs>508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2020-11-16T04:44:00Z</dcterms:created>
  <dcterms:modified xsi:type="dcterms:W3CDTF">2020-11-16T04:44:00Z</dcterms:modified>
  <cp:category/>
  <cp:contentStatus/>
</cp:coreProperties>
</file>