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B5AD" w14:textId="1F10CBBC" w:rsidR="00DB77D6" w:rsidRPr="002C003C" w:rsidRDefault="51CF3768" w:rsidP="74AD9119">
      <w:pPr>
        <w:pStyle w:val="Heading1"/>
        <w:framePr w:wrap="around"/>
        <w:rPr>
          <w:rFonts w:ascii="VIC" w:hAnsi="VIC"/>
          <w:sz w:val="40"/>
        </w:rPr>
      </w:pPr>
      <w:bookmarkStart w:id="0" w:name="_Toc106305998"/>
      <w:r w:rsidRPr="74AD9119">
        <w:rPr>
          <w:rFonts w:ascii="VIC" w:hAnsi="VIC"/>
          <w:sz w:val="40"/>
        </w:rPr>
        <w:t xml:space="preserve">Guidance Note: </w:t>
      </w:r>
      <w:r w:rsidR="000A3685" w:rsidRPr="74AD9119">
        <w:rPr>
          <w:rFonts w:ascii="VIC" w:hAnsi="VIC"/>
          <w:sz w:val="40"/>
        </w:rPr>
        <w:t>Flood risk ratings</w:t>
      </w:r>
    </w:p>
    <w:p w14:paraId="2DE35663" w14:textId="16C9038E" w:rsidR="00DB77D6" w:rsidRPr="002C003C" w:rsidRDefault="51CF3768" w:rsidP="00350FE8">
      <w:pPr>
        <w:pStyle w:val="Heading1"/>
        <w:framePr w:wrap="around"/>
        <w:shd w:val="clear" w:color="auto" w:fill="201547" w:themeFill="accent4"/>
        <w:rPr>
          <w:rFonts w:ascii="VIC" w:hAnsi="VIC"/>
          <w:b w:val="0"/>
          <w:bCs w:val="0"/>
          <w:sz w:val="32"/>
          <w:szCs w:val="32"/>
        </w:rPr>
      </w:pPr>
      <w:r w:rsidRPr="73B37FBA">
        <w:rPr>
          <w:rFonts w:ascii="VIC" w:hAnsi="VIC"/>
          <w:b w:val="0"/>
          <w:bCs w:val="0"/>
          <w:sz w:val="32"/>
          <w:szCs w:val="32"/>
        </w:rPr>
        <w:t>(</w:t>
      </w:r>
      <w:r w:rsidR="000A3685">
        <w:rPr>
          <w:rFonts w:ascii="VIC" w:hAnsi="VIC"/>
          <w:b w:val="0"/>
          <w:bCs w:val="0"/>
          <w:sz w:val="32"/>
          <w:szCs w:val="32"/>
        </w:rPr>
        <w:t>October</w:t>
      </w:r>
      <w:r w:rsidR="338101EB" w:rsidRPr="73B37FBA">
        <w:rPr>
          <w:rFonts w:ascii="VIC" w:hAnsi="VIC"/>
          <w:b w:val="0"/>
          <w:bCs w:val="0"/>
          <w:sz w:val="32"/>
          <w:szCs w:val="32"/>
        </w:rPr>
        <w:t xml:space="preserve"> </w:t>
      </w:r>
      <w:r w:rsidRPr="73B37FBA">
        <w:rPr>
          <w:rFonts w:ascii="VIC" w:hAnsi="VIC"/>
          <w:b w:val="0"/>
          <w:bCs w:val="0"/>
          <w:sz w:val="32"/>
          <w:szCs w:val="32"/>
        </w:rPr>
        <w:t>2026)</w:t>
      </w:r>
    </w:p>
    <w:p w14:paraId="0575D1B6" w14:textId="77777777" w:rsidR="00DB77D6" w:rsidRPr="004C1F02" w:rsidRDefault="00DB77D6" w:rsidP="00DB77D6">
      <w:pPr>
        <w:pStyle w:val="xVicLogo"/>
        <w:framePr w:wrap="around"/>
      </w:pPr>
      <w:r w:rsidRPr="004C1F02">
        <w:rPr>
          <w:noProof/>
        </w:rPr>
        <w:drawing>
          <wp:inline distT="0" distB="0" distL="0" distR="0" wp14:anchorId="715F5153" wp14:editId="70BFDC27">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13FAF103" w14:textId="77777777" w:rsidR="00DB77D6" w:rsidRDefault="00DB77D6" w:rsidP="00DB77D6">
      <w:pPr>
        <w:pStyle w:val="BodyText"/>
      </w:pPr>
      <w:r>
        <w:rPr>
          <w:noProof/>
        </w:rPr>
        <w:drawing>
          <wp:anchor distT="0" distB="0" distL="114300" distR="114300" simplePos="0" relativeHeight="251658252" behindDoc="0" locked="1" layoutInCell="1" allowOverlap="1" wp14:anchorId="0B6DBFE1" wp14:editId="0C66CA06">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1" layoutInCell="1" allowOverlap="1" wp14:anchorId="5E60ECE5" wp14:editId="315BDEC8">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0" locked="1" layoutInCell="1" allowOverlap="1" wp14:anchorId="21FC9F2A" wp14:editId="0FF47C93">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1" layoutInCell="1" allowOverlap="1" wp14:anchorId="17143D3A" wp14:editId="4AA3FB82">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1" layoutInCell="1" allowOverlap="1" wp14:anchorId="3349F2E9" wp14:editId="4878500E">
            <wp:simplePos x="0" y="0"/>
            <wp:positionH relativeFrom="page">
              <wp:posOffset>6932930</wp:posOffset>
            </wp:positionH>
            <wp:positionV relativeFrom="page">
              <wp:posOffset>896620</wp:posOffset>
            </wp:positionV>
            <wp:extent cx="630000" cy="1335600"/>
            <wp:effectExtent l="0" t="0" r="0" b="0"/>
            <wp:wrapNone/>
            <wp:docPr id="18" name="Cover_Triangle_W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7A8D3C45" wp14:editId="174E2AEA">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1" layoutInCell="1" allowOverlap="1" wp14:anchorId="2CD112A0" wp14:editId="57E006F8">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1" locked="1" layoutInCell="1" allowOverlap="1" wp14:anchorId="62CF3285" wp14:editId="41D1FCF2">
            <wp:simplePos x="0" y="0"/>
            <wp:positionH relativeFrom="page">
              <wp:posOffset>6932930</wp:posOffset>
            </wp:positionH>
            <wp:positionV relativeFrom="page">
              <wp:posOffset>894080</wp:posOffset>
            </wp:positionV>
            <wp:extent cx="630000" cy="1335600"/>
            <wp:effectExtent l="0" t="0" r="0" b="0"/>
            <wp:wrapNone/>
            <wp:docPr id="21" name="Cover_Triangle_Corpora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Pr="00267DD0">
        <w:rPr>
          <w:noProof/>
        </w:rPr>
        <mc:AlternateContent>
          <mc:Choice Requires="wps">
            <w:drawing>
              <wp:anchor distT="0" distB="0" distL="114300" distR="114300" simplePos="0" relativeHeight="251658242" behindDoc="0" locked="1" layoutInCell="1" allowOverlap="1" wp14:anchorId="2FE1A795" wp14:editId="7EE6C688">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1157D702">
              <v:shape id="RibbonElement2" style="position:absolute;margin-left:413.8pt;margin-top:105.25pt;width:98.95pt;height:70.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248AACCA">
                <v:path arrowok="t"/>
                <w10:wrap anchorx="page" anchory="page"/>
                <w10:anchorlock/>
              </v:shape>
            </w:pict>
          </mc:Fallback>
        </mc:AlternateContent>
      </w:r>
      <w:r w:rsidRPr="00267DD0">
        <w:rPr>
          <w:noProof/>
        </w:rPr>
        <mc:AlternateContent>
          <mc:Choice Requires="wps">
            <w:drawing>
              <wp:anchor distT="0" distB="0" distL="114300" distR="114300" simplePos="0" relativeHeight="251658243" behindDoc="0" locked="1" layoutInCell="1" allowOverlap="1" wp14:anchorId="765B5394" wp14:editId="28A23E7E">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329B17F4">
              <v:shape id="RibbonElement3" style="position:absolute;margin-left:380.55pt;margin-top:140.05pt;width:82.5pt;height:35.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78be20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6826BD15">
                <v:path arrowok="t"/>
                <w10:wrap anchorx="page" anchory="page"/>
                <w10:anchorlock/>
              </v:shape>
            </w:pict>
          </mc:Fallback>
        </mc:AlternateContent>
      </w:r>
      <w:r w:rsidRPr="00267DD0">
        <w:rPr>
          <w:noProof/>
        </w:rPr>
        <mc:AlternateContent>
          <mc:Choice Requires="wps">
            <w:drawing>
              <wp:anchor distT="0" distB="0" distL="114300" distR="114300" simplePos="0" relativeHeight="251658244" behindDoc="0" locked="1" layoutInCell="1" allowOverlap="1" wp14:anchorId="734426A3" wp14:editId="188B2444">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7E5EA0DD">
              <v:shape id="RibbonElement4Grp" style="position:absolute;margin-left:446.25pt;margin-top:105.25pt;width:83.0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325406E6">
                <v:path arrowok="t"/>
                <w10:wrap anchorx="page" anchory="page"/>
                <w10:anchorlock/>
              </v:shape>
            </w:pict>
          </mc:Fallback>
        </mc:AlternateContent>
      </w:r>
      <w:r w:rsidRPr="00267DD0">
        <w:rPr>
          <w:noProof/>
        </w:rPr>
        <mc:AlternateContent>
          <mc:Choice Requires="wps">
            <w:drawing>
              <wp:anchor distT="0" distB="0" distL="114300" distR="114300" simplePos="0" relativeHeight="251658241" behindDoc="0" locked="1" layoutInCell="1" allowOverlap="1" wp14:anchorId="2CFB11A8" wp14:editId="36E1226A">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5DE7849A">
              <v:shape id="RibbonElement1" style="position:absolute;margin-left:463.65pt;margin-top:0;width:132.1pt;height:140.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71c5e8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020ED97E">
                <v:path arrowok="t"/>
                <w10:wrap anchorx="page" anchory="page"/>
                <w10:anchorlock/>
              </v:shape>
            </w:pict>
          </mc:Fallback>
        </mc:AlternateContent>
      </w:r>
      <w:r w:rsidRPr="004C1F02">
        <w:rPr>
          <w:noProof/>
        </w:rPr>
        <mc:AlternateContent>
          <mc:Choice Requires="wpc">
            <w:drawing>
              <wp:anchor distT="0" distB="0" distL="114300" distR="114300" simplePos="0" relativeHeight="251658240" behindDoc="0" locked="1" layoutInCell="1" allowOverlap="1" wp14:anchorId="75F201D0" wp14:editId="603C8970">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1D08C41E" w14:textId="2F6EA377" w:rsidR="00DB77D6" w:rsidRPr="00484CC4" w:rsidRDefault="00DB77D6" w:rsidP="00DB77D6">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5F201D0" id="Cover_Website" o:spid="_x0000_s1026" editas="canvas" alt="&quot;&quot;" style="position:absolute;margin-left:0;margin-top:776.95pt;width:179.15pt;height:65.2pt;z-index:251658240;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1D08C41E" w14:textId="2F6EA377" w:rsidR="00DB77D6" w:rsidRPr="00484CC4" w:rsidRDefault="00DB77D6" w:rsidP="00DB77D6">
                        <w:pPr>
                          <w:pStyle w:val="xWebCoverPage"/>
                        </w:pPr>
                        <w:hyperlink r:id="rId26" w:history="1">
                          <w:r w:rsidRPr="00484CC4">
                            <w:t>deeca.vic.gov.au</w:t>
                          </w:r>
                        </w:hyperlink>
                      </w:p>
                    </w:txbxContent>
                  </v:textbox>
                </v:shape>
                <w10:wrap anchorx="page" anchory="page"/>
                <w10:anchorlock/>
              </v:group>
            </w:pict>
          </mc:Fallback>
        </mc:AlternateContent>
      </w:r>
    </w:p>
    <w:p w14:paraId="1CFCB4EB" w14:textId="77777777" w:rsidR="00DB77D6" w:rsidRDefault="00DB77D6" w:rsidP="00DB77D6">
      <w:pPr>
        <w:sectPr w:rsidR="00DB77D6" w:rsidSect="00DB77D6">
          <w:headerReference w:type="even" r:id="rId27"/>
          <w:headerReference w:type="default" r:id="rId28"/>
          <w:footerReference w:type="even" r:id="rId29"/>
          <w:footerReference w:type="default" r:id="rId30"/>
          <w:headerReference w:type="first" r:id="rId31"/>
          <w:footerReference w:type="first" r:id="rId32"/>
          <w:type w:val="continuous"/>
          <w:pgSz w:w="11907" w:h="16839" w:code="9"/>
          <w:pgMar w:top="737" w:right="851" w:bottom="1701" w:left="851" w:header="284" w:footer="284" w:gutter="0"/>
          <w:cols w:space="454"/>
          <w:noEndnote/>
          <w:titlePg/>
          <w:docGrid w:linePitch="360"/>
        </w:sectPr>
      </w:pPr>
    </w:p>
    <w:bookmarkEnd w:id="0"/>
    <w:p w14:paraId="1F6D9085" w14:textId="77777777" w:rsidR="00B904F3" w:rsidRDefault="009A7F50" w:rsidP="009A7F50">
      <w:r w:rsidRPr="009A7F50">
        <w:t xml:space="preserve">This </w:t>
      </w:r>
      <w:r w:rsidR="2F4C6D91">
        <w:t>guidance note</w:t>
      </w:r>
      <w:r w:rsidRPr="009A7F50">
        <w:t xml:space="preserve"> explains flood risk ratings, why flood maps are updated, and how </w:t>
      </w:r>
      <w:r w:rsidR="23AD7A41">
        <w:t>flood risk information</w:t>
      </w:r>
      <w:r w:rsidR="5B8E5CD1">
        <w:t xml:space="preserve"> </w:t>
      </w:r>
      <w:r w:rsidR="287BA403">
        <w:t>may inform</w:t>
      </w:r>
      <w:r w:rsidRPr="009A7F50">
        <w:t xml:space="preserve"> planning and building </w:t>
      </w:r>
      <w:r w:rsidR="545221DF">
        <w:t>decisions in V</w:t>
      </w:r>
      <w:r w:rsidR="2C4B6A9B">
        <w:t>ictoria</w:t>
      </w:r>
      <w:r w:rsidR="5B8E5CD1">
        <w:t>.</w:t>
      </w:r>
    </w:p>
    <w:p w14:paraId="5CF0529E" w14:textId="3DF948E0" w:rsidR="009A7F50" w:rsidRDefault="009A7F50" w:rsidP="009A7F50">
      <w:r w:rsidRPr="009A7F50">
        <w:t xml:space="preserve">It is intended to help communities, landowners, developers and industry understand flood risk </w:t>
      </w:r>
      <w:r w:rsidR="00C26F5C">
        <w:t>management in Victoria.</w:t>
      </w:r>
    </w:p>
    <w:p w14:paraId="00AE6F6D" w14:textId="2F9D022E" w:rsidR="009A7F50" w:rsidRPr="00264D65" w:rsidRDefault="009A7F50" w:rsidP="009A7F50">
      <w:pPr>
        <w:pStyle w:val="Heading4"/>
        <w:rPr>
          <w:lang w:val="en-US"/>
        </w:rPr>
      </w:pPr>
      <w:r>
        <w:rPr>
          <w:lang w:val="en-US"/>
        </w:rPr>
        <w:t>Key messages</w:t>
      </w:r>
    </w:p>
    <w:p w14:paraId="22AC3E52" w14:textId="3925A4AD" w:rsidR="00F2391B" w:rsidRDefault="00F2391B" w:rsidP="00152614">
      <w:pPr>
        <w:pStyle w:val="ListParagraph"/>
        <w:numPr>
          <w:ilvl w:val="0"/>
          <w:numId w:val="35"/>
        </w:numPr>
        <w:tabs>
          <w:tab w:val="clear" w:pos="720"/>
          <w:tab w:val="num" w:pos="284"/>
        </w:tabs>
        <w:spacing w:before="20" w:after="0"/>
        <w:ind w:left="284" w:hanging="284"/>
        <w:contextualSpacing w:val="0"/>
      </w:pPr>
      <w:r>
        <w:t>Flood maps show where flooding may occur</w:t>
      </w:r>
    </w:p>
    <w:p w14:paraId="14A926D2" w14:textId="69C156A3" w:rsidR="0077730C" w:rsidRPr="0077730C" w:rsidRDefault="0077730C" w:rsidP="0077730C">
      <w:pPr>
        <w:pStyle w:val="ListParagraph"/>
        <w:numPr>
          <w:ilvl w:val="0"/>
          <w:numId w:val="35"/>
        </w:numPr>
        <w:tabs>
          <w:tab w:val="clear" w:pos="720"/>
          <w:tab w:val="num" w:pos="284"/>
        </w:tabs>
        <w:spacing w:before="20" w:after="0"/>
        <w:ind w:left="284" w:hanging="284"/>
        <w:contextualSpacing w:val="0"/>
      </w:pPr>
      <w:r w:rsidRPr="0077730C">
        <w:t>Maps are updated as information becomes available</w:t>
      </w:r>
    </w:p>
    <w:p w14:paraId="5216E732" w14:textId="742B452E" w:rsidR="00F2391B" w:rsidRDefault="00F2391B" w:rsidP="00152614">
      <w:pPr>
        <w:pStyle w:val="ListParagraph"/>
        <w:numPr>
          <w:ilvl w:val="0"/>
          <w:numId w:val="35"/>
        </w:numPr>
        <w:tabs>
          <w:tab w:val="clear" w:pos="720"/>
          <w:tab w:val="num" w:pos="284"/>
        </w:tabs>
        <w:spacing w:before="20" w:after="0"/>
        <w:ind w:left="284" w:hanging="284"/>
        <w:contextualSpacing w:val="0"/>
      </w:pPr>
      <w:r>
        <w:t>Flood risk may change over time</w:t>
      </w:r>
    </w:p>
    <w:p w14:paraId="53B04ED7" w14:textId="3B09E8BA" w:rsidR="00F2391B" w:rsidRDefault="00D67660" w:rsidP="00152614">
      <w:pPr>
        <w:pStyle w:val="ListParagraph"/>
        <w:numPr>
          <w:ilvl w:val="0"/>
          <w:numId w:val="35"/>
        </w:numPr>
        <w:tabs>
          <w:tab w:val="clear" w:pos="720"/>
          <w:tab w:val="num" w:pos="284"/>
        </w:tabs>
        <w:spacing w:before="20" w:after="0"/>
        <w:ind w:left="284" w:hanging="284"/>
        <w:contextualSpacing w:val="0"/>
      </w:pPr>
      <w:r w:rsidRPr="00D67660">
        <w:t>Planning responses reflect the assessed risk</w:t>
      </w:r>
    </w:p>
    <w:p w14:paraId="21987782" w14:textId="74745819" w:rsidR="00A61CB3" w:rsidRPr="00132B7E" w:rsidRDefault="00F2391B" w:rsidP="00152614">
      <w:pPr>
        <w:pStyle w:val="ListParagraph"/>
        <w:numPr>
          <w:ilvl w:val="0"/>
          <w:numId w:val="35"/>
        </w:numPr>
        <w:tabs>
          <w:tab w:val="clear" w:pos="720"/>
          <w:tab w:val="num" w:pos="284"/>
        </w:tabs>
        <w:spacing w:before="20" w:after="0"/>
        <w:ind w:left="284" w:hanging="284"/>
        <w:contextualSpacing w:val="0"/>
      </w:pPr>
      <w:r>
        <w:t xml:space="preserve">Mitigation </w:t>
      </w:r>
      <w:r w:rsidR="00086670">
        <w:t xml:space="preserve">may </w:t>
      </w:r>
      <w:r>
        <w:t>reduce</w:t>
      </w:r>
      <w:r w:rsidR="00086670">
        <w:t xml:space="preserve"> </w:t>
      </w:r>
      <w:r>
        <w:t>but not remove risk</w:t>
      </w:r>
    </w:p>
    <w:p w14:paraId="5B46A915" w14:textId="22473A68" w:rsidR="00DB77D6" w:rsidRPr="00264D65" w:rsidRDefault="00DB77D6" w:rsidP="00DB77D6">
      <w:pPr>
        <w:pStyle w:val="Heading4"/>
        <w:rPr>
          <w:lang w:val="en-US"/>
        </w:rPr>
      </w:pPr>
      <w:r>
        <w:rPr>
          <w:lang w:val="en-US"/>
        </w:rPr>
        <w:t>What are flood maps</w:t>
      </w:r>
    </w:p>
    <w:p w14:paraId="7DEA33D4" w14:textId="77777777" w:rsidR="00D93605" w:rsidRDefault="00D93605" w:rsidP="00350FE8">
      <w:pPr>
        <w:pStyle w:val="Heading4"/>
        <w:rPr>
          <w:b w:val="0"/>
          <w:bCs w:val="0"/>
          <w:color w:val="auto"/>
          <w:sz w:val="20"/>
          <w:szCs w:val="20"/>
          <w:lang w:val="en-US"/>
        </w:rPr>
      </w:pPr>
      <w:r w:rsidRPr="00D93605">
        <w:rPr>
          <w:b w:val="0"/>
          <w:bCs w:val="0"/>
          <w:color w:val="auto"/>
          <w:sz w:val="20"/>
          <w:szCs w:val="20"/>
          <w:lang w:val="en-US"/>
        </w:rPr>
        <w:t>Flood maps show where flooding may occur and help communities understand flood risk. They support emergency planning and response, consideration of mitigation measures, and planning and building assessments. They are based on available flood studies, modelling and other relevant information.</w:t>
      </w:r>
    </w:p>
    <w:p w14:paraId="2C612B16" w14:textId="416FED2A" w:rsidR="00992967" w:rsidRPr="00350FE8" w:rsidRDefault="00992967" w:rsidP="00350FE8">
      <w:pPr>
        <w:pStyle w:val="Heading4"/>
        <w:rPr>
          <w:b w:val="0"/>
          <w:bCs w:val="0"/>
          <w:lang w:val="en-US"/>
        </w:rPr>
      </w:pPr>
      <w:r w:rsidRPr="00350FE8">
        <w:rPr>
          <w:lang w:val="en-US"/>
        </w:rPr>
        <w:t xml:space="preserve">Why </w:t>
      </w:r>
      <w:r w:rsidR="5E77092E" w:rsidRPr="431C6688">
        <w:rPr>
          <w:lang w:val="en-US"/>
        </w:rPr>
        <w:t xml:space="preserve">do </w:t>
      </w:r>
      <w:bookmarkStart w:id="1" w:name="_Int_wZ2Xxv6D"/>
      <w:r w:rsidRPr="00350FE8">
        <w:rPr>
          <w:lang w:val="en-US"/>
        </w:rPr>
        <w:t>flood</w:t>
      </w:r>
      <w:bookmarkEnd w:id="1"/>
      <w:r w:rsidRPr="00350FE8">
        <w:rPr>
          <w:lang w:val="en-US"/>
        </w:rPr>
        <w:t xml:space="preserve"> maps chang</w:t>
      </w:r>
      <w:r w:rsidR="002564FD">
        <w:rPr>
          <w:lang w:val="en-US"/>
        </w:rPr>
        <w:t>e</w:t>
      </w:r>
      <w:r w:rsidRPr="00350FE8">
        <w:rPr>
          <w:lang w:val="en-US"/>
        </w:rPr>
        <w:t>?</w:t>
      </w:r>
    </w:p>
    <w:p w14:paraId="016CB82C" w14:textId="77777777" w:rsidR="000966E7" w:rsidRDefault="00533DD5" w:rsidP="0079763B">
      <w:pPr>
        <w:pStyle w:val="BodyText"/>
      </w:pPr>
      <w:r w:rsidRPr="00533DD5">
        <w:t>Flood maps are regularly reviewed and updated to reflect new information and changing conditions.</w:t>
      </w:r>
    </w:p>
    <w:p w14:paraId="4572ABF8" w14:textId="77383559" w:rsidR="00533DD5" w:rsidRPr="00533DD5" w:rsidRDefault="000B1A3A" w:rsidP="0079763B">
      <w:pPr>
        <w:pStyle w:val="BodyText"/>
      </w:pPr>
      <w:r>
        <w:t xml:space="preserve">Flood behaviour and risk </w:t>
      </w:r>
      <w:r w:rsidR="00533DD5" w:rsidRPr="00533DD5">
        <w:t>may change because:</w:t>
      </w:r>
    </w:p>
    <w:p w14:paraId="26D95CF9" w14:textId="01EFBF01" w:rsidR="00533DD5" w:rsidRPr="00533DD5" w:rsidRDefault="00533DD5" w:rsidP="00537663">
      <w:pPr>
        <w:pStyle w:val="ListParagraph"/>
        <w:numPr>
          <w:ilvl w:val="0"/>
          <w:numId w:val="35"/>
        </w:numPr>
        <w:tabs>
          <w:tab w:val="clear" w:pos="720"/>
          <w:tab w:val="num" w:pos="284"/>
        </w:tabs>
        <w:spacing w:before="20" w:after="0"/>
        <w:ind w:left="284" w:hanging="284"/>
        <w:contextualSpacing w:val="0"/>
      </w:pPr>
      <w:r w:rsidRPr="00533DD5">
        <w:t xml:space="preserve">new flood studies </w:t>
      </w:r>
      <w:r w:rsidR="4C7ED5CC">
        <w:t>are</w:t>
      </w:r>
      <w:r w:rsidRPr="00533DD5">
        <w:t xml:space="preserve"> completed</w:t>
      </w:r>
    </w:p>
    <w:p w14:paraId="53514C68" w14:textId="20263038" w:rsidR="00533DD5" w:rsidRPr="00533DD5" w:rsidRDefault="4C7ED5CC" w:rsidP="00537663">
      <w:pPr>
        <w:pStyle w:val="ListParagraph"/>
        <w:numPr>
          <w:ilvl w:val="0"/>
          <w:numId w:val="35"/>
        </w:numPr>
        <w:tabs>
          <w:tab w:val="clear" w:pos="720"/>
          <w:tab w:val="num" w:pos="284"/>
        </w:tabs>
        <w:spacing w:before="20" w:after="0"/>
        <w:ind w:left="284" w:hanging="284"/>
        <w:contextualSpacing w:val="0"/>
      </w:pPr>
      <w:r>
        <w:t>significant flood events provide new information</w:t>
      </w:r>
    </w:p>
    <w:p w14:paraId="7289869C" w14:textId="77182837" w:rsidR="00533DD5" w:rsidRPr="00533DD5" w:rsidRDefault="4C7ED5CC" w:rsidP="00537663">
      <w:pPr>
        <w:pStyle w:val="ListParagraph"/>
        <w:numPr>
          <w:ilvl w:val="0"/>
          <w:numId w:val="35"/>
        </w:numPr>
        <w:tabs>
          <w:tab w:val="clear" w:pos="720"/>
          <w:tab w:val="num" w:pos="284"/>
        </w:tabs>
        <w:spacing w:before="20" w:after="0"/>
        <w:ind w:left="284" w:hanging="284"/>
        <w:contextualSpacing w:val="0"/>
      </w:pPr>
      <w:r>
        <w:t>improved flood modelling methods become available</w:t>
      </w:r>
    </w:p>
    <w:p w14:paraId="1A9405D8" w14:textId="57181C93" w:rsidR="00533DD5" w:rsidRPr="00533DD5" w:rsidRDefault="4C7ED5CC" w:rsidP="00537663">
      <w:pPr>
        <w:pStyle w:val="ListParagraph"/>
        <w:numPr>
          <w:ilvl w:val="0"/>
          <w:numId w:val="35"/>
        </w:numPr>
        <w:tabs>
          <w:tab w:val="clear" w:pos="720"/>
          <w:tab w:val="num" w:pos="284"/>
        </w:tabs>
        <w:spacing w:before="20" w:after="0"/>
        <w:ind w:left="284" w:hanging="284"/>
        <w:contextualSpacing w:val="0"/>
      </w:pPr>
      <w:r>
        <w:t>changes in land use and development alter runoff</w:t>
      </w:r>
    </w:p>
    <w:p w14:paraId="647F021B" w14:textId="674C71DE" w:rsidR="00533DD5" w:rsidRPr="00533DD5" w:rsidRDefault="4C7ED5CC" w:rsidP="00537663">
      <w:pPr>
        <w:pStyle w:val="ListParagraph"/>
        <w:numPr>
          <w:ilvl w:val="0"/>
          <w:numId w:val="35"/>
        </w:numPr>
        <w:tabs>
          <w:tab w:val="clear" w:pos="720"/>
          <w:tab w:val="num" w:pos="284"/>
        </w:tabs>
        <w:spacing w:before="20" w:after="0"/>
        <w:ind w:left="284" w:hanging="284"/>
        <w:contextualSpacing w:val="0"/>
      </w:pPr>
      <w:r>
        <w:t>projected changes in rainfall intensity and weather patterns are identified</w:t>
      </w:r>
    </w:p>
    <w:p w14:paraId="5B3C32D1" w14:textId="0EB3036D" w:rsidR="00533DD5" w:rsidRPr="00533DD5" w:rsidRDefault="4C7ED5CC" w:rsidP="00263B30">
      <w:pPr>
        <w:pStyle w:val="ListParagraph"/>
        <w:numPr>
          <w:ilvl w:val="0"/>
          <w:numId w:val="35"/>
        </w:numPr>
        <w:tabs>
          <w:tab w:val="clear" w:pos="720"/>
          <w:tab w:val="num" w:pos="284"/>
        </w:tabs>
        <w:spacing w:before="20" w:after="0"/>
        <w:ind w:left="284" w:hanging="284"/>
        <w:contextualSpacing w:val="0"/>
      </w:pPr>
      <w:r>
        <w:t>updated sea level projections become available</w:t>
      </w:r>
    </w:p>
    <w:p w14:paraId="013A1320" w14:textId="77777777" w:rsidR="00A545EE" w:rsidRDefault="00533DD5" w:rsidP="000172CC">
      <w:pPr>
        <w:pStyle w:val="BodyText"/>
      </w:pPr>
      <w:r w:rsidRPr="00537663">
        <w:t xml:space="preserve">As flood mapping is reviewed and updated, </w:t>
      </w:r>
      <w:r w:rsidR="00204008" w:rsidRPr="00537663">
        <w:t>future-condition mapping may indicate a different level of risk under specified scenarios</w:t>
      </w:r>
      <w:r w:rsidR="00263B30" w:rsidRPr="00537663">
        <w:t>.</w:t>
      </w:r>
    </w:p>
    <w:p w14:paraId="2BFC6714" w14:textId="77777777" w:rsidR="00A545EE" w:rsidRPr="00A545EE" w:rsidRDefault="00A545EE" w:rsidP="00A545EE">
      <w:pPr>
        <w:pStyle w:val="BodyText"/>
      </w:pPr>
      <w:r w:rsidRPr="00A545EE">
        <w:t xml:space="preserve">Flood maps do not create flood risk. They help communities, </w:t>
      </w:r>
      <w:bookmarkStart w:id="2" w:name="_Int_SqRVFRFj"/>
      <w:r w:rsidRPr="00A545EE">
        <w:t>government</w:t>
      </w:r>
      <w:bookmarkEnd w:id="2"/>
      <w:r w:rsidRPr="00A545EE">
        <w:t xml:space="preserve"> and industry better understand, </w:t>
      </w:r>
      <w:bookmarkStart w:id="3" w:name="_Int_TsaG9Jot"/>
      <w:r w:rsidRPr="00A545EE">
        <w:t>communicate</w:t>
      </w:r>
      <w:bookmarkEnd w:id="3"/>
      <w:r w:rsidRPr="00A545EE">
        <w:t xml:space="preserve"> and manage flood risk.</w:t>
      </w:r>
    </w:p>
    <w:p w14:paraId="5A49B90F" w14:textId="45FFCBCB" w:rsidR="00263B30" w:rsidRPr="00E76D40" w:rsidRDefault="000172CC" w:rsidP="000172CC">
      <w:pPr>
        <w:pStyle w:val="BodyText"/>
      </w:pPr>
      <w:r>
        <w:br w:type="column"/>
      </w:r>
      <w:r w:rsidR="00263B30" w:rsidRPr="000172CC">
        <w:rPr>
          <w:rStyle w:val="Heading4Char"/>
        </w:rPr>
        <w:t>Understanding flood risk</w:t>
      </w:r>
    </w:p>
    <w:p w14:paraId="10273505" w14:textId="77777777" w:rsidR="00002541" w:rsidRDefault="25AB83AA" w:rsidP="7F7CDF24">
      <w:pPr>
        <w:pStyle w:val="BodyText"/>
      </w:pPr>
      <w:r>
        <w:t xml:space="preserve">Updated </w:t>
      </w:r>
      <w:r w:rsidR="00002541">
        <w:t xml:space="preserve">flood </w:t>
      </w:r>
      <w:r>
        <w:t>mapping may identify a higher or lower level of flood risk than previously mapped.</w:t>
      </w:r>
    </w:p>
    <w:p w14:paraId="49D35A93" w14:textId="39807577" w:rsidR="25AB83AA" w:rsidRDefault="25AB83AA" w:rsidP="7F7CDF24">
      <w:pPr>
        <w:pStyle w:val="BodyText"/>
      </w:pPr>
      <w:r>
        <w:t>Future-condition mapping may also indicate how risk could change under specified rainfall, sea level and weather scenarios.</w:t>
      </w:r>
    </w:p>
    <w:p w14:paraId="1E90131D" w14:textId="51ADBE14" w:rsidR="00312627" w:rsidRDefault="00263B30" w:rsidP="00312627">
      <w:pPr>
        <w:pStyle w:val="BodyText"/>
        <w:spacing w:before="0"/>
        <w:rPr>
          <w:b/>
          <w:bCs/>
        </w:rPr>
      </w:pPr>
      <w:r w:rsidRPr="57D36C13">
        <w:rPr>
          <w:b/>
          <w:bCs/>
        </w:rPr>
        <w:t>Figure 1: Flood risk</w:t>
      </w:r>
    </w:p>
    <w:p w14:paraId="7D0EE735" w14:textId="77777777" w:rsidR="009F2AAD" w:rsidRDefault="00312627">
      <w:pPr>
        <w:pStyle w:val="BodyText"/>
        <w:spacing w:before="0"/>
        <w:rPr>
          <w:b/>
          <w:bCs/>
        </w:rPr>
      </w:pPr>
      <w:r>
        <w:rPr>
          <w:noProof/>
          <w:lang w:val="en-US"/>
        </w:rPr>
        <w:drawing>
          <wp:inline distT="0" distB="0" distL="0" distR="0" wp14:anchorId="68625D24" wp14:editId="209C2990">
            <wp:extent cx="2864498" cy="2785599"/>
            <wp:effectExtent l="0" t="0" r="0" b="0"/>
            <wp:docPr id="166928845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t="8270" r="50808" b="7150"/>
                    <a:stretch>
                      <a:fillRect/>
                    </a:stretch>
                  </pic:blipFill>
                  <pic:spPr bwMode="auto">
                    <a:xfrm>
                      <a:off x="0" y="0"/>
                      <a:ext cx="2869418" cy="2790383"/>
                    </a:xfrm>
                    <a:prstGeom prst="rect">
                      <a:avLst/>
                    </a:prstGeom>
                    <a:noFill/>
                    <a:ln>
                      <a:noFill/>
                    </a:ln>
                    <a:extLst>
                      <a:ext uri="{53640926-AAD7-44D8-BBD7-CCE9431645EC}">
                        <a14:shadowObscured xmlns:a14="http://schemas.microsoft.com/office/drawing/2010/main"/>
                      </a:ext>
                    </a:extLst>
                  </pic:spPr>
                </pic:pic>
              </a:graphicData>
            </a:graphic>
          </wp:inline>
        </w:drawing>
      </w:r>
    </w:p>
    <w:p w14:paraId="6C4F1F12" w14:textId="212C1701" w:rsidR="00990BE3" w:rsidRPr="00350FE8" w:rsidRDefault="00990BE3" w:rsidP="00350FE8">
      <w:pPr>
        <w:pStyle w:val="BodyText"/>
        <w:spacing w:before="0"/>
        <w:rPr>
          <w:b/>
          <w:bCs/>
        </w:rPr>
        <w:sectPr w:rsidR="00990BE3" w:rsidRPr="00350FE8" w:rsidSect="00350FE8">
          <w:type w:val="continuous"/>
          <w:pgSz w:w="11907" w:h="16839" w:code="9"/>
          <w:pgMar w:top="1418" w:right="851" w:bottom="992" w:left="851" w:header="284" w:footer="284" w:gutter="0"/>
          <w:cols w:num="2" w:space="284"/>
          <w:docGrid w:linePitch="360"/>
        </w:sectPr>
      </w:pPr>
      <w:r>
        <w:rPr>
          <w:noProof/>
          <w:lang w:val="en-US"/>
        </w:rPr>
        <w:drawing>
          <wp:inline distT="0" distB="0" distL="0" distR="0" wp14:anchorId="337B440D" wp14:editId="1AEE7387">
            <wp:extent cx="2864498" cy="2785599"/>
            <wp:effectExtent l="0" t="0" r="0" b="0"/>
            <wp:docPr id="150201382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51083" t="8270" r="-275" b="7150"/>
                    <a:stretch>
                      <a:fillRect/>
                    </a:stretch>
                  </pic:blipFill>
                  <pic:spPr bwMode="auto">
                    <a:xfrm>
                      <a:off x="0" y="0"/>
                      <a:ext cx="2869418" cy="2790383"/>
                    </a:xfrm>
                    <a:prstGeom prst="rect">
                      <a:avLst/>
                    </a:prstGeom>
                    <a:noFill/>
                    <a:ln>
                      <a:noFill/>
                    </a:ln>
                    <a:extLst>
                      <a:ext uri="{53640926-AAD7-44D8-BBD7-CCE9431645EC}">
                        <a14:shadowObscured xmlns:a14="http://schemas.microsoft.com/office/drawing/2010/main"/>
                      </a:ext>
                    </a:extLst>
                  </pic:spPr>
                </pic:pic>
              </a:graphicData>
            </a:graphic>
          </wp:inline>
        </w:drawing>
      </w:r>
    </w:p>
    <w:p w14:paraId="55D75D27" w14:textId="6D3C90B5" w:rsidR="0085524F" w:rsidRPr="00EE6B41" w:rsidRDefault="00D1704B" w:rsidP="0079763B">
      <w:pPr>
        <w:pStyle w:val="Heading4"/>
        <w:spacing w:before="0"/>
        <w:sectPr w:rsidR="0085524F" w:rsidRPr="00EE6B41" w:rsidSect="00694CA4">
          <w:headerReference w:type="even" r:id="rId34"/>
          <w:headerReference w:type="default" r:id="rId35"/>
          <w:headerReference w:type="first" r:id="rId36"/>
          <w:type w:val="continuous"/>
          <w:pgSz w:w="11907" w:h="16839" w:code="9"/>
          <w:pgMar w:top="1418" w:right="851" w:bottom="992" w:left="851" w:header="284" w:footer="284" w:gutter="0"/>
          <w:cols w:num="2" w:space="284"/>
          <w:docGrid w:linePitch="360"/>
        </w:sectPr>
      </w:pPr>
      <w:r w:rsidRPr="002047E7">
        <w:rPr>
          <w:noProof/>
          <w:lang w:val="en-US"/>
        </w:rPr>
        <mc:AlternateContent>
          <mc:Choice Requires="wps">
            <w:drawing>
              <wp:anchor distT="45720" distB="45720" distL="114300" distR="114300" simplePos="0" relativeHeight="251658254" behindDoc="0" locked="0" layoutInCell="1" allowOverlap="1" wp14:anchorId="1E827CEE" wp14:editId="1AA8FB61">
                <wp:simplePos x="0" y="0"/>
                <wp:positionH relativeFrom="margin">
                  <wp:posOffset>3341370</wp:posOffset>
                </wp:positionH>
                <wp:positionV relativeFrom="paragraph">
                  <wp:posOffset>282</wp:posOffset>
                </wp:positionV>
                <wp:extent cx="3214370" cy="3103880"/>
                <wp:effectExtent l="0" t="0" r="5080" b="1270"/>
                <wp:wrapSquare wrapText="bothSides"/>
                <wp:docPr id="340975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4370" cy="3103880"/>
                        </a:xfrm>
                        <a:prstGeom prst="rect">
                          <a:avLst/>
                        </a:prstGeom>
                        <a:solidFill>
                          <a:srgbClr val="FFFFFF"/>
                        </a:solidFill>
                        <a:ln w="9525">
                          <a:noFill/>
                          <a:miter lim="800000"/>
                          <a:headEnd/>
                          <a:tailEnd/>
                        </a:ln>
                      </wps:spPr>
                      <wps:txbx>
                        <w:txbxContent>
                          <w:p w14:paraId="5AF5501C" w14:textId="575AFC97" w:rsidR="003C348F" w:rsidRPr="003C348F" w:rsidRDefault="00683636" w:rsidP="003C348F">
                            <w:pPr>
                              <w:pStyle w:val="BodyText"/>
                              <w:rPr>
                                <w:b/>
                                <w:bCs/>
                                <w:color w:val="201547" w:themeColor="text2"/>
                                <w:sz w:val="24"/>
                                <w:szCs w:val="24"/>
                              </w:rPr>
                            </w:pPr>
                            <w:r>
                              <w:rPr>
                                <w:b/>
                                <w:bCs/>
                                <w:color w:val="201547" w:themeColor="text2"/>
                                <w:sz w:val="24"/>
                                <w:szCs w:val="24"/>
                              </w:rPr>
                              <w:t>R</w:t>
                            </w:r>
                            <w:r w:rsidR="003C348F" w:rsidRPr="003C348F">
                              <w:rPr>
                                <w:b/>
                                <w:bCs/>
                                <w:color w:val="201547" w:themeColor="text2"/>
                                <w:sz w:val="24"/>
                                <w:szCs w:val="24"/>
                              </w:rPr>
                              <w:t>isk</w:t>
                            </w:r>
                            <w:r w:rsidR="00CF54AA">
                              <w:rPr>
                                <w:b/>
                                <w:bCs/>
                                <w:color w:val="201547" w:themeColor="text2"/>
                                <w:sz w:val="24"/>
                                <w:szCs w:val="24"/>
                              </w:rPr>
                              <w:t xml:space="preserve"> management</w:t>
                            </w:r>
                            <w:r w:rsidR="003C348F" w:rsidRPr="003C348F">
                              <w:rPr>
                                <w:b/>
                                <w:bCs/>
                                <w:color w:val="201547" w:themeColor="text2"/>
                                <w:sz w:val="24"/>
                                <w:szCs w:val="24"/>
                              </w:rPr>
                              <w:t xml:space="preserve"> responses </w:t>
                            </w:r>
                          </w:p>
                          <w:p w14:paraId="533AAB9D" w14:textId="694D45BB" w:rsidR="00F7625B" w:rsidRPr="00890067" w:rsidRDefault="00F7625B" w:rsidP="00F7625B">
                            <w:pPr>
                              <w:pStyle w:val="BodyText"/>
                            </w:pPr>
                            <w:r w:rsidRPr="00F7625B">
                              <w:t>Some locations simply aren’t suitable for more homes</w:t>
                            </w:r>
                            <w:r w:rsidR="0065048B">
                              <w:t>.</w:t>
                            </w:r>
                          </w:p>
                          <w:p w14:paraId="7814E43C" w14:textId="17EC182B" w:rsidR="005D77A7" w:rsidRDefault="00CF54AA" w:rsidP="00CF54AA">
                            <w:pPr>
                              <w:pStyle w:val="BodyText"/>
                            </w:pPr>
                            <w:r w:rsidRPr="00CF54AA">
                              <w:t xml:space="preserve">Active consideration of risk responses is essential </w:t>
                            </w:r>
                            <w:r w:rsidR="005B0962" w:rsidRPr="00CF54AA">
                              <w:t xml:space="preserve">to </w:t>
                            </w:r>
                            <w:r w:rsidR="005B0962">
                              <w:t>reduce</w:t>
                            </w:r>
                            <w:r w:rsidR="005D77A7">
                              <w:t xml:space="preserve"> </w:t>
                            </w:r>
                            <w:r w:rsidR="008C4552">
                              <w:t xml:space="preserve">flood </w:t>
                            </w:r>
                            <w:r w:rsidR="005D77A7">
                              <w:t>risk to an acceptable level</w:t>
                            </w:r>
                            <w:r w:rsidR="005B0962">
                              <w:t xml:space="preserve"> including managing residual risk in existing communities</w:t>
                            </w:r>
                            <w:r w:rsidR="005D77A7">
                              <w:t>.</w:t>
                            </w:r>
                          </w:p>
                          <w:p w14:paraId="34AF41BE" w14:textId="77777777" w:rsidR="002A73D6" w:rsidRDefault="002A73D6" w:rsidP="002A73D6">
                            <w:pPr>
                              <w:pStyle w:val="BodyText"/>
                            </w:pPr>
                            <w:r w:rsidRPr="002A73D6">
                              <w:t>Flood risk responses may include:</w:t>
                            </w:r>
                          </w:p>
                          <w:p w14:paraId="7D231650" w14:textId="77777777" w:rsidR="00BC4C3E" w:rsidRPr="002B1BF9" w:rsidRDefault="00BC4C3E" w:rsidP="00BC4C3E">
                            <w:pPr>
                              <w:pStyle w:val="BodyText"/>
                              <w:numPr>
                                <w:ilvl w:val="0"/>
                                <w:numId w:val="38"/>
                              </w:numPr>
                            </w:pPr>
                            <w:r w:rsidRPr="002B1BF9">
                              <w:t>emergency management arrangements</w:t>
                            </w:r>
                          </w:p>
                          <w:p w14:paraId="461BE323" w14:textId="77777777" w:rsidR="00BC4C3E" w:rsidRPr="002B1BF9" w:rsidRDefault="00BC4C3E" w:rsidP="00BC4C3E">
                            <w:pPr>
                              <w:pStyle w:val="BodyText"/>
                              <w:numPr>
                                <w:ilvl w:val="0"/>
                                <w:numId w:val="38"/>
                              </w:numPr>
                            </w:pPr>
                            <w:r>
                              <w:t xml:space="preserve">land use and </w:t>
                            </w:r>
                            <w:r w:rsidRPr="002B1BF9">
                              <w:t>development controls</w:t>
                            </w:r>
                          </w:p>
                          <w:p w14:paraId="36E59B18" w14:textId="140FC86E" w:rsidR="00BC4C3E" w:rsidRPr="002B1BF9" w:rsidRDefault="00BC4C3E" w:rsidP="00BC4C3E">
                            <w:pPr>
                              <w:pStyle w:val="BodyText"/>
                              <w:numPr>
                                <w:ilvl w:val="0"/>
                                <w:numId w:val="38"/>
                              </w:numPr>
                            </w:pPr>
                            <w:r w:rsidRPr="002B1BF9">
                              <w:t>community education and preparedness</w:t>
                            </w:r>
                          </w:p>
                          <w:p w14:paraId="302890FB" w14:textId="385924BF" w:rsidR="002B1BF9" w:rsidRPr="002B1BF9" w:rsidRDefault="002B1BF9" w:rsidP="002B1BF9">
                            <w:pPr>
                              <w:pStyle w:val="BodyText"/>
                              <w:numPr>
                                <w:ilvl w:val="0"/>
                                <w:numId w:val="38"/>
                              </w:numPr>
                            </w:pPr>
                            <w:r w:rsidRPr="002B1BF9">
                              <w:t>flood mitigation infrastructure</w:t>
                            </w:r>
                            <w:r w:rsidR="00BC4C3E">
                              <w:t xml:space="preserve"> (e.g. levees)</w:t>
                            </w:r>
                          </w:p>
                          <w:p w14:paraId="062DA98C" w14:textId="65F66BCF" w:rsidR="00F7625B" w:rsidRPr="00890067" w:rsidRDefault="004350C6" w:rsidP="00655EC2">
                            <w:pPr>
                              <w:pStyle w:val="BodyText"/>
                            </w:pPr>
                            <w:r w:rsidRPr="004350C6">
                              <w:t xml:space="preserve">The most effective approach often involves a combination of responses. This can help reduce flood risks, improve community safety and resilience, and </w:t>
                            </w:r>
                            <w:r w:rsidR="00F7625B">
                              <w:t>suppor</w:t>
                            </w:r>
                            <w:r w:rsidRPr="004350C6">
                              <w:t>t</w:t>
                            </w:r>
                            <w:r w:rsidR="00F7625B">
                              <w:t xml:space="preserve"> appropriate</w:t>
                            </w:r>
                            <w:r w:rsidRPr="004350C6">
                              <w:t xml:space="preserve"> development</w:t>
                            </w:r>
                            <w:r w:rsidR="00F7625B">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27CEE" id="Text Box 2" o:spid="_x0000_s1029" type="#_x0000_t202" style="position:absolute;margin-left:263.1pt;margin-top:0;width:253.1pt;height:244.4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7iEAIAAP4DAAAOAAAAZHJzL2Uyb0RvYy54bWysU9tu2zAMfR+wfxD0vtjOZU2NOEWXLsOA&#10;7gJ0+wBZkmNhsqhJSuzu60vJbhp0b8P0IJAidUQeHm1uhk6Tk3RegaloMcspkYaDUOZQ0Z8/9u/W&#10;lPjAjGAajKzoo/T0Zvv2zaa3pZxDC1pIRxDE+LK3FW1DsGWWed7KjvkZWGkw2IDrWEDXHTLhWI/o&#10;nc7mef4+68EJ64BL7/H0bgzSbcJvGsnDt6bxMhBdUawtpN2lvY57tt2w8uCYbRWfymD/UEXHlMFH&#10;z1B3LDBydOovqE5xBx6aMOPQZdA0isvUA3ZT5K+6eWiZlakXJMfbM03+/8Hyr6cH+92RMHyAAQeY&#10;mvD2HvgvTwzsWmYO8tY56FvJBD5cRMqy3vpyuhqp9qWPIHX/BQQOmR0DJKChcV1kBfskiI4DeDyT&#10;LodAOB4u5sVycYUhjrFFkS/W6zSWjJXP163z4ZOEjkSjog6nmuDZ6d6HWA4rn1Piax60EnuldXLc&#10;od5pR04MFbBPK3XwKk0b0lf0ejVfJWQD8X4SR6cCKlSrrqLrPK5RM5GOj0aklMCUHm2sRJuJn0jJ&#10;SE4Y6oEoMZEX6apBPCJhDkZB4gdCowX3h5IexVhR//vInKREfzZI+nWxXEb1Jme5upqj4y4j9WWE&#10;GY5QFQ2UjOYuJMVHOgzc4nAalWh7qWQqGUWW2Jw+RFTxpZ+yXr7t9gkAAP//AwBQSwMEFAAGAAgA&#10;AAAhACcaGXPeAAAACQEAAA8AAABkcnMvZG93bnJldi54bWxMj0FPg0AUhO8m/ofNM/Fi7CJSipRH&#10;oyYar639AQ92C6TsW8JuC/33bk/2OJnJzDfFZja9OOvRdZYRXhYRCM21VR03CPvfr+cMhPPEinrL&#10;GuGiHWzK+7uCcmUn3urzzjcilLDLCaH1fsildHWrDbmFHTQH72BHQz7IsZFqpCmUm17GUZRKQx2H&#10;hZYG/dnq+rg7GYTDz/S0fJuqb79fbZP0g7pVZS+Ijw/z+xqE17P/D8MVP6BDGZgqe2LlRI+wjNM4&#10;RBHCo6sdvcYJiAohybIMZFnI2wflHwAAAP//AwBQSwECLQAUAAYACAAAACEAtoM4kv4AAADhAQAA&#10;EwAAAAAAAAAAAAAAAAAAAAAAW0NvbnRlbnRfVHlwZXNdLnhtbFBLAQItABQABgAIAAAAIQA4/SH/&#10;1gAAAJQBAAALAAAAAAAAAAAAAAAAAC8BAABfcmVscy8ucmVsc1BLAQItABQABgAIAAAAIQAxtq7i&#10;EAIAAP4DAAAOAAAAAAAAAAAAAAAAAC4CAABkcnMvZTJvRG9jLnhtbFBLAQItABQABgAIAAAAIQAn&#10;Ghlz3gAAAAkBAAAPAAAAAAAAAAAAAAAAAGoEAABkcnMvZG93bnJldi54bWxQSwUGAAAAAAQABADz&#10;AAAAdQUAAAAA&#10;" stroked="f">
                <v:textbox>
                  <w:txbxContent>
                    <w:p w14:paraId="5AF5501C" w14:textId="575AFC97" w:rsidR="003C348F" w:rsidRPr="003C348F" w:rsidRDefault="00683636" w:rsidP="003C348F">
                      <w:pPr>
                        <w:pStyle w:val="BodyText"/>
                        <w:rPr>
                          <w:b/>
                          <w:bCs/>
                          <w:color w:val="201547" w:themeColor="text2"/>
                          <w:sz w:val="24"/>
                          <w:szCs w:val="24"/>
                        </w:rPr>
                      </w:pPr>
                      <w:r>
                        <w:rPr>
                          <w:b/>
                          <w:bCs/>
                          <w:color w:val="201547" w:themeColor="text2"/>
                          <w:sz w:val="24"/>
                          <w:szCs w:val="24"/>
                        </w:rPr>
                        <w:t>R</w:t>
                      </w:r>
                      <w:r w:rsidR="003C348F" w:rsidRPr="003C348F">
                        <w:rPr>
                          <w:b/>
                          <w:bCs/>
                          <w:color w:val="201547" w:themeColor="text2"/>
                          <w:sz w:val="24"/>
                          <w:szCs w:val="24"/>
                        </w:rPr>
                        <w:t>isk</w:t>
                      </w:r>
                      <w:r w:rsidR="00CF54AA">
                        <w:rPr>
                          <w:b/>
                          <w:bCs/>
                          <w:color w:val="201547" w:themeColor="text2"/>
                          <w:sz w:val="24"/>
                          <w:szCs w:val="24"/>
                        </w:rPr>
                        <w:t xml:space="preserve"> management</w:t>
                      </w:r>
                      <w:r w:rsidR="003C348F" w:rsidRPr="003C348F">
                        <w:rPr>
                          <w:b/>
                          <w:bCs/>
                          <w:color w:val="201547" w:themeColor="text2"/>
                          <w:sz w:val="24"/>
                          <w:szCs w:val="24"/>
                        </w:rPr>
                        <w:t xml:space="preserve"> responses </w:t>
                      </w:r>
                    </w:p>
                    <w:p w14:paraId="533AAB9D" w14:textId="694D45BB" w:rsidR="00F7625B" w:rsidRPr="00890067" w:rsidRDefault="00F7625B" w:rsidP="00F7625B">
                      <w:pPr>
                        <w:pStyle w:val="BodyText"/>
                      </w:pPr>
                      <w:r w:rsidRPr="00F7625B">
                        <w:t>Some locations simply aren’t suitable for more homes</w:t>
                      </w:r>
                      <w:r w:rsidR="0065048B">
                        <w:t>.</w:t>
                      </w:r>
                    </w:p>
                    <w:p w14:paraId="7814E43C" w14:textId="17EC182B" w:rsidR="005D77A7" w:rsidRDefault="00CF54AA" w:rsidP="00CF54AA">
                      <w:pPr>
                        <w:pStyle w:val="BodyText"/>
                      </w:pPr>
                      <w:r w:rsidRPr="00CF54AA">
                        <w:t xml:space="preserve">Active consideration of risk responses is essential </w:t>
                      </w:r>
                      <w:r w:rsidR="005B0962" w:rsidRPr="00CF54AA">
                        <w:t xml:space="preserve">to </w:t>
                      </w:r>
                      <w:r w:rsidR="005B0962">
                        <w:t>reduce</w:t>
                      </w:r>
                      <w:r w:rsidR="005D77A7">
                        <w:t xml:space="preserve"> </w:t>
                      </w:r>
                      <w:r w:rsidR="008C4552">
                        <w:t xml:space="preserve">flood </w:t>
                      </w:r>
                      <w:r w:rsidR="005D77A7">
                        <w:t>risk to an acceptable level</w:t>
                      </w:r>
                      <w:r w:rsidR="005B0962">
                        <w:t xml:space="preserve"> including managing residual risk in existing communities</w:t>
                      </w:r>
                      <w:r w:rsidR="005D77A7">
                        <w:t>.</w:t>
                      </w:r>
                    </w:p>
                    <w:p w14:paraId="34AF41BE" w14:textId="77777777" w:rsidR="002A73D6" w:rsidRDefault="002A73D6" w:rsidP="002A73D6">
                      <w:pPr>
                        <w:pStyle w:val="BodyText"/>
                      </w:pPr>
                      <w:r w:rsidRPr="002A73D6">
                        <w:t>Flood risk responses may include:</w:t>
                      </w:r>
                    </w:p>
                    <w:p w14:paraId="7D231650" w14:textId="77777777" w:rsidR="00BC4C3E" w:rsidRPr="002B1BF9" w:rsidRDefault="00BC4C3E" w:rsidP="00BC4C3E">
                      <w:pPr>
                        <w:pStyle w:val="BodyText"/>
                        <w:numPr>
                          <w:ilvl w:val="0"/>
                          <w:numId w:val="38"/>
                        </w:numPr>
                      </w:pPr>
                      <w:r w:rsidRPr="002B1BF9">
                        <w:t>emergency management arrangements</w:t>
                      </w:r>
                    </w:p>
                    <w:p w14:paraId="461BE323" w14:textId="77777777" w:rsidR="00BC4C3E" w:rsidRPr="002B1BF9" w:rsidRDefault="00BC4C3E" w:rsidP="00BC4C3E">
                      <w:pPr>
                        <w:pStyle w:val="BodyText"/>
                        <w:numPr>
                          <w:ilvl w:val="0"/>
                          <w:numId w:val="38"/>
                        </w:numPr>
                      </w:pPr>
                      <w:r>
                        <w:t xml:space="preserve">land use and </w:t>
                      </w:r>
                      <w:r w:rsidRPr="002B1BF9">
                        <w:t>development controls</w:t>
                      </w:r>
                    </w:p>
                    <w:p w14:paraId="36E59B18" w14:textId="140FC86E" w:rsidR="00BC4C3E" w:rsidRPr="002B1BF9" w:rsidRDefault="00BC4C3E" w:rsidP="00BC4C3E">
                      <w:pPr>
                        <w:pStyle w:val="BodyText"/>
                        <w:numPr>
                          <w:ilvl w:val="0"/>
                          <w:numId w:val="38"/>
                        </w:numPr>
                      </w:pPr>
                      <w:r w:rsidRPr="002B1BF9">
                        <w:t>community education and preparedness</w:t>
                      </w:r>
                    </w:p>
                    <w:p w14:paraId="302890FB" w14:textId="385924BF" w:rsidR="002B1BF9" w:rsidRPr="002B1BF9" w:rsidRDefault="002B1BF9" w:rsidP="002B1BF9">
                      <w:pPr>
                        <w:pStyle w:val="BodyText"/>
                        <w:numPr>
                          <w:ilvl w:val="0"/>
                          <w:numId w:val="38"/>
                        </w:numPr>
                      </w:pPr>
                      <w:r w:rsidRPr="002B1BF9">
                        <w:t>flood mitigation infrastructure</w:t>
                      </w:r>
                      <w:r w:rsidR="00BC4C3E">
                        <w:t xml:space="preserve"> (e.g. levees)</w:t>
                      </w:r>
                    </w:p>
                    <w:p w14:paraId="062DA98C" w14:textId="65F66BCF" w:rsidR="00F7625B" w:rsidRPr="00890067" w:rsidRDefault="004350C6" w:rsidP="00655EC2">
                      <w:pPr>
                        <w:pStyle w:val="BodyText"/>
                      </w:pPr>
                      <w:r w:rsidRPr="004350C6">
                        <w:t xml:space="preserve">The most effective approach often involves a combination of responses. This can help reduce flood risks, improve community safety and resilience, and </w:t>
                      </w:r>
                      <w:r w:rsidR="00F7625B">
                        <w:t>suppor</w:t>
                      </w:r>
                      <w:r w:rsidRPr="004350C6">
                        <w:t>t</w:t>
                      </w:r>
                      <w:r w:rsidR="00F7625B">
                        <w:t xml:space="preserve"> appropriate</w:t>
                      </w:r>
                      <w:r w:rsidRPr="004350C6">
                        <w:t xml:space="preserve"> development</w:t>
                      </w:r>
                      <w:r w:rsidR="00F7625B">
                        <w:t>.</w:t>
                      </w:r>
                    </w:p>
                  </w:txbxContent>
                </v:textbox>
                <w10:wrap type="square" anchorx="margin"/>
              </v:shape>
            </w:pict>
          </mc:Fallback>
        </mc:AlternateContent>
      </w:r>
      <w:r w:rsidR="00F01CB2" w:rsidRPr="002047E7">
        <w:rPr>
          <w:noProof/>
          <w:lang w:val="en-US"/>
        </w:rPr>
        <mc:AlternateContent>
          <mc:Choice Requires="wps">
            <w:drawing>
              <wp:anchor distT="45720" distB="45720" distL="114300" distR="114300" simplePos="0" relativeHeight="251658253" behindDoc="0" locked="0" layoutInCell="1" allowOverlap="1" wp14:anchorId="5FD689A7" wp14:editId="1F0E3116">
                <wp:simplePos x="0" y="0"/>
                <wp:positionH relativeFrom="margin">
                  <wp:align>left</wp:align>
                </wp:positionH>
                <wp:positionV relativeFrom="paragraph">
                  <wp:posOffset>2540</wp:posOffset>
                </wp:positionV>
                <wp:extent cx="3232785" cy="299974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785" cy="2999874"/>
                        </a:xfrm>
                        <a:prstGeom prst="rect">
                          <a:avLst/>
                        </a:prstGeom>
                        <a:solidFill>
                          <a:srgbClr val="FFFFFF"/>
                        </a:solidFill>
                        <a:ln w="9525">
                          <a:noFill/>
                          <a:miter lim="800000"/>
                          <a:headEnd/>
                          <a:tailEnd/>
                        </a:ln>
                      </wps:spPr>
                      <wps:txbx>
                        <w:txbxContent>
                          <w:p w14:paraId="24BA7CC9" w14:textId="237E1235" w:rsidR="002047E7" w:rsidRDefault="00B13E40" w:rsidP="002047E7">
                            <w:pPr>
                              <w:pStyle w:val="Heading4"/>
                              <w:spacing w:before="0"/>
                              <w:rPr>
                                <w:lang w:val="en-US"/>
                              </w:rPr>
                            </w:pPr>
                            <w:r>
                              <w:rPr>
                                <w:lang w:val="en-US"/>
                              </w:rPr>
                              <w:t>Flood</w:t>
                            </w:r>
                            <w:r w:rsidR="00C003C7">
                              <w:rPr>
                                <w:lang w:val="en-US"/>
                              </w:rPr>
                              <w:t xml:space="preserve"> risk ratings</w:t>
                            </w:r>
                          </w:p>
                          <w:p w14:paraId="1BFBE1BB" w14:textId="65075C7A" w:rsidR="004659B7" w:rsidRDefault="00D1704B" w:rsidP="004659B7">
                            <w:pPr>
                              <w:pStyle w:val="BodyText"/>
                            </w:pPr>
                            <w:r>
                              <w:t>F</w:t>
                            </w:r>
                            <w:r w:rsidR="004659B7" w:rsidRPr="00F52B55">
                              <w:t>loodplain management authorities</w:t>
                            </w:r>
                            <w:r w:rsidR="0064641E">
                              <w:t xml:space="preserve"> </w:t>
                            </w:r>
                            <w:r w:rsidR="008A084D">
                              <w:t>(</w:t>
                            </w:r>
                            <w:r w:rsidR="0064641E">
                              <w:t>including regional Catchment Management Authorities and Melbourne Water</w:t>
                            </w:r>
                            <w:r w:rsidR="008A084D">
                              <w:t>) prepar</w:t>
                            </w:r>
                            <w:r>
                              <w:t>e</w:t>
                            </w:r>
                            <w:r w:rsidR="008A084D">
                              <w:t xml:space="preserve"> </w:t>
                            </w:r>
                            <w:r>
                              <w:t xml:space="preserve">flood risk ratings as part of </w:t>
                            </w:r>
                            <w:r w:rsidR="008A084D">
                              <w:t xml:space="preserve">new flood </w:t>
                            </w:r>
                            <w:r w:rsidR="00B813DF">
                              <w:t>mapping</w:t>
                            </w:r>
                            <w:r w:rsidR="008A084D">
                              <w:t>.</w:t>
                            </w:r>
                          </w:p>
                          <w:p w14:paraId="4074FBD6" w14:textId="591BE791" w:rsidR="008F4F41" w:rsidRPr="008F4F41" w:rsidRDefault="008F4F41" w:rsidP="008F4F41">
                            <w:pPr>
                              <w:pStyle w:val="BodyText"/>
                            </w:pPr>
                            <w:r w:rsidRPr="00770342">
                              <w:t xml:space="preserve">Flood ratings categorise risk from low to extreme based on the potential </w:t>
                            </w:r>
                            <w:r w:rsidR="00506417">
                              <w:t xml:space="preserve">consequences </w:t>
                            </w:r>
                            <w:r w:rsidRPr="00770342">
                              <w:t>of</w:t>
                            </w:r>
                            <w:r w:rsidR="00506417">
                              <w:t xml:space="preserve"> an event </w:t>
                            </w:r>
                            <w:r w:rsidRPr="00770342">
                              <w:t>on people, property and infrastructure.</w:t>
                            </w:r>
                          </w:p>
                          <w:p w14:paraId="1A63E61E" w14:textId="74E4734A" w:rsidR="00FA665D" w:rsidRPr="00B55018" w:rsidRDefault="00AC7831" w:rsidP="00FA665D">
                            <w:pPr>
                              <w:pStyle w:val="BodyText"/>
                            </w:pPr>
                            <w:r>
                              <w:t>Each</w:t>
                            </w:r>
                            <w:r w:rsidRPr="00B55018">
                              <w:t xml:space="preserve"> </w:t>
                            </w:r>
                            <w:r w:rsidR="00C6458F">
                              <w:t xml:space="preserve">rating </w:t>
                            </w:r>
                            <w:r w:rsidR="00FA665D" w:rsidRPr="00B55018">
                              <w:t>consider</w:t>
                            </w:r>
                            <w:r w:rsidR="00683636">
                              <w:t>s</w:t>
                            </w:r>
                            <w:r w:rsidR="00FA665D">
                              <w:t xml:space="preserve"> </w:t>
                            </w:r>
                            <w:r w:rsidR="00FA665D" w:rsidRPr="00B55018">
                              <w:t>flood hazard</w:t>
                            </w:r>
                            <w:r w:rsidR="00FA665D">
                              <w:t xml:space="preserve">, </w:t>
                            </w:r>
                            <w:r w:rsidR="00FA665D" w:rsidRPr="00B55018">
                              <w:t>exposure of people and assets</w:t>
                            </w:r>
                            <w:r w:rsidR="00FA665D">
                              <w:t xml:space="preserve">, </w:t>
                            </w:r>
                            <w:r w:rsidR="00FA665D" w:rsidRPr="00B55018">
                              <w:t>vulnerability to flooding</w:t>
                            </w:r>
                            <w:r>
                              <w:t xml:space="preserve"> and </w:t>
                            </w:r>
                            <w:r w:rsidR="00FA665D" w:rsidRPr="00B55018">
                              <w:t>potential consequences of flooding.</w:t>
                            </w:r>
                          </w:p>
                          <w:p w14:paraId="1498F2EB" w14:textId="77777777" w:rsidR="00F92F1A" w:rsidRPr="00FD1E5E" w:rsidRDefault="00F92F1A" w:rsidP="00F92F1A">
                            <w:pPr>
                              <w:pStyle w:val="BodyText"/>
                            </w:pPr>
                            <w:r w:rsidRPr="00FD1E5E">
                              <w:t xml:space="preserve">Clear and consistent </w:t>
                            </w:r>
                            <w:r>
                              <w:t xml:space="preserve">flood information </w:t>
                            </w:r>
                            <w:r w:rsidRPr="00FD1E5E">
                              <w:t>helps support safer planning outcomes and improves community understanding of potential impacts.</w:t>
                            </w:r>
                          </w:p>
                          <w:p w14:paraId="2E100324" w14:textId="655E2A2D" w:rsidR="002047E7" w:rsidRPr="00ED52A5" w:rsidRDefault="002047E7" w:rsidP="00350FE8">
                            <w:pPr>
                              <w:pStyle w:val="Body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689A7" id="_x0000_s1030" type="#_x0000_t202" style="position:absolute;margin-left:0;margin-top:.2pt;width:254.55pt;height:236.2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zu2EwIAAP4DAAAOAAAAZHJzL2Uyb0RvYy54bWysU9uO2yAQfa/Uf0C8N068SZNYcVbbbFNV&#10;2l6kbT8AYxyjAkOBxE6/fgfszabtW1Ue0AwzHGbOHDa3vVbkJJyXYEo6m0wpEYZDLc2hpN+/7d+s&#10;KPGBmZopMKKkZ+Hp7fb1q01nC5FDC6oWjiCI8UVnS9qGYIss87wVmvkJWGEw2IDTLKDrDlntWIfo&#10;WmX5dPo268DV1gEX3uPp/RCk24TfNIKHL03jRSCqpFhbSLtLexX3bLthxcEx20o+lsH+oQrNpMFH&#10;L1D3LDBydPIvKC25Aw9NmHDQGTSN5CL1gN3Mpn9089gyK1IvSI63F5r8/4Pln0+P9qsjoX8HPQ4w&#10;NeHtA/AfnhjYtcwcxJ1z0LWC1fjwLFKWddYX49VItS98BKm6T1DjkNkxQALqG6cjK9gnQXQcwPlC&#10;uugD4Xh4k9/ky9WCEo6xfL1er5bz9AYrnq9b58MHAZpEo6QOp5rg2enBh1gOK55T4mselKz3Uqnk&#10;uEO1U46cGCpgn9aI/luaMqQr6XqRLxKygXg/iUPLgApVUpd0NY1r0Eyk472pU0pgUg02VqLMyE+k&#10;ZCAn9FVPZI3txbuRrgrqMxLmYBAkfiA0WnC/KOlQjCX1P4/MCUrUR4Okr2fzeVRvcuaLZY6Ou45U&#10;1xFmOEKVNFAymLuQFB/pMHCHw2lkou2lkrFkFFlic/wQUcXXfsp6+bbbJwAAAP//AwBQSwMEFAAG&#10;AAgAAAAhAO4cVGfaAAAABQEAAA8AAABkcnMvZG93bnJldi54bWxMj81OwzAQhO9IvIO1SFwQdVq1&#10;TRviVIAE4tqfB9jE2yQiXkex26Rvz3KC42hGM9/ku8l16kpDaD0bmM8SUMSVty3XBk7Hj+cNqBCR&#10;LXaeycCNAuyK+7scM+tH3tP1EGslJRwyNNDE2Gdah6ohh2Hme2Lxzn5wGEUOtbYDjlLuOr1IkrV2&#10;2LIsNNjTe0PV9+HiDJy/xqfVdiw/4yndL9dv2Kalvxnz+DC9voCKNMW/MPziCzoUwlT6C9ugOgNy&#10;JBpYghJvlWznoEqR6WIDusj1f/riBwAA//8DAFBLAQItABQABgAIAAAAIQC2gziS/gAAAOEBAAAT&#10;AAAAAAAAAAAAAAAAAAAAAABbQ29udGVudF9UeXBlc10ueG1sUEsBAi0AFAAGAAgAAAAhADj9If/W&#10;AAAAlAEAAAsAAAAAAAAAAAAAAAAALwEAAF9yZWxzLy5yZWxzUEsBAi0AFAAGAAgAAAAhAMuTO7YT&#10;AgAA/gMAAA4AAAAAAAAAAAAAAAAALgIAAGRycy9lMm9Eb2MueG1sUEsBAi0AFAAGAAgAAAAhAO4c&#10;VGfaAAAABQEAAA8AAAAAAAAAAAAAAAAAbQQAAGRycy9kb3ducmV2LnhtbFBLBQYAAAAABAAEAPMA&#10;AAB0BQAAAAA=&#10;" stroked="f">
                <v:textbox>
                  <w:txbxContent>
                    <w:p w14:paraId="24BA7CC9" w14:textId="237E1235" w:rsidR="002047E7" w:rsidRDefault="00B13E40" w:rsidP="002047E7">
                      <w:pPr>
                        <w:pStyle w:val="Heading4"/>
                        <w:spacing w:before="0"/>
                        <w:rPr>
                          <w:lang w:val="en-US"/>
                        </w:rPr>
                      </w:pPr>
                      <w:r>
                        <w:rPr>
                          <w:lang w:val="en-US"/>
                        </w:rPr>
                        <w:t>Flood</w:t>
                      </w:r>
                      <w:r w:rsidR="00C003C7">
                        <w:rPr>
                          <w:lang w:val="en-US"/>
                        </w:rPr>
                        <w:t xml:space="preserve"> risk ratings</w:t>
                      </w:r>
                    </w:p>
                    <w:p w14:paraId="1BFBE1BB" w14:textId="65075C7A" w:rsidR="004659B7" w:rsidRDefault="00D1704B" w:rsidP="004659B7">
                      <w:pPr>
                        <w:pStyle w:val="BodyText"/>
                      </w:pPr>
                      <w:r>
                        <w:t>F</w:t>
                      </w:r>
                      <w:r w:rsidR="004659B7" w:rsidRPr="00F52B55">
                        <w:t>loodplain management authorities</w:t>
                      </w:r>
                      <w:r w:rsidR="0064641E">
                        <w:t xml:space="preserve"> </w:t>
                      </w:r>
                      <w:r w:rsidR="008A084D">
                        <w:t>(</w:t>
                      </w:r>
                      <w:r w:rsidR="0064641E">
                        <w:t>including regional Catchment Management Authorities and Melbourne Water</w:t>
                      </w:r>
                      <w:r w:rsidR="008A084D">
                        <w:t>) prepar</w:t>
                      </w:r>
                      <w:r>
                        <w:t>e</w:t>
                      </w:r>
                      <w:r w:rsidR="008A084D">
                        <w:t xml:space="preserve"> </w:t>
                      </w:r>
                      <w:r>
                        <w:t xml:space="preserve">flood risk ratings as part of </w:t>
                      </w:r>
                      <w:r w:rsidR="008A084D">
                        <w:t xml:space="preserve">new flood </w:t>
                      </w:r>
                      <w:r w:rsidR="00B813DF">
                        <w:t>mapping</w:t>
                      </w:r>
                      <w:r w:rsidR="008A084D">
                        <w:t>.</w:t>
                      </w:r>
                    </w:p>
                    <w:p w14:paraId="4074FBD6" w14:textId="591BE791" w:rsidR="008F4F41" w:rsidRPr="008F4F41" w:rsidRDefault="008F4F41" w:rsidP="008F4F41">
                      <w:pPr>
                        <w:pStyle w:val="BodyText"/>
                      </w:pPr>
                      <w:r w:rsidRPr="00770342">
                        <w:t xml:space="preserve">Flood ratings categorise risk from low to extreme based on the potential </w:t>
                      </w:r>
                      <w:r w:rsidR="00506417">
                        <w:t xml:space="preserve">consequences </w:t>
                      </w:r>
                      <w:r w:rsidRPr="00770342">
                        <w:t>of</w:t>
                      </w:r>
                      <w:r w:rsidR="00506417">
                        <w:t xml:space="preserve"> an event </w:t>
                      </w:r>
                      <w:r w:rsidRPr="00770342">
                        <w:t>on people, property and infrastructure.</w:t>
                      </w:r>
                    </w:p>
                    <w:p w14:paraId="1A63E61E" w14:textId="74E4734A" w:rsidR="00FA665D" w:rsidRPr="00B55018" w:rsidRDefault="00AC7831" w:rsidP="00FA665D">
                      <w:pPr>
                        <w:pStyle w:val="BodyText"/>
                      </w:pPr>
                      <w:r>
                        <w:t>Each</w:t>
                      </w:r>
                      <w:r w:rsidRPr="00B55018">
                        <w:t xml:space="preserve"> </w:t>
                      </w:r>
                      <w:r w:rsidR="00C6458F">
                        <w:t xml:space="preserve">rating </w:t>
                      </w:r>
                      <w:r w:rsidR="00FA665D" w:rsidRPr="00B55018">
                        <w:t>consider</w:t>
                      </w:r>
                      <w:r w:rsidR="00683636">
                        <w:t>s</w:t>
                      </w:r>
                      <w:r w:rsidR="00FA665D">
                        <w:t xml:space="preserve"> </w:t>
                      </w:r>
                      <w:r w:rsidR="00FA665D" w:rsidRPr="00B55018">
                        <w:t>flood hazard</w:t>
                      </w:r>
                      <w:r w:rsidR="00FA665D">
                        <w:t xml:space="preserve">, </w:t>
                      </w:r>
                      <w:r w:rsidR="00FA665D" w:rsidRPr="00B55018">
                        <w:t>exposure of people and assets</w:t>
                      </w:r>
                      <w:r w:rsidR="00FA665D">
                        <w:t xml:space="preserve">, </w:t>
                      </w:r>
                      <w:r w:rsidR="00FA665D" w:rsidRPr="00B55018">
                        <w:t>vulnerability to flooding</w:t>
                      </w:r>
                      <w:r>
                        <w:t xml:space="preserve"> and </w:t>
                      </w:r>
                      <w:r w:rsidR="00FA665D" w:rsidRPr="00B55018">
                        <w:t>potential consequences of flooding.</w:t>
                      </w:r>
                    </w:p>
                    <w:p w14:paraId="1498F2EB" w14:textId="77777777" w:rsidR="00F92F1A" w:rsidRPr="00FD1E5E" w:rsidRDefault="00F92F1A" w:rsidP="00F92F1A">
                      <w:pPr>
                        <w:pStyle w:val="BodyText"/>
                      </w:pPr>
                      <w:r w:rsidRPr="00FD1E5E">
                        <w:t xml:space="preserve">Clear and consistent </w:t>
                      </w:r>
                      <w:r>
                        <w:t xml:space="preserve">flood information </w:t>
                      </w:r>
                      <w:r w:rsidRPr="00FD1E5E">
                        <w:t>helps support safer planning outcomes and improves community understanding of potential impacts.</w:t>
                      </w:r>
                    </w:p>
                    <w:p w14:paraId="2E100324" w14:textId="655E2A2D" w:rsidR="002047E7" w:rsidRPr="00ED52A5" w:rsidRDefault="002047E7" w:rsidP="00350FE8">
                      <w:pPr>
                        <w:pStyle w:val="BodyText"/>
                      </w:pPr>
                    </w:p>
                  </w:txbxContent>
                </v:textbox>
                <w10:wrap type="square" anchorx="margin"/>
              </v:shape>
            </w:pict>
          </mc:Fallback>
        </mc:AlternateContent>
      </w:r>
      <w:r w:rsidR="714B392A" w:rsidRPr="2A8DC302">
        <w:rPr>
          <w:sz w:val="20"/>
          <w:szCs w:val="20"/>
          <w:lang w:val="en-US"/>
        </w:rPr>
        <w:t xml:space="preserve">Figure 2: Flood risk ratings </w:t>
      </w:r>
    </w:p>
    <w:p w14:paraId="68B56743" w14:textId="49C80126" w:rsidR="00607E78" w:rsidRPr="00EE6B41" w:rsidRDefault="00EE6B41" w:rsidP="00EE6B41">
      <w:pPr>
        <w:pStyle w:val="Heading4"/>
        <w:spacing w:before="0"/>
        <w:rPr>
          <w:lang w:val="en-US"/>
        </w:rPr>
      </w:pPr>
      <w:r>
        <w:rPr>
          <w:noProof/>
          <w:lang w:val="en-US"/>
        </w:rPr>
        <w:drawing>
          <wp:inline distT="0" distB="0" distL="0" distR="0" wp14:anchorId="197FB8BD" wp14:editId="23CC03BA">
            <wp:extent cx="6477000" cy="2209800"/>
            <wp:effectExtent l="0" t="0" r="0" b="0"/>
            <wp:docPr id="174314284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7000" cy="2209800"/>
                    </a:xfrm>
                    <a:prstGeom prst="rect">
                      <a:avLst/>
                    </a:prstGeom>
                    <a:noFill/>
                    <a:ln>
                      <a:noFill/>
                    </a:ln>
                  </pic:spPr>
                </pic:pic>
              </a:graphicData>
            </a:graphic>
          </wp:inline>
        </w:drawing>
      </w:r>
    </w:p>
    <w:tbl>
      <w:tblPr>
        <w:tblpPr w:leftFromText="180" w:rightFromText="180" w:vertAnchor="text" w:tblpY="198"/>
        <w:tblW w:w="10138" w:type="dxa"/>
        <w:tblCellMar>
          <w:left w:w="0" w:type="dxa"/>
          <w:right w:w="0" w:type="dxa"/>
        </w:tblCellMar>
        <w:tblLook w:val="04A0" w:firstRow="1" w:lastRow="0" w:firstColumn="1" w:lastColumn="0" w:noHBand="0" w:noVBand="1"/>
      </w:tblPr>
      <w:tblGrid>
        <w:gridCol w:w="1701"/>
        <w:gridCol w:w="1701"/>
        <w:gridCol w:w="1701"/>
        <w:gridCol w:w="1843"/>
        <w:gridCol w:w="1701"/>
        <w:gridCol w:w="1491"/>
      </w:tblGrid>
      <w:tr w:rsidR="0085524F" w:rsidRPr="0070795D" w14:paraId="79049A48" w14:textId="77777777" w:rsidTr="00770342">
        <w:trPr>
          <w:trHeight w:val="47"/>
        </w:trPr>
        <w:tc>
          <w:tcPr>
            <w:tcW w:w="1701" w:type="dxa"/>
            <w:tcBorders>
              <w:right w:val="nil"/>
            </w:tcBorders>
            <w:shd w:val="clear" w:color="auto" w:fill="F2F2F2" w:themeFill="background1" w:themeFillShade="F2"/>
            <w:tcMar>
              <w:top w:w="15" w:type="dxa"/>
              <w:left w:w="85" w:type="dxa"/>
              <w:bottom w:w="0" w:type="dxa"/>
              <w:right w:w="85" w:type="dxa"/>
            </w:tcMar>
            <w:vAlign w:val="center"/>
          </w:tcPr>
          <w:p w14:paraId="0B0BBD66" w14:textId="2BA25B92" w:rsidR="0085524F" w:rsidRPr="0070795D" w:rsidRDefault="0085524F" w:rsidP="00115D80">
            <w:pPr>
              <w:pStyle w:val="BodyText"/>
              <w:rPr>
                <w:b/>
              </w:rPr>
            </w:pPr>
            <w:r w:rsidRPr="0070795D">
              <w:rPr>
                <w:b/>
              </w:rPr>
              <w:t>Typical flood depth (metres)</w:t>
            </w:r>
          </w:p>
        </w:tc>
        <w:tc>
          <w:tcPr>
            <w:tcW w:w="1701" w:type="dxa"/>
            <w:tcBorders>
              <w:top w:val="single" w:sz="8" w:space="0" w:color="E9E9E9"/>
              <w:left w:val="nil"/>
              <w:bottom w:val="single" w:sz="8" w:space="0" w:color="E9E9E9"/>
              <w:right w:val="single" w:sz="4" w:space="0" w:color="D9D9D9" w:themeColor="background1" w:themeShade="D9"/>
            </w:tcBorders>
            <w:tcMar>
              <w:top w:w="15" w:type="dxa"/>
              <w:left w:w="85" w:type="dxa"/>
              <w:bottom w:w="0" w:type="dxa"/>
              <w:right w:w="85" w:type="dxa"/>
            </w:tcMar>
            <w:vAlign w:val="center"/>
          </w:tcPr>
          <w:p w14:paraId="5C6DB6C3" w14:textId="21C59B9E" w:rsidR="0085524F" w:rsidRPr="0070795D" w:rsidRDefault="0085524F" w:rsidP="00770342">
            <w:pPr>
              <w:pStyle w:val="BodyText"/>
              <w:jc w:val="center"/>
            </w:pPr>
            <w:r w:rsidRPr="0070795D">
              <w:t>0 - 0.15</w:t>
            </w:r>
          </w:p>
        </w:tc>
        <w:tc>
          <w:tcPr>
            <w:tcW w:w="1701"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78094654" w14:textId="2EBDC10C" w:rsidR="0085524F" w:rsidRPr="0070795D" w:rsidRDefault="0085524F" w:rsidP="00770342">
            <w:pPr>
              <w:pStyle w:val="BodyText"/>
              <w:jc w:val="center"/>
            </w:pPr>
            <w:r w:rsidRPr="0070795D">
              <w:t>0.15 - 0.5</w:t>
            </w:r>
          </w:p>
        </w:tc>
        <w:tc>
          <w:tcPr>
            <w:tcW w:w="1843"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16DC0F83" w14:textId="40A3BBB5" w:rsidR="0085524F" w:rsidRPr="0070795D" w:rsidRDefault="0085524F" w:rsidP="00770342">
            <w:pPr>
              <w:pStyle w:val="BodyText"/>
              <w:jc w:val="center"/>
            </w:pPr>
            <w:r w:rsidRPr="0070795D">
              <w:t>0.5 - 1.2</w:t>
            </w:r>
          </w:p>
        </w:tc>
        <w:tc>
          <w:tcPr>
            <w:tcW w:w="1701"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134BC5F8" w14:textId="121544D0" w:rsidR="0085524F" w:rsidRPr="0070795D" w:rsidRDefault="0085524F" w:rsidP="00770342">
            <w:pPr>
              <w:pStyle w:val="BodyText"/>
              <w:jc w:val="center"/>
            </w:pPr>
            <w:r w:rsidRPr="0070795D">
              <w:t>1.2</w:t>
            </w:r>
            <w:r w:rsidR="00C461F6">
              <w:t xml:space="preserve"> - 2</w:t>
            </w:r>
            <w:r w:rsidR="37E72EE3">
              <w:t>.0</w:t>
            </w:r>
          </w:p>
        </w:tc>
        <w:tc>
          <w:tcPr>
            <w:tcW w:w="1491" w:type="dxa"/>
            <w:tcBorders>
              <w:top w:val="single" w:sz="8" w:space="0" w:color="E9E9E9"/>
              <w:left w:val="single" w:sz="4" w:space="0" w:color="D9D9D9" w:themeColor="background1" w:themeShade="D9"/>
              <w:bottom w:val="single" w:sz="8" w:space="0" w:color="E9E9E9"/>
              <w:right w:val="nil"/>
            </w:tcBorders>
            <w:tcMar>
              <w:top w:w="15" w:type="dxa"/>
              <w:left w:w="85" w:type="dxa"/>
              <w:bottom w:w="0" w:type="dxa"/>
              <w:right w:w="85" w:type="dxa"/>
            </w:tcMar>
            <w:vAlign w:val="center"/>
          </w:tcPr>
          <w:p w14:paraId="5CF68978" w14:textId="0C1119DB" w:rsidR="0085524F" w:rsidRPr="0070795D" w:rsidRDefault="0085524F" w:rsidP="00770342">
            <w:pPr>
              <w:pStyle w:val="BodyText"/>
              <w:jc w:val="center"/>
            </w:pPr>
            <w:r w:rsidRPr="0070795D">
              <w:t>2.0 +</w:t>
            </w:r>
          </w:p>
        </w:tc>
      </w:tr>
      <w:tr w:rsidR="0085524F" w:rsidRPr="0070795D" w14:paraId="1B59BFAB" w14:textId="77777777" w:rsidTr="00770342">
        <w:trPr>
          <w:trHeight w:val="191"/>
        </w:trPr>
        <w:tc>
          <w:tcPr>
            <w:tcW w:w="1701" w:type="dxa"/>
            <w:tcBorders>
              <w:right w:val="nil"/>
            </w:tcBorders>
            <w:shd w:val="clear" w:color="auto" w:fill="F2F2F2" w:themeFill="background1" w:themeFillShade="F2"/>
            <w:tcMar>
              <w:top w:w="15" w:type="dxa"/>
              <w:left w:w="85" w:type="dxa"/>
              <w:bottom w:w="0" w:type="dxa"/>
              <w:right w:w="85" w:type="dxa"/>
            </w:tcMar>
            <w:vAlign w:val="center"/>
          </w:tcPr>
          <w:p w14:paraId="409FA641" w14:textId="41AB059F" w:rsidR="0085524F" w:rsidRPr="0070795D" w:rsidRDefault="0085524F" w:rsidP="00115D80">
            <w:pPr>
              <w:pStyle w:val="BodyText"/>
              <w:rPr>
                <w:b/>
              </w:rPr>
            </w:pPr>
            <w:r w:rsidRPr="0070795D">
              <w:rPr>
                <w:b/>
              </w:rPr>
              <w:t>Typical hazard description</w:t>
            </w:r>
          </w:p>
        </w:tc>
        <w:tc>
          <w:tcPr>
            <w:tcW w:w="1701" w:type="dxa"/>
            <w:tcBorders>
              <w:top w:val="single" w:sz="8" w:space="0" w:color="E9E9E9"/>
              <w:left w:val="nil"/>
              <w:bottom w:val="single" w:sz="8" w:space="0" w:color="E9E9E9"/>
              <w:right w:val="single" w:sz="4" w:space="0" w:color="D9D9D9" w:themeColor="background1" w:themeShade="D9"/>
            </w:tcBorders>
            <w:tcMar>
              <w:top w:w="15" w:type="dxa"/>
              <w:left w:w="85" w:type="dxa"/>
              <w:bottom w:w="0" w:type="dxa"/>
              <w:right w:w="85" w:type="dxa"/>
            </w:tcMar>
            <w:vAlign w:val="center"/>
          </w:tcPr>
          <w:p w14:paraId="47B9ED3F" w14:textId="77777777" w:rsidR="0085524F" w:rsidRPr="0070795D" w:rsidRDefault="0085524F" w:rsidP="00115D80">
            <w:pPr>
              <w:pStyle w:val="BodyText"/>
            </w:pPr>
            <w:r w:rsidRPr="0070795D">
              <w:t>Shallow and slow-moving</w:t>
            </w:r>
          </w:p>
        </w:tc>
        <w:tc>
          <w:tcPr>
            <w:tcW w:w="1701"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42CF575D" w14:textId="0973A5BD" w:rsidR="0085524F" w:rsidRPr="0070795D" w:rsidRDefault="0085524F" w:rsidP="00115D80">
            <w:pPr>
              <w:pStyle w:val="BodyText"/>
            </w:pPr>
            <w:r w:rsidRPr="0070795D">
              <w:t>Unsafe for small vehicles</w:t>
            </w:r>
          </w:p>
        </w:tc>
        <w:tc>
          <w:tcPr>
            <w:tcW w:w="1843"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27575D95" w14:textId="77777777" w:rsidR="0085524F" w:rsidRPr="0070795D" w:rsidRDefault="0085524F" w:rsidP="00115D80">
            <w:pPr>
              <w:pStyle w:val="BodyText"/>
            </w:pPr>
            <w:r w:rsidRPr="0070795D">
              <w:t>Unsafe for children and the elderly, and all vehicles</w:t>
            </w:r>
          </w:p>
        </w:tc>
        <w:tc>
          <w:tcPr>
            <w:tcW w:w="1701" w:type="dxa"/>
            <w:tcBorders>
              <w:top w:val="single" w:sz="8" w:space="0" w:color="E9E9E9"/>
              <w:left w:val="single" w:sz="4" w:space="0" w:color="D9D9D9" w:themeColor="background1" w:themeShade="D9"/>
              <w:bottom w:val="single" w:sz="8" w:space="0" w:color="E9E9E9"/>
              <w:right w:val="single" w:sz="4" w:space="0" w:color="D9D9D9" w:themeColor="background1" w:themeShade="D9"/>
            </w:tcBorders>
            <w:tcMar>
              <w:top w:w="15" w:type="dxa"/>
              <w:left w:w="85" w:type="dxa"/>
              <w:bottom w:w="0" w:type="dxa"/>
              <w:right w:w="85" w:type="dxa"/>
            </w:tcMar>
            <w:vAlign w:val="center"/>
          </w:tcPr>
          <w:p w14:paraId="5DADEBF4" w14:textId="77777777" w:rsidR="0085524F" w:rsidRPr="0070795D" w:rsidRDefault="0085524F" w:rsidP="00115D80">
            <w:pPr>
              <w:pStyle w:val="BodyText"/>
            </w:pPr>
            <w:r w:rsidRPr="0070795D">
              <w:t>Unsafe for all people and all vehicles</w:t>
            </w:r>
          </w:p>
        </w:tc>
        <w:tc>
          <w:tcPr>
            <w:tcW w:w="1491" w:type="dxa"/>
            <w:tcBorders>
              <w:top w:val="single" w:sz="8" w:space="0" w:color="E9E9E9"/>
              <w:left w:val="single" w:sz="4" w:space="0" w:color="D9D9D9" w:themeColor="background1" w:themeShade="D9"/>
              <w:bottom w:val="single" w:sz="8" w:space="0" w:color="E9E9E9"/>
              <w:right w:val="nil"/>
            </w:tcBorders>
            <w:tcMar>
              <w:top w:w="15" w:type="dxa"/>
              <w:left w:w="85" w:type="dxa"/>
              <w:bottom w:w="0" w:type="dxa"/>
              <w:right w:w="85" w:type="dxa"/>
            </w:tcMar>
            <w:vAlign w:val="center"/>
          </w:tcPr>
          <w:p w14:paraId="7441CCC6" w14:textId="77777777" w:rsidR="0085524F" w:rsidRPr="0070795D" w:rsidRDefault="0085524F" w:rsidP="00115D80">
            <w:pPr>
              <w:pStyle w:val="BodyText"/>
            </w:pPr>
            <w:r w:rsidRPr="0070795D">
              <w:t>All buildings vulnerable to damage or failure</w:t>
            </w:r>
          </w:p>
        </w:tc>
      </w:tr>
      <w:tr w:rsidR="0085524F" w:rsidRPr="0070795D" w14:paraId="24512211" w14:textId="77777777" w:rsidTr="00770342">
        <w:trPr>
          <w:trHeight w:val="191"/>
        </w:trPr>
        <w:tc>
          <w:tcPr>
            <w:tcW w:w="1701" w:type="dxa"/>
            <w:tcBorders>
              <w:right w:val="nil"/>
            </w:tcBorders>
            <w:shd w:val="clear" w:color="auto" w:fill="F2F2F2" w:themeFill="background1" w:themeFillShade="F2"/>
            <w:tcMar>
              <w:top w:w="15" w:type="dxa"/>
              <w:left w:w="85" w:type="dxa"/>
              <w:bottom w:w="0" w:type="dxa"/>
              <w:right w:w="85" w:type="dxa"/>
            </w:tcMar>
            <w:vAlign w:val="center"/>
          </w:tcPr>
          <w:p w14:paraId="5D1AC0C9" w14:textId="77777777" w:rsidR="0085524F" w:rsidRPr="0070795D" w:rsidRDefault="0085524F" w:rsidP="00115D80">
            <w:pPr>
              <w:pStyle w:val="BodyText"/>
              <w:rPr>
                <w:b/>
              </w:rPr>
            </w:pPr>
            <w:r w:rsidRPr="0070795D">
              <w:rPr>
                <w:b/>
              </w:rPr>
              <w:t>Development response</w:t>
            </w:r>
          </w:p>
        </w:tc>
        <w:tc>
          <w:tcPr>
            <w:tcW w:w="1701" w:type="dxa"/>
            <w:tcBorders>
              <w:top w:val="single" w:sz="8" w:space="0" w:color="E9E9E9"/>
              <w:left w:val="nil"/>
              <w:right w:val="single" w:sz="4" w:space="0" w:color="D9D9D9" w:themeColor="background1" w:themeShade="D9"/>
            </w:tcBorders>
            <w:tcMar>
              <w:top w:w="15" w:type="dxa"/>
              <w:left w:w="85" w:type="dxa"/>
              <w:bottom w:w="0" w:type="dxa"/>
              <w:right w:w="85" w:type="dxa"/>
            </w:tcMar>
            <w:vAlign w:val="center"/>
            <w:hideMark/>
          </w:tcPr>
          <w:p w14:paraId="6662CBAA" w14:textId="77777777" w:rsidR="0085524F" w:rsidRPr="0070795D" w:rsidRDefault="0085524F" w:rsidP="00115D80">
            <w:pPr>
              <w:pStyle w:val="BodyText"/>
            </w:pPr>
            <w:r w:rsidRPr="0070795D">
              <w:rPr>
                <w:b/>
                <w:bCs/>
              </w:rPr>
              <w:t xml:space="preserve">Manage </w:t>
            </w:r>
            <w:r w:rsidRPr="0070795D">
              <w:t>through minimum construction standards</w:t>
            </w:r>
            <w:r w:rsidRPr="0070795D">
              <w:rPr>
                <w:b/>
                <w:bCs/>
              </w:rPr>
              <w:t xml:space="preserve"> </w:t>
            </w:r>
          </w:p>
        </w:tc>
        <w:tc>
          <w:tcPr>
            <w:tcW w:w="1701" w:type="dxa"/>
            <w:tcBorders>
              <w:top w:val="single" w:sz="8" w:space="0" w:color="E9E9E9"/>
              <w:left w:val="single" w:sz="4" w:space="0" w:color="D9D9D9" w:themeColor="background1" w:themeShade="D9"/>
              <w:right w:val="single" w:sz="4" w:space="0" w:color="D9D9D9" w:themeColor="background1" w:themeShade="D9"/>
            </w:tcBorders>
            <w:tcMar>
              <w:top w:w="15" w:type="dxa"/>
              <w:left w:w="85" w:type="dxa"/>
              <w:bottom w:w="0" w:type="dxa"/>
              <w:right w:w="85" w:type="dxa"/>
            </w:tcMar>
            <w:vAlign w:val="center"/>
            <w:hideMark/>
          </w:tcPr>
          <w:p w14:paraId="772C2121" w14:textId="77777777" w:rsidR="0085524F" w:rsidRPr="0070795D" w:rsidRDefault="0085524F" w:rsidP="00115D80">
            <w:pPr>
              <w:pStyle w:val="BodyText"/>
            </w:pPr>
            <w:r w:rsidRPr="0070795D">
              <w:rPr>
                <w:b/>
                <w:bCs/>
              </w:rPr>
              <w:t xml:space="preserve">Protect </w:t>
            </w:r>
            <w:r w:rsidRPr="0070795D">
              <w:t xml:space="preserve">through design and safety measures </w:t>
            </w:r>
          </w:p>
        </w:tc>
        <w:tc>
          <w:tcPr>
            <w:tcW w:w="1843" w:type="dxa"/>
            <w:tcBorders>
              <w:top w:val="single" w:sz="8" w:space="0" w:color="E9E9E9"/>
              <w:left w:val="single" w:sz="4" w:space="0" w:color="D9D9D9" w:themeColor="background1" w:themeShade="D9"/>
              <w:right w:val="single" w:sz="4" w:space="0" w:color="D9D9D9" w:themeColor="background1" w:themeShade="D9"/>
            </w:tcBorders>
            <w:tcMar>
              <w:top w:w="15" w:type="dxa"/>
              <w:left w:w="85" w:type="dxa"/>
              <w:bottom w:w="0" w:type="dxa"/>
              <w:right w:w="85" w:type="dxa"/>
            </w:tcMar>
            <w:vAlign w:val="center"/>
            <w:hideMark/>
          </w:tcPr>
          <w:p w14:paraId="72FFF029" w14:textId="3A21700F" w:rsidR="0085524F" w:rsidRPr="0070795D" w:rsidRDefault="0085524F" w:rsidP="00115D80">
            <w:pPr>
              <w:pStyle w:val="BodyText"/>
            </w:pPr>
            <w:r w:rsidRPr="0070795D">
              <w:rPr>
                <w:b/>
                <w:bCs/>
              </w:rPr>
              <w:t xml:space="preserve">Assess </w:t>
            </w:r>
            <w:r w:rsidRPr="0070795D">
              <w:t xml:space="preserve">development carefully with additional </w:t>
            </w:r>
            <w:r w:rsidR="004A28F5">
              <w:t xml:space="preserve">safety </w:t>
            </w:r>
            <w:r w:rsidRPr="0070795D">
              <w:t>measures</w:t>
            </w:r>
          </w:p>
        </w:tc>
        <w:tc>
          <w:tcPr>
            <w:tcW w:w="1701" w:type="dxa"/>
            <w:tcBorders>
              <w:top w:val="single" w:sz="8" w:space="0" w:color="E9E9E9"/>
              <w:left w:val="single" w:sz="4" w:space="0" w:color="D9D9D9" w:themeColor="background1" w:themeShade="D9"/>
              <w:right w:val="single" w:sz="4" w:space="0" w:color="D9D9D9" w:themeColor="background1" w:themeShade="D9"/>
            </w:tcBorders>
            <w:tcMar>
              <w:top w:w="15" w:type="dxa"/>
              <w:left w:w="85" w:type="dxa"/>
              <w:bottom w:w="0" w:type="dxa"/>
              <w:right w:w="85" w:type="dxa"/>
            </w:tcMar>
            <w:vAlign w:val="center"/>
            <w:hideMark/>
          </w:tcPr>
          <w:p w14:paraId="5FAD5ACA" w14:textId="77777777" w:rsidR="0085524F" w:rsidRPr="0070795D" w:rsidRDefault="0085524F" w:rsidP="00115D80">
            <w:pPr>
              <w:pStyle w:val="BodyText"/>
            </w:pPr>
            <w:r w:rsidRPr="0070795D">
              <w:rPr>
                <w:b/>
                <w:bCs/>
              </w:rPr>
              <w:t xml:space="preserve">Avoid </w:t>
            </w:r>
            <w:r w:rsidRPr="0070795D">
              <w:t>use and development</w:t>
            </w:r>
          </w:p>
        </w:tc>
        <w:tc>
          <w:tcPr>
            <w:tcW w:w="1491" w:type="dxa"/>
            <w:tcBorders>
              <w:top w:val="single" w:sz="8" w:space="0" w:color="E9E9E9"/>
              <w:left w:val="single" w:sz="4" w:space="0" w:color="D9D9D9" w:themeColor="background1" w:themeShade="D9"/>
              <w:right w:val="nil"/>
            </w:tcBorders>
            <w:tcMar>
              <w:top w:w="15" w:type="dxa"/>
              <w:left w:w="85" w:type="dxa"/>
              <w:bottom w:w="0" w:type="dxa"/>
              <w:right w:w="85" w:type="dxa"/>
            </w:tcMar>
            <w:vAlign w:val="center"/>
            <w:hideMark/>
          </w:tcPr>
          <w:p w14:paraId="1880E801" w14:textId="77777777" w:rsidR="0085524F" w:rsidRPr="0070795D" w:rsidRDefault="0085524F" w:rsidP="00115D80">
            <w:pPr>
              <w:pStyle w:val="BodyText"/>
            </w:pPr>
            <w:r w:rsidRPr="0070795D">
              <w:rPr>
                <w:b/>
                <w:bCs/>
              </w:rPr>
              <w:t xml:space="preserve">Prohibit </w:t>
            </w:r>
            <w:r w:rsidRPr="0070795D">
              <w:t>use and development</w:t>
            </w:r>
          </w:p>
        </w:tc>
      </w:tr>
      <w:tr w:rsidR="0085524F" w:rsidRPr="0070795D" w14:paraId="7CC0175A" w14:textId="77777777" w:rsidTr="00115D80">
        <w:trPr>
          <w:trHeight w:val="191"/>
        </w:trPr>
        <w:tc>
          <w:tcPr>
            <w:tcW w:w="10138" w:type="dxa"/>
            <w:gridSpan w:val="6"/>
            <w:tcBorders>
              <w:right w:val="nil"/>
            </w:tcBorders>
            <w:shd w:val="clear" w:color="auto" w:fill="FFFFFF" w:themeFill="background1"/>
            <w:tcMar>
              <w:top w:w="15" w:type="dxa"/>
              <w:left w:w="85" w:type="dxa"/>
              <w:bottom w:w="0" w:type="dxa"/>
              <w:right w:w="85" w:type="dxa"/>
            </w:tcMar>
            <w:vAlign w:val="center"/>
          </w:tcPr>
          <w:p w14:paraId="5794A663" w14:textId="6ED860E4" w:rsidR="0085524F" w:rsidRPr="0070795D" w:rsidRDefault="0085524F" w:rsidP="00115D80">
            <w:pPr>
              <w:pStyle w:val="BodyText"/>
              <w:rPr>
                <w:b/>
                <w:bCs/>
              </w:rPr>
            </w:pPr>
            <w:r w:rsidRPr="0070795D">
              <w:rPr>
                <w:b/>
                <w:bCs/>
                <w:lang w:val="en-US"/>
              </w:rPr>
              <w:t>Accessible description:</w:t>
            </w:r>
            <w:r w:rsidRPr="0070795D">
              <w:rPr>
                <w:lang w:val="en-US"/>
              </w:rPr>
              <w:t xml:space="preserve"> A </w:t>
            </w:r>
            <w:r w:rsidR="0B890C43" w:rsidRPr="6F45DC6C">
              <w:rPr>
                <w:lang w:val="en-US"/>
              </w:rPr>
              <w:t>figure</w:t>
            </w:r>
            <w:r w:rsidRPr="0070795D">
              <w:rPr>
                <w:lang w:val="en-US"/>
              </w:rPr>
              <w:t xml:space="preserve"> and table showing five flood risk levels from low to extreme. The </w:t>
            </w:r>
            <w:r w:rsidR="54DD8EB1" w:rsidRPr="6F45DC6C">
              <w:rPr>
                <w:lang w:val="en-US"/>
              </w:rPr>
              <w:t>figure</w:t>
            </w:r>
            <w:r w:rsidRPr="0070795D">
              <w:rPr>
                <w:lang w:val="en-US"/>
              </w:rPr>
              <w:t xml:space="preserve"> uses a streetscape illustration to show increasing flood severity, with water depth rising from </w:t>
            </w:r>
            <w:r>
              <w:rPr>
                <w:lang w:val="en-US"/>
              </w:rPr>
              <w:t>right to left</w:t>
            </w:r>
            <w:r w:rsidRPr="0070795D">
              <w:rPr>
                <w:lang w:val="en-US"/>
              </w:rPr>
              <w:t xml:space="preserve">. The table below outlines each risk level, including typical flood depths, descriptions, and </w:t>
            </w:r>
            <w:r>
              <w:rPr>
                <w:lang w:val="en-US"/>
              </w:rPr>
              <w:t>development responses</w:t>
            </w:r>
            <w:r w:rsidRPr="0070795D">
              <w:rPr>
                <w:lang w:val="en-US"/>
              </w:rPr>
              <w:t>.</w:t>
            </w:r>
          </w:p>
        </w:tc>
      </w:tr>
    </w:tbl>
    <w:p w14:paraId="53650A7A" w14:textId="77777777" w:rsidR="004D1BF4" w:rsidRDefault="004D1BF4" w:rsidP="00F92F1A">
      <w:pPr>
        <w:pStyle w:val="Heading3"/>
      </w:pPr>
      <w:r>
        <w:br w:type="page"/>
      </w:r>
    </w:p>
    <w:p w14:paraId="073218B6" w14:textId="0A5D7D51" w:rsidR="00213DA3" w:rsidRDefault="005B0962" w:rsidP="00F92F1A">
      <w:pPr>
        <w:pStyle w:val="Heading3"/>
      </w:pPr>
      <w:r>
        <w:t>Land use and d</w:t>
      </w:r>
      <w:r w:rsidR="00213DA3">
        <w:t>evelopment controls</w:t>
      </w:r>
    </w:p>
    <w:p w14:paraId="408BA8D3" w14:textId="245162F8" w:rsidR="043E4301" w:rsidRDefault="043E4301" w:rsidP="7F7CDF24">
      <w:pPr>
        <w:pStyle w:val="BodyText"/>
      </w:pPr>
      <w:r w:rsidRPr="7F7CDF24">
        <w:rPr>
          <w:lang w:val="en-US"/>
        </w:rPr>
        <w:t>Flood information helps inform strategic planning and the assessment of proposed land use and development. The applicable response will depend on the assessed risk, site-specific information and relevant planning provisions.</w:t>
      </w:r>
    </w:p>
    <w:p w14:paraId="7AD78535" w14:textId="52FCDA0F" w:rsidR="043E4301" w:rsidRDefault="043E4301" w:rsidP="7F7CDF24">
      <w:pPr>
        <w:pStyle w:val="BodyText"/>
      </w:pPr>
      <w:r w:rsidRPr="7F7CDF24">
        <w:rPr>
          <w:lang w:val="en-US"/>
        </w:rPr>
        <w:t>Planning and building decisions must consider the applicable flood standard and relevant future conditions in accordance with Victorian planning and building requirements. A one per cent annual exceedance probability flood has a one per cent chance of occurring in any given year.</w:t>
      </w:r>
    </w:p>
    <w:p w14:paraId="6F94C3D6" w14:textId="5D7CE587" w:rsidR="00CA27BA" w:rsidRDefault="00CA27BA" w:rsidP="7F7CDF24">
      <w:pPr>
        <w:pStyle w:val="Heading4"/>
        <w:rPr>
          <w:rStyle w:val="Strong"/>
          <w:b/>
        </w:rPr>
        <w:sectPr w:rsidR="00CA27BA" w:rsidSect="0085524F">
          <w:type w:val="continuous"/>
          <w:pgSz w:w="11907" w:h="16839" w:code="9"/>
          <w:pgMar w:top="1418" w:right="851" w:bottom="992" w:left="851" w:header="284" w:footer="284" w:gutter="0"/>
          <w:cols w:space="284"/>
          <w:docGrid w:linePitch="360"/>
        </w:sectPr>
      </w:pPr>
      <w:r w:rsidRPr="00F92F1A">
        <w:rPr>
          <w:rStyle w:val="Strong"/>
          <w:b/>
          <w:bCs/>
        </w:rPr>
        <w:t>Building system</w:t>
      </w:r>
    </w:p>
    <w:p w14:paraId="120AA788" w14:textId="1E0DFB02" w:rsidR="678AA8A9" w:rsidRDefault="678AA8A9" w:rsidP="7F7CDF24">
      <w:pPr>
        <w:pStyle w:val="BodyText"/>
      </w:pPr>
      <w:r>
        <w:t>Land affected by the one per cent</w:t>
      </w:r>
      <w:r w:rsidR="0046799A">
        <w:t xml:space="preserve"> (1%)</w:t>
      </w:r>
      <w:r>
        <w:t xml:space="preserve"> AEP flood may be designated as flood-prone land under the building system. Where the designation applies, building requirements may include minimum floor levels and other construction standards intended to reduce flood impacts.</w:t>
      </w:r>
    </w:p>
    <w:p w14:paraId="5F04B981" w14:textId="327B8EA6" w:rsidR="001F3940" w:rsidRDefault="00191BC4" w:rsidP="0085524F">
      <w:pPr>
        <w:pStyle w:val="Heading4"/>
        <w:rPr>
          <w:lang w:val="en-US"/>
        </w:rPr>
      </w:pPr>
      <w:r>
        <w:rPr>
          <w:lang w:val="en-US"/>
        </w:rPr>
        <w:t>Planning system</w:t>
      </w:r>
    </w:p>
    <w:p w14:paraId="074513AD" w14:textId="2F303D23" w:rsidR="7EEF4040" w:rsidRDefault="7EEF4040" w:rsidP="7F7CDF24">
      <w:pPr>
        <w:pStyle w:val="BodyText"/>
      </w:pPr>
      <w:r>
        <w:t>The planning control applying to land will depend on its assessed flood risk and the relevant provisions of the planning scheme. The planning outcome for a particular proposal will depend on the applicable planning scheme provisions, site-specific information and assessment by the responsible authority.</w:t>
      </w:r>
    </w:p>
    <w:p w14:paraId="7607C91F" w14:textId="1D7F724B" w:rsidR="29B71D47" w:rsidRPr="00F01CB2" w:rsidRDefault="29B71D47" w:rsidP="599451CE">
      <w:pPr>
        <w:pStyle w:val="BodyText"/>
        <w:rPr>
          <w:b/>
          <w:bCs/>
        </w:rPr>
      </w:pPr>
      <w:r w:rsidRPr="00F01CB2">
        <w:rPr>
          <w:b/>
          <w:bCs/>
        </w:rPr>
        <w:t xml:space="preserve">Table </w:t>
      </w:r>
      <w:r w:rsidR="000172CC">
        <w:rPr>
          <w:b/>
          <w:bCs/>
        </w:rPr>
        <w:t>1</w:t>
      </w:r>
      <w:r w:rsidRPr="00F01CB2">
        <w:rPr>
          <w:b/>
          <w:bCs/>
        </w:rPr>
        <w:t>: Planning controls</w:t>
      </w:r>
    </w:p>
    <w:tbl>
      <w:tblPr>
        <w:tblStyle w:val="TableGrid"/>
        <w:tblW w:w="0" w:type="auto"/>
        <w:tblLook w:val="04A0" w:firstRow="1" w:lastRow="0" w:firstColumn="1" w:lastColumn="0" w:noHBand="0" w:noVBand="1"/>
      </w:tblPr>
      <w:tblGrid>
        <w:gridCol w:w="1321"/>
        <w:gridCol w:w="1848"/>
        <w:gridCol w:w="2649"/>
        <w:gridCol w:w="4387"/>
      </w:tblGrid>
      <w:tr w:rsidR="00B41C70" w:rsidRPr="00B41C70" w14:paraId="4DAB952F" w14:textId="77777777" w:rsidTr="00350F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BC7E51" w14:textId="77777777" w:rsidR="00B41C70" w:rsidRPr="00B41C70" w:rsidRDefault="00B41C70" w:rsidP="00C534B6">
            <w:pPr>
              <w:pStyle w:val="ListBullet"/>
              <w:spacing w:before="120" w:after="120"/>
              <w:ind w:left="113" w:firstLine="0"/>
              <w:rPr>
                <w:b/>
                <w:bCs/>
              </w:rPr>
            </w:pPr>
            <w:r w:rsidRPr="00B41C70">
              <w:rPr>
                <w:b/>
                <w:bCs/>
              </w:rPr>
              <w:t>Flood risk rating</w:t>
            </w:r>
          </w:p>
        </w:tc>
        <w:tc>
          <w:tcPr>
            <w:tcW w:w="0" w:type="auto"/>
            <w:hideMark/>
          </w:tcPr>
          <w:p w14:paraId="1B46AF09" w14:textId="48CCF4EA" w:rsidR="00B41C70" w:rsidRPr="00B41C70" w:rsidRDefault="00B41C70" w:rsidP="00C534B6">
            <w:pPr>
              <w:pStyle w:val="ListBullet"/>
              <w:spacing w:before="120" w:after="120"/>
              <w:ind w:left="113" w:firstLine="0"/>
              <w:cnfStyle w:val="100000000000" w:firstRow="1" w:lastRow="0" w:firstColumn="0" w:lastColumn="0" w:oddVBand="0" w:evenVBand="0" w:oddHBand="0" w:evenHBand="0" w:firstRowFirstColumn="0" w:firstRowLastColumn="0" w:lastRowFirstColumn="0" w:lastRowLastColumn="0"/>
              <w:rPr>
                <w:b/>
                <w:bCs/>
              </w:rPr>
            </w:pPr>
            <w:r w:rsidRPr="00B41C70">
              <w:rPr>
                <w:b/>
                <w:bCs/>
              </w:rPr>
              <w:t>Planning control</w:t>
            </w:r>
          </w:p>
        </w:tc>
        <w:tc>
          <w:tcPr>
            <w:tcW w:w="0" w:type="auto"/>
            <w:hideMark/>
          </w:tcPr>
          <w:p w14:paraId="01B5BC4C" w14:textId="04612FA3" w:rsidR="00B41C70" w:rsidRPr="00B41C70" w:rsidRDefault="00B41C70" w:rsidP="00B41C70">
            <w:pPr>
              <w:pStyle w:val="ListBullet"/>
              <w:spacing w:before="120" w:after="120"/>
              <w:cnfStyle w:val="100000000000" w:firstRow="1" w:lastRow="0" w:firstColumn="0" w:lastColumn="0" w:oddVBand="0" w:evenVBand="0" w:oddHBand="0" w:evenHBand="0" w:firstRowFirstColumn="0" w:firstRowLastColumn="0" w:lastRowFirstColumn="0" w:lastRowLastColumn="0"/>
              <w:rPr>
                <w:b/>
                <w:bCs/>
              </w:rPr>
            </w:pPr>
            <w:r w:rsidRPr="00B41C70">
              <w:rPr>
                <w:b/>
                <w:bCs/>
              </w:rPr>
              <w:t xml:space="preserve">Purpose of </w:t>
            </w:r>
            <w:r w:rsidR="0089715E">
              <w:rPr>
                <w:b/>
                <w:bCs/>
              </w:rPr>
              <w:t xml:space="preserve">the </w:t>
            </w:r>
            <w:r w:rsidRPr="00B41C70">
              <w:rPr>
                <w:b/>
                <w:bCs/>
              </w:rPr>
              <w:t>control</w:t>
            </w:r>
          </w:p>
        </w:tc>
        <w:tc>
          <w:tcPr>
            <w:tcW w:w="0" w:type="auto"/>
            <w:hideMark/>
          </w:tcPr>
          <w:p w14:paraId="340562C9" w14:textId="77777777" w:rsidR="00B41C70" w:rsidRPr="00B41C70" w:rsidRDefault="00B41C70" w:rsidP="00350FE8">
            <w:pPr>
              <w:pStyle w:val="ListBullet"/>
              <w:spacing w:before="120" w:after="120"/>
              <w:ind w:left="113" w:firstLine="0"/>
              <w:cnfStyle w:val="100000000000" w:firstRow="1" w:lastRow="0" w:firstColumn="0" w:lastColumn="0" w:oddVBand="0" w:evenVBand="0" w:oddHBand="0" w:evenHBand="0" w:firstRowFirstColumn="0" w:firstRowLastColumn="0" w:lastRowFirstColumn="0" w:lastRowLastColumn="0"/>
              <w:rPr>
                <w:b/>
                <w:bCs/>
              </w:rPr>
            </w:pPr>
            <w:r w:rsidRPr="00B41C70">
              <w:rPr>
                <w:b/>
                <w:bCs/>
              </w:rPr>
              <w:t>Key requirements and protection measures</w:t>
            </w:r>
          </w:p>
        </w:tc>
      </w:tr>
      <w:tr w:rsidR="000D390C" w:rsidRPr="00B41C70" w14:paraId="29D8DB0F" w14:textId="77777777" w:rsidTr="00350FE8">
        <w:tc>
          <w:tcPr>
            <w:cnfStyle w:val="001000000000" w:firstRow="0" w:lastRow="0" w:firstColumn="1" w:lastColumn="0" w:oddVBand="0" w:evenVBand="0" w:oddHBand="0" w:evenHBand="0" w:firstRowFirstColumn="0" w:firstRowLastColumn="0" w:lastRowFirstColumn="0" w:lastRowLastColumn="0"/>
            <w:tcW w:w="0" w:type="auto"/>
            <w:hideMark/>
          </w:tcPr>
          <w:p w14:paraId="4A870696" w14:textId="77777777" w:rsidR="000D390C" w:rsidRPr="00B41C70" w:rsidRDefault="000D390C" w:rsidP="00B41C70">
            <w:pPr>
              <w:pStyle w:val="ListBullet"/>
              <w:spacing w:before="120" w:after="120"/>
            </w:pPr>
            <w:r w:rsidRPr="00B41C70">
              <w:rPr>
                <w:b/>
                <w:bCs/>
              </w:rPr>
              <w:t>Low</w:t>
            </w:r>
          </w:p>
        </w:tc>
        <w:tc>
          <w:tcPr>
            <w:tcW w:w="0" w:type="auto"/>
            <w:gridSpan w:val="2"/>
            <w:shd w:val="clear" w:color="auto" w:fill="F2F2F2" w:themeFill="background1" w:themeFillShade="F2"/>
            <w:hideMark/>
          </w:tcPr>
          <w:p w14:paraId="6545AC9D" w14:textId="31B795D4" w:rsidR="000D390C" w:rsidRPr="00B41C70" w:rsidRDefault="000D390C"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86488B">
              <w:t>No planning control</w:t>
            </w:r>
          </w:p>
        </w:tc>
        <w:tc>
          <w:tcPr>
            <w:tcW w:w="0" w:type="auto"/>
            <w:hideMark/>
          </w:tcPr>
          <w:p w14:paraId="3CFBFAFF" w14:textId="7E0A04CF" w:rsidR="000D390C" w:rsidRPr="00B41C70" w:rsidRDefault="000D390C"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No flood-specific planning requirements. Standard building regulations apply</w:t>
            </w:r>
            <w:r w:rsidR="00AE234D">
              <w:t>.</w:t>
            </w:r>
          </w:p>
        </w:tc>
      </w:tr>
      <w:tr w:rsidR="00B41C70" w:rsidRPr="00B41C70" w14:paraId="27642BFF" w14:textId="77777777" w:rsidTr="00350FE8">
        <w:tc>
          <w:tcPr>
            <w:cnfStyle w:val="001000000000" w:firstRow="0" w:lastRow="0" w:firstColumn="1" w:lastColumn="0" w:oddVBand="0" w:evenVBand="0" w:oddHBand="0" w:evenHBand="0" w:firstRowFirstColumn="0" w:firstRowLastColumn="0" w:lastRowFirstColumn="0" w:lastRowLastColumn="0"/>
            <w:tcW w:w="0" w:type="auto"/>
            <w:hideMark/>
          </w:tcPr>
          <w:p w14:paraId="7F58A0CB" w14:textId="77777777" w:rsidR="00B41C70" w:rsidRPr="00B41C70" w:rsidRDefault="00B41C70" w:rsidP="00B41C70">
            <w:pPr>
              <w:pStyle w:val="ListBullet"/>
              <w:spacing w:before="120" w:after="120"/>
            </w:pPr>
            <w:r w:rsidRPr="00B41C70">
              <w:rPr>
                <w:b/>
                <w:bCs/>
              </w:rPr>
              <w:t>Moderate</w:t>
            </w:r>
          </w:p>
        </w:tc>
        <w:tc>
          <w:tcPr>
            <w:tcW w:w="0" w:type="auto"/>
            <w:hideMark/>
          </w:tcPr>
          <w:p w14:paraId="60507F68" w14:textId="77777777" w:rsidR="007246AD" w:rsidRDefault="0086488B"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7B7996">
              <w:t>Clause 44.09</w:t>
            </w:r>
            <w:r>
              <w:t xml:space="preserve"> </w:t>
            </w:r>
            <w:r w:rsidR="00B41C70" w:rsidRPr="00350FE8">
              <w:t xml:space="preserve">Flood Management Overlay </w:t>
            </w:r>
          </w:p>
          <w:p w14:paraId="061D7D7E" w14:textId="7CE46054" w:rsidR="00B41C70" w:rsidRPr="0086488B"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Schedule 1</w:t>
            </w:r>
          </w:p>
        </w:tc>
        <w:tc>
          <w:tcPr>
            <w:tcW w:w="0" w:type="auto"/>
            <w:hideMark/>
          </w:tcPr>
          <w:p w14:paraId="3463F40F" w14:textId="7777777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Support development while ensuring moderate flood risks are appropriately managed.</w:t>
            </w:r>
          </w:p>
        </w:tc>
        <w:tc>
          <w:tcPr>
            <w:tcW w:w="0" w:type="auto"/>
            <w:hideMark/>
          </w:tcPr>
          <w:p w14:paraId="7996C082" w14:textId="6A44529C"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491DF8">
              <w:t xml:space="preserve">Development generally supported. Buildings and works must incorporate basic flood protection measures </w:t>
            </w:r>
            <w:r w:rsidR="00242EA4" w:rsidRPr="00491DF8">
              <w:t xml:space="preserve">including </w:t>
            </w:r>
            <w:r w:rsidR="00491DF8" w:rsidRPr="00491DF8">
              <w:t>flood-</w:t>
            </w:r>
            <w:r w:rsidR="00242EA4" w:rsidRPr="00491DF8">
              <w:t>resilient design</w:t>
            </w:r>
            <w:r w:rsidR="00491DF8" w:rsidRPr="00491DF8">
              <w:t xml:space="preserve"> and construction</w:t>
            </w:r>
            <w:r w:rsidRPr="00491DF8">
              <w:t>.</w:t>
            </w:r>
          </w:p>
        </w:tc>
      </w:tr>
      <w:tr w:rsidR="00B41C70" w:rsidRPr="00B41C70" w14:paraId="07E6C27D" w14:textId="77777777" w:rsidTr="00350FE8">
        <w:tc>
          <w:tcPr>
            <w:cnfStyle w:val="001000000000" w:firstRow="0" w:lastRow="0" w:firstColumn="1" w:lastColumn="0" w:oddVBand="0" w:evenVBand="0" w:oddHBand="0" w:evenHBand="0" w:firstRowFirstColumn="0" w:firstRowLastColumn="0" w:lastRowFirstColumn="0" w:lastRowLastColumn="0"/>
            <w:tcW w:w="0" w:type="auto"/>
            <w:hideMark/>
          </w:tcPr>
          <w:p w14:paraId="48F89759" w14:textId="77777777" w:rsidR="00B41C70" w:rsidRPr="00B41C70" w:rsidRDefault="00B41C70" w:rsidP="00B41C70">
            <w:pPr>
              <w:pStyle w:val="ListBullet"/>
              <w:spacing w:before="120" w:after="120"/>
            </w:pPr>
            <w:r w:rsidRPr="00B41C70">
              <w:rPr>
                <w:b/>
                <w:bCs/>
              </w:rPr>
              <w:t>High</w:t>
            </w:r>
          </w:p>
        </w:tc>
        <w:tc>
          <w:tcPr>
            <w:tcW w:w="0" w:type="auto"/>
            <w:hideMark/>
          </w:tcPr>
          <w:p w14:paraId="6EBCE15A" w14:textId="77777777" w:rsidR="00AE234D" w:rsidRDefault="0086488B"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7B7996">
              <w:t>Clause 44.09</w:t>
            </w:r>
            <w:r>
              <w:t xml:space="preserve"> </w:t>
            </w:r>
          </w:p>
          <w:p w14:paraId="58EE87D4" w14:textId="128761BA" w:rsidR="007246AD"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Flood Management Overlay</w:t>
            </w:r>
          </w:p>
          <w:p w14:paraId="03D316A4" w14:textId="3DD2BECD" w:rsidR="00B41C70" w:rsidRPr="0086488B"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Schedule 2</w:t>
            </w:r>
          </w:p>
        </w:tc>
        <w:tc>
          <w:tcPr>
            <w:tcW w:w="0" w:type="auto"/>
            <w:hideMark/>
          </w:tcPr>
          <w:p w14:paraId="541834DE" w14:textId="7777777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Ensure development only occurs where high flood risks can be demonstrated to be safely managed.</w:t>
            </w:r>
          </w:p>
        </w:tc>
        <w:tc>
          <w:tcPr>
            <w:tcW w:w="0" w:type="auto"/>
            <w:hideMark/>
          </w:tcPr>
          <w:p w14:paraId="3FB117B1" w14:textId="5FE5B8E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Detailed flood assessment required. Development must demonstrate risks to occupants can be managed through siting, design, access, evacuation arrangements and flood-resilient construction. Additional permit requirements and restrictions apply.</w:t>
            </w:r>
          </w:p>
        </w:tc>
      </w:tr>
      <w:tr w:rsidR="00B41C70" w:rsidRPr="00B41C70" w14:paraId="2D0901FB" w14:textId="77777777" w:rsidTr="00350FE8">
        <w:tc>
          <w:tcPr>
            <w:cnfStyle w:val="001000000000" w:firstRow="0" w:lastRow="0" w:firstColumn="1" w:lastColumn="0" w:oddVBand="0" w:evenVBand="0" w:oddHBand="0" w:evenHBand="0" w:firstRowFirstColumn="0" w:firstRowLastColumn="0" w:lastRowFirstColumn="0" w:lastRowLastColumn="0"/>
            <w:tcW w:w="0" w:type="auto"/>
            <w:hideMark/>
          </w:tcPr>
          <w:p w14:paraId="3ABFD914" w14:textId="77777777" w:rsidR="00B41C70" w:rsidRPr="00B41C70" w:rsidRDefault="00B41C70" w:rsidP="00B41C70">
            <w:pPr>
              <w:pStyle w:val="ListBullet"/>
              <w:spacing w:before="120" w:after="120"/>
            </w:pPr>
            <w:r w:rsidRPr="00B41C70">
              <w:rPr>
                <w:b/>
                <w:bCs/>
              </w:rPr>
              <w:t>Very High</w:t>
            </w:r>
          </w:p>
        </w:tc>
        <w:tc>
          <w:tcPr>
            <w:tcW w:w="0" w:type="auto"/>
            <w:hideMark/>
          </w:tcPr>
          <w:p w14:paraId="242A4F1E" w14:textId="77777777" w:rsidR="00AE234D" w:rsidRDefault="0086488B"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7B7996">
              <w:t>Clause 44.09</w:t>
            </w:r>
            <w:r>
              <w:t xml:space="preserve"> </w:t>
            </w:r>
          </w:p>
          <w:p w14:paraId="2B512AC7" w14:textId="5F1E3028" w:rsidR="007246AD"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Flood Management Overlay</w:t>
            </w:r>
          </w:p>
          <w:p w14:paraId="6CF7996C" w14:textId="529EA5F3" w:rsidR="00B41C70" w:rsidRPr="0086488B"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Schedule 3</w:t>
            </w:r>
          </w:p>
        </w:tc>
        <w:tc>
          <w:tcPr>
            <w:tcW w:w="0" w:type="auto"/>
            <w:hideMark/>
          </w:tcPr>
          <w:p w14:paraId="71C5B72C" w14:textId="7777777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Discourage development in areas where flood risks to life, access or emergency response are significant.</w:t>
            </w:r>
          </w:p>
        </w:tc>
        <w:tc>
          <w:tcPr>
            <w:tcW w:w="0" w:type="auto"/>
            <w:hideMark/>
          </w:tcPr>
          <w:p w14:paraId="49110566" w14:textId="7777777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Development is generally discouraged. Any permitted development must satisfy stringent local controls, including higher flood protection standards, safe access and evacuation requirements, and limitations on vulnerable land uses.</w:t>
            </w:r>
          </w:p>
        </w:tc>
      </w:tr>
      <w:tr w:rsidR="00B41C70" w:rsidRPr="00B41C70" w14:paraId="37810E6C" w14:textId="77777777" w:rsidTr="00350FE8">
        <w:tc>
          <w:tcPr>
            <w:cnfStyle w:val="001000000000" w:firstRow="0" w:lastRow="0" w:firstColumn="1" w:lastColumn="0" w:oddVBand="0" w:evenVBand="0" w:oddHBand="0" w:evenHBand="0" w:firstRowFirstColumn="0" w:firstRowLastColumn="0" w:lastRowFirstColumn="0" w:lastRowLastColumn="0"/>
            <w:tcW w:w="0" w:type="auto"/>
            <w:hideMark/>
          </w:tcPr>
          <w:p w14:paraId="4D9DD18D" w14:textId="77777777" w:rsidR="00B41C70" w:rsidRPr="00B41C70" w:rsidRDefault="00B41C70" w:rsidP="00B41C70">
            <w:pPr>
              <w:pStyle w:val="ListBullet"/>
              <w:spacing w:before="120" w:after="120"/>
            </w:pPr>
            <w:r w:rsidRPr="00B41C70">
              <w:rPr>
                <w:b/>
                <w:bCs/>
              </w:rPr>
              <w:t>Extreme</w:t>
            </w:r>
          </w:p>
        </w:tc>
        <w:tc>
          <w:tcPr>
            <w:tcW w:w="0" w:type="auto"/>
            <w:hideMark/>
          </w:tcPr>
          <w:p w14:paraId="03CBA92F" w14:textId="25735885" w:rsidR="007246AD" w:rsidRDefault="0086488B"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7B7996">
              <w:t>Clause</w:t>
            </w:r>
            <w:r w:rsidR="007246AD">
              <w:t xml:space="preserve"> </w:t>
            </w:r>
            <w:r w:rsidR="00924C16">
              <w:t>37</w:t>
            </w:r>
            <w:r w:rsidR="0046799A">
              <w:t>.11</w:t>
            </w:r>
          </w:p>
          <w:p w14:paraId="3A7CE01F" w14:textId="21E35478" w:rsidR="00B41C70" w:rsidRPr="0086488B"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350FE8">
              <w:t>Flood Management Zone</w:t>
            </w:r>
          </w:p>
        </w:tc>
        <w:tc>
          <w:tcPr>
            <w:tcW w:w="0" w:type="auto"/>
            <w:hideMark/>
          </w:tcPr>
          <w:p w14:paraId="63AECD31" w14:textId="77777777"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Protect floodways and areas critical to floodplain function while avoiding unacceptable risk to human life.</w:t>
            </w:r>
          </w:p>
        </w:tc>
        <w:tc>
          <w:tcPr>
            <w:tcW w:w="0" w:type="auto"/>
            <w:hideMark/>
          </w:tcPr>
          <w:p w14:paraId="4402B907" w14:textId="4F91550B" w:rsidR="00B41C70" w:rsidRPr="00B41C70" w:rsidRDefault="00B41C70" w:rsidP="00350FE8">
            <w:pPr>
              <w:pStyle w:val="ListBullet"/>
              <w:spacing w:before="120" w:after="120"/>
              <w:ind w:left="113" w:firstLine="0"/>
              <w:cnfStyle w:val="000000000000" w:firstRow="0" w:lastRow="0" w:firstColumn="0" w:lastColumn="0" w:oddVBand="0" w:evenVBand="0" w:oddHBand="0" w:evenHBand="0" w:firstRowFirstColumn="0" w:firstRowLastColumn="0" w:lastRowFirstColumn="0" w:lastRowLastColumn="0"/>
            </w:pPr>
            <w:r w:rsidRPr="00B41C70">
              <w:t>Development is limited to compatible uses such as agriculture, open space and recreation. Buildings and works must not obstruct flood flows or reduce flood storage.</w:t>
            </w:r>
          </w:p>
        </w:tc>
      </w:tr>
    </w:tbl>
    <w:p w14:paraId="4D2CE3C3" w14:textId="77777777" w:rsidR="00312627" w:rsidRDefault="00312627" w:rsidP="00312627">
      <w:pPr>
        <w:pStyle w:val="Heading4"/>
      </w:pPr>
      <w:r>
        <w:t>Further guidance</w:t>
      </w:r>
    </w:p>
    <w:p w14:paraId="4E2A8721" w14:textId="4817F1AD" w:rsidR="00312627" w:rsidRDefault="43A58F6D" w:rsidP="00312627">
      <w:pPr>
        <w:pStyle w:val="ListBullet"/>
        <w:ind w:left="0" w:firstLine="0"/>
      </w:pPr>
      <w:r>
        <w:t>This guidance does not provide property-specific planning or building advice. Current planning scheme provisions and advice from the relevant responsible authority should be considered before making land use, development or building decisions.</w:t>
      </w:r>
      <w:r w:rsidR="00C534B6">
        <w:t xml:space="preserve"> </w:t>
      </w:r>
      <w:r w:rsidR="34C9EBDE">
        <w:t xml:space="preserve">Other related guidance on the changes </w:t>
      </w:r>
      <w:r w:rsidR="1BF2B20D">
        <w:t>including guidelines for development and flood mapping are currently being prepared to support implementation of the flood risk ratings and new planning controls.</w:t>
      </w:r>
    </w:p>
    <w:p w14:paraId="3E845EBF" w14:textId="35A58816" w:rsidR="0085524F" w:rsidRDefault="0085524F" w:rsidP="00AA3AD1">
      <w:pPr>
        <w:pStyle w:val="ListBullet"/>
        <w:ind w:left="0" w:firstLine="0"/>
        <w:sectPr w:rsidR="0085524F" w:rsidSect="00AA3AD1">
          <w:type w:val="continuous"/>
          <w:pgSz w:w="11907" w:h="16839" w:code="9"/>
          <w:pgMar w:top="1418" w:right="851" w:bottom="992" w:left="851" w:header="284" w:footer="284" w:gutter="0"/>
          <w:cols w:space="284"/>
          <w:docGrid w:linePitch="360"/>
        </w:sectPr>
      </w:pPr>
    </w:p>
    <w:p w14:paraId="24B9F1E1" w14:textId="53D4819C" w:rsidR="00034A79" w:rsidRDefault="00034A79" w:rsidP="00AA3AD1">
      <w:pPr>
        <w:pStyle w:val="Caption"/>
        <w:rPr>
          <w:rStyle w:val="BodyTextChar"/>
        </w:rPr>
      </w:pPr>
      <w:r>
        <w:rPr>
          <w:rStyle w:val="BodyTextChar"/>
        </w:rPr>
        <w:t xml:space="preserve">Figure 3: </w:t>
      </w:r>
      <w:r w:rsidR="00EF5734">
        <w:rPr>
          <w:rStyle w:val="BodyTextChar"/>
        </w:rPr>
        <w:t>Flood risk map</w:t>
      </w:r>
    </w:p>
    <w:p w14:paraId="4D735E9D" w14:textId="5196A703" w:rsidR="00891941" w:rsidRDefault="00891941" w:rsidP="00A235AA">
      <w:pPr>
        <w:pStyle w:val="Caption"/>
      </w:pPr>
      <w:r w:rsidRPr="004C2C3B">
        <w:rPr>
          <w:i/>
          <w:iCs/>
          <w:noProof/>
          <w:sz w:val="16"/>
          <w:szCs w:val="16"/>
        </w:rPr>
        <mc:AlternateContent>
          <mc:Choice Requires="wps">
            <w:drawing>
              <wp:anchor distT="45720" distB="45720" distL="114300" distR="114300" simplePos="0" relativeHeight="251658255" behindDoc="0" locked="0" layoutInCell="1" allowOverlap="1" wp14:anchorId="1B91F5C2" wp14:editId="498DDAE2">
                <wp:simplePos x="0" y="0"/>
                <wp:positionH relativeFrom="column">
                  <wp:posOffset>0</wp:posOffset>
                </wp:positionH>
                <wp:positionV relativeFrom="paragraph">
                  <wp:posOffset>5386705</wp:posOffset>
                </wp:positionV>
                <wp:extent cx="9594850" cy="1404620"/>
                <wp:effectExtent l="0" t="0" r="6350" b="0"/>
                <wp:wrapSquare wrapText="bothSides"/>
                <wp:docPr id="1464009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0" cy="1404620"/>
                        </a:xfrm>
                        <a:prstGeom prst="rect">
                          <a:avLst/>
                        </a:prstGeom>
                        <a:solidFill>
                          <a:srgbClr val="FFFFFF"/>
                        </a:solidFill>
                        <a:ln w="9525">
                          <a:noFill/>
                          <a:miter lim="800000"/>
                          <a:headEnd/>
                          <a:tailEnd/>
                        </a:ln>
                      </wps:spPr>
                      <wps:txbx>
                        <w:txbxContent>
                          <w:p w14:paraId="3CC7A1CA" w14:textId="77777777" w:rsidR="00891941" w:rsidRPr="004C2C3B" w:rsidRDefault="00891941" w:rsidP="00891941">
                            <w:pPr>
                              <w:pStyle w:val="ListBullet"/>
                              <w:ind w:left="0" w:firstLine="0"/>
                              <w:rPr>
                                <w:b/>
                                <w:bCs/>
                                <w:sz w:val="18"/>
                                <w:szCs w:val="18"/>
                                <w:lang w:val="en-US"/>
                              </w:rPr>
                            </w:pPr>
                            <w:r w:rsidRPr="00F64AD6">
                              <w:rPr>
                                <w:b/>
                                <w:bCs/>
                                <w:sz w:val="18"/>
                                <w:szCs w:val="18"/>
                                <w:lang w:val="en-US"/>
                              </w:rPr>
                              <w:t xml:space="preserve">Accessible description: </w:t>
                            </w:r>
                            <w:r w:rsidRPr="00562F8D">
                              <w:rPr>
                                <w:sz w:val="18"/>
                                <w:szCs w:val="18"/>
                                <w:lang w:val="en-US"/>
                              </w:rPr>
                              <w:t>Map of an urban area with a river running through the centre and a coastline on the right. Flood risk is shown using shades of blue, with darker colours indicating higher risk. The highest risk areas are concentrated along the river and near the coast, with risk decreasing further away. A legend shows risk ratings, from low to extreme risk.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91F5C2" id="_x0000_s1031" type="#_x0000_t202" style="position:absolute;left:0;text-align:left;margin-left:0;margin-top:424.15pt;width:755.5pt;height:110.6pt;z-index:2516582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dytEQIAAP4DAAAOAAAAZHJzL2Uyb0RvYy54bWysk92O2yAQhe8r9R0Q942dNNkmVpzVNttU&#10;lbY/0rYPgDGOUTFDBxI7ffoOOJuNtndVfYHAA4eZbw7r26Ez7KjQa7Aln05yzpSVUGu7L/mP77s3&#10;S858ELYWBqwq+Ul5frt5/Wrdu0LNoAVTK2QkYn3Ru5K3Ibgiy7xsVSf8BJyyFGwAOxFoifusRtGT&#10;emeyWZ7fZD1g7RCk8p7+3o9Bvkn6TaNk+No0XgVmSk65hTRiGqs4Zpu1KPYoXKvlOQ3xD1l0Qlu6&#10;9CJ1L4JgB9R/SXVaInhowkRCl0HTaKlSDVTNNH9RzWMrnEq1EBzvLpj8/5OVX46P7huyMLyHgRqY&#10;ivDuAeRPzyxsW2H36g4R+laJmi6eRmRZ73xxPhpR+8JHkar/DDU1WRwCJKGhwS5SoToZqVMDThfo&#10;aghM0s/VYjVfLigkKTad5/ObWWpLJoqn4w59+KigY3FScqSuJnlxfPAhpiOKpy3xNg9G1zttTFrg&#10;vtoaZEdBDtilL1XwYpuxrI+5zBZJ2UI8n8zR6UAONbor+TKP3+iZiOODrdOWILQZ55SJsWc+EckI&#10;JwzVwHRd8rfxbMRVQX0iYAijIekB0aQF/M1ZT2Ysuf91EKg4M58sQV9N5/Po3rSYL94RIYbXkeo6&#10;IqwkqZIHzsbpNiTHJxzujpqz0wnbcybnlMlkieb5QUQXX6/Trudnu/kDAAD//wMAUEsDBBQABgAI&#10;AAAAIQAPD4BB3gAAAAoBAAAPAAAAZHJzL2Rvd25yZXYueG1sTI/BTsMwEETvSPyDtUjcqBMgVQhx&#10;qoqKCwckChIc3XgTR9hry3bT8Pe4J7jt7oxm37SbxRo2Y4iTIwHlqgCG1Ds10Sjg4/35pgYWkyQl&#10;jSMU8IMRNt3lRSsb5U70hvM+jSyHUGykAJ2SbziPvUYr48p5pKwNLliZ8hpGroI85XBr+G1RrLmV&#10;E+UPWnp80th/749WwKfVk9qF169BmXn3MmwrvwQvxPXVsn0ElnBJf2Y442d06DLTwR1JRWYE5CJJ&#10;QH1f3wE7y1VZ5tMhT8X6oQLetfx/he4XAAD//wMAUEsBAi0AFAAGAAgAAAAhALaDOJL+AAAA4QEA&#10;ABMAAAAAAAAAAAAAAAAAAAAAAFtDb250ZW50X1R5cGVzXS54bWxQSwECLQAUAAYACAAAACEAOP0h&#10;/9YAAACUAQAACwAAAAAAAAAAAAAAAAAvAQAAX3JlbHMvLnJlbHNQSwECLQAUAAYACAAAACEAbrXc&#10;rRECAAD+AwAADgAAAAAAAAAAAAAAAAAuAgAAZHJzL2Uyb0RvYy54bWxQSwECLQAUAAYACAAAACEA&#10;Dw+AQd4AAAAKAQAADwAAAAAAAAAAAAAAAABrBAAAZHJzL2Rvd25yZXYueG1sUEsFBgAAAAAEAAQA&#10;8wAAAHYFAAAAAA==&#10;" stroked="f">
                <v:textbox style="mso-fit-shape-to-text:t">
                  <w:txbxContent>
                    <w:p w14:paraId="3CC7A1CA" w14:textId="77777777" w:rsidR="00891941" w:rsidRPr="004C2C3B" w:rsidRDefault="00891941" w:rsidP="00891941">
                      <w:pPr>
                        <w:pStyle w:val="ListBullet"/>
                        <w:ind w:left="0" w:firstLine="0"/>
                        <w:rPr>
                          <w:b/>
                          <w:bCs/>
                          <w:sz w:val="18"/>
                          <w:szCs w:val="18"/>
                          <w:lang w:val="en-US"/>
                        </w:rPr>
                      </w:pPr>
                      <w:r w:rsidRPr="00F64AD6">
                        <w:rPr>
                          <w:b/>
                          <w:bCs/>
                          <w:sz w:val="18"/>
                          <w:szCs w:val="18"/>
                          <w:lang w:val="en-US"/>
                        </w:rPr>
                        <w:t xml:space="preserve">Accessible description: </w:t>
                      </w:r>
                      <w:r w:rsidRPr="00562F8D">
                        <w:rPr>
                          <w:sz w:val="18"/>
                          <w:szCs w:val="18"/>
                          <w:lang w:val="en-US"/>
                        </w:rPr>
                        <w:t>Map of an urban area with a river running through the centre and a coastline on the right. Flood risk is shown using shades of blue, with darker colours indicating higher risk. The highest risk areas are concentrated along the river and near the coast, with risk decreasing further away. A legend shows risk ratings, from low to extreme risk.</w:t>
                      </w:r>
                    </w:p>
                  </w:txbxContent>
                </v:textbox>
                <w10:wrap type="square"/>
              </v:shape>
            </w:pict>
          </mc:Fallback>
        </mc:AlternateContent>
      </w:r>
      <w:r>
        <w:rPr>
          <w:noProof/>
        </w:rPr>
        <w:drawing>
          <wp:inline distT="0" distB="0" distL="0" distR="0" wp14:anchorId="68140A78" wp14:editId="0C0BD20B">
            <wp:extent cx="8709103" cy="5263597"/>
            <wp:effectExtent l="0" t="0" r="0" b="0"/>
            <wp:docPr id="730622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22024" name=""/>
                    <pic:cNvPicPr/>
                  </pic:nvPicPr>
                  <pic:blipFill rotWithShape="1">
                    <a:blip r:embed="rId38"/>
                    <a:srcRect t="7679"/>
                    <a:stretch>
                      <a:fillRect/>
                    </a:stretch>
                  </pic:blipFill>
                  <pic:spPr bwMode="auto">
                    <a:xfrm>
                      <a:off x="0" y="0"/>
                      <a:ext cx="8714629" cy="5266937"/>
                    </a:xfrm>
                    <a:prstGeom prst="rect">
                      <a:avLst/>
                    </a:prstGeom>
                    <a:ln>
                      <a:noFill/>
                    </a:ln>
                    <a:extLst>
                      <a:ext uri="{53640926-AAD7-44D8-BBD7-CCE9431645EC}">
                        <a14:shadowObscured xmlns:a14="http://schemas.microsoft.com/office/drawing/2010/main"/>
                      </a:ext>
                    </a:extLst>
                  </pic:spPr>
                </pic:pic>
              </a:graphicData>
            </a:graphic>
          </wp:inline>
        </w:drawing>
      </w:r>
    </w:p>
    <w:p w14:paraId="3CCF2103" w14:textId="77777777" w:rsidR="00891941" w:rsidRDefault="00891941" w:rsidP="00A235AA">
      <w:pPr>
        <w:pStyle w:val="Caption"/>
        <w:sectPr w:rsidR="00891941" w:rsidSect="00350FE8">
          <w:headerReference w:type="even" r:id="rId39"/>
          <w:headerReference w:type="default" r:id="rId40"/>
          <w:headerReference w:type="first" r:id="rId41"/>
          <w:type w:val="continuous"/>
          <w:pgSz w:w="16839" w:h="11907" w:orient="landscape" w:code="9"/>
          <w:pgMar w:top="851" w:right="1418" w:bottom="851" w:left="992" w:header="284" w:footer="284" w:gutter="0"/>
          <w:cols w:num="2" w:space="284"/>
          <w:docGrid w:linePitch="360"/>
        </w:sectPr>
      </w:pPr>
    </w:p>
    <w:p w14:paraId="5DCBCCD7" w14:textId="77777777" w:rsidR="00062253" w:rsidRDefault="00062253" w:rsidP="00996DF9"/>
    <w:p w14:paraId="7E24DB80" w14:textId="6705ACC4" w:rsidR="00062253" w:rsidRDefault="00062253" w:rsidP="00996DF9">
      <w:r w:rsidRPr="006B281D">
        <w:rPr>
          <w:noProof/>
        </w:rPr>
        <w:drawing>
          <wp:inline distT="0" distB="0" distL="0" distR="0" wp14:anchorId="5FC1D15D" wp14:editId="0C092296">
            <wp:extent cx="6742444" cy="3840960"/>
            <wp:effectExtent l="0" t="0" r="1270" b="7620"/>
            <wp:docPr id="751842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42180" name=""/>
                    <pic:cNvPicPr/>
                  </pic:nvPicPr>
                  <pic:blipFill rotWithShape="1">
                    <a:blip r:embed="rId42"/>
                    <a:srcRect b="14876"/>
                    <a:stretch>
                      <a:fillRect/>
                    </a:stretch>
                  </pic:blipFill>
                  <pic:spPr bwMode="auto">
                    <a:xfrm>
                      <a:off x="0" y="0"/>
                      <a:ext cx="6759956" cy="3850936"/>
                    </a:xfrm>
                    <a:prstGeom prst="rect">
                      <a:avLst/>
                    </a:prstGeom>
                    <a:ln>
                      <a:noFill/>
                    </a:ln>
                    <a:extLst>
                      <a:ext uri="{53640926-AAD7-44D8-BBD7-CCE9431645EC}">
                        <a14:shadowObscured xmlns:a14="http://schemas.microsoft.com/office/drawing/2010/main"/>
                      </a:ext>
                    </a:extLst>
                  </pic:spPr>
                </pic:pic>
              </a:graphicData>
            </a:graphic>
          </wp:inline>
        </w:drawing>
      </w:r>
    </w:p>
    <w:p w14:paraId="5303C509" w14:textId="49D3768E" w:rsidR="008462FC" w:rsidRPr="008462FC" w:rsidRDefault="008462FC" w:rsidP="008462FC">
      <w:pPr>
        <w:rPr>
          <w:rStyle w:val="Strong"/>
        </w:rPr>
      </w:pPr>
      <w:r>
        <w:rPr>
          <w:rStyle w:val="Strong"/>
        </w:rPr>
        <w:t xml:space="preserve">Image: </w:t>
      </w:r>
      <w:r w:rsidRPr="008462FC">
        <w:rPr>
          <w:rStyle w:val="Strong"/>
        </w:rPr>
        <w:t>Maribyrnong River</w:t>
      </w:r>
      <w:r>
        <w:rPr>
          <w:rStyle w:val="Strong"/>
        </w:rPr>
        <w:t xml:space="preserve"> B</w:t>
      </w:r>
      <w:r w:rsidRPr="008462FC">
        <w:rPr>
          <w:rStyle w:val="Strong"/>
        </w:rPr>
        <w:t>ike path</w:t>
      </w:r>
    </w:p>
    <w:p w14:paraId="3F4342E3" w14:textId="77777777" w:rsidR="008462FC" w:rsidRDefault="008462FC" w:rsidP="00996DF9"/>
    <w:p w14:paraId="20996EBC" w14:textId="4102C8AD" w:rsidR="00996DF9" w:rsidRDefault="00996DF9" w:rsidP="00996DF9">
      <w:r w:rsidRPr="00EC663B">
        <w:t xml:space="preserve">© The State of Victoria Department of Energy, Environment and Climate Action </w:t>
      </w:r>
      <w:r>
        <w:t xml:space="preserve">October </w:t>
      </w:r>
      <w:r w:rsidRPr="00EC663B">
        <w:t>20</w:t>
      </w:r>
      <w:r>
        <w:t>26</w:t>
      </w:r>
      <w:r w:rsidRPr="00EC663B">
        <w:t xml:space="preserve"> Creative Commons This work is licensed under a Creative Commons Attribution 4.0 International licence, visit the Creative Commons website (http://creativecommons.org/ licenses/by/4.0/). You are free to re-use the work under that licence, on the condition that you credit the State of Victoria as author. The licence does not apply to any images, photographs or branding, including the Victorian Coat of Arms, and the Victorian Government and Department logos. </w:t>
      </w:r>
    </w:p>
    <w:p w14:paraId="234C03B7" w14:textId="77777777" w:rsidR="0096626F" w:rsidRDefault="0096626F" w:rsidP="00996DF9">
      <w:pPr>
        <w:rPr>
          <w:b/>
          <w:bCs/>
        </w:rPr>
      </w:pPr>
      <w:r w:rsidRPr="0096626F">
        <w:rPr>
          <w:b/>
          <w:bCs/>
        </w:rPr>
        <w:t xml:space="preserve">ISBN 978-1-86520-052-1 (pdf/online/MS word) </w:t>
      </w:r>
    </w:p>
    <w:p w14:paraId="29E3604D" w14:textId="77777777" w:rsidR="00062253" w:rsidRDefault="00996DF9" w:rsidP="00062253">
      <w:r w:rsidRPr="00EC663B">
        <w:t>Disclaimer ISBN to be provided 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3D712A">
        <w:t>.</w:t>
      </w:r>
    </w:p>
    <w:p w14:paraId="262BB102" w14:textId="362E50ED" w:rsidR="00891941" w:rsidRPr="00891941" w:rsidRDefault="00996DF9" w:rsidP="00062253">
      <w:r w:rsidRPr="00633313">
        <w:t>Accessibility To receive this document in an alternative format, phone the Customer Contact Centre on 136 186, email customer.service@deeca.vic.gov.au, or contact National Relay Service (www.accesshub.gov.au/) on 133 677. Available at DEECA website (www.deeca.vic.gov.a</w:t>
      </w:r>
      <w:r w:rsidR="00B75FB6">
        <w:t>u)</w:t>
      </w:r>
    </w:p>
    <w:sectPr w:rsidR="00891941" w:rsidRPr="00891941" w:rsidSect="00062253">
      <w:type w:val="continuous"/>
      <w:pgSz w:w="11907" w:h="16839" w:code="9"/>
      <w:pgMar w:top="1418" w:right="851" w:bottom="992" w:left="851"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68B0" w14:textId="77777777" w:rsidR="000A5576" w:rsidRDefault="000A5576" w:rsidP="00CD157B">
      <w:pPr>
        <w:pStyle w:val="NoSpacing"/>
      </w:pPr>
    </w:p>
    <w:p w14:paraId="357BF7E3" w14:textId="77777777" w:rsidR="000A5576" w:rsidRDefault="000A5576"/>
  </w:endnote>
  <w:endnote w:type="continuationSeparator" w:id="0">
    <w:p w14:paraId="3BAC438E" w14:textId="77777777" w:rsidR="000A5576" w:rsidRDefault="000A5576" w:rsidP="00CD157B">
      <w:pPr>
        <w:pStyle w:val="NoSpacing"/>
      </w:pPr>
    </w:p>
    <w:p w14:paraId="5AA861CC" w14:textId="77777777" w:rsidR="000A5576" w:rsidRDefault="000A5576"/>
  </w:endnote>
  <w:endnote w:type="continuationNotice" w:id="1">
    <w:p w14:paraId="4845A87A" w14:textId="77777777" w:rsidR="000A5576" w:rsidRDefault="000A5576" w:rsidP="00CD157B">
      <w:pPr>
        <w:pStyle w:val="NoSpacing"/>
      </w:pPr>
    </w:p>
    <w:p w14:paraId="335D207F" w14:textId="77777777" w:rsidR="000A5576" w:rsidRDefault="000A5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C">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77D6" w14:paraId="5B76C07C" w14:textId="77777777">
      <w:trPr>
        <w:trHeight w:val="397"/>
      </w:trPr>
      <w:tc>
        <w:tcPr>
          <w:tcW w:w="340" w:type="dxa"/>
        </w:tcPr>
        <w:p w14:paraId="18231B44" w14:textId="77777777" w:rsidR="00DB77D6" w:rsidRPr="00D55628" w:rsidRDefault="00DB77D6" w:rsidP="00A60698">
          <w:pPr>
            <w:pStyle w:val="FooterEvenPageNumber"/>
            <w:framePr w:wrap="auto" w:vAnchor="margin" w:hAnchor="text" w:yAlign="inline"/>
          </w:pPr>
          <w:r>
            <w:rPr>
              <w:noProof/>
            </w:rPr>
            <mc:AlternateContent>
              <mc:Choice Requires="wps">
                <w:drawing>
                  <wp:anchor distT="0" distB="0" distL="114300" distR="114300" simplePos="0" relativeHeight="251658268" behindDoc="0" locked="0" layoutInCell="0" allowOverlap="1" wp14:anchorId="2C11D3A9" wp14:editId="42F1B780">
                    <wp:simplePos x="0" y="0"/>
                    <wp:positionH relativeFrom="page">
                      <wp:posOffset>0</wp:posOffset>
                    </wp:positionH>
                    <wp:positionV relativeFrom="page">
                      <wp:posOffset>10228818</wp:posOffset>
                    </wp:positionV>
                    <wp:extent cx="7560945" cy="273050"/>
                    <wp:effectExtent l="0" t="0" r="0" b="12700"/>
                    <wp:wrapNone/>
                    <wp:docPr id="41" name="MSIPCM92ca436da7c4fd00cf95436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9F8C6F" w14:textId="77777777" w:rsidR="00DB77D6" w:rsidRPr="00364C9A" w:rsidRDefault="00DB77D6"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C11D3A9" id="_x0000_t202" coordsize="21600,21600" o:spt="202" path="m,l,21600r21600,l21600,xe">
                    <v:stroke joinstyle="miter"/>
                    <v:path gradientshapeok="t" o:connecttype="rect"/>
                  </v:shapetype>
                  <v:shape id="MSIPCM92ca436da7c4fd00cf954361" o:spid="_x0000_s1032" type="#_x0000_t202" alt="{&quot;HashCode&quot;:-1264680268,&quot;Height&quot;:841.0,&quot;Width&quot;:595.0,&quot;Placement&quot;:&quot;Footer&quot;,&quot;Index&quot;:&quot;OddAndEven&quot;,&quot;Section&quot;:1,&quot;Top&quot;:0.0,&quot;Left&quot;:0.0}" style="position:absolute;margin-left:0;margin-top:805.4pt;width:595.35pt;height:21.5pt;z-index:2516582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2A9F8C6F" w14:textId="77777777" w:rsidR="00DB77D6" w:rsidRPr="00364C9A" w:rsidRDefault="00DB77D6"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t>4</w:t>
          </w:r>
          <w:r w:rsidRPr="00D55628">
            <w:fldChar w:fldCharType="end"/>
          </w:r>
        </w:p>
      </w:tc>
      <w:tc>
        <w:tcPr>
          <w:tcW w:w="9071" w:type="dxa"/>
        </w:tcPr>
        <w:p w14:paraId="73FE5A10" w14:textId="7E181E7D" w:rsidR="00DB77D6" w:rsidRPr="00810C40" w:rsidRDefault="17295A6C" w:rsidP="17295A6C">
          <w:pPr>
            <w:pStyle w:val="FooterEven"/>
            <w:rPr>
              <w:rFonts w:ascii="VIC" w:hAnsi="VIC"/>
              <w:sz w:val="40"/>
              <w:szCs w:val="40"/>
            </w:rPr>
          </w:pPr>
          <w:r>
            <w:t>Guidance Note: Flood risk ratings (October 2026)</w:t>
          </w:r>
        </w:p>
        <w:p w14:paraId="15D9B162" w14:textId="7DB42BE2" w:rsidR="00DB77D6" w:rsidRPr="00810C40" w:rsidRDefault="00DB77D6" w:rsidP="00F01CB2">
          <w:pPr>
            <w:pStyle w:val="Footer"/>
          </w:pPr>
        </w:p>
      </w:tc>
    </w:tr>
  </w:tbl>
  <w:p w14:paraId="75C3449D" w14:textId="77777777" w:rsidR="00DB77D6" w:rsidRDefault="00DB7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77D6" w14:paraId="649EE407" w14:textId="77777777">
      <w:trPr>
        <w:trHeight w:val="397"/>
      </w:trPr>
      <w:tc>
        <w:tcPr>
          <w:tcW w:w="9071" w:type="dxa"/>
        </w:tcPr>
        <w:p w14:paraId="3BD2E866" w14:textId="5DD32693" w:rsidR="00DB77D6" w:rsidRPr="00CB1FB7" w:rsidRDefault="3FE2BB96" w:rsidP="00F01CB2">
          <w:pPr>
            <w:pStyle w:val="FooterOdd"/>
            <w:rPr>
              <w:b/>
            </w:rPr>
          </w:pPr>
          <w:r>
            <w:t>Guidance Note: Flood risk ratings (October 2026)</w:t>
          </w:r>
          <w:r w:rsidRPr="3FE2BB96">
            <w:rPr>
              <w:noProof/>
            </w:rPr>
            <w:t xml:space="preserve"> </w:t>
          </w:r>
          <w:fldSimple w:instr="DOCPROPERTY  xFooterSubtitle  \* MERGEFORMAT"/>
        </w:p>
      </w:tc>
      <w:tc>
        <w:tcPr>
          <w:tcW w:w="340" w:type="dxa"/>
        </w:tcPr>
        <w:p w14:paraId="252A58D7" w14:textId="77777777" w:rsidR="00DB77D6" w:rsidRPr="00D55628" w:rsidRDefault="00DB77D6"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3E9EDC06" w14:textId="77777777" w:rsidR="00DB77D6" w:rsidRDefault="00DB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6320" w14:textId="77777777" w:rsidR="00DB77D6" w:rsidRDefault="00DB77D6">
    <w:pPr>
      <w:pStyle w:val="Footer"/>
    </w:pPr>
    <w:r>
      <w:rPr>
        <w:noProof/>
      </w:rPr>
      <mc:AlternateContent>
        <mc:Choice Requires="wps">
          <w:drawing>
            <wp:anchor distT="0" distB="0" distL="114300" distR="114300" simplePos="0" relativeHeight="251658267" behindDoc="0" locked="0" layoutInCell="0" allowOverlap="1" wp14:anchorId="4E197511" wp14:editId="41ACDAF4">
              <wp:simplePos x="0" y="0"/>
              <wp:positionH relativeFrom="page">
                <wp:posOffset>0</wp:posOffset>
              </wp:positionH>
              <wp:positionV relativeFrom="page">
                <wp:posOffset>10228580</wp:posOffset>
              </wp:positionV>
              <wp:extent cx="7560945" cy="273050"/>
              <wp:effectExtent l="0" t="0" r="0" b="12700"/>
              <wp:wrapNone/>
              <wp:docPr id="40" name="MSIPCMd7f8451f86b85c057b799d53"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DB443B" w14:textId="77777777" w:rsidR="00DB77D6" w:rsidRPr="00364C9A" w:rsidRDefault="00DB77D6"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E197511" id="_x0000_t202" coordsize="21600,21600" o:spt="202" path="m,l,21600r21600,l21600,xe">
              <v:stroke joinstyle="miter"/>
              <v:path gradientshapeok="t" o:connecttype="rect"/>
            </v:shapetype>
            <v:shape id="MSIPCMd7f8451f86b85c057b799d53" o:spid="_x0000_s1033" type="#_x0000_t202" alt="{&quot;HashCode&quot;:-1264680268,&quot;Height&quot;:841.0,&quot;Width&quot;:595.0,&quot;Placement&quot;:&quot;Footer&quot;,&quot;Index&quot;:&quot;FirstPage&quot;,&quot;Section&quot;:1,&quot;Top&quot;:0.0,&quot;Left&quot;:0.0}" style="position:absolute;margin-left:0;margin-top:805.4pt;width:595.35pt;height:21.5pt;z-index:25165826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45DB443B" w14:textId="77777777" w:rsidR="00DB77D6" w:rsidRPr="00364C9A" w:rsidRDefault="00DB77D6"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A7DE6" w14:textId="77777777" w:rsidR="000A5576" w:rsidRPr="0056073C" w:rsidRDefault="000A5576" w:rsidP="005D764F">
      <w:pPr>
        <w:pStyle w:val="FootnoteSeparator"/>
      </w:pPr>
    </w:p>
    <w:p w14:paraId="46CCD12C" w14:textId="77777777" w:rsidR="000A5576" w:rsidRDefault="000A5576"/>
  </w:footnote>
  <w:footnote w:type="continuationSeparator" w:id="0">
    <w:p w14:paraId="102835F0" w14:textId="77777777" w:rsidR="000A5576" w:rsidRPr="00CA30B7" w:rsidRDefault="000A5576" w:rsidP="006D5A90">
      <w:pPr>
        <w:rPr>
          <w:lang w:val="en-US"/>
        </w:rPr>
      </w:pPr>
      <w:r w:rsidRPr="00CA30B7">
        <w:rPr>
          <w:lang w:val="en-US"/>
        </w:rPr>
        <w:t>_______</w:t>
      </w:r>
    </w:p>
    <w:p w14:paraId="71AA0536" w14:textId="77777777" w:rsidR="000A5576" w:rsidRDefault="000A5576"/>
  </w:footnote>
  <w:footnote w:type="continuationNotice" w:id="1">
    <w:p w14:paraId="10DC2425" w14:textId="77777777" w:rsidR="000A5576" w:rsidRDefault="000A5576" w:rsidP="006D5A90"/>
    <w:p w14:paraId="68635AEF" w14:textId="77777777" w:rsidR="000A5576" w:rsidRDefault="000A5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7756" w14:textId="77777777" w:rsidR="00DB77D6" w:rsidRPr="00CD157B" w:rsidRDefault="00BD5177" w:rsidP="00DE2576">
    <w:pPr>
      <w:pStyle w:val="Header"/>
    </w:pPr>
    <w:r>
      <w:rPr>
        <w:noProof/>
      </w:rPr>
      <w:pict w14:anchorId="4222E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729047" o:spid="_x0000_s1034" type="#_x0000_t136" style="position:absolute;margin-left:0;margin-top:0;width:513.85pt;height:205.5pt;rotation:315;z-index:-25165821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B77D6" w:rsidRPr="00484CC4">
      <w:rPr>
        <w:noProof/>
      </w:rPr>
      <mc:AlternateContent>
        <mc:Choice Requires="wps">
          <w:drawing>
            <wp:anchor distT="0" distB="0" distL="114300" distR="114300" simplePos="0" relativeHeight="251658262" behindDoc="0" locked="1" layoutInCell="1" allowOverlap="1" wp14:anchorId="5062DC2C" wp14:editId="7BA56A7C">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F9A6B55">
            <v:shape id="Hdr_Element6" style="position:absolute;margin-left:512.5pt;margin-top:0;width:83.0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71c5e8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B4FDFA3">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61" behindDoc="0" locked="0" layoutInCell="1" allowOverlap="1" wp14:anchorId="13F30379" wp14:editId="6CD8E623">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63A6D33C">
            <v:shape id="Hdr_Element1" style="position:absolute;margin-left:0;margin-top:0;width:595.3pt;height:35.15pt;z-index:25165826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E1F417A">
              <v:path arrowok="t"/>
              <w10:wrap anchorx="page" anchory="page"/>
            </v:shape>
          </w:pict>
        </mc:Fallback>
      </mc:AlternateContent>
    </w:r>
    <w:r w:rsidR="00DB77D6" w:rsidRPr="00484CC4">
      <w:rPr>
        <w:noProof/>
      </w:rPr>
      <mc:AlternateContent>
        <mc:Choice Requires="wps">
          <w:drawing>
            <wp:anchor distT="0" distB="0" distL="114300" distR="114300" simplePos="0" relativeHeight="251658263" behindDoc="0" locked="1" layoutInCell="1" allowOverlap="1" wp14:anchorId="5801BADC" wp14:editId="556A645C">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C681DA9">
            <v:shape id="Hdr_Element4" style="position:absolute;margin-left:363.9pt;margin-top:0;width:115.65pt;height:35.15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97414E1">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64" behindDoc="0" locked="1" layoutInCell="1" allowOverlap="1" wp14:anchorId="6D99007A" wp14:editId="21B4271B">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16CF930">
            <v:shape id="Hdr_Element5" style="position:absolute;margin-left:463.3pt;margin-top:0;width:66.05pt;height:35.15pt;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DBF1736">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65" behindDoc="0" locked="1" layoutInCell="1" allowOverlap="1" wp14:anchorId="174D081C" wp14:editId="013CD0B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49239E22">
            <v:shape id="Hdr_Element2" style="position:absolute;margin-left:297.65pt;margin-top:0;width:82.75pt;height:35.15pt;z-index:2516582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78be20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C991687">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66" behindDoc="0" locked="1" layoutInCell="1" allowOverlap="1" wp14:anchorId="152005AD" wp14:editId="088687BB">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CEB7CED">
            <v:shape id="Hdr_Element3" style="position:absolute;margin-left:363.8pt;margin-top:0;width:33.15pt;height:35.1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AAB294A">
              <v:path arrowok="t"/>
              <w10:wrap anchorx="page" anchory="page"/>
              <w10:anchorlock/>
            </v:shape>
          </w:pict>
        </mc:Fallback>
      </mc:AlternateContent>
    </w:r>
  </w:p>
  <w:p w14:paraId="234FC0F0" w14:textId="77777777" w:rsidR="00DB77D6" w:rsidRPr="00DE2576" w:rsidRDefault="00DB77D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66D6" w14:textId="77777777" w:rsidR="00DB77D6" w:rsidRDefault="00BD5177">
    <w:pPr>
      <w:pStyle w:val="Header"/>
    </w:pPr>
    <w:r>
      <w:rPr>
        <w:noProof/>
      </w:rPr>
      <w:pict w14:anchorId="5120A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729048" o:spid="_x0000_s1035" type="#_x0000_t136" style="position:absolute;margin-left:0;margin-top:0;width:513.85pt;height:205.5pt;rotation:315;z-index:-25165820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F6BB" w14:textId="77777777" w:rsidR="00DB77D6" w:rsidRDefault="00BD5177">
    <w:pPr>
      <w:pStyle w:val="Header"/>
    </w:pPr>
    <w:r>
      <w:rPr>
        <w:noProof/>
      </w:rPr>
      <w:pict w14:anchorId="6DC3D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729046" o:spid="_x0000_s1033" type="#_x0000_t136" style="position:absolute;margin-left:0;margin-top:0;width:513.85pt;height:205.5pt;rotation:315;z-index:-251658211;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8193" w14:textId="32E05D29" w:rsidR="00DB77D6" w:rsidRPr="00CD157B" w:rsidRDefault="0079763B" w:rsidP="00DE2576">
    <w:pPr>
      <w:pStyle w:val="Header"/>
    </w:pPr>
    <w:r>
      <w:rPr>
        <w:noProof/>
      </w:rPr>
      <mc:AlternateContent>
        <mc:Choice Requires="wps">
          <w:drawing>
            <wp:anchor distT="0" distB="0" distL="114300" distR="114300" simplePos="0" relativeHeight="251658281" behindDoc="1" locked="0" layoutInCell="0" allowOverlap="1" wp14:anchorId="0CFFB8BC" wp14:editId="0B616806">
              <wp:simplePos x="0" y="0"/>
              <wp:positionH relativeFrom="margin">
                <wp:align>center</wp:align>
              </wp:positionH>
              <wp:positionV relativeFrom="margin">
                <wp:align>center</wp:align>
              </wp:positionV>
              <wp:extent cx="6525895" cy="2609850"/>
              <wp:effectExtent l="0" t="1767205" r="0" b="1433195"/>
              <wp:wrapNone/>
              <wp:docPr id="13617302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3A1A04"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FFB8BC" id="_x0000_t202" coordsize="21600,21600" o:spt="202" path="m,l,21600r21600,l21600,xe">
              <v:stroke joinstyle="miter"/>
              <v:path gradientshapeok="t" o:connecttype="rect"/>
            </v:shapetype>
            <v:shape id="Text Box 45" o:spid="_x0000_s1034" type="#_x0000_t202" style="position:absolute;margin-left:0;margin-top:0;width:513.85pt;height:205.5pt;rotation:-45;z-index:-25165819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X5D9wEAAMwDAAAOAAAAZHJzL2Uyb0RvYy54bWysU0Fu2zAQvBfoHwjea8kGZNiC5cBJml7S&#10;NkAc5EyTlKVW5LJL2pJ/3yWt2EV7K6IDIS3J2ZnZ0epmMB07avQt2IpPJzln2kpQrd1X/GX78GnB&#10;mQ/CKtGB1RU/ac9v1h8/rHpX6hk00CmNjECsL3tX8SYEV2aZl402wk/AaUubNaARgT5xnykUPaGb&#10;Lpvl+TzrAZVDkNp7qt6fN/k64de1luF7XXsdWFdx4hbSimndxTVbr0S5R+GaVo40xH+wMKK11PQC&#10;dS+CYAds/4EyrUTwUIeJBJNBXbdSJw2kZpr/pea5EU4nLWSOdxeb/PvBym/HZ/eELAy3MNAAkwjv&#10;HkH+9MzCXSPsXm8QoW+0UNR4yi/lRG97cjTWVN3qIXxWLXk8jb5mvfPliB/n4UsfO+36r6DoijgE&#10;SN2GGg1DiNcWyzw+qUzeMGJEQztdBkUNmKTivJgVi2XBmaS92TxfLoo0ykyUES0OwqEPXzQYFl8q&#10;jpSEBCuOjz5EdtcjI9XI7swzDLuBtYqgo47IfAfqRNx7CkrF/a+DQE0+HMwdUK5IfI1gXimJG0zq&#10;3whsh1eBbqQQiP1T9xaUxCMlRjErTDRE/SAg01H+jqJjRXLizHQ8PHI+o8a73m3IxYc2CbryHAVR&#10;ZJLOMd4xk39+p1PXn3D9GwAA//8DAFBLAwQUAAYACAAAACEAksjl8NwAAAAGAQAADwAAAGRycy9k&#10;b3ducmV2LnhtbEyPzW7CMBCE75X6DtYi9Vbs0ApQGgdVjXrgyI84m3hJUux1Gjsk9OlruLSXlUYz&#10;mvk2W43WsAt2vnEkIZkKYEil0w1VEva7z+clMB8UaWUcoYQreljljw+ZSrUbaIOXbahYLCGfKgl1&#10;CG3KuS9rtMpPXYsUvZPrrApRdhXXnRpiuTV8JsScW9VQXKhVix81ludtbyXon9O1fRmG3Xq9Kfpv&#10;0xQFHr6kfJqM72/AAo7hLww3/IgOeWQ6up60Z0ZCfCTc780Ts8UC2FHCa5II4HnG/+PnvwAAAP//&#10;AwBQSwECLQAUAAYACAAAACEAtoM4kv4AAADhAQAAEwAAAAAAAAAAAAAAAAAAAAAAW0NvbnRlbnRf&#10;VHlwZXNdLnhtbFBLAQItABQABgAIAAAAIQA4/SH/1gAAAJQBAAALAAAAAAAAAAAAAAAAAC8BAABf&#10;cmVscy8ucmVsc1BLAQItABQABgAIAAAAIQB9KX5D9wEAAMwDAAAOAAAAAAAAAAAAAAAAAC4CAABk&#10;cnMvZTJvRG9jLnhtbFBLAQItABQABgAIAAAAIQCSyOXw3AAAAAYBAAAPAAAAAAAAAAAAAAAAAFEE&#10;AABkcnMvZG93bnJldi54bWxQSwUGAAAAAAQABADzAAAAWgUAAAAA&#10;" o:allowincell="f" filled="f" stroked="f">
              <v:stroke joinstyle="round"/>
              <o:lock v:ext="edit" shapetype="t"/>
              <v:textbox style="mso-fit-shape-to-text:t">
                <w:txbxContent>
                  <w:p w14:paraId="3B3A1A04"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DB77D6">
      <w:rPr>
        <w:noProof/>
      </w:rPr>
      <mc:AlternateContent>
        <mc:Choice Requires="wps">
          <w:drawing>
            <wp:anchor distT="0" distB="0" distL="114300" distR="114300" simplePos="0" relativeHeight="251658280" behindDoc="1" locked="0" layoutInCell="0" allowOverlap="1" wp14:anchorId="495EC975" wp14:editId="42FDB592">
              <wp:simplePos x="0" y="0"/>
              <wp:positionH relativeFrom="margin">
                <wp:align>center</wp:align>
              </wp:positionH>
              <wp:positionV relativeFrom="margin">
                <wp:align>center</wp:align>
              </wp:positionV>
              <wp:extent cx="6525895" cy="2609850"/>
              <wp:effectExtent l="0" t="1767205" r="0" b="1433195"/>
              <wp:wrapNone/>
              <wp:docPr id="147742637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A92252"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5EC975" id="Text Box 28" o:spid="_x0000_s1035" type="#_x0000_t202" style="position:absolute;margin-left:0;margin-top:0;width:513.85pt;height:205.5pt;rotation:-45;z-index:-2516582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8c+QEAAMwDAAAOAAAAZHJzL2Uyb0RvYy54bWysU0Fu2zAQvBfoHwjea8kuZNiC5cBNml7S&#10;NkBc5EyTlKVW5LJL2pJ/3yWt2EVyK6oDIS3J2ZnZ0epmMB07avQt2IpPJzln2kpQrd1X/Mf2/sOC&#10;Mx+EVaIDqyt+0p7frN+/W/Wu1DNooFMaGYFYX/au4k0IrswyLxtthJ+A05Y2a0AjAn3iPlMoekI3&#10;XTbL83nWAyqHILX3VL07b/J1wq9rLcP3uvY6sK7ixC2kFdO6i2u2Xolyj8I1rRxpiH9gYURrqekF&#10;6k4EwQ7YvoEyrUTwUIeJBJNBXbdSJw2kZpq/UvPUCKeTFjLHu4tN/v/Bym/HJ/eILAyfYKABJhHe&#10;PYD85ZmF20bYvd4gQt9ooajxlF/Kid725GisqbrVQ/isWvJ4Gn3NeufLET/Ow5c+dtr1X0HRFXEI&#10;kLoNNRqGEK8tlnl8Upm8YcSIhna6DIoaMEnFeTErFsuCM0l7s3m+XBRplJkoI1ochEMfvmgwLL5U&#10;HCkJCVYcH3yI7K5HRqqR3ZlnGHYDa1XFP0YdkfkO1Im49xSUivvfB4GafDiYW6BckfgawTxTEjeY&#10;1L8Q2A7PAt1IIRD7x+4lKIlHSoxiVphoiPpJQKaj/B1Fx4rkxJnpeHjkfEaNd73bkIv3bRJ05TkK&#10;osgknWO8Yyb//k6nrj/h+g8AAAD//wMAUEsDBBQABgAIAAAAIQCSyOXw3AAAAAYBAAAPAAAAZHJz&#10;L2Rvd25yZXYueG1sTI/NbsIwEITvlfoO1iL1VuzQClAaB1WNeuDIjzibeElS7HUaOyT06Wu4tJeV&#10;RjOa+TZbjdawC3a+cSQhmQpgSKXTDVUS9rvP5yUwHxRpZRyhhCt6WOWPD5lKtRtog5dtqFgsIZ8q&#10;CXUIbcq5L2u0yk9dixS9k+usClF2FdedGmK5NXwmxJxb1VBcqFWLHzWW521vJeif07V9GYbder0p&#10;+m/TFAUevqR8mozvb8ACjuEvDDf8iA55ZDq6nrRnRkJ8JNzvzROzxQLYUcJrkgjgecb/4+e/AAAA&#10;//8DAFBLAQItABQABgAIAAAAIQC2gziS/gAAAOEBAAATAAAAAAAAAAAAAAAAAAAAAABbQ29udGVu&#10;dF9UeXBlc10ueG1sUEsBAi0AFAAGAAgAAAAhADj9If/WAAAAlAEAAAsAAAAAAAAAAAAAAAAALwEA&#10;AF9yZWxzLy5yZWxzUEsBAi0AFAAGAAgAAAAhAOl1vxz5AQAAzAMAAA4AAAAAAAAAAAAAAAAALgIA&#10;AGRycy9lMm9Eb2MueG1sUEsBAi0AFAAGAAgAAAAhAJLI5fDcAAAABgEAAA8AAAAAAAAAAAAAAAAA&#10;UwQAAGRycy9kb3ducmV2LnhtbFBLBQYAAAAABAAEAPMAAABcBQAAAAA=&#10;" o:allowincell="f" filled="f" stroked="f">
              <v:stroke joinstyle="round"/>
              <o:lock v:ext="edit" shapetype="t"/>
              <v:textbox style="mso-fit-shape-to-text:t">
                <w:txbxContent>
                  <w:p w14:paraId="66A92252"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DB77D6" w:rsidRPr="00484CC4">
      <w:rPr>
        <w:noProof/>
      </w:rPr>
      <mc:AlternateContent>
        <mc:Choice Requires="wps">
          <w:drawing>
            <wp:anchor distT="0" distB="0" distL="114300" distR="114300" simplePos="0" relativeHeight="251658275" behindDoc="0" locked="1" layoutInCell="1" allowOverlap="1" wp14:anchorId="1F588AF3" wp14:editId="22D74A9F">
              <wp:simplePos x="0" y="0"/>
              <wp:positionH relativeFrom="page">
                <wp:posOffset>6508750</wp:posOffset>
              </wp:positionH>
              <wp:positionV relativeFrom="page">
                <wp:posOffset>0</wp:posOffset>
              </wp:positionV>
              <wp:extent cx="1054800" cy="446400"/>
              <wp:effectExtent l="0" t="0" r="0" b="0"/>
              <wp:wrapNone/>
              <wp:docPr id="1328931477"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4C6B418D">
            <v:shape id="Hdr_Element6" style="position:absolute;margin-left:512.5pt;margin-top:0;width:83.05pt;height:35.1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71c5e8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CB10AD7">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74" behindDoc="0" locked="0" layoutInCell="1" allowOverlap="1" wp14:anchorId="38566E09" wp14:editId="66C8128E">
              <wp:simplePos x="0" y="0"/>
              <wp:positionH relativeFrom="page">
                <wp:align>left</wp:align>
              </wp:positionH>
              <wp:positionV relativeFrom="page">
                <wp:align>top</wp:align>
              </wp:positionV>
              <wp:extent cx="7560000" cy="446400"/>
              <wp:effectExtent l="0" t="0" r="3175" b="0"/>
              <wp:wrapNone/>
              <wp:docPr id="1211200917"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151DB088">
            <v:shape id="Hdr_Element1" style="position:absolute;margin-left:0;margin-top:0;width:595.3pt;height:35.15pt;z-index:25165827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567950B">
              <v:path arrowok="t"/>
              <w10:wrap anchorx="page" anchory="page"/>
            </v:shape>
          </w:pict>
        </mc:Fallback>
      </mc:AlternateContent>
    </w:r>
    <w:r w:rsidR="00DB77D6" w:rsidRPr="00484CC4">
      <w:rPr>
        <w:noProof/>
      </w:rPr>
      <mc:AlternateContent>
        <mc:Choice Requires="wps">
          <w:drawing>
            <wp:anchor distT="0" distB="0" distL="114300" distR="114300" simplePos="0" relativeHeight="251658276" behindDoc="0" locked="1" layoutInCell="1" allowOverlap="1" wp14:anchorId="247CAFC6" wp14:editId="5E6FFEC4">
              <wp:simplePos x="0" y="0"/>
              <wp:positionH relativeFrom="page">
                <wp:posOffset>4621530</wp:posOffset>
              </wp:positionH>
              <wp:positionV relativeFrom="page">
                <wp:posOffset>0</wp:posOffset>
              </wp:positionV>
              <wp:extent cx="1468800" cy="446400"/>
              <wp:effectExtent l="0" t="0" r="0" b="0"/>
              <wp:wrapNone/>
              <wp:docPr id="317093019"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02F53320">
            <v:shape id="Hdr_Element4" style="position:absolute;margin-left:363.9pt;margin-top:0;width:115.65pt;height:35.15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1C9D954">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77" behindDoc="0" locked="1" layoutInCell="1" allowOverlap="1" wp14:anchorId="098D9C1E" wp14:editId="18AAE87E">
              <wp:simplePos x="0" y="0"/>
              <wp:positionH relativeFrom="page">
                <wp:posOffset>5883910</wp:posOffset>
              </wp:positionH>
              <wp:positionV relativeFrom="page">
                <wp:posOffset>0</wp:posOffset>
              </wp:positionV>
              <wp:extent cx="838800" cy="446400"/>
              <wp:effectExtent l="0" t="0" r="0" b="0"/>
              <wp:wrapNone/>
              <wp:docPr id="13595901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2AF6ABBA">
            <v:shape id="Hdr_Element5" style="position:absolute;margin-left:463.3pt;margin-top:0;width:66.05pt;height:35.15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7DF5C2A">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78" behindDoc="0" locked="1" layoutInCell="1" allowOverlap="1" wp14:anchorId="6FA5E916" wp14:editId="4AEBDD7D">
              <wp:simplePos x="0" y="0"/>
              <wp:positionH relativeFrom="page">
                <wp:posOffset>3780155</wp:posOffset>
              </wp:positionH>
              <wp:positionV relativeFrom="page">
                <wp:posOffset>0</wp:posOffset>
              </wp:positionV>
              <wp:extent cx="1051200" cy="446400"/>
              <wp:effectExtent l="0" t="0" r="0" b="0"/>
              <wp:wrapNone/>
              <wp:docPr id="183944849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574BB756">
            <v:shape id="Hdr_Element2" style="position:absolute;margin-left:297.65pt;margin-top:0;width:82.75pt;height:35.15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78be20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058E445">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79" behindDoc="0" locked="1" layoutInCell="1" allowOverlap="1" wp14:anchorId="559CDED9" wp14:editId="7E1E0DE2">
              <wp:simplePos x="0" y="0"/>
              <wp:positionH relativeFrom="page">
                <wp:posOffset>4620260</wp:posOffset>
              </wp:positionH>
              <wp:positionV relativeFrom="page">
                <wp:posOffset>0</wp:posOffset>
              </wp:positionV>
              <wp:extent cx="421200" cy="446400"/>
              <wp:effectExtent l="0" t="0" r="0" b="0"/>
              <wp:wrapNone/>
              <wp:docPr id="2108732611"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0B9FECB4">
            <v:shape id="Hdr_Element3" style="position:absolute;margin-left:363.8pt;margin-top:0;width:33.15pt;height:35.15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9E32C24">
              <v:path arrowok="t"/>
              <w10:wrap anchorx="page" anchory="page"/>
              <w10:anchorlock/>
            </v:shape>
          </w:pict>
        </mc:Fallback>
      </mc:AlternateContent>
    </w:r>
  </w:p>
  <w:p w14:paraId="0F39AEA9" w14:textId="77777777" w:rsidR="00DB77D6" w:rsidRPr="00DE2576" w:rsidRDefault="00DB77D6"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A84B" w14:textId="1B14F460" w:rsidR="00DB77D6" w:rsidRPr="00CD157B" w:rsidRDefault="0079763B" w:rsidP="00CD157B">
    <w:pPr>
      <w:pStyle w:val="Header"/>
    </w:pPr>
    <w:r>
      <w:rPr>
        <w:noProof/>
      </w:rPr>
      <mc:AlternateContent>
        <mc:Choice Requires="wps">
          <w:drawing>
            <wp:anchor distT="0" distB="0" distL="114300" distR="114300" simplePos="0" relativeHeight="251658282" behindDoc="1" locked="0" layoutInCell="0" allowOverlap="1" wp14:anchorId="54635A14" wp14:editId="305DD72F">
              <wp:simplePos x="0" y="0"/>
              <wp:positionH relativeFrom="margin">
                <wp:align>center</wp:align>
              </wp:positionH>
              <wp:positionV relativeFrom="margin">
                <wp:align>center</wp:align>
              </wp:positionV>
              <wp:extent cx="6525895" cy="2609850"/>
              <wp:effectExtent l="0" t="1767205" r="0" b="1433195"/>
              <wp:wrapNone/>
              <wp:docPr id="66291129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060F26"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4635A14" id="_x0000_t202" coordsize="21600,21600" o:spt="202" path="m,l,21600r21600,l21600,xe">
              <v:stroke joinstyle="miter"/>
              <v:path gradientshapeok="t" o:connecttype="rect"/>
            </v:shapetype>
            <v:shape id="Text Box 46" o:spid="_x0000_s1036" type="#_x0000_t202" style="position:absolute;margin-left:0;margin-top:0;width:513.85pt;height:205.5pt;rotation:-45;z-index:-25165819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IhY+QEAAMwDAAAOAAAAZHJzL2Uyb0RvYy54bWysU0Fu2zAQvBfoHwjea8lGZdiC5cBNml7S&#10;NkBc5EyTlKVW5LJL2pJ/3yWt2EVyK6oDIS3J2ZnZ0epmMB07avQt2IpPJzln2kpQrd1X/Mf2/sOC&#10;Mx+EVaIDqyt+0p7frN+/W/Wu1DNooFMaGYFYX/au4k0IrswyLxtthJ+A05Y2a0AjAn3iPlMoekI3&#10;XTbL83nWAyqHILX3VL07b/J1wq9rLcP3uvY6sK7ixC2kFdO6i2u2Xolyj8I1rRxpiH9gYURrqekF&#10;6k4EwQ7YvoEyrUTwUIeJBJNBXbdSJw2kZpq/UvPUCKeTFjLHu4tN/v/Bym/HJ/eILAyfYKABJhHe&#10;PYD85ZmF20bYvd4gQt9ooajxlF/Kid725GisqbrVQ/isWvJ4Gn3NeufLET/Ow5c+dtr1X0HRFXEI&#10;kLoNNRqGEK8tlnl8Upm8YcSIhna6DIoaMEnFeTErFsuCM0l7s3m+XBRplJkoI1ochEMfvmgwLL5U&#10;HCkJCVYcH3yI7K5HRqqR3ZlnGHYDa1XFP0YdkfkO1Im49xSUivvfB4GafDiYW6BckfgawTxTEjeY&#10;1L8Q2A7PAt1IIRD7x+4lKIlHSoxiVphoiPpJQKaj/B1Fx4rkxJnpeHjkfEaNd73bkIv3bRJ05TkK&#10;osgknWO8Yyb//k6nrj/h+g8AAAD//wMAUEsDBBQABgAIAAAAIQCSyOXw3AAAAAYBAAAPAAAAZHJz&#10;L2Rvd25yZXYueG1sTI/NbsIwEITvlfoO1iL1VuzQClAaB1WNeuDIjzibeElS7HUaOyT06Wu4tJeV&#10;RjOa+TZbjdawC3a+cSQhmQpgSKXTDVUS9rvP5yUwHxRpZRyhhCt6WOWPD5lKtRtog5dtqFgsIZ8q&#10;CXUIbcq5L2u0yk9dixS9k+usClF2FdedGmK5NXwmxJxb1VBcqFWLHzWW521vJeif07V9GYbder0p&#10;+m/TFAUevqR8mozvb8ACjuEvDDf8iA55ZDq6nrRnRkJ8JNzvzROzxQLYUcJrkgjgecb/4+e/AAAA&#10;//8DAFBLAQItABQABgAIAAAAIQC2gziS/gAAAOEBAAATAAAAAAAAAAAAAAAAAAAAAABbQ29udGVu&#10;dF9UeXBlc10ueG1sUEsBAi0AFAAGAAgAAAAhADj9If/WAAAAlAEAAAsAAAAAAAAAAAAAAAAALwEA&#10;AF9yZWxzLy5yZWxzUEsBAi0AFAAGAAgAAAAhAETkiFj5AQAAzAMAAA4AAAAAAAAAAAAAAAAALgIA&#10;AGRycy9lMm9Eb2MueG1sUEsBAi0AFAAGAAgAAAAhAJLI5fDcAAAABgEAAA8AAAAAAAAAAAAAAAAA&#10;UwQAAGRycy9kb3ducmV2LnhtbFBLBQYAAAAABAAEAPMAAABcBQAAAAA=&#10;" o:allowincell="f" filled="f" stroked="f">
              <v:stroke joinstyle="round"/>
              <o:lock v:ext="edit" shapetype="t"/>
              <v:textbox style="mso-fit-shape-to-text:t">
                <w:txbxContent>
                  <w:p w14:paraId="4F060F26"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DB77D6" w:rsidRPr="002D38FC">
      <w:t xml:space="preserve"> </w:t>
    </w:r>
    <w:r w:rsidR="00DB77D6" w:rsidRPr="00484CC4">
      <w:rPr>
        <w:noProof/>
      </w:rPr>
      <mc:AlternateContent>
        <mc:Choice Requires="wps">
          <w:drawing>
            <wp:anchor distT="0" distB="0" distL="114300" distR="114300" simplePos="0" relativeHeight="251658256" behindDoc="0" locked="1" layoutInCell="1" allowOverlap="1" wp14:anchorId="62079C3F" wp14:editId="5902148C">
              <wp:simplePos x="0" y="0"/>
              <wp:positionH relativeFrom="page">
                <wp:posOffset>6508750</wp:posOffset>
              </wp:positionH>
              <wp:positionV relativeFrom="page">
                <wp:posOffset>0</wp:posOffset>
              </wp:positionV>
              <wp:extent cx="1054800" cy="446400"/>
              <wp:effectExtent l="0" t="0" r="0" b="0"/>
              <wp:wrapNone/>
              <wp:docPr id="688511980"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74F218FE">
            <v:shape id="Hdr_Element6" style="position:absolute;margin-left:512.5pt;margin-top:0;width:83.0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71c5e8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ED9C335">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55" behindDoc="0" locked="0" layoutInCell="1" allowOverlap="1" wp14:anchorId="3FDB1BC5" wp14:editId="53C53765">
              <wp:simplePos x="0" y="0"/>
              <wp:positionH relativeFrom="page">
                <wp:align>left</wp:align>
              </wp:positionH>
              <wp:positionV relativeFrom="page">
                <wp:align>top</wp:align>
              </wp:positionV>
              <wp:extent cx="7560000" cy="446400"/>
              <wp:effectExtent l="0" t="0" r="3175" b="0"/>
              <wp:wrapNone/>
              <wp:docPr id="1208282126"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3C556084">
            <v:shape id="Hdr_Element1" style="position:absolute;margin-left:0;margin-top:0;width:595.3pt;height:35.15pt;z-index:25165825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32938C0">
              <v:path arrowok="t"/>
              <w10:wrap anchorx="page" anchory="page"/>
            </v:shape>
          </w:pict>
        </mc:Fallback>
      </mc:AlternateContent>
    </w:r>
    <w:r w:rsidR="00DB77D6" w:rsidRPr="00484CC4">
      <w:rPr>
        <w:noProof/>
      </w:rPr>
      <mc:AlternateContent>
        <mc:Choice Requires="wps">
          <w:drawing>
            <wp:anchor distT="0" distB="0" distL="114300" distR="114300" simplePos="0" relativeHeight="251658257" behindDoc="0" locked="1" layoutInCell="1" allowOverlap="1" wp14:anchorId="4FEB0DEF" wp14:editId="0782676A">
              <wp:simplePos x="0" y="0"/>
              <wp:positionH relativeFrom="page">
                <wp:posOffset>4621530</wp:posOffset>
              </wp:positionH>
              <wp:positionV relativeFrom="page">
                <wp:posOffset>0</wp:posOffset>
              </wp:positionV>
              <wp:extent cx="1468800" cy="446400"/>
              <wp:effectExtent l="0" t="0" r="0" b="0"/>
              <wp:wrapNone/>
              <wp:docPr id="350111731"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18770E03">
            <v:shape id="Hdr_Element4" style="position:absolute;margin-left:363.9pt;margin-top:0;width:115.6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A62F339">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58" behindDoc="0" locked="1" layoutInCell="1" allowOverlap="1" wp14:anchorId="30C5FBF7" wp14:editId="365FFDE2">
              <wp:simplePos x="0" y="0"/>
              <wp:positionH relativeFrom="page">
                <wp:posOffset>5883910</wp:posOffset>
              </wp:positionH>
              <wp:positionV relativeFrom="page">
                <wp:posOffset>0</wp:posOffset>
              </wp:positionV>
              <wp:extent cx="838800" cy="446400"/>
              <wp:effectExtent l="0" t="0" r="0" b="0"/>
              <wp:wrapNone/>
              <wp:docPr id="84350314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1958C472">
            <v:shape id="Hdr_Element5" style="position:absolute;margin-left:463.3pt;margin-top:0;width:66.05pt;height:35.1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E8D8E4D">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59" behindDoc="0" locked="1" layoutInCell="1" allowOverlap="1" wp14:anchorId="1B9BA810" wp14:editId="3D8B22F0">
              <wp:simplePos x="0" y="0"/>
              <wp:positionH relativeFrom="page">
                <wp:posOffset>3780155</wp:posOffset>
              </wp:positionH>
              <wp:positionV relativeFrom="page">
                <wp:posOffset>0</wp:posOffset>
              </wp:positionV>
              <wp:extent cx="1051200" cy="446400"/>
              <wp:effectExtent l="0" t="0" r="0" b="0"/>
              <wp:wrapNone/>
              <wp:docPr id="334976524"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327ADAB8">
            <v:shape id="Hdr_Element2" style="position:absolute;margin-left:297.65pt;margin-top:0;width:82.7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78be20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600A674">
              <v:path arrowok="t"/>
              <w10:wrap anchorx="page" anchory="page"/>
              <w10:anchorlock/>
            </v:shape>
          </w:pict>
        </mc:Fallback>
      </mc:AlternateContent>
    </w:r>
    <w:r w:rsidR="00DB77D6" w:rsidRPr="00484CC4">
      <w:rPr>
        <w:noProof/>
      </w:rPr>
      <mc:AlternateContent>
        <mc:Choice Requires="wps">
          <w:drawing>
            <wp:anchor distT="0" distB="0" distL="114300" distR="114300" simplePos="0" relativeHeight="251658260" behindDoc="0" locked="1" layoutInCell="1" allowOverlap="1" wp14:anchorId="1DC822B6" wp14:editId="21E86B92">
              <wp:simplePos x="0" y="0"/>
              <wp:positionH relativeFrom="page">
                <wp:posOffset>4620260</wp:posOffset>
              </wp:positionH>
              <wp:positionV relativeFrom="page">
                <wp:posOffset>0</wp:posOffset>
              </wp:positionV>
              <wp:extent cx="421200" cy="446400"/>
              <wp:effectExtent l="0" t="0" r="0" b="0"/>
              <wp:wrapNone/>
              <wp:docPr id="155909154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xmlns:a14="http://schemas.microsoft.com/office/drawing/2010/main">
          <w:pict w14:anchorId="272F399D">
            <v:shape id="Hdr_Element3" style="position:absolute;margin-left:363.8pt;margin-top:0;width:33.1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C187D13">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9491" w14:textId="0B37D4DF" w:rsidR="00DB77D6" w:rsidRDefault="0079763B">
    <w:pPr>
      <w:pStyle w:val="Header"/>
    </w:pPr>
    <w:r>
      <w:rPr>
        <w:noProof/>
      </w:rPr>
      <mc:AlternateContent>
        <mc:Choice Requires="wps">
          <w:drawing>
            <wp:anchor distT="0" distB="0" distL="114300" distR="114300" simplePos="0" relativeHeight="251658273" behindDoc="1" locked="0" layoutInCell="0" allowOverlap="1" wp14:anchorId="0283A389" wp14:editId="55A738B8">
              <wp:simplePos x="0" y="0"/>
              <wp:positionH relativeFrom="margin">
                <wp:align>center</wp:align>
              </wp:positionH>
              <wp:positionV relativeFrom="margin">
                <wp:align>center</wp:align>
              </wp:positionV>
              <wp:extent cx="6525895" cy="2609850"/>
              <wp:effectExtent l="0" t="1771650" r="0" b="1428750"/>
              <wp:wrapNone/>
              <wp:docPr id="101102003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44790C"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283A389" id="_x0000_t202" coordsize="21600,21600" o:spt="202" path="m,l,21600r21600,l21600,xe">
              <v:stroke joinstyle="miter"/>
              <v:path gradientshapeok="t" o:connecttype="rect"/>
            </v:shapetype>
            <v:shape id="Text Box 47" o:spid="_x0000_s1037" type="#_x0000_t202" style="position:absolute;margin-left:0;margin-top:0;width:513.85pt;height:205.5pt;rotation:-45;z-index:-25165820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kH+AEAAMwDAAAOAAAAZHJzL2Uyb0RvYy54bWysU0Fu2zAQvBfoHwjea8kGZNiC5cBJml7S&#10;NkAc5EyTlKVW5LJL2pJ/3yWt2EV7K6IDIS3J2ZnZ0epmMB07avQt2IpPJzln2kpQrd1X/GX78GnB&#10;mQ/CKtGB1RU/ac9v1h8/rHpX6hk00CmNjECsL3tX8SYEV2aZl402wk/AaUubNaARgT5xnykUPaGb&#10;Lpvl+TzrAZVDkNp7qt6fN/k64de1luF7XXsdWFdx4hbSimndxTVbr0S5R+GaVo40xH+wMKK11PQC&#10;dS+CYAds/4EyrUTwUIeJBJNBXbdSJw2kZpr/pea5EU4nLWSOdxeb/PvBym/HZ/eELAy3MNAAkwjv&#10;HkH+9MzCXSPsXm8QoW+0UNR4yi/lRG97cjTWVN3qIXxWLXk8jb5mvfPliB/n4UsfO+36r6DoijgE&#10;SN2GGg1DiNcWyzw+qUzeMGJEQztdBkUNmKTivJgVi2XBmaS92TxfLoo0ykyUES0OwqEPXzQYFl8q&#10;jpSEBCuOjz5EdtcjI9XI7swzDLuBtariRdQRme9AnYh7T0GpuP91EKjJh4O5A8oVia8RzCslcYNJ&#10;/RuB7fAq0I0UArF/6t6CknikxChmhYmGqB8EZDrK31F0rEhOnJmOh0fOZ9R417sNufjQJkFXnqMg&#10;ikzSOcY7ZvLP73Tq+hOufwMAAP//AwBQSwMEFAAGAAgAAAAhAJLI5fDcAAAABgEAAA8AAABkcnMv&#10;ZG93bnJldi54bWxMj81uwjAQhO+V+g7WIvVW7NAKUBoHVY164MiPOJt4SVLsdRo7JPTpa7i0l5VG&#10;M5r5NluN1rALdr5xJCGZCmBIpdMNVRL2u8/nJTAfFGllHKGEK3pY5Y8PmUq1G2iDl22oWCwhnyoJ&#10;dQhtyrkva7TKT12LFL2T66wKUXYV150aYrk1fCbEnFvVUFyoVYsfNZbnbW8l6J/TtX0Zht16vSn6&#10;b9MUBR6+pHyajO9vwAKO4S8MN/yIDnlkOrqetGdGQnwk3O/NE7PFAthRwmuSCOB5xv/j578AAAD/&#10;/wMAUEsBAi0AFAAGAAgAAAAhALaDOJL+AAAA4QEAABMAAAAAAAAAAAAAAAAAAAAAAFtDb250ZW50&#10;X1R5cGVzXS54bWxQSwECLQAUAAYACAAAACEAOP0h/9YAAACUAQAACwAAAAAAAAAAAAAAAAAvAQAA&#10;X3JlbHMvLnJlbHNQSwECLQAUAAYACAAAACEA0LhJB/gBAADMAwAADgAAAAAAAAAAAAAAAAAuAgAA&#10;ZHJzL2Uyb0RvYy54bWxQSwECLQAUAAYACAAAACEAksjl8NwAAAAGAQAADwAAAAAAAAAAAAAAAABS&#10;BAAAZHJzL2Rvd25yZXYueG1sUEsFBgAAAAAEAAQA8wAAAFsFAAAAAA==&#10;" o:allowincell="f" filled="f" stroked="f">
              <v:stroke joinstyle="round"/>
              <o:lock v:ext="edit" shapetype="t"/>
              <v:textbox style="mso-fit-shape-to-text:t">
                <w:txbxContent>
                  <w:p w14:paraId="2944790C" w14:textId="77777777" w:rsidR="0079763B" w:rsidRDefault="0079763B" w:rsidP="0079763B">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DB77D6">
      <w:rPr>
        <w:noProof/>
      </w:rPr>
      <mc:AlternateContent>
        <mc:Choice Requires="wps">
          <w:drawing>
            <wp:anchor distT="0" distB="0" distL="114300" distR="114300" simplePos="0" relativeHeight="251658272" behindDoc="1" locked="0" layoutInCell="0" allowOverlap="1" wp14:anchorId="0F257253" wp14:editId="04F5D337">
              <wp:simplePos x="0" y="0"/>
              <wp:positionH relativeFrom="margin">
                <wp:align>center</wp:align>
              </wp:positionH>
              <wp:positionV relativeFrom="margin">
                <wp:align>center</wp:align>
              </wp:positionV>
              <wp:extent cx="6525895" cy="2609850"/>
              <wp:effectExtent l="0" t="1771650" r="0" b="1428750"/>
              <wp:wrapNone/>
              <wp:docPr id="42515086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9E9A6C"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F257253" id="Text Box 29" o:spid="_x0000_s1038" type="#_x0000_t202" style="position:absolute;margin-left:0;margin-top:0;width:513.85pt;height:205.5pt;rotation:-45;z-index:-2516582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Qrn+AEAAMwDAAAOAAAAZHJzL2Uyb0RvYy54bWysU0Fu2zAQvBfoHwjea8kGZNiC5cBJml7S&#10;NkAc5EyTlKVW5LJL2pJ/3yWt2EV7K6IDIS3J2ZnZ0epmMB07avQt2IpPJzln2kpQrd1X/GX78GnB&#10;mQ/CKtGB1RU/ac9v1h8/rHpX6hk00CmNjECsL3tX8SYEV2aZl402wk/AaUubNaARgT5xnykUPaGb&#10;Lpvl+TzrAZVDkNp7qt6fN/k64de1luF7XXsdWFdx4hbSimndxTVbr0S5R+GaVo40xH+wMKK11PQC&#10;dS+CYAds/4EyrUTwUIeJBJNBXbdSJw2kZpr/pea5EU4nLWSOdxeb/PvBym/HZ/eELAy3MNAAkwjv&#10;HkH+9MzCXSPsXm8QoW+0UNR4yi/lRG97cjTWVN3qIXxWLXk8jb5mvfPliB/n4UsfO+36r6DoijgE&#10;SN2GGg1DiNcWyzw+qUzeMGJEQztdBkUNmKTivJgVi2XBmaS92TxfLoo0ykyUES0OwqEPXzQYFl8q&#10;jpSEBCuOjz5EdtcjI9XI7swzDLuBtYr6RB2R+Q7Uibj3FJSK+18HgZp8OJg7oFyR+BrBvFISN5jU&#10;vxHYDq8C3UghEPun7i0oiUdKjGJWmGiI+kFApqP8HUXHiuTEmel4eOR8Ro13vduQiw9tEnTlOQqi&#10;yCSdY7xjJv/8TqeuP+H6NwAAAP//AwBQSwMEFAAGAAgAAAAhAJLI5fDcAAAABgEAAA8AAABkcnMv&#10;ZG93bnJldi54bWxMj81uwjAQhO+V+g7WIvVW7NAKUBoHVY164MiPOJt4SVLsdRo7JPTpa7i0l5VG&#10;M5r5NluN1rALdr5xJCGZCmBIpdMNVRL2u8/nJTAfFGllHKGEK3pY5Y8PmUq1G2iDl22oWCwhnyoJ&#10;dQhtyrkva7TKT12LFL2T66wKUXYV150aYrk1fCbEnFvVUFyoVYsfNZbnbW8l6J/TtX0Zht16vSn6&#10;b9MUBR6+pHyajO9vwAKO4S8MN/yIDnlkOrqetGdGQnwk3O/NE7PFAthRwmuSCOB5xv/j578AAAD/&#10;/wMAUEsBAi0AFAAGAAgAAAAhALaDOJL+AAAA4QEAABMAAAAAAAAAAAAAAAAAAAAAAFtDb250ZW50&#10;X1R5cGVzXS54bWxQSwECLQAUAAYACAAAACEAOP0h/9YAAACUAQAACwAAAAAAAAAAAAAAAAAvAQAA&#10;X3JlbHMvLnJlbHNQSwECLQAUAAYACAAAACEAbF0K5/gBAADMAwAADgAAAAAAAAAAAAAAAAAuAgAA&#10;ZHJzL2Uyb0RvYy54bWxQSwECLQAUAAYACAAAACEAksjl8NwAAAAGAQAADwAAAAAAAAAAAAAAAABS&#10;BAAAZHJzL2Rvd25yZXYueG1sUEsFBgAAAAAEAAQA8wAAAFsFAAAAAA==&#10;" o:allowincell="f" filled="f" stroked="f">
              <v:stroke joinstyle="round"/>
              <o:lock v:ext="edit" shapetype="t"/>
              <v:textbox style="mso-fit-shape-to-text:t">
                <w:txbxContent>
                  <w:p w14:paraId="239E9A6C"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DB50" w14:textId="51566B93" w:rsidR="00813C29" w:rsidRPr="00CD157B" w:rsidRDefault="00813C29" w:rsidP="00DE2576">
    <w:pPr>
      <w:pStyle w:val="Header"/>
    </w:pPr>
    <w:r w:rsidRPr="00484CC4">
      <w:rPr>
        <w:noProof/>
      </w:rPr>
      <mc:AlternateContent>
        <mc:Choice Requires="wps">
          <w:drawing>
            <wp:anchor distT="0" distB="0" distL="114300" distR="114300" simplePos="0" relativeHeight="251658249" behindDoc="0" locked="1" layoutInCell="1" allowOverlap="1" wp14:anchorId="4E6A0DF7" wp14:editId="7B69B752">
              <wp:simplePos x="0" y="0"/>
              <wp:positionH relativeFrom="page">
                <wp:posOffset>6508750</wp:posOffset>
              </wp:positionH>
              <wp:positionV relativeFrom="page">
                <wp:posOffset>0</wp:posOffset>
              </wp:positionV>
              <wp:extent cx="1054800" cy="446400"/>
              <wp:effectExtent l="0" t="0" r="0" b="0"/>
              <wp:wrapNone/>
              <wp:docPr id="1430860477"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1F12F9" id="Hdr_Element6" o:spid="_x0000_s1026" alt="&quot;&quot;" style="position:absolute;margin-left:512.5pt;margin-top:0;width:83.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71c5e8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0" layoutInCell="1" allowOverlap="1" wp14:anchorId="75E7CE4F" wp14:editId="58E2966C">
              <wp:simplePos x="0" y="0"/>
              <wp:positionH relativeFrom="page">
                <wp:align>left</wp:align>
              </wp:positionH>
              <wp:positionV relativeFrom="page">
                <wp:align>top</wp:align>
              </wp:positionV>
              <wp:extent cx="7560000" cy="446400"/>
              <wp:effectExtent l="0" t="0" r="3175" b="0"/>
              <wp:wrapNone/>
              <wp:docPr id="1404984622"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65E19CE7">
            <v:shape id="Hdr_Element1" style="position:absolute;margin-left:0;margin-top:0;width:595.3pt;height:35.15pt;z-index:2516582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7861923">
              <v:path arrowok="t"/>
              <w10:wrap anchorx="page" anchory="page"/>
            </v:shape>
          </w:pict>
        </mc:Fallback>
      </mc:AlternateContent>
    </w:r>
    <w:r w:rsidRPr="00484CC4">
      <w:rPr>
        <w:noProof/>
      </w:rPr>
      <mc:AlternateContent>
        <mc:Choice Requires="wps">
          <w:drawing>
            <wp:anchor distT="0" distB="0" distL="114300" distR="114300" simplePos="0" relativeHeight="251658250" behindDoc="0" locked="1" layoutInCell="1" allowOverlap="1" wp14:anchorId="07B19277" wp14:editId="424CA1EB">
              <wp:simplePos x="0" y="0"/>
              <wp:positionH relativeFrom="page">
                <wp:posOffset>4621530</wp:posOffset>
              </wp:positionH>
              <wp:positionV relativeFrom="page">
                <wp:posOffset>0</wp:posOffset>
              </wp:positionV>
              <wp:extent cx="1468800" cy="446400"/>
              <wp:effectExtent l="0" t="0" r="0" b="0"/>
              <wp:wrapNone/>
              <wp:docPr id="1281321501"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193A40E1">
            <v:shape id="Hdr_Element4" style="position:absolute;margin-left:363.9pt;margin-top:0;width:115.6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61C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10EC812D" wp14:editId="5C2455CA">
              <wp:simplePos x="0" y="0"/>
              <wp:positionH relativeFrom="page">
                <wp:posOffset>5883910</wp:posOffset>
              </wp:positionH>
              <wp:positionV relativeFrom="page">
                <wp:posOffset>0</wp:posOffset>
              </wp:positionV>
              <wp:extent cx="838800" cy="446400"/>
              <wp:effectExtent l="0" t="0" r="0" b="0"/>
              <wp:wrapNone/>
              <wp:docPr id="122441793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35AA5BCA">
            <v:shape id="Hdr_Element5" style="position:absolute;margin-left:463.3pt;margin-top:0;width:66.0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614F3F8">
              <v:path arrowok="t"/>
              <w10:wrap anchorx="page" anchory="page"/>
              <w10:anchorlock/>
            </v:shape>
          </w:pict>
        </mc:Fallback>
      </mc:AlternateContent>
    </w:r>
    <w:r w:rsidRPr="00484CC4">
      <w:rPr>
        <w:noProof/>
      </w:rPr>
      <mc:AlternateContent>
        <mc:Choice Requires="wps">
          <w:drawing>
            <wp:anchor distT="0" distB="0" distL="114300" distR="114300" simplePos="0" relativeHeight="251658252" behindDoc="0" locked="1" layoutInCell="1" allowOverlap="1" wp14:anchorId="78FC1A4B" wp14:editId="7A89AF5F">
              <wp:simplePos x="0" y="0"/>
              <wp:positionH relativeFrom="page">
                <wp:posOffset>3780155</wp:posOffset>
              </wp:positionH>
              <wp:positionV relativeFrom="page">
                <wp:posOffset>0</wp:posOffset>
              </wp:positionV>
              <wp:extent cx="1051200" cy="446400"/>
              <wp:effectExtent l="0" t="0" r="0" b="0"/>
              <wp:wrapNone/>
              <wp:docPr id="113176865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378979FC">
            <v:shape id="Hdr_Element2" style="position:absolute;margin-left:297.65pt;margin-top:0;width:82.75pt;height:35.1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78be20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DF21AC6">
              <v:path arrowok="t"/>
              <w10:wrap anchorx="page" anchory="page"/>
              <w10:anchorlock/>
            </v:shape>
          </w:pict>
        </mc:Fallback>
      </mc:AlternateContent>
    </w:r>
    <w:r w:rsidRPr="00484CC4">
      <w:rPr>
        <w:noProof/>
      </w:rPr>
      <mc:AlternateContent>
        <mc:Choice Requires="wps">
          <w:drawing>
            <wp:anchor distT="0" distB="0" distL="114300" distR="114300" simplePos="0" relativeHeight="251658253" behindDoc="0" locked="1" layoutInCell="1" allowOverlap="1" wp14:anchorId="0F19C0BB" wp14:editId="6A038B17">
              <wp:simplePos x="0" y="0"/>
              <wp:positionH relativeFrom="page">
                <wp:posOffset>4620260</wp:posOffset>
              </wp:positionH>
              <wp:positionV relativeFrom="page">
                <wp:posOffset>0</wp:posOffset>
              </wp:positionV>
              <wp:extent cx="421200" cy="446400"/>
              <wp:effectExtent l="0" t="0" r="0" b="0"/>
              <wp:wrapNone/>
              <wp:docPr id="65797085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a="http://schemas.openxmlformats.org/drawingml/2006/main" xmlns:w16cei="http://schemas.microsoft.com/office/word/2026/wordml/cei">
          <w:pict w14:anchorId="50837363">
            <v:shape id="Hdr_Element3" style="position:absolute;margin-left:363.8pt;margin-top:0;width:33.15pt;height:35.1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6E997FA">
              <v:path arrowok="t"/>
              <w10:wrap anchorx="page" anchory="page"/>
              <w10:anchorlock/>
            </v:shape>
          </w:pict>
        </mc:Fallback>
      </mc:AlternateContent>
    </w:r>
  </w:p>
  <w:p w14:paraId="50C270B1" w14:textId="77777777" w:rsidR="00813C29" w:rsidRPr="00DE2576" w:rsidRDefault="00813C29" w:rsidP="00DE25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5914" w14:textId="5481830D" w:rsidR="00CD157B" w:rsidRPr="00CD157B" w:rsidRDefault="00BD5177" w:rsidP="00CD157B">
    <w:pPr>
      <w:pStyle w:val="Header"/>
    </w:pPr>
    <w:r>
      <w:rPr>
        <w:noProof/>
      </w:rPr>
      <w:pict w14:anchorId="521040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729051" o:spid="_x0000_s1032" type="#_x0000_t136" style="position:absolute;margin-left:0;margin-top:0;width:513.85pt;height:205.5pt;rotation:315;z-index:-25165822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D38FC"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316045B5" wp14:editId="68BDF02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8D9ED62">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71c5e8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B4D612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3643A7A3" wp14:editId="440C58C4">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30DF3D4">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6C2ACFD">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2772CA6A" wp14:editId="22A8851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E17A7FE">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52B59F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339F619" wp14:editId="36077B22">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12E7D0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A45DFD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5FD13C7B" wp14:editId="580B99C6">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F761D94">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78be20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EF1F3B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3466FDF" wp14:editId="50171346">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FB548FB">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5E1D3D6">
              <v:path arrowok="t"/>
              <w10:wrap anchorx="page" anchory="page"/>
              <w10:anchorlock/>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40B1" w14:textId="7E6F236B" w:rsidR="00813C29" w:rsidRDefault="00BD5177">
    <w:pPr>
      <w:pStyle w:val="Header"/>
    </w:pPr>
    <w:r>
      <w:rPr>
        <w:noProof/>
      </w:rPr>
      <w:pict w14:anchorId="208ADE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729049" o:spid="_x0000_s1029" type="#_x0000_t136" style="position:absolute;margin-left:0;margin-top:0;width:513.85pt;height:205.5pt;rotation:315;z-index:-25165823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B77D6">
      <w:rPr>
        <w:noProof/>
      </w:rPr>
      <mc:AlternateContent>
        <mc:Choice Requires="wps">
          <w:drawing>
            <wp:anchor distT="0" distB="0" distL="114300" distR="114300" simplePos="0" relativeHeight="251658246" behindDoc="1" locked="0" layoutInCell="0" allowOverlap="1" wp14:anchorId="64386F85" wp14:editId="2E048500">
              <wp:simplePos x="0" y="0"/>
              <wp:positionH relativeFrom="margin">
                <wp:align>center</wp:align>
              </wp:positionH>
              <wp:positionV relativeFrom="margin">
                <wp:align>center</wp:align>
              </wp:positionV>
              <wp:extent cx="6525895" cy="2609850"/>
              <wp:effectExtent l="0" t="1771650" r="0" b="1428750"/>
              <wp:wrapNone/>
              <wp:docPr id="17619008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5895" cy="2609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A76E81"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386F85" id="_x0000_t202" coordsize="21600,21600" o:spt="202" path="m,l,21600r21600,l21600,xe">
              <v:stroke joinstyle="miter"/>
              <v:path gradientshapeok="t" o:connecttype="rect"/>
            </v:shapetype>
            <v:shape id="Text Box 31" o:spid="_x0000_s1039" type="#_x0000_t202" style="position:absolute;margin-left:0;margin-top:0;width:513.85pt;height:205.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cu4+QEAAMwDAAAOAAAAZHJzL2Uyb0RvYy54bWysU0Fu2zAQvBfoHwjea8kG5NqC5cBNml7S&#10;NkBc5EyTlKVW5LJL2pJ/3yWt2EVyK6oDIS3J2ZnZ0epmMB07avQt2IpPJzln2kpQrd1X/Mf2/sOC&#10;Mx+EVaIDqyt+0p7frN+/W/Wu1DNooFMaGYFYX/au4k0IrswyLxtthJ+A05Y2a0AjAn3iPlMoekI3&#10;XTbL83nWAyqHILX3VL07b/J1wq9rLcP3uvY6sK7ixC2kFdO6i2u2Xolyj8I1rRxpiH9gYURrqekF&#10;6k4EwQ7YvoEyrUTwUIeJBJNBXbdSJw2kZpq/UvPUCKeTFjLHu4tN/v/Bym/HJ/eILAyfYKABJhHe&#10;PYD85ZmF20bYvd4gQt9ooajxlF/Kid725GisqbrVQ/isWvJ4Gn3NeufLET/Ow5c+dtr1X0HRFXEI&#10;kLoNNRqGEK8tlnl8Upm8YcSIhna6DIoaMEnFeTErFsuCM0l7s3m+XBRplJkoI1ochEMfvmgwLL5U&#10;HCkJCVYcH3yI7K5HRqqR3ZlnGHYDa1XFP0YdkfkO1Im49xSUivvfB4GafDiYW6BckfgawTxTEjeY&#10;1L8Q2A7PAt1IIRD7x+4lKIlHSoxiVphoiPpJQKaj/B1Fx4rkxJnpeHjkfEaNd73bkIv3bRJ05TkK&#10;osgknWO8Yyb//k6nrj/h+g8AAAD//wMAUEsDBBQABgAIAAAAIQCSyOXw3AAAAAYBAAAPAAAAZHJz&#10;L2Rvd25yZXYueG1sTI/NbsIwEITvlfoO1iL1VuzQClAaB1WNeuDIjzibeElS7HUaOyT06Wu4tJeV&#10;RjOa+TZbjdawC3a+cSQhmQpgSKXTDVUS9rvP5yUwHxRpZRyhhCt6WOWPD5lKtRtog5dtqFgsIZ8q&#10;CXUIbcq5L2u0yk9dixS9k+usClF2FdedGmK5NXwmxJxb1VBcqFWLHzWW521vJeif07V9GYbder0p&#10;+m/TFAUevqR8mozvb8ACjuEvDDf8iA55ZDq6nrRnRkJ8JNzvzROzxQLYUcJrkgjgecb/4+e/AAAA&#10;//8DAFBLAQItABQABgAIAAAAIQC2gziS/gAAAOEBAAATAAAAAAAAAAAAAAAAAAAAAABbQ29udGVu&#10;dF9UeXBlc10ueG1sUEsBAi0AFAAGAAgAAAAhADj9If/WAAAAlAEAAAsAAAAAAAAAAAAAAAAALwEA&#10;AF9yZWxzLy5yZWxzUEsBAi0AFAAGAAgAAAAhAPgBy7j5AQAAzAMAAA4AAAAAAAAAAAAAAAAALgIA&#10;AGRycy9lMm9Eb2MueG1sUEsBAi0AFAAGAAgAAAAhAJLI5fDcAAAABgEAAA8AAAAAAAAAAAAAAAAA&#10;UwQAAGRycy9kb3ducmV2LnhtbFBLBQYAAAAABAAEAPMAAABcBQAAAAA=&#10;" o:allowincell="f" filled="f" stroked="f">
              <v:stroke joinstyle="round"/>
              <o:lock v:ext="edit" shapetype="t"/>
              <v:textbox style="mso-fit-shape-to-text:t">
                <w:txbxContent>
                  <w:p w14:paraId="7CA76E81" w14:textId="77777777" w:rsidR="00DB77D6" w:rsidRDefault="00DB77D6" w:rsidP="00DB77D6">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E/4+70MpDCuBET" int2:id="gYEBxIdQ">
      <int2:state int2:value="Rejected" int2:type="spell"/>
    </int2:textHash>
    <int2:bookmark int2:bookmarkName="_Int_wZ2Xxv6D" int2:invalidationBookmarkName="" int2:hashCode="/w25kiVq1cRMl5" int2:id="eIu0p5B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0C70F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E434C4"/>
    <w:multiLevelType w:val="multilevel"/>
    <w:tmpl w:val="0C1C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9D029BD"/>
    <w:multiLevelType w:val="multilevel"/>
    <w:tmpl w:val="E826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1DB85452"/>
    <w:multiLevelType w:val="hybridMultilevel"/>
    <w:tmpl w:val="444CA2FE"/>
    <w:name w:val="Bullets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1B968F2"/>
    <w:multiLevelType w:val="multilevel"/>
    <w:tmpl w:val="98CC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A8E4741"/>
    <w:multiLevelType w:val="hybridMultilevel"/>
    <w:tmpl w:val="99F277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DD65D2"/>
    <w:multiLevelType w:val="hybridMultilevel"/>
    <w:tmpl w:val="06ECD6BA"/>
    <w:lvl w:ilvl="0" w:tplc="B704AF98">
      <w:numFmt w:val="bullet"/>
      <w:lvlText w:val="-"/>
      <w:lvlJc w:val="left"/>
      <w:pPr>
        <w:ind w:left="720" w:hanging="360"/>
      </w:pPr>
      <w:rPr>
        <w:rFonts w:ascii="VIC" w:eastAsiaTheme="minorHAnsi" w:hAnsi="VIC"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801107C"/>
    <w:multiLevelType w:val="hybridMultilevel"/>
    <w:tmpl w:val="19088970"/>
    <w:name w:val="Bullets2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7404F6"/>
    <w:multiLevelType w:val="multilevel"/>
    <w:tmpl w:val="09A6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A27F2E"/>
    <w:multiLevelType w:val="multilevel"/>
    <w:tmpl w:val="E79AB64C"/>
    <w:name w:val="Bullets"/>
    <w:lvl w:ilvl="0">
      <w:start w:val="1"/>
      <w:numFmt w:val="bullet"/>
      <w:lvlText w:val=""/>
      <w:lvlJc w:val="left"/>
      <w:pPr>
        <w:ind w:left="340" w:hanging="227"/>
      </w:pPr>
      <w:rPr>
        <w:rFonts w:ascii="Wingdings" w:hAnsi="Wingding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F4E2969"/>
    <w:multiLevelType w:val="hybridMultilevel"/>
    <w:tmpl w:val="D488F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FA1297E"/>
    <w:multiLevelType w:val="hybridMultilevel"/>
    <w:tmpl w:val="78AAAC64"/>
    <w:lvl w:ilvl="0" w:tplc="025CF88A">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5" w15:restartNumberingAfterBreak="0">
    <w:nsid w:val="50A17172"/>
    <w:multiLevelType w:val="multilevel"/>
    <w:tmpl w:val="CB56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48F3496"/>
    <w:multiLevelType w:val="hybridMultilevel"/>
    <w:tmpl w:val="191EFB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4CE1855"/>
    <w:multiLevelType w:val="multilevel"/>
    <w:tmpl w:val="520E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CC95380"/>
    <w:multiLevelType w:val="hybridMultilevel"/>
    <w:tmpl w:val="563464E8"/>
    <w:lvl w:ilvl="0" w:tplc="81C867EA">
      <w:start w:val="1"/>
      <w:numFmt w:val="bullet"/>
      <w:pStyle w:val="TablebulletL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Symbo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Symbol"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DAC5FDA"/>
    <w:multiLevelType w:val="multilevel"/>
    <w:tmpl w:val="F32C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E07552"/>
    <w:multiLevelType w:val="multilevel"/>
    <w:tmpl w:val="587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4E44D57"/>
    <w:multiLevelType w:val="hybridMultilevel"/>
    <w:tmpl w:val="5EA8CA94"/>
    <w:lvl w:ilvl="0" w:tplc="5934AB5C">
      <w:start w:val="1"/>
      <w:numFmt w:val="bullet"/>
      <w:pStyle w:val="BodybulletL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Symbo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Symbol"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27E1C23"/>
    <w:multiLevelType w:val="hybridMultilevel"/>
    <w:tmpl w:val="378C47E6"/>
    <w:name w:val="Bullets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B9E2D9C"/>
    <w:multiLevelType w:val="multilevel"/>
    <w:tmpl w:val="22D49816"/>
    <w:lvl w:ilvl="0">
      <w:start w:val="1"/>
      <w:numFmt w:val="bullet"/>
      <w:lvlText w:val=""/>
      <w:lvlJc w:val="left"/>
      <w:pPr>
        <w:ind w:left="340" w:hanging="227"/>
      </w:pPr>
      <w:rPr>
        <w:rFonts w:ascii="Wingdings" w:hAnsi="Wingdings" w:hint="default"/>
        <w:color w:val="auto"/>
      </w:rPr>
    </w:lvl>
    <w:lvl w:ilvl="1">
      <w:start w:val="1"/>
      <w:numFmt w:val="bullet"/>
      <w:lvlText w:val=""/>
      <w:lvlJc w:val="left"/>
      <w:pPr>
        <w:ind w:left="700" w:hanging="360"/>
      </w:pPr>
      <w:rPr>
        <w:rFonts w:ascii="Symbol" w:hAnsi="Symbol" w:hint="default"/>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58" w15:restartNumberingAfterBreak="0">
    <w:nsid w:val="7D284207"/>
    <w:multiLevelType w:val="multilevel"/>
    <w:tmpl w:val="8578D5F0"/>
    <w:name w:val="Lst_HighlightBullets"/>
    <w:lvl w:ilvl="0">
      <w:start w:val="1"/>
      <w:numFmt w:val="bullet"/>
      <w:lvlRestart w:val="0"/>
      <w:pStyle w:val="HighlightBoxBullet"/>
      <w:lvlText w:val=""/>
      <w:lvlJc w:val="left"/>
      <w:pPr>
        <w:ind w:left="454" w:hanging="227"/>
      </w:pPr>
      <w:rPr>
        <w:rFonts w:ascii="Wingdings" w:hAnsi="Wingdings" w:hint="default"/>
        <w:color w:val="201547" w:themeColor="text2"/>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6"/>
  </w:num>
  <w:num w:numId="3" w16cid:durableId="985085104">
    <w:abstractNumId w:val="10"/>
  </w:num>
  <w:num w:numId="4" w16cid:durableId="1872112631">
    <w:abstractNumId w:val="14"/>
  </w:num>
  <w:num w:numId="5" w16cid:durableId="336812815">
    <w:abstractNumId w:val="26"/>
  </w:num>
  <w:num w:numId="6" w16cid:durableId="155153463">
    <w:abstractNumId w:val="2"/>
  </w:num>
  <w:num w:numId="7" w16cid:durableId="1428236886">
    <w:abstractNumId w:val="30"/>
  </w:num>
  <w:num w:numId="8" w16cid:durableId="103154041">
    <w:abstractNumId w:val="32"/>
  </w:num>
  <w:num w:numId="9" w16cid:durableId="1308436166">
    <w:abstractNumId w:val="28"/>
  </w:num>
  <w:num w:numId="10" w16cid:durableId="1335643199">
    <w:abstractNumId w:val="43"/>
  </w:num>
  <w:num w:numId="11" w16cid:durableId="1160577431">
    <w:abstractNumId w:val="31"/>
  </w:num>
  <w:num w:numId="12" w16cid:durableId="1673139647">
    <w:abstractNumId w:val="18"/>
  </w:num>
  <w:num w:numId="13" w16cid:durableId="1742215375">
    <w:abstractNumId w:val="58"/>
  </w:num>
  <w:num w:numId="14" w16cid:durableId="664823544">
    <w:abstractNumId w:val="53"/>
  </w:num>
  <w:num w:numId="15" w16cid:durableId="2133282429">
    <w:abstractNumId w:val="45"/>
  </w:num>
  <w:num w:numId="16" w16cid:durableId="1269191534">
    <w:abstractNumId w:val="51"/>
  </w:num>
  <w:num w:numId="17" w16cid:durableId="970598595">
    <w:abstractNumId w:val="47"/>
  </w:num>
  <w:num w:numId="18" w16cid:durableId="1562591112">
    <w:abstractNumId w:val="44"/>
  </w:num>
  <w:num w:numId="19" w16cid:durableId="1984578027">
    <w:abstractNumId w:val="57"/>
  </w:num>
  <w:num w:numId="20" w16cid:durableId="9141445">
    <w:abstractNumId w:val="0"/>
  </w:num>
  <w:num w:numId="21" w16cid:durableId="2144345248">
    <w:abstractNumId w:val="30"/>
  </w:num>
  <w:num w:numId="22" w16cid:durableId="762647952">
    <w:abstractNumId w:val="4"/>
  </w:num>
  <w:num w:numId="23" w16cid:durableId="1065449071">
    <w:abstractNumId w:val="30"/>
  </w:num>
  <w:num w:numId="24" w16cid:durableId="876045050">
    <w:abstractNumId w:val="1"/>
  </w:num>
  <w:num w:numId="25" w16cid:durableId="2035186791">
    <w:abstractNumId w:val="30"/>
  </w:num>
  <w:num w:numId="26" w16cid:durableId="1120077876">
    <w:abstractNumId w:val="38"/>
  </w:num>
  <w:num w:numId="27" w16cid:durableId="634143039">
    <w:abstractNumId w:val="33"/>
  </w:num>
  <w:num w:numId="28" w16cid:durableId="1027832847">
    <w:abstractNumId w:val="11"/>
  </w:num>
  <w:num w:numId="29" w16cid:durableId="120997871">
    <w:abstractNumId w:val="54"/>
  </w:num>
  <w:num w:numId="30" w16cid:durableId="1314945734">
    <w:abstractNumId w:val="27"/>
  </w:num>
  <w:num w:numId="31" w16cid:durableId="1186401190">
    <w:abstractNumId w:val="35"/>
  </w:num>
  <w:num w:numId="32" w16cid:durableId="564025825">
    <w:abstractNumId w:val="25"/>
  </w:num>
  <w:num w:numId="33" w16cid:durableId="1687440609">
    <w:abstractNumId w:val="15"/>
  </w:num>
  <w:num w:numId="34" w16cid:durableId="774792094">
    <w:abstractNumId w:val="34"/>
  </w:num>
  <w:num w:numId="35" w16cid:durableId="760375894">
    <w:abstractNumId w:val="48"/>
  </w:num>
  <w:num w:numId="36" w16cid:durableId="106120205">
    <w:abstractNumId w:val="12"/>
  </w:num>
  <w:num w:numId="37" w16cid:durableId="1788040278">
    <w:abstractNumId w:val="29"/>
  </w:num>
  <w:num w:numId="38" w16cid:durableId="1458373603">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Water and Catchments"/>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0C5FD7"/>
    <w:rsid w:val="00000194"/>
    <w:rsid w:val="00000646"/>
    <w:rsid w:val="000006B1"/>
    <w:rsid w:val="0000074D"/>
    <w:rsid w:val="00000812"/>
    <w:rsid w:val="00000901"/>
    <w:rsid w:val="000011B8"/>
    <w:rsid w:val="000011D8"/>
    <w:rsid w:val="000014F3"/>
    <w:rsid w:val="00001C77"/>
    <w:rsid w:val="00001D81"/>
    <w:rsid w:val="0000224A"/>
    <w:rsid w:val="000022C3"/>
    <w:rsid w:val="00002541"/>
    <w:rsid w:val="00002691"/>
    <w:rsid w:val="00002A59"/>
    <w:rsid w:val="00002CF3"/>
    <w:rsid w:val="00003260"/>
    <w:rsid w:val="0000352C"/>
    <w:rsid w:val="000035F6"/>
    <w:rsid w:val="00003CE9"/>
    <w:rsid w:val="00004327"/>
    <w:rsid w:val="0000444F"/>
    <w:rsid w:val="00004473"/>
    <w:rsid w:val="00004810"/>
    <w:rsid w:val="00004A68"/>
    <w:rsid w:val="00004EEE"/>
    <w:rsid w:val="000058A9"/>
    <w:rsid w:val="000058F9"/>
    <w:rsid w:val="00005CCD"/>
    <w:rsid w:val="00006884"/>
    <w:rsid w:val="000068CA"/>
    <w:rsid w:val="00006A85"/>
    <w:rsid w:val="00006AEE"/>
    <w:rsid w:val="00006D2C"/>
    <w:rsid w:val="0000736B"/>
    <w:rsid w:val="0000740B"/>
    <w:rsid w:val="00007A11"/>
    <w:rsid w:val="00007BAD"/>
    <w:rsid w:val="00007DD9"/>
    <w:rsid w:val="00007F26"/>
    <w:rsid w:val="0001010F"/>
    <w:rsid w:val="000105A9"/>
    <w:rsid w:val="00010783"/>
    <w:rsid w:val="00010837"/>
    <w:rsid w:val="000112BF"/>
    <w:rsid w:val="0001178E"/>
    <w:rsid w:val="00011C29"/>
    <w:rsid w:val="00011F46"/>
    <w:rsid w:val="0001216C"/>
    <w:rsid w:val="000125A5"/>
    <w:rsid w:val="000128AB"/>
    <w:rsid w:val="0001294B"/>
    <w:rsid w:val="00012BCD"/>
    <w:rsid w:val="00012D6E"/>
    <w:rsid w:val="00012FAF"/>
    <w:rsid w:val="0001307F"/>
    <w:rsid w:val="0001313D"/>
    <w:rsid w:val="000133B3"/>
    <w:rsid w:val="000139F9"/>
    <w:rsid w:val="00013C91"/>
    <w:rsid w:val="000147D8"/>
    <w:rsid w:val="00014A66"/>
    <w:rsid w:val="00014AD2"/>
    <w:rsid w:val="00014DA4"/>
    <w:rsid w:val="000152AC"/>
    <w:rsid w:val="000153C5"/>
    <w:rsid w:val="00015655"/>
    <w:rsid w:val="000160DB"/>
    <w:rsid w:val="0001645A"/>
    <w:rsid w:val="00016927"/>
    <w:rsid w:val="00016AF6"/>
    <w:rsid w:val="00016F11"/>
    <w:rsid w:val="000172CC"/>
    <w:rsid w:val="000174D1"/>
    <w:rsid w:val="00017882"/>
    <w:rsid w:val="0001790A"/>
    <w:rsid w:val="000179FE"/>
    <w:rsid w:val="00017A37"/>
    <w:rsid w:val="00017BFF"/>
    <w:rsid w:val="00017E78"/>
    <w:rsid w:val="000200A9"/>
    <w:rsid w:val="00020166"/>
    <w:rsid w:val="00020425"/>
    <w:rsid w:val="0002048A"/>
    <w:rsid w:val="000204FF"/>
    <w:rsid w:val="00020A83"/>
    <w:rsid w:val="00020D21"/>
    <w:rsid w:val="000221D7"/>
    <w:rsid w:val="00022BB1"/>
    <w:rsid w:val="00022FC9"/>
    <w:rsid w:val="00023087"/>
    <w:rsid w:val="00023092"/>
    <w:rsid w:val="000230FB"/>
    <w:rsid w:val="0002313E"/>
    <w:rsid w:val="00023619"/>
    <w:rsid w:val="0002453F"/>
    <w:rsid w:val="000247F8"/>
    <w:rsid w:val="00024990"/>
    <w:rsid w:val="00024DE5"/>
    <w:rsid w:val="00024F9A"/>
    <w:rsid w:val="000250D1"/>
    <w:rsid w:val="000254DF"/>
    <w:rsid w:val="0002586C"/>
    <w:rsid w:val="000259AA"/>
    <w:rsid w:val="000265EA"/>
    <w:rsid w:val="00026DA1"/>
    <w:rsid w:val="00026DC2"/>
    <w:rsid w:val="00026F6C"/>
    <w:rsid w:val="000273C5"/>
    <w:rsid w:val="00027889"/>
    <w:rsid w:val="00027894"/>
    <w:rsid w:val="00030105"/>
    <w:rsid w:val="00030A38"/>
    <w:rsid w:val="0003160B"/>
    <w:rsid w:val="0003300C"/>
    <w:rsid w:val="000332EC"/>
    <w:rsid w:val="00033676"/>
    <w:rsid w:val="000337A3"/>
    <w:rsid w:val="000343D3"/>
    <w:rsid w:val="000346D1"/>
    <w:rsid w:val="00034A79"/>
    <w:rsid w:val="00034CAF"/>
    <w:rsid w:val="00034E7A"/>
    <w:rsid w:val="000350A7"/>
    <w:rsid w:val="0003565D"/>
    <w:rsid w:val="00035D2B"/>
    <w:rsid w:val="00035EBB"/>
    <w:rsid w:val="00036064"/>
    <w:rsid w:val="000360F2"/>
    <w:rsid w:val="00036542"/>
    <w:rsid w:val="00036D45"/>
    <w:rsid w:val="000371DF"/>
    <w:rsid w:val="0003726A"/>
    <w:rsid w:val="00037321"/>
    <w:rsid w:val="000374E9"/>
    <w:rsid w:val="00037830"/>
    <w:rsid w:val="00037B7D"/>
    <w:rsid w:val="00037F96"/>
    <w:rsid w:val="000408B7"/>
    <w:rsid w:val="00040E63"/>
    <w:rsid w:val="00040EB4"/>
    <w:rsid w:val="000410CC"/>
    <w:rsid w:val="000411A2"/>
    <w:rsid w:val="00041613"/>
    <w:rsid w:val="000417D4"/>
    <w:rsid w:val="00041B06"/>
    <w:rsid w:val="00042903"/>
    <w:rsid w:val="00042C89"/>
    <w:rsid w:val="00043F27"/>
    <w:rsid w:val="00043FEB"/>
    <w:rsid w:val="00044029"/>
    <w:rsid w:val="00044607"/>
    <w:rsid w:val="00044A5B"/>
    <w:rsid w:val="0004603D"/>
    <w:rsid w:val="0004675A"/>
    <w:rsid w:val="00046F44"/>
    <w:rsid w:val="000473F4"/>
    <w:rsid w:val="00050713"/>
    <w:rsid w:val="000508D0"/>
    <w:rsid w:val="00050F0B"/>
    <w:rsid w:val="00051BFC"/>
    <w:rsid w:val="00051D5C"/>
    <w:rsid w:val="00052454"/>
    <w:rsid w:val="0005252A"/>
    <w:rsid w:val="000528CB"/>
    <w:rsid w:val="000531C8"/>
    <w:rsid w:val="00053C58"/>
    <w:rsid w:val="00053CB3"/>
    <w:rsid w:val="00053CC3"/>
    <w:rsid w:val="00054A64"/>
    <w:rsid w:val="00054F68"/>
    <w:rsid w:val="00054FF8"/>
    <w:rsid w:val="0005566D"/>
    <w:rsid w:val="0005578D"/>
    <w:rsid w:val="00055A62"/>
    <w:rsid w:val="00056024"/>
    <w:rsid w:val="00056E70"/>
    <w:rsid w:val="000573F4"/>
    <w:rsid w:val="000574CC"/>
    <w:rsid w:val="000574DD"/>
    <w:rsid w:val="00057EB4"/>
    <w:rsid w:val="00060B7A"/>
    <w:rsid w:val="00060B9F"/>
    <w:rsid w:val="000610DD"/>
    <w:rsid w:val="0006141F"/>
    <w:rsid w:val="00062253"/>
    <w:rsid w:val="000634B5"/>
    <w:rsid w:val="000636FD"/>
    <w:rsid w:val="00063A7B"/>
    <w:rsid w:val="00064148"/>
    <w:rsid w:val="0006455D"/>
    <w:rsid w:val="000645D3"/>
    <w:rsid w:val="00064813"/>
    <w:rsid w:val="00065212"/>
    <w:rsid w:val="00066309"/>
    <w:rsid w:val="0006651D"/>
    <w:rsid w:val="00066A4B"/>
    <w:rsid w:val="00066BD0"/>
    <w:rsid w:val="00066D49"/>
    <w:rsid w:val="0006707D"/>
    <w:rsid w:val="000672C6"/>
    <w:rsid w:val="0006739A"/>
    <w:rsid w:val="00067489"/>
    <w:rsid w:val="000675EF"/>
    <w:rsid w:val="00067A55"/>
    <w:rsid w:val="00067B0C"/>
    <w:rsid w:val="00067EEC"/>
    <w:rsid w:val="00070773"/>
    <w:rsid w:val="0007095A"/>
    <w:rsid w:val="00070B05"/>
    <w:rsid w:val="00070CFA"/>
    <w:rsid w:val="00070DA6"/>
    <w:rsid w:val="00071575"/>
    <w:rsid w:val="0007166A"/>
    <w:rsid w:val="00071FC0"/>
    <w:rsid w:val="00072080"/>
    <w:rsid w:val="0007232D"/>
    <w:rsid w:val="0007247D"/>
    <w:rsid w:val="00072E7B"/>
    <w:rsid w:val="00072E95"/>
    <w:rsid w:val="00072F88"/>
    <w:rsid w:val="00073EF4"/>
    <w:rsid w:val="00073FC4"/>
    <w:rsid w:val="00074537"/>
    <w:rsid w:val="00074EF6"/>
    <w:rsid w:val="000751D5"/>
    <w:rsid w:val="00075748"/>
    <w:rsid w:val="00075993"/>
    <w:rsid w:val="000759A7"/>
    <w:rsid w:val="00075B1E"/>
    <w:rsid w:val="00075E0B"/>
    <w:rsid w:val="00075FA7"/>
    <w:rsid w:val="000760BB"/>
    <w:rsid w:val="000762A1"/>
    <w:rsid w:val="000764DD"/>
    <w:rsid w:val="000765F5"/>
    <w:rsid w:val="00076662"/>
    <w:rsid w:val="00076808"/>
    <w:rsid w:val="00076B5B"/>
    <w:rsid w:val="00076C8C"/>
    <w:rsid w:val="00076CEC"/>
    <w:rsid w:val="000770EF"/>
    <w:rsid w:val="00077BDB"/>
    <w:rsid w:val="00077D57"/>
    <w:rsid w:val="00080082"/>
    <w:rsid w:val="000803F8"/>
    <w:rsid w:val="00080989"/>
    <w:rsid w:val="000809F5"/>
    <w:rsid w:val="00080ADA"/>
    <w:rsid w:val="00080B70"/>
    <w:rsid w:val="00080F3B"/>
    <w:rsid w:val="000812C4"/>
    <w:rsid w:val="00081D16"/>
    <w:rsid w:val="0008257E"/>
    <w:rsid w:val="00082701"/>
    <w:rsid w:val="00082840"/>
    <w:rsid w:val="00082CAC"/>
    <w:rsid w:val="00082EEC"/>
    <w:rsid w:val="00082F2B"/>
    <w:rsid w:val="00083241"/>
    <w:rsid w:val="000833E8"/>
    <w:rsid w:val="000838F2"/>
    <w:rsid w:val="00083C1F"/>
    <w:rsid w:val="00084244"/>
    <w:rsid w:val="00084267"/>
    <w:rsid w:val="0008438B"/>
    <w:rsid w:val="000843B4"/>
    <w:rsid w:val="00084998"/>
    <w:rsid w:val="00084BA4"/>
    <w:rsid w:val="00084E5E"/>
    <w:rsid w:val="00085767"/>
    <w:rsid w:val="00085B6D"/>
    <w:rsid w:val="00085FD6"/>
    <w:rsid w:val="00086400"/>
    <w:rsid w:val="00086670"/>
    <w:rsid w:val="0008678B"/>
    <w:rsid w:val="00086B71"/>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172"/>
    <w:rsid w:val="00095774"/>
    <w:rsid w:val="000957C3"/>
    <w:rsid w:val="00095B03"/>
    <w:rsid w:val="00095BF8"/>
    <w:rsid w:val="00095E93"/>
    <w:rsid w:val="0009618E"/>
    <w:rsid w:val="0009636C"/>
    <w:rsid w:val="000966E7"/>
    <w:rsid w:val="00096E60"/>
    <w:rsid w:val="00096F5C"/>
    <w:rsid w:val="00097178"/>
    <w:rsid w:val="000971A5"/>
    <w:rsid w:val="000973F0"/>
    <w:rsid w:val="00097DE4"/>
    <w:rsid w:val="00097F3B"/>
    <w:rsid w:val="000A0157"/>
    <w:rsid w:val="000A01E2"/>
    <w:rsid w:val="000A026F"/>
    <w:rsid w:val="000A043A"/>
    <w:rsid w:val="000A0507"/>
    <w:rsid w:val="000A0568"/>
    <w:rsid w:val="000A06F1"/>
    <w:rsid w:val="000A0740"/>
    <w:rsid w:val="000A0772"/>
    <w:rsid w:val="000A07D4"/>
    <w:rsid w:val="000A0853"/>
    <w:rsid w:val="000A0D39"/>
    <w:rsid w:val="000A0E10"/>
    <w:rsid w:val="000A0ECF"/>
    <w:rsid w:val="000A102D"/>
    <w:rsid w:val="000A10AE"/>
    <w:rsid w:val="000A13C1"/>
    <w:rsid w:val="000A1A10"/>
    <w:rsid w:val="000A25A3"/>
    <w:rsid w:val="000A2A5F"/>
    <w:rsid w:val="000A3203"/>
    <w:rsid w:val="000A3685"/>
    <w:rsid w:val="000A3E5B"/>
    <w:rsid w:val="000A43C4"/>
    <w:rsid w:val="000A4DD8"/>
    <w:rsid w:val="000A513C"/>
    <w:rsid w:val="000A5285"/>
    <w:rsid w:val="000A5576"/>
    <w:rsid w:val="000A55E9"/>
    <w:rsid w:val="000A56AA"/>
    <w:rsid w:val="000A6056"/>
    <w:rsid w:val="000A64D2"/>
    <w:rsid w:val="000A64DF"/>
    <w:rsid w:val="000A65C4"/>
    <w:rsid w:val="000A692B"/>
    <w:rsid w:val="000A6AD7"/>
    <w:rsid w:val="000A7D21"/>
    <w:rsid w:val="000B010B"/>
    <w:rsid w:val="000B02C8"/>
    <w:rsid w:val="000B07C0"/>
    <w:rsid w:val="000B0C42"/>
    <w:rsid w:val="000B153F"/>
    <w:rsid w:val="000B1783"/>
    <w:rsid w:val="000B1A3A"/>
    <w:rsid w:val="000B2770"/>
    <w:rsid w:val="000B36D8"/>
    <w:rsid w:val="000B389F"/>
    <w:rsid w:val="000B43EF"/>
    <w:rsid w:val="000B497E"/>
    <w:rsid w:val="000B4B15"/>
    <w:rsid w:val="000B4CEF"/>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CF8"/>
    <w:rsid w:val="000C4032"/>
    <w:rsid w:val="000C4237"/>
    <w:rsid w:val="000C440C"/>
    <w:rsid w:val="000C4598"/>
    <w:rsid w:val="000C46FD"/>
    <w:rsid w:val="000C4A68"/>
    <w:rsid w:val="000C4AFB"/>
    <w:rsid w:val="000C564A"/>
    <w:rsid w:val="000C5C01"/>
    <w:rsid w:val="000C5FD7"/>
    <w:rsid w:val="000C620E"/>
    <w:rsid w:val="000C782D"/>
    <w:rsid w:val="000C7BB4"/>
    <w:rsid w:val="000C7D31"/>
    <w:rsid w:val="000D01DB"/>
    <w:rsid w:val="000D02C6"/>
    <w:rsid w:val="000D038D"/>
    <w:rsid w:val="000D0471"/>
    <w:rsid w:val="000D04A4"/>
    <w:rsid w:val="000D04B1"/>
    <w:rsid w:val="000D04F8"/>
    <w:rsid w:val="000D057E"/>
    <w:rsid w:val="000D081F"/>
    <w:rsid w:val="000D0DDA"/>
    <w:rsid w:val="000D0FA2"/>
    <w:rsid w:val="000D1044"/>
    <w:rsid w:val="000D16B7"/>
    <w:rsid w:val="000D1C49"/>
    <w:rsid w:val="000D1CCC"/>
    <w:rsid w:val="000D1DA0"/>
    <w:rsid w:val="000D206D"/>
    <w:rsid w:val="000D21AF"/>
    <w:rsid w:val="000D2970"/>
    <w:rsid w:val="000D2B3D"/>
    <w:rsid w:val="000D319F"/>
    <w:rsid w:val="000D322A"/>
    <w:rsid w:val="000D36F9"/>
    <w:rsid w:val="000D3825"/>
    <w:rsid w:val="000D3881"/>
    <w:rsid w:val="000D390C"/>
    <w:rsid w:val="000D3CAE"/>
    <w:rsid w:val="000D3E6B"/>
    <w:rsid w:val="000D4583"/>
    <w:rsid w:val="000D487A"/>
    <w:rsid w:val="000D4AC1"/>
    <w:rsid w:val="000D5000"/>
    <w:rsid w:val="000D5967"/>
    <w:rsid w:val="000D5CE1"/>
    <w:rsid w:val="000D6417"/>
    <w:rsid w:val="000D6482"/>
    <w:rsid w:val="000D66AF"/>
    <w:rsid w:val="000D6B43"/>
    <w:rsid w:val="000D7227"/>
    <w:rsid w:val="000D73BF"/>
    <w:rsid w:val="000D73C9"/>
    <w:rsid w:val="000D7514"/>
    <w:rsid w:val="000D752F"/>
    <w:rsid w:val="000D7AF3"/>
    <w:rsid w:val="000D7F5B"/>
    <w:rsid w:val="000E0068"/>
    <w:rsid w:val="000E1279"/>
    <w:rsid w:val="000E1777"/>
    <w:rsid w:val="000E2BFA"/>
    <w:rsid w:val="000E2E35"/>
    <w:rsid w:val="000E2F22"/>
    <w:rsid w:val="000E2F7C"/>
    <w:rsid w:val="000E3433"/>
    <w:rsid w:val="000E35EE"/>
    <w:rsid w:val="000E38AA"/>
    <w:rsid w:val="000E3C21"/>
    <w:rsid w:val="000E3C36"/>
    <w:rsid w:val="000E4946"/>
    <w:rsid w:val="000E4D36"/>
    <w:rsid w:val="000E5431"/>
    <w:rsid w:val="000E57A7"/>
    <w:rsid w:val="000E5922"/>
    <w:rsid w:val="000E60F1"/>
    <w:rsid w:val="000E6BAF"/>
    <w:rsid w:val="000E6D73"/>
    <w:rsid w:val="000E73AC"/>
    <w:rsid w:val="000E7420"/>
    <w:rsid w:val="000E79F7"/>
    <w:rsid w:val="000E7E4A"/>
    <w:rsid w:val="000E7F29"/>
    <w:rsid w:val="000F0977"/>
    <w:rsid w:val="000F0AB0"/>
    <w:rsid w:val="000F0DDF"/>
    <w:rsid w:val="000F1017"/>
    <w:rsid w:val="000F1283"/>
    <w:rsid w:val="000F1954"/>
    <w:rsid w:val="000F1B2C"/>
    <w:rsid w:val="000F1E52"/>
    <w:rsid w:val="000F22CC"/>
    <w:rsid w:val="000F26D5"/>
    <w:rsid w:val="000F2AE7"/>
    <w:rsid w:val="000F2B2E"/>
    <w:rsid w:val="000F2BEC"/>
    <w:rsid w:val="000F2FCE"/>
    <w:rsid w:val="000F3362"/>
    <w:rsid w:val="000F396F"/>
    <w:rsid w:val="000F39C2"/>
    <w:rsid w:val="000F436A"/>
    <w:rsid w:val="000F45C2"/>
    <w:rsid w:val="000F47F5"/>
    <w:rsid w:val="000F4825"/>
    <w:rsid w:val="000F4BAE"/>
    <w:rsid w:val="000F4D26"/>
    <w:rsid w:val="000F515F"/>
    <w:rsid w:val="000F519B"/>
    <w:rsid w:val="000F59FB"/>
    <w:rsid w:val="000F5B70"/>
    <w:rsid w:val="000F5E55"/>
    <w:rsid w:val="000F5FFD"/>
    <w:rsid w:val="000F6093"/>
    <w:rsid w:val="000F661E"/>
    <w:rsid w:val="000F66F3"/>
    <w:rsid w:val="000F68E0"/>
    <w:rsid w:val="000F696C"/>
    <w:rsid w:val="000F6BA1"/>
    <w:rsid w:val="000F72AB"/>
    <w:rsid w:val="000F7466"/>
    <w:rsid w:val="000F7BB5"/>
    <w:rsid w:val="000F7C2D"/>
    <w:rsid w:val="0010018C"/>
    <w:rsid w:val="001008F2"/>
    <w:rsid w:val="00100B72"/>
    <w:rsid w:val="00100B97"/>
    <w:rsid w:val="00101154"/>
    <w:rsid w:val="00101215"/>
    <w:rsid w:val="00101A91"/>
    <w:rsid w:val="00101FF8"/>
    <w:rsid w:val="001023F4"/>
    <w:rsid w:val="001029D9"/>
    <w:rsid w:val="00102D94"/>
    <w:rsid w:val="00102E6D"/>
    <w:rsid w:val="00103628"/>
    <w:rsid w:val="00103C12"/>
    <w:rsid w:val="001042E1"/>
    <w:rsid w:val="0010455D"/>
    <w:rsid w:val="00104C22"/>
    <w:rsid w:val="00104EE8"/>
    <w:rsid w:val="00104FA9"/>
    <w:rsid w:val="0010532E"/>
    <w:rsid w:val="0010556A"/>
    <w:rsid w:val="00105B15"/>
    <w:rsid w:val="00105C15"/>
    <w:rsid w:val="00105FBE"/>
    <w:rsid w:val="00106BF0"/>
    <w:rsid w:val="00106C83"/>
    <w:rsid w:val="00107C8F"/>
    <w:rsid w:val="001100FD"/>
    <w:rsid w:val="0011038E"/>
    <w:rsid w:val="0011045B"/>
    <w:rsid w:val="00110623"/>
    <w:rsid w:val="00110760"/>
    <w:rsid w:val="0011087C"/>
    <w:rsid w:val="0011132C"/>
    <w:rsid w:val="001114CB"/>
    <w:rsid w:val="00111D55"/>
    <w:rsid w:val="0011235E"/>
    <w:rsid w:val="00112418"/>
    <w:rsid w:val="001129F9"/>
    <w:rsid w:val="00112A56"/>
    <w:rsid w:val="00112EDB"/>
    <w:rsid w:val="00112FC9"/>
    <w:rsid w:val="0011330D"/>
    <w:rsid w:val="00113496"/>
    <w:rsid w:val="0011371C"/>
    <w:rsid w:val="00113A48"/>
    <w:rsid w:val="00113D4F"/>
    <w:rsid w:val="00113EE7"/>
    <w:rsid w:val="0011405C"/>
    <w:rsid w:val="0011429D"/>
    <w:rsid w:val="00114377"/>
    <w:rsid w:val="0011480F"/>
    <w:rsid w:val="00114E01"/>
    <w:rsid w:val="00114E41"/>
    <w:rsid w:val="0011501B"/>
    <w:rsid w:val="001153CE"/>
    <w:rsid w:val="001156B1"/>
    <w:rsid w:val="0011585A"/>
    <w:rsid w:val="00115D80"/>
    <w:rsid w:val="00116264"/>
    <w:rsid w:val="00116413"/>
    <w:rsid w:val="001167C6"/>
    <w:rsid w:val="001169AD"/>
    <w:rsid w:val="001176AC"/>
    <w:rsid w:val="00117809"/>
    <w:rsid w:val="00117978"/>
    <w:rsid w:val="00117BDB"/>
    <w:rsid w:val="00120092"/>
    <w:rsid w:val="001201B4"/>
    <w:rsid w:val="0012041B"/>
    <w:rsid w:val="00120D59"/>
    <w:rsid w:val="0012159C"/>
    <w:rsid w:val="0012177E"/>
    <w:rsid w:val="001218C4"/>
    <w:rsid w:val="00121CB5"/>
    <w:rsid w:val="0012246B"/>
    <w:rsid w:val="00122600"/>
    <w:rsid w:val="001228AC"/>
    <w:rsid w:val="00122AFA"/>
    <w:rsid w:val="001230A0"/>
    <w:rsid w:val="00123111"/>
    <w:rsid w:val="00123633"/>
    <w:rsid w:val="001236A8"/>
    <w:rsid w:val="001242E9"/>
    <w:rsid w:val="001244C0"/>
    <w:rsid w:val="001244D8"/>
    <w:rsid w:val="00124782"/>
    <w:rsid w:val="0012486F"/>
    <w:rsid w:val="00124BC5"/>
    <w:rsid w:val="0012511D"/>
    <w:rsid w:val="001252B3"/>
    <w:rsid w:val="00125613"/>
    <w:rsid w:val="00125676"/>
    <w:rsid w:val="0012652C"/>
    <w:rsid w:val="001267C9"/>
    <w:rsid w:val="001268C6"/>
    <w:rsid w:val="00126943"/>
    <w:rsid w:val="00127337"/>
    <w:rsid w:val="00127487"/>
    <w:rsid w:val="001274AA"/>
    <w:rsid w:val="001275C1"/>
    <w:rsid w:val="001278BC"/>
    <w:rsid w:val="00130174"/>
    <w:rsid w:val="001301E1"/>
    <w:rsid w:val="001302AB"/>
    <w:rsid w:val="0013044E"/>
    <w:rsid w:val="00130471"/>
    <w:rsid w:val="00130735"/>
    <w:rsid w:val="0013078A"/>
    <w:rsid w:val="00130B14"/>
    <w:rsid w:val="0013134A"/>
    <w:rsid w:val="00131828"/>
    <w:rsid w:val="001320DB"/>
    <w:rsid w:val="00132534"/>
    <w:rsid w:val="00132B7E"/>
    <w:rsid w:val="00132ECF"/>
    <w:rsid w:val="0013332B"/>
    <w:rsid w:val="00133CE4"/>
    <w:rsid w:val="00133CEB"/>
    <w:rsid w:val="00133DA1"/>
    <w:rsid w:val="00133EF1"/>
    <w:rsid w:val="00133FBF"/>
    <w:rsid w:val="00134222"/>
    <w:rsid w:val="00134985"/>
    <w:rsid w:val="001357A2"/>
    <w:rsid w:val="001359FC"/>
    <w:rsid w:val="00135A21"/>
    <w:rsid w:val="0013609B"/>
    <w:rsid w:val="001369F7"/>
    <w:rsid w:val="00136DBE"/>
    <w:rsid w:val="001378AA"/>
    <w:rsid w:val="00137A24"/>
    <w:rsid w:val="00137E68"/>
    <w:rsid w:val="001406CA"/>
    <w:rsid w:val="00140856"/>
    <w:rsid w:val="00140ADE"/>
    <w:rsid w:val="001417FF"/>
    <w:rsid w:val="00141D09"/>
    <w:rsid w:val="00141FDF"/>
    <w:rsid w:val="0014239A"/>
    <w:rsid w:val="00142793"/>
    <w:rsid w:val="00142974"/>
    <w:rsid w:val="001430A2"/>
    <w:rsid w:val="001435E6"/>
    <w:rsid w:val="00143CE6"/>
    <w:rsid w:val="00143D8C"/>
    <w:rsid w:val="0014423E"/>
    <w:rsid w:val="001443D5"/>
    <w:rsid w:val="00144787"/>
    <w:rsid w:val="0014483C"/>
    <w:rsid w:val="0014498C"/>
    <w:rsid w:val="001451A5"/>
    <w:rsid w:val="00145F74"/>
    <w:rsid w:val="0014604E"/>
    <w:rsid w:val="00146947"/>
    <w:rsid w:val="00147080"/>
    <w:rsid w:val="00147141"/>
    <w:rsid w:val="0014722D"/>
    <w:rsid w:val="00147B60"/>
    <w:rsid w:val="001506C8"/>
    <w:rsid w:val="00150746"/>
    <w:rsid w:val="00151331"/>
    <w:rsid w:val="00151BF0"/>
    <w:rsid w:val="00152614"/>
    <w:rsid w:val="00152DC6"/>
    <w:rsid w:val="00152E41"/>
    <w:rsid w:val="001536B2"/>
    <w:rsid w:val="001538EE"/>
    <w:rsid w:val="0015405B"/>
    <w:rsid w:val="00154F4E"/>
    <w:rsid w:val="00155192"/>
    <w:rsid w:val="00155B41"/>
    <w:rsid w:val="00155B79"/>
    <w:rsid w:val="00156344"/>
    <w:rsid w:val="00156406"/>
    <w:rsid w:val="001565D2"/>
    <w:rsid w:val="0015669A"/>
    <w:rsid w:val="00156BC1"/>
    <w:rsid w:val="001571C1"/>
    <w:rsid w:val="00157310"/>
    <w:rsid w:val="001573C7"/>
    <w:rsid w:val="001574B6"/>
    <w:rsid w:val="00157F04"/>
    <w:rsid w:val="00160C09"/>
    <w:rsid w:val="00160EA5"/>
    <w:rsid w:val="00161183"/>
    <w:rsid w:val="00161224"/>
    <w:rsid w:val="00161450"/>
    <w:rsid w:val="00161A18"/>
    <w:rsid w:val="00161DFE"/>
    <w:rsid w:val="0016213C"/>
    <w:rsid w:val="00162508"/>
    <w:rsid w:val="0016271B"/>
    <w:rsid w:val="0016293A"/>
    <w:rsid w:val="00162EBC"/>
    <w:rsid w:val="0016336A"/>
    <w:rsid w:val="00163A5B"/>
    <w:rsid w:val="00163A88"/>
    <w:rsid w:val="00163C1D"/>
    <w:rsid w:val="00164012"/>
    <w:rsid w:val="001640D2"/>
    <w:rsid w:val="001644C7"/>
    <w:rsid w:val="00164716"/>
    <w:rsid w:val="00164A05"/>
    <w:rsid w:val="001651B6"/>
    <w:rsid w:val="00165E60"/>
    <w:rsid w:val="00166097"/>
    <w:rsid w:val="00166DAD"/>
    <w:rsid w:val="00166E6D"/>
    <w:rsid w:val="00166FB5"/>
    <w:rsid w:val="00167022"/>
    <w:rsid w:val="0016718E"/>
    <w:rsid w:val="001700F0"/>
    <w:rsid w:val="0017060B"/>
    <w:rsid w:val="00170701"/>
    <w:rsid w:val="00170CBE"/>
    <w:rsid w:val="0017125A"/>
    <w:rsid w:val="00171387"/>
    <w:rsid w:val="00171B71"/>
    <w:rsid w:val="00171C7C"/>
    <w:rsid w:val="00171ECB"/>
    <w:rsid w:val="00172533"/>
    <w:rsid w:val="00172637"/>
    <w:rsid w:val="001726D4"/>
    <w:rsid w:val="001728B5"/>
    <w:rsid w:val="0017336D"/>
    <w:rsid w:val="0017388B"/>
    <w:rsid w:val="00173F1A"/>
    <w:rsid w:val="00174052"/>
    <w:rsid w:val="001745CE"/>
    <w:rsid w:val="00174E84"/>
    <w:rsid w:val="001750A0"/>
    <w:rsid w:val="00175DCC"/>
    <w:rsid w:val="001761B6"/>
    <w:rsid w:val="001762F3"/>
    <w:rsid w:val="001766D2"/>
    <w:rsid w:val="001768FA"/>
    <w:rsid w:val="001769A8"/>
    <w:rsid w:val="00177179"/>
    <w:rsid w:val="0017749D"/>
    <w:rsid w:val="001778A7"/>
    <w:rsid w:val="00177BB9"/>
    <w:rsid w:val="00177F02"/>
    <w:rsid w:val="0018013C"/>
    <w:rsid w:val="001803F4"/>
    <w:rsid w:val="001806B5"/>
    <w:rsid w:val="001806EE"/>
    <w:rsid w:val="00180E8D"/>
    <w:rsid w:val="00180FF8"/>
    <w:rsid w:val="001813B0"/>
    <w:rsid w:val="001818D8"/>
    <w:rsid w:val="00181BBA"/>
    <w:rsid w:val="0018206C"/>
    <w:rsid w:val="00182219"/>
    <w:rsid w:val="0018239D"/>
    <w:rsid w:val="0018271E"/>
    <w:rsid w:val="001827CC"/>
    <w:rsid w:val="00182DAE"/>
    <w:rsid w:val="00183096"/>
    <w:rsid w:val="001835D2"/>
    <w:rsid w:val="0018426D"/>
    <w:rsid w:val="00184490"/>
    <w:rsid w:val="001844C6"/>
    <w:rsid w:val="001845EF"/>
    <w:rsid w:val="0018482D"/>
    <w:rsid w:val="00184B03"/>
    <w:rsid w:val="00185580"/>
    <w:rsid w:val="00185BF1"/>
    <w:rsid w:val="00185D0D"/>
    <w:rsid w:val="00185D47"/>
    <w:rsid w:val="00186186"/>
    <w:rsid w:val="0018625D"/>
    <w:rsid w:val="00186A77"/>
    <w:rsid w:val="001874D7"/>
    <w:rsid w:val="00187B9E"/>
    <w:rsid w:val="001900C7"/>
    <w:rsid w:val="001903F5"/>
    <w:rsid w:val="00190B97"/>
    <w:rsid w:val="001910A2"/>
    <w:rsid w:val="00191188"/>
    <w:rsid w:val="001911BB"/>
    <w:rsid w:val="00191308"/>
    <w:rsid w:val="001914A9"/>
    <w:rsid w:val="00191B02"/>
    <w:rsid w:val="00191BC4"/>
    <w:rsid w:val="00191D42"/>
    <w:rsid w:val="0019245E"/>
    <w:rsid w:val="00192ADE"/>
    <w:rsid w:val="00192B36"/>
    <w:rsid w:val="00192DC6"/>
    <w:rsid w:val="00192F5C"/>
    <w:rsid w:val="001934B4"/>
    <w:rsid w:val="001934F4"/>
    <w:rsid w:val="00193C8F"/>
    <w:rsid w:val="00194013"/>
    <w:rsid w:val="001942E7"/>
    <w:rsid w:val="001945C8"/>
    <w:rsid w:val="00194A76"/>
    <w:rsid w:val="00194AAE"/>
    <w:rsid w:val="00194B60"/>
    <w:rsid w:val="001951F4"/>
    <w:rsid w:val="001955AA"/>
    <w:rsid w:val="00195D19"/>
    <w:rsid w:val="00195DF5"/>
    <w:rsid w:val="0019632C"/>
    <w:rsid w:val="00196A24"/>
    <w:rsid w:val="00196E13"/>
    <w:rsid w:val="001973CE"/>
    <w:rsid w:val="0019756C"/>
    <w:rsid w:val="00197D54"/>
    <w:rsid w:val="001A0FC3"/>
    <w:rsid w:val="001A15DC"/>
    <w:rsid w:val="001A1774"/>
    <w:rsid w:val="001A1E8A"/>
    <w:rsid w:val="001A26B9"/>
    <w:rsid w:val="001A3352"/>
    <w:rsid w:val="001A3695"/>
    <w:rsid w:val="001A3E0F"/>
    <w:rsid w:val="001A4052"/>
    <w:rsid w:val="001A44AA"/>
    <w:rsid w:val="001A4A74"/>
    <w:rsid w:val="001A4B28"/>
    <w:rsid w:val="001A5915"/>
    <w:rsid w:val="001A5982"/>
    <w:rsid w:val="001A59BB"/>
    <w:rsid w:val="001A5A0F"/>
    <w:rsid w:val="001A5B24"/>
    <w:rsid w:val="001A5B3F"/>
    <w:rsid w:val="001A5C62"/>
    <w:rsid w:val="001A5EB3"/>
    <w:rsid w:val="001A63B0"/>
    <w:rsid w:val="001A6717"/>
    <w:rsid w:val="001A6B09"/>
    <w:rsid w:val="001A7C6D"/>
    <w:rsid w:val="001B017B"/>
    <w:rsid w:val="001B06DB"/>
    <w:rsid w:val="001B08FF"/>
    <w:rsid w:val="001B0C3D"/>
    <w:rsid w:val="001B1992"/>
    <w:rsid w:val="001B1B2B"/>
    <w:rsid w:val="001B1CD9"/>
    <w:rsid w:val="001B204A"/>
    <w:rsid w:val="001B2370"/>
    <w:rsid w:val="001B2494"/>
    <w:rsid w:val="001B2AD7"/>
    <w:rsid w:val="001B2D49"/>
    <w:rsid w:val="001B2ED0"/>
    <w:rsid w:val="001B32D1"/>
    <w:rsid w:val="001B330C"/>
    <w:rsid w:val="001B332D"/>
    <w:rsid w:val="001B387D"/>
    <w:rsid w:val="001B3BB0"/>
    <w:rsid w:val="001B45A7"/>
    <w:rsid w:val="001B57E8"/>
    <w:rsid w:val="001B5943"/>
    <w:rsid w:val="001B5B1D"/>
    <w:rsid w:val="001B62EB"/>
    <w:rsid w:val="001B66EC"/>
    <w:rsid w:val="001B6765"/>
    <w:rsid w:val="001B6D41"/>
    <w:rsid w:val="001B6E7E"/>
    <w:rsid w:val="001B7C04"/>
    <w:rsid w:val="001B7E65"/>
    <w:rsid w:val="001C0388"/>
    <w:rsid w:val="001C045F"/>
    <w:rsid w:val="001C047F"/>
    <w:rsid w:val="001C0C89"/>
    <w:rsid w:val="001C145F"/>
    <w:rsid w:val="001C158E"/>
    <w:rsid w:val="001C1D10"/>
    <w:rsid w:val="001C2103"/>
    <w:rsid w:val="001C2198"/>
    <w:rsid w:val="001C2489"/>
    <w:rsid w:val="001C2510"/>
    <w:rsid w:val="001C2788"/>
    <w:rsid w:val="001C2CCA"/>
    <w:rsid w:val="001C31C0"/>
    <w:rsid w:val="001C3301"/>
    <w:rsid w:val="001C3489"/>
    <w:rsid w:val="001C35C1"/>
    <w:rsid w:val="001C3788"/>
    <w:rsid w:val="001C40E3"/>
    <w:rsid w:val="001C4657"/>
    <w:rsid w:val="001C5162"/>
    <w:rsid w:val="001C5290"/>
    <w:rsid w:val="001C5449"/>
    <w:rsid w:val="001C55A9"/>
    <w:rsid w:val="001C55F7"/>
    <w:rsid w:val="001C5CBA"/>
    <w:rsid w:val="001C5E6E"/>
    <w:rsid w:val="001C5EDC"/>
    <w:rsid w:val="001C71FB"/>
    <w:rsid w:val="001C72A9"/>
    <w:rsid w:val="001C73A0"/>
    <w:rsid w:val="001C78A3"/>
    <w:rsid w:val="001C7E63"/>
    <w:rsid w:val="001C7FEE"/>
    <w:rsid w:val="001D064C"/>
    <w:rsid w:val="001D0889"/>
    <w:rsid w:val="001D11E7"/>
    <w:rsid w:val="001D134B"/>
    <w:rsid w:val="001D14C6"/>
    <w:rsid w:val="001D15F7"/>
    <w:rsid w:val="001D223D"/>
    <w:rsid w:val="001D26FC"/>
    <w:rsid w:val="001D2D53"/>
    <w:rsid w:val="001D30AC"/>
    <w:rsid w:val="001D30DB"/>
    <w:rsid w:val="001D34EA"/>
    <w:rsid w:val="001D39F8"/>
    <w:rsid w:val="001D3B02"/>
    <w:rsid w:val="001D3F83"/>
    <w:rsid w:val="001D42C6"/>
    <w:rsid w:val="001D4649"/>
    <w:rsid w:val="001D46AE"/>
    <w:rsid w:val="001D47F4"/>
    <w:rsid w:val="001D4B01"/>
    <w:rsid w:val="001D4E7A"/>
    <w:rsid w:val="001D5311"/>
    <w:rsid w:val="001D5937"/>
    <w:rsid w:val="001D5C73"/>
    <w:rsid w:val="001D5D1A"/>
    <w:rsid w:val="001D5E80"/>
    <w:rsid w:val="001D5FC7"/>
    <w:rsid w:val="001D6139"/>
    <w:rsid w:val="001D6167"/>
    <w:rsid w:val="001D63D0"/>
    <w:rsid w:val="001D6714"/>
    <w:rsid w:val="001D6CFB"/>
    <w:rsid w:val="001D71C0"/>
    <w:rsid w:val="001D7363"/>
    <w:rsid w:val="001D74A8"/>
    <w:rsid w:val="001D76AB"/>
    <w:rsid w:val="001D78C3"/>
    <w:rsid w:val="001D7A31"/>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4E04"/>
    <w:rsid w:val="001E51A2"/>
    <w:rsid w:val="001E57CA"/>
    <w:rsid w:val="001E59A1"/>
    <w:rsid w:val="001E59C3"/>
    <w:rsid w:val="001E5C15"/>
    <w:rsid w:val="001E5CD5"/>
    <w:rsid w:val="001E6421"/>
    <w:rsid w:val="001E6674"/>
    <w:rsid w:val="001E67C2"/>
    <w:rsid w:val="001E6E4D"/>
    <w:rsid w:val="001E70EA"/>
    <w:rsid w:val="001E75AF"/>
    <w:rsid w:val="001E7FE0"/>
    <w:rsid w:val="001F0748"/>
    <w:rsid w:val="001F0A72"/>
    <w:rsid w:val="001F157B"/>
    <w:rsid w:val="001F159D"/>
    <w:rsid w:val="001F1BA0"/>
    <w:rsid w:val="001F2252"/>
    <w:rsid w:val="001F2907"/>
    <w:rsid w:val="001F2C32"/>
    <w:rsid w:val="001F302E"/>
    <w:rsid w:val="001F31F2"/>
    <w:rsid w:val="001F3545"/>
    <w:rsid w:val="001F35A0"/>
    <w:rsid w:val="001F3940"/>
    <w:rsid w:val="001F3A9A"/>
    <w:rsid w:val="001F44D3"/>
    <w:rsid w:val="001F45F0"/>
    <w:rsid w:val="001F4765"/>
    <w:rsid w:val="001F4EF4"/>
    <w:rsid w:val="001F5040"/>
    <w:rsid w:val="001F5BF9"/>
    <w:rsid w:val="001F6006"/>
    <w:rsid w:val="001F602B"/>
    <w:rsid w:val="001F609E"/>
    <w:rsid w:val="001F618A"/>
    <w:rsid w:val="001F61BB"/>
    <w:rsid w:val="001F6460"/>
    <w:rsid w:val="001F6608"/>
    <w:rsid w:val="001F66C6"/>
    <w:rsid w:val="001F6826"/>
    <w:rsid w:val="001F6E03"/>
    <w:rsid w:val="001F725A"/>
    <w:rsid w:val="001F7585"/>
    <w:rsid w:val="001F75D2"/>
    <w:rsid w:val="001F75DA"/>
    <w:rsid w:val="001F797E"/>
    <w:rsid w:val="001F79DC"/>
    <w:rsid w:val="001F7BC3"/>
    <w:rsid w:val="001F7F98"/>
    <w:rsid w:val="0020009E"/>
    <w:rsid w:val="00200603"/>
    <w:rsid w:val="00201431"/>
    <w:rsid w:val="00201CDB"/>
    <w:rsid w:val="0020269C"/>
    <w:rsid w:val="002026E8"/>
    <w:rsid w:val="00202729"/>
    <w:rsid w:val="0020272B"/>
    <w:rsid w:val="00202D57"/>
    <w:rsid w:val="00202F7A"/>
    <w:rsid w:val="0020352B"/>
    <w:rsid w:val="00203C07"/>
    <w:rsid w:val="00204008"/>
    <w:rsid w:val="002042D5"/>
    <w:rsid w:val="002047E7"/>
    <w:rsid w:val="002047FF"/>
    <w:rsid w:val="002048EC"/>
    <w:rsid w:val="0020496E"/>
    <w:rsid w:val="00204B9C"/>
    <w:rsid w:val="00204C0D"/>
    <w:rsid w:val="00204C72"/>
    <w:rsid w:val="00204E23"/>
    <w:rsid w:val="00204E92"/>
    <w:rsid w:val="00205B11"/>
    <w:rsid w:val="00205BC8"/>
    <w:rsid w:val="002062AB"/>
    <w:rsid w:val="002067B9"/>
    <w:rsid w:val="00206D77"/>
    <w:rsid w:val="00206E8D"/>
    <w:rsid w:val="002071C2"/>
    <w:rsid w:val="00207596"/>
    <w:rsid w:val="00207CAC"/>
    <w:rsid w:val="00207E74"/>
    <w:rsid w:val="00210137"/>
    <w:rsid w:val="00210B02"/>
    <w:rsid w:val="00210B5C"/>
    <w:rsid w:val="00210C96"/>
    <w:rsid w:val="00210D2E"/>
    <w:rsid w:val="00211075"/>
    <w:rsid w:val="00211747"/>
    <w:rsid w:val="002117DD"/>
    <w:rsid w:val="00211886"/>
    <w:rsid w:val="00211988"/>
    <w:rsid w:val="00211AC7"/>
    <w:rsid w:val="00212101"/>
    <w:rsid w:val="00212ECB"/>
    <w:rsid w:val="00213177"/>
    <w:rsid w:val="002134AD"/>
    <w:rsid w:val="00213867"/>
    <w:rsid w:val="00213B2D"/>
    <w:rsid w:val="00213C23"/>
    <w:rsid w:val="00213DA3"/>
    <w:rsid w:val="00214138"/>
    <w:rsid w:val="002141E6"/>
    <w:rsid w:val="002146AD"/>
    <w:rsid w:val="002146FB"/>
    <w:rsid w:val="00214B49"/>
    <w:rsid w:val="00214B83"/>
    <w:rsid w:val="00214BE9"/>
    <w:rsid w:val="002152A5"/>
    <w:rsid w:val="00215A33"/>
    <w:rsid w:val="00215E28"/>
    <w:rsid w:val="00215E95"/>
    <w:rsid w:val="002167E2"/>
    <w:rsid w:val="00216940"/>
    <w:rsid w:val="00216D13"/>
    <w:rsid w:val="00216F32"/>
    <w:rsid w:val="002174E7"/>
    <w:rsid w:val="00217836"/>
    <w:rsid w:val="002204F3"/>
    <w:rsid w:val="00220AAE"/>
    <w:rsid w:val="00220D13"/>
    <w:rsid w:val="00221061"/>
    <w:rsid w:val="00221E74"/>
    <w:rsid w:val="00221F35"/>
    <w:rsid w:val="00222537"/>
    <w:rsid w:val="00222825"/>
    <w:rsid w:val="00222F2D"/>
    <w:rsid w:val="0022327F"/>
    <w:rsid w:val="0022339A"/>
    <w:rsid w:val="002233A4"/>
    <w:rsid w:val="002239F4"/>
    <w:rsid w:val="002247B9"/>
    <w:rsid w:val="0022483C"/>
    <w:rsid w:val="002257B5"/>
    <w:rsid w:val="00226056"/>
    <w:rsid w:val="00226225"/>
    <w:rsid w:val="00226401"/>
    <w:rsid w:val="0022661F"/>
    <w:rsid w:val="00226A73"/>
    <w:rsid w:val="00226BF6"/>
    <w:rsid w:val="00226F85"/>
    <w:rsid w:val="00227018"/>
    <w:rsid w:val="002272D0"/>
    <w:rsid w:val="00230259"/>
    <w:rsid w:val="00230FC7"/>
    <w:rsid w:val="002310A3"/>
    <w:rsid w:val="00231477"/>
    <w:rsid w:val="002319D8"/>
    <w:rsid w:val="00231B63"/>
    <w:rsid w:val="00232387"/>
    <w:rsid w:val="002323B0"/>
    <w:rsid w:val="002326C7"/>
    <w:rsid w:val="0023294F"/>
    <w:rsid w:val="00232D3E"/>
    <w:rsid w:val="0023345E"/>
    <w:rsid w:val="002335AF"/>
    <w:rsid w:val="002339EF"/>
    <w:rsid w:val="00233B50"/>
    <w:rsid w:val="00233D6B"/>
    <w:rsid w:val="0023491A"/>
    <w:rsid w:val="00235122"/>
    <w:rsid w:val="002353F9"/>
    <w:rsid w:val="002356A8"/>
    <w:rsid w:val="00235711"/>
    <w:rsid w:val="00235C2B"/>
    <w:rsid w:val="0023624D"/>
    <w:rsid w:val="00236F82"/>
    <w:rsid w:val="002373DE"/>
    <w:rsid w:val="00237C96"/>
    <w:rsid w:val="00237D52"/>
    <w:rsid w:val="00237F5B"/>
    <w:rsid w:val="0024047F"/>
    <w:rsid w:val="00240884"/>
    <w:rsid w:val="002408CA"/>
    <w:rsid w:val="00240DF3"/>
    <w:rsid w:val="0024178C"/>
    <w:rsid w:val="002421DA"/>
    <w:rsid w:val="00242490"/>
    <w:rsid w:val="00242651"/>
    <w:rsid w:val="00242821"/>
    <w:rsid w:val="002429C2"/>
    <w:rsid w:val="00242BBE"/>
    <w:rsid w:val="00242DCD"/>
    <w:rsid w:val="00242EA4"/>
    <w:rsid w:val="00243090"/>
    <w:rsid w:val="00243399"/>
    <w:rsid w:val="00243A45"/>
    <w:rsid w:val="00244243"/>
    <w:rsid w:val="002443A2"/>
    <w:rsid w:val="002445E5"/>
    <w:rsid w:val="002447CB"/>
    <w:rsid w:val="002448CB"/>
    <w:rsid w:val="00244C18"/>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CFB"/>
    <w:rsid w:val="00252DEC"/>
    <w:rsid w:val="002533C2"/>
    <w:rsid w:val="002536AC"/>
    <w:rsid w:val="0025376B"/>
    <w:rsid w:val="00253C00"/>
    <w:rsid w:val="00253C6D"/>
    <w:rsid w:val="0025402C"/>
    <w:rsid w:val="002548A9"/>
    <w:rsid w:val="00254F12"/>
    <w:rsid w:val="0025562D"/>
    <w:rsid w:val="00255632"/>
    <w:rsid w:val="00256184"/>
    <w:rsid w:val="0025626D"/>
    <w:rsid w:val="002564FD"/>
    <w:rsid w:val="00256560"/>
    <w:rsid w:val="00256624"/>
    <w:rsid w:val="00256F20"/>
    <w:rsid w:val="00257F30"/>
    <w:rsid w:val="00257FED"/>
    <w:rsid w:val="002600A1"/>
    <w:rsid w:val="0026099A"/>
    <w:rsid w:val="00260CB3"/>
    <w:rsid w:val="00260F4C"/>
    <w:rsid w:val="0026181D"/>
    <w:rsid w:val="00261B1F"/>
    <w:rsid w:val="00261BCC"/>
    <w:rsid w:val="00261BE8"/>
    <w:rsid w:val="00261C7F"/>
    <w:rsid w:val="00262168"/>
    <w:rsid w:val="002622B0"/>
    <w:rsid w:val="0026258F"/>
    <w:rsid w:val="002629DD"/>
    <w:rsid w:val="00262ACE"/>
    <w:rsid w:val="00262B31"/>
    <w:rsid w:val="002633AF"/>
    <w:rsid w:val="002635FC"/>
    <w:rsid w:val="00263763"/>
    <w:rsid w:val="00263A79"/>
    <w:rsid w:val="00263B30"/>
    <w:rsid w:val="002644B6"/>
    <w:rsid w:val="00264C6B"/>
    <w:rsid w:val="00264C82"/>
    <w:rsid w:val="00264D65"/>
    <w:rsid w:val="00264FD6"/>
    <w:rsid w:val="00265C0D"/>
    <w:rsid w:val="00265DE2"/>
    <w:rsid w:val="0026655E"/>
    <w:rsid w:val="00266C50"/>
    <w:rsid w:val="002670AA"/>
    <w:rsid w:val="002671CE"/>
    <w:rsid w:val="00267298"/>
    <w:rsid w:val="0026756C"/>
    <w:rsid w:val="002676DE"/>
    <w:rsid w:val="00267DD0"/>
    <w:rsid w:val="0027011C"/>
    <w:rsid w:val="00270243"/>
    <w:rsid w:val="00270817"/>
    <w:rsid w:val="00270869"/>
    <w:rsid w:val="0027086E"/>
    <w:rsid w:val="002710C2"/>
    <w:rsid w:val="002711C9"/>
    <w:rsid w:val="002715E9"/>
    <w:rsid w:val="002717F0"/>
    <w:rsid w:val="0027194F"/>
    <w:rsid w:val="002719C8"/>
    <w:rsid w:val="0027240B"/>
    <w:rsid w:val="00272580"/>
    <w:rsid w:val="002725C1"/>
    <w:rsid w:val="002726AA"/>
    <w:rsid w:val="00272792"/>
    <w:rsid w:val="00272A50"/>
    <w:rsid w:val="0027305A"/>
    <w:rsid w:val="002737F3"/>
    <w:rsid w:val="0027394E"/>
    <w:rsid w:val="00273AB5"/>
    <w:rsid w:val="00273AC0"/>
    <w:rsid w:val="00273C00"/>
    <w:rsid w:val="002743CC"/>
    <w:rsid w:val="00274C38"/>
    <w:rsid w:val="00274DED"/>
    <w:rsid w:val="00275012"/>
    <w:rsid w:val="002753CD"/>
    <w:rsid w:val="00275582"/>
    <w:rsid w:val="002755F3"/>
    <w:rsid w:val="00275778"/>
    <w:rsid w:val="00275DEC"/>
    <w:rsid w:val="0027626E"/>
    <w:rsid w:val="00276F68"/>
    <w:rsid w:val="0027709F"/>
    <w:rsid w:val="0027749B"/>
    <w:rsid w:val="0027759D"/>
    <w:rsid w:val="00277718"/>
    <w:rsid w:val="00277CC4"/>
    <w:rsid w:val="0027EF54"/>
    <w:rsid w:val="002800EC"/>
    <w:rsid w:val="00280254"/>
    <w:rsid w:val="002810E7"/>
    <w:rsid w:val="00281354"/>
    <w:rsid w:val="0028137C"/>
    <w:rsid w:val="00281C53"/>
    <w:rsid w:val="002821D4"/>
    <w:rsid w:val="0028253E"/>
    <w:rsid w:val="002826B7"/>
    <w:rsid w:val="002829A0"/>
    <w:rsid w:val="002829B5"/>
    <w:rsid w:val="00282B59"/>
    <w:rsid w:val="00282DEE"/>
    <w:rsid w:val="00282E68"/>
    <w:rsid w:val="0028339B"/>
    <w:rsid w:val="002837FA"/>
    <w:rsid w:val="00283AC7"/>
    <w:rsid w:val="00283C02"/>
    <w:rsid w:val="00283EA9"/>
    <w:rsid w:val="00283F74"/>
    <w:rsid w:val="00284415"/>
    <w:rsid w:val="00284456"/>
    <w:rsid w:val="002846D6"/>
    <w:rsid w:val="00284B9E"/>
    <w:rsid w:val="002857D1"/>
    <w:rsid w:val="00286015"/>
    <w:rsid w:val="00286CD4"/>
    <w:rsid w:val="00287757"/>
    <w:rsid w:val="00287881"/>
    <w:rsid w:val="00287B12"/>
    <w:rsid w:val="00287DA0"/>
    <w:rsid w:val="00287E0B"/>
    <w:rsid w:val="002901CD"/>
    <w:rsid w:val="002902D6"/>
    <w:rsid w:val="0029039B"/>
    <w:rsid w:val="002908BA"/>
    <w:rsid w:val="00290A59"/>
    <w:rsid w:val="00290C29"/>
    <w:rsid w:val="00290CBC"/>
    <w:rsid w:val="0029108E"/>
    <w:rsid w:val="00291105"/>
    <w:rsid w:val="00291AB8"/>
    <w:rsid w:val="00291CB7"/>
    <w:rsid w:val="0029228D"/>
    <w:rsid w:val="00292442"/>
    <w:rsid w:val="00292951"/>
    <w:rsid w:val="00292AA2"/>
    <w:rsid w:val="002932B2"/>
    <w:rsid w:val="00294B76"/>
    <w:rsid w:val="00294BD5"/>
    <w:rsid w:val="002950D6"/>
    <w:rsid w:val="00295144"/>
    <w:rsid w:val="0029529D"/>
    <w:rsid w:val="002953E2"/>
    <w:rsid w:val="002956B8"/>
    <w:rsid w:val="0029579B"/>
    <w:rsid w:val="00295CE4"/>
    <w:rsid w:val="00295F38"/>
    <w:rsid w:val="00295FA2"/>
    <w:rsid w:val="002965C9"/>
    <w:rsid w:val="00296ABF"/>
    <w:rsid w:val="00296C8A"/>
    <w:rsid w:val="002975D7"/>
    <w:rsid w:val="002977C9"/>
    <w:rsid w:val="00297960"/>
    <w:rsid w:val="00297C2D"/>
    <w:rsid w:val="002A012A"/>
    <w:rsid w:val="002A02D3"/>
    <w:rsid w:val="002A0A44"/>
    <w:rsid w:val="002A1002"/>
    <w:rsid w:val="002A11B8"/>
    <w:rsid w:val="002A120A"/>
    <w:rsid w:val="002A16B3"/>
    <w:rsid w:val="002A175E"/>
    <w:rsid w:val="002A1929"/>
    <w:rsid w:val="002A1ACC"/>
    <w:rsid w:val="002A26A8"/>
    <w:rsid w:val="002A344D"/>
    <w:rsid w:val="002A38CE"/>
    <w:rsid w:val="002A3D3B"/>
    <w:rsid w:val="002A3D3F"/>
    <w:rsid w:val="002A4E2C"/>
    <w:rsid w:val="002A4F2A"/>
    <w:rsid w:val="002A54B2"/>
    <w:rsid w:val="002A5F7A"/>
    <w:rsid w:val="002A6538"/>
    <w:rsid w:val="002A70B0"/>
    <w:rsid w:val="002A738D"/>
    <w:rsid w:val="002A73A1"/>
    <w:rsid w:val="002A73D6"/>
    <w:rsid w:val="002A7ACA"/>
    <w:rsid w:val="002A7D81"/>
    <w:rsid w:val="002B0874"/>
    <w:rsid w:val="002B0881"/>
    <w:rsid w:val="002B0D60"/>
    <w:rsid w:val="002B118F"/>
    <w:rsid w:val="002B180C"/>
    <w:rsid w:val="002B1BF9"/>
    <w:rsid w:val="002B1CCD"/>
    <w:rsid w:val="002B1D36"/>
    <w:rsid w:val="002B1EC2"/>
    <w:rsid w:val="002B1F81"/>
    <w:rsid w:val="002B23F8"/>
    <w:rsid w:val="002B2441"/>
    <w:rsid w:val="002B270E"/>
    <w:rsid w:val="002B2CEE"/>
    <w:rsid w:val="002B2D0F"/>
    <w:rsid w:val="002B3B87"/>
    <w:rsid w:val="002B3E9C"/>
    <w:rsid w:val="002B3F94"/>
    <w:rsid w:val="002B40AD"/>
    <w:rsid w:val="002B4A7C"/>
    <w:rsid w:val="002B5C9D"/>
    <w:rsid w:val="002B60CC"/>
    <w:rsid w:val="002B63C6"/>
    <w:rsid w:val="002B6A22"/>
    <w:rsid w:val="002B6B22"/>
    <w:rsid w:val="002B6DF2"/>
    <w:rsid w:val="002B7185"/>
    <w:rsid w:val="002B742D"/>
    <w:rsid w:val="002B772C"/>
    <w:rsid w:val="002B78A9"/>
    <w:rsid w:val="002B78E8"/>
    <w:rsid w:val="002B790E"/>
    <w:rsid w:val="002B79D7"/>
    <w:rsid w:val="002B7B5A"/>
    <w:rsid w:val="002B7D64"/>
    <w:rsid w:val="002B7DA5"/>
    <w:rsid w:val="002C02B3"/>
    <w:rsid w:val="002C0569"/>
    <w:rsid w:val="002C089B"/>
    <w:rsid w:val="002C1035"/>
    <w:rsid w:val="002C13AE"/>
    <w:rsid w:val="002C13E8"/>
    <w:rsid w:val="002C18A9"/>
    <w:rsid w:val="002C19FC"/>
    <w:rsid w:val="002C1A34"/>
    <w:rsid w:val="002C1FE4"/>
    <w:rsid w:val="002C2190"/>
    <w:rsid w:val="002C273C"/>
    <w:rsid w:val="002C2A75"/>
    <w:rsid w:val="002C35FF"/>
    <w:rsid w:val="002C36F4"/>
    <w:rsid w:val="002C37A5"/>
    <w:rsid w:val="002C446F"/>
    <w:rsid w:val="002C4A22"/>
    <w:rsid w:val="002C55A7"/>
    <w:rsid w:val="002C5700"/>
    <w:rsid w:val="002C5D9A"/>
    <w:rsid w:val="002C67BA"/>
    <w:rsid w:val="002C6833"/>
    <w:rsid w:val="002C6858"/>
    <w:rsid w:val="002C687F"/>
    <w:rsid w:val="002C691C"/>
    <w:rsid w:val="002C6BBF"/>
    <w:rsid w:val="002C7140"/>
    <w:rsid w:val="002C76FE"/>
    <w:rsid w:val="002D078E"/>
    <w:rsid w:val="002D09DA"/>
    <w:rsid w:val="002D10C1"/>
    <w:rsid w:val="002D11F9"/>
    <w:rsid w:val="002D126A"/>
    <w:rsid w:val="002D1808"/>
    <w:rsid w:val="002D1BB5"/>
    <w:rsid w:val="002D21C9"/>
    <w:rsid w:val="002D223D"/>
    <w:rsid w:val="002D2577"/>
    <w:rsid w:val="002D2A80"/>
    <w:rsid w:val="002D2AB4"/>
    <w:rsid w:val="002D2D1D"/>
    <w:rsid w:val="002D38FC"/>
    <w:rsid w:val="002D446E"/>
    <w:rsid w:val="002D45BA"/>
    <w:rsid w:val="002D48D3"/>
    <w:rsid w:val="002D4B23"/>
    <w:rsid w:val="002D6541"/>
    <w:rsid w:val="002D7AA5"/>
    <w:rsid w:val="002E03B0"/>
    <w:rsid w:val="002E0ED2"/>
    <w:rsid w:val="002E1116"/>
    <w:rsid w:val="002E1D08"/>
    <w:rsid w:val="002E1F33"/>
    <w:rsid w:val="002E22BE"/>
    <w:rsid w:val="002E2436"/>
    <w:rsid w:val="002E2AE2"/>
    <w:rsid w:val="002E2FF4"/>
    <w:rsid w:val="002E3000"/>
    <w:rsid w:val="002E34C5"/>
    <w:rsid w:val="002E3829"/>
    <w:rsid w:val="002E3B71"/>
    <w:rsid w:val="002E4453"/>
    <w:rsid w:val="002E44E2"/>
    <w:rsid w:val="002E4807"/>
    <w:rsid w:val="002E4E4D"/>
    <w:rsid w:val="002E5553"/>
    <w:rsid w:val="002E5781"/>
    <w:rsid w:val="002E585E"/>
    <w:rsid w:val="002E5862"/>
    <w:rsid w:val="002E5D2F"/>
    <w:rsid w:val="002E5D33"/>
    <w:rsid w:val="002E5E0C"/>
    <w:rsid w:val="002E6014"/>
    <w:rsid w:val="002E60E1"/>
    <w:rsid w:val="002E63E5"/>
    <w:rsid w:val="002E6414"/>
    <w:rsid w:val="002E6528"/>
    <w:rsid w:val="002E681F"/>
    <w:rsid w:val="002E74C6"/>
    <w:rsid w:val="002E7557"/>
    <w:rsid w:val="002E7BB7"/>
    <w:rsid w:val="002F0183"/>
    <w:rsid w:val="002F02A7"/>
    <w:rsid w:val="002F07A6"/>
    <w:rsid w:val="002F0E47"/>
    <w:rsid w:val="002F0FDE"/>
    <w:rsid w:val="002F12AD"/>
    <w:rsid w:val="002F13C5"/>
    <w:rsid w:val="002F15F9"/>
    <w:rsid w:val="002F198D"/>
    <w:rsid w:val="002F1E3D"/>
    <w:rsid w:val="002F25E9"/>
    <w:rsid w:val="002F2A86"/>
    <w:rsid w:val="002F2DC3"/>
    <w:rsid w:val="002F3731"/>
    <w:rsid w:val="002F37A9"/>
    <w:rsid w:val="002F3CA3"/>
    <w:rsid w:val="002F41ED"/>
    <w:rsid w:val="002F4C0A"/>
    <w:rsid w:val="002F5105"/>
    <w:rsid w:val="002F5718"/>
    <w:rsid w:val="002F647B"/>
    <w:rsid w:val="002F7496"/>
    <w:rsid w:val="002F7E61"/>
    <w:rsid w:val="00300072"/>
    <w:rsid w:val="00300A07"/>
    <w:rsid w:val="00300DB5"/>
    <w:rsid w:val="0030113D"/>
    <w:rsid w:val="00301647"/>
    <w:rsid w:val="0030192B"/>
    <w:rsid w:val="00301B46"/>
    <w:rsid w:val="00301CF6"/>
    <w:rsid w:val="003020A5"/>
    <w:rsid w:val="0030259D"/>
    <w:rsid w:val="00302822"/>
    <w:rsid w:val="00302A0C"/>
    <w:rsid w:val="00302ACE"/>
    <w:rsid w:val="00303508"/>
    <w:rsid w:val="003037B4"/>
    <w:rsid w:val="00303CA1"/>
    <w:rsid w:val="0030415D"/>
    <w:rsid w:val="0030427C"/>
    <w:rsid w:val="003042D4"/>
    <w:rsid w:val="00304AC1"/>
    <w:rsid w:val="003053F2"/>
    <w:rsid w:val="003055C4"/>
    <w:rsid w:val="00305B2B"/>
    <w:rsid w:val="003060A8"/>
    <w:rsid w:val="00306252"/>
    <w:rsid w:val="0030665B"/>
    <w:rsid w:val="00306727"/>
    <w:rsid w:val="00306A92"/>
    <w:rsid w:val="0030774C"/>
    <w:rsid w:val="00307DFA"/>
    <w:rsid w:val="0031041C"/>
    <w:rsid w:val="0031053E"/>
    <w:rsid w:val="0031059A"/>
    <w:rsid w:val="003112A9"/>
    <w:rsid w:val="00311430"/>
    <w:rsid w:val="003119B0"/>
    <w:rsid w:val="0031211F"/>
    <w:rsid w:val="00312627"/>
    <w:rsid w:val="0031266F"/>
    <w:rsid w:val="00312A7C"/>
    <w:rsid w:val="003134AD"/>
    <w:rsid w:val="00313761"/>
    <w:rsid w:val="00313F3C"/>
    <w:rsid w:val="00314B3B"/>
    <w:rsid w:val="00314C62"/>
    <w:rsid w:val="00315198"/>
    <w:rsid w:val="003153A1"/>
    <w:rsid w:val="003153BC"/>
    <w:rsid w:val="00315B21"/>
    <w:rsid w:val="00315DC5"/>
    <w:rsid w:val="00316561"/>
    <w:rsid w:val="00316DFD"/>
    <w:rsid w:val="00316E1E"/>
    <w:rsid w:val="00316EE4"/>
    <w:rsid w:val="003172A7"/>
    <w:rsid w:val="0031763A"/>
    <w:rsid w:val="003178C3"/>
    <w:rsid w:val="00317D2D"/>
    <w:rsid w:val="00317F17"/>
    <w:rsid w:val="00320BBE"/>
    <w:rsid w:val="003214C0"/>
    <w:rsid w:val="00321517"/>
    <w:rsid w:val="00321A79"/>
    <w:rsid w:val="00321DBB"/>
    <w:rsid w:val="003228E0"/>
    <w:rsid w:val="0032292D"/>
    <w:rsid w:val="0032387E"/>
    <w:rsid w:val="0032442C"/>
    <w:rsid w:val="00324524"/>
    <w:rsid w:val="00324571"/>
    <w:rsid w:val="003246ED"/>
    <w:rsid w:val="0032487E"/>
    <w:rsid w:val="00324B5A"/>
    <w:rsid w:val="00324FE5"/>
    <w:rsid w:val="00325018"/>
    <w:rsid w:val="00325069"/>
    <w:rsid w:val="003256E9"/>
    <w:rsid w:val="00325800"/>
    <w:rsid w:val="00325A9E"/>
    <w:rsid w:val="00325BB2"/>
    <w:rsid w:val="00325E0A"/>
    <w:rsid w:val="0032622C"/>
    <w:rsid w:val="00326257"/>
    <w:rsid w:val="00326753"/>
    <w:rsid w:val="00326A25"/>
    <w:rsid w:val="00326DC3"/>
    <w:rsid w:val="00326E64"/>
    <w:rsid w:val="003272C5"/>
    <w:rsid w:val="003273D4"/>
    <w:rsid w:val="003278BA"/>
    <w:rsid w:val="00327AC2"/>
    <w:rsid w:val="00327E0B"/>
    <w:rsid w:val="00330430"/>
    <w:rsid w:val="003306A2"/>
    <w:rsid w:val="00330D46"/>
    <w:rsid w:val="00330F1F"/>
    <w:rsid w:val="00330F20"/>
    <w:rsid w:val="00331625"/>
    <w:rsid w:val="00331931"/>
    <w:rsid w:val="00331C3A"/>
    <w:rsid w:val="00331EED"/>
    <w:rsid w:val="00332966"/>
    <w:rsid w:val="00332F2C"/>
    <w:rsid w:val="00333033"/>
    <w:rsid w:val="0033314C"/>
    <w:rsid w:val="00333179"/>
    <w:rsid w:val="003337C6"/>
    <w:rsid w:val="00333B74"/>
    <w:rsid w:val="00333D25"/>
    <w:rsid w:val="003340B8"/>
    <w:rsid w:val="0033440F"/>
    <w:rsid w:val="003347F7"/>
    <w:rsid w:val="00334875"/>
    <w:rsid w:val="00335B64"/>
    <w:rsid w:val="0033628F"/>
    <w:rsid w:val="0033686F"/>
    <w:rsid w:val="0033688B"/>
    <w:rsid w:val="00336ABA"/>
    <w:rsid w:val="00337111"/>
    <w:rsid w:val="003373FF"/>
    <w:rsid w:val="00337408"/>
    <w:rsid w:val="00337868"/>
    <w:rsid w:val="0033797E"/>
    <w:rsid w:val="00337A8F"/>
    <w:rsid w:val="003407AC"/>
    <w:rsid w:val="003408F0"/>
    <w:rsid w:val="00340F88"/>
    <w:rsid w:val="00341016"/>
    <w:rsid w:val="0034114D"/>
    <w:rsid w:val="003411FE"/>
    <w:rsid w:val="00341D4C"/>
    <w:rsid w:val="00341F59"/>
    <w:rsid w:val="0034207F"/>
    <w:rsid w:val="00342290"/>
    <w:rsid w:val="00342297"/>
    <w:rsid w:val="00342316"/>
    <w:rsid w:val="0034248C"/>
    <w:rsid w:val="003424A3"/>
    <w:rsid w:val="003425C3"/>
    <w:rsid w:val="003425DD"/>
    <w:rsid w:val="00342E40"/>
    <w:rsid w:val="00343100"/>
    <w:rsid w:val="0034312E"/>
    <w:rsid w:val="003433A9"/>
    <w:rsid w:val="0034362F"/>
    <w:rsid w:val="003437C3"/>
    <w:rsid w:val="00343AA5"/>
    <w:rsid w:val="00343DDD"/>
    <w:rsid w:val="00343F93"/>
    <w:rsid w:val="003445B2"/>
    <w:rsid w:val="00344669"/>
    <w:rsid w:val="0034494D"/>
    <w:rsid w:val="003449A2"/>
    <w:rsid w:val="00344AB7"/>
    <w:rsid w:val="00344C69"/>
    <w:rsid w:val="00344D6E"/>
    <w:rsid w:val="00344DD9"/>
    <w:rsid w:val="003454C7"/>
    <w:rsid w:val="003456FF"/>
    <w:rsid w:val="003457CA"/>
    <w:rsid w:val="003457F1"/>
    <w:rsid w:val="00345DEB"/>
    <w:rsid w:val="00345FCD"/>
    <w:rsid w:val="003466F7"/>
    <w:rsid w:val="00346ADF"/>
    <w:rsid w:val="0034757C"/>
    <w:rsid w:val="00347812"/>
    <w:rsid w:val="00347C3F"/>
    <w:rsid w:val="00347DED"/>
    <w:rsid w:val="0035068B"/>
    <w:rsid w:val="003506D7"/>
    <w:rsid w:val="00350FE8"/>
    <w:rsid w:val="00351657"/>
    <w:rsid w:val="00351996"/>
    <w:rsid w:val="00351B0C"/>
    <w:rsid w:val="00351C20"/>
    <w:rsid w:val="00351C28"/>
    <w:rsid w:val="0035206E"/>
    <w:rsid w:val="003521D1"/>
    <w:rsid w:val="00352E5F"/>
    <w:rsid w:val="00353F59"/>
    <w:rsid w:val="003541B7"/>
    <w:rsid w:val="00354A7F"/>
    <w:rsid w:val="00355071"/>
    <w:rsid w:val="00355335"/>
    <w:rsid w:val="003555A5"/>
    <w:rsid w:val="00355697"/>
    <w:rsid w:val="00355826"/>
    <w:rsid w:val="00355864"/>
    <w:rsid w:val="003558F6"/>
    <w:rsid w:val="00355AD2"/>
    <w:rsid w:val="00355FA7"/>
    <w:rsid w:val="00356026"/>
    <w:rsid w:val="003563B4"/>
    <w:rsid w:val="003564EB"/>
    <w:rsid w:val="00356A79"/>
    <w:rsid w:val="00356E56"/>
    <w:rsid w:val="0036097B"/>
    <w:rsid w:val="003609C1"/>
    <w:rsid w:val="00360DE0"/>
    <w:rsid w:val="0036126C"/>
    <w:rsid w:val="00361BBA"/>
    <w:rsid w:val="00361D28"/>
    <w:rsid w:val="00361ECA"/>
    <w:rsid w:val="0036200D"/>
    <w:rsid w:val="003622E5"/>
    <w:rsid w:val="0036258B"/>
    <w:rsid w:val="00362602"/>
    <w:rsid w:val="00362729"/>
    <w:rsid w:val="00362A66"/>
    <w:rsid w:val="00362A68"/>
    <w:rsid w:val="003635B9"/>
    <w:rsid w:val="003636D0"/>
    <w:rsid w:val="003636D4"/>
    <w:rsid w:val="00363F02"/>
    <w:rsid w:val="00363F20"/>
    <w:rsid w:val="00364028"/>
    <w:rsid w:val="00364559"/>
    <w:rsid w:val="00364C9A"/>
    <w:rsid w:val="003651CF"/>
    <w:rsid w:val="00365FE5"/>
    <w:rsid w:val="0036600D"/>
    <w:rsid w:val="003667F8"/>
    <w:rsid w:val="00366B4B"/>
    <w:rsid w:val="00366E1B"/>
    <w:rsid w:val="0036739A"/>
    <w:rsid w:val="0036747C"/>
    <w:rsid w:val="003678F2"/>
    <w:rsid w:val="00370000"/>
    <w:rsid w:val="00370B45"/>
    <w:rsid w:val="00370C5B"/>
    <w:rsid w:val="003718A2"/>
    <w:rsid w:val="003718C3"/>
    <w:rsid w:val="00371A0A"/>
    <w:rsid w:val="00371E29"/>
    <w:rsid w:val="003727CD"/>
    <w:rsid w:val="00372D1D"/>
    <w:rsid w:val="00373037"/>
    <w:rsid w:val="003731E8"/>
    <w:rsid w:val="00373597"/>
    <w:rsid w:val="00373B6B"/>
    <w:rsid w:val="00373D6D"/>
    <w:rsid w:val="003753F7"/>
    <w:rsid w:val="003754B2"/>
    <w:rsid w:val="003756A1"/>
    <w:rsid w:val="00375A62"/>
    <w:rsid w:val="00375A74"/>
    <w:rsid w:val="00375DE3"/>
    <w:rsid w:val="003763C4"/>
    <w:rsid w:val="00376EF3"/>
    <w:rsid w:val="00376FAE"/>
    <w:rsid w:val="00376FEE"/>
    <w:rsid w:val="0037727C"/>
    <w:rsid w:val="00377A63"/>
    <w:rsid w:val="00377E75"/>
    <w:rsid w:val="003803CA"/>
    <w:rsid w:val="00380438"/>
    <w:rsid w:val="0038051D"/>
    <w:rsid w:val="00380BE2"/>
    <w:rsid w:val="003817EC"/>
    <w:rsid w:val="003820EB"/>
    <w:rsid w:val="003824AA"/>
    <w:rsid w:val="00382AA9"/>
    <w:rsid w:val="003837A0"/>
    <w:rsid w:val="00383FF6"/>
    <w:rsid w:val="0038400F"/>
    <w:rsid w:val="00384122"/>
    <w:rsid w:val="003843F4"/>
    <w:rsid w:val="00384ADF"/>
    <w:rsid w:val="00384DA5"/>
    <w:rsid w:val="00384E94"/>
    <w:rsid w:val="00384FF4"/>
    <w:rsid w:val="0038547C"/>
    <w:rsid w:val="0038559E"/>
    <w:rsid w:val="0038562D"/>
    <w:rsid w:val="003858AD"/>
    <w:rsid w:val="003859C0"/>
    <w:rsid w:val="00386B09"/>
    <w:rsid w:val="00386D61"/>
    <w:rsid w:val="00386EE4"/>
    <w:rsid w:val="00387193"/>
    <w:rsid w:val="003902D2"/>
    <w:rsid w:val="003911E0"/>
    <w:rsid w:val="00391201"/>
    <w:rsid w:val="003912A1"/>
    <w:rsid w:val="003919D3"/>
    <w:rsid w:val="00391DC3"/>
    <w:rsid w:val="003922CC"/>
    <w:rsid w:val="0039244E"/>
    <w:rsid w:val="003924F8"/>
    <w:rsid w:val="00392593"/>
    <w:rsid w:val="00392B47"/>
    <w:rsid w:val="00392F4B"/>
    <w:rsid w:val="0039393A"/>
    <w:rsid w:val="00393D05"/>
    <w:rsid w:val="00393FAA"/>
    <w:rsid w:val="0039415F"/>
    <w:rsid w:val="00394307"/>
    <w:rsid w:val="0039477E"/>
    <w:rsid w:val="00394873"/>
    <w:rsid w:val="003948BD"/>
    <w:rsid w:val="00394A75"/>
    <w:rsid w:val="00395144"/>
    <w:rsid w:val="003954A4"/>
    <w:rsid w:val="003957DE"/>
    <w:rsid w:val="00396430"/>
    <w:rsid w:val="003967B6"/>
    <w:rsid w:val="00396C39"/>
    <w:rsid w:val="00396D03"/>
    <w:rsid w:val="003970D2"/>
    <w:rsid w:val="003972D7"/>
    <w:rsid w:val="003972DF"/>
    <w:rsid w:val="003975FB"/>
    <w:rsid w:val="003978F8"/>
    <w:rsid w:val="003A00AB"/>
    <w:rsid w:val="003A040B"/>
    <w:rsid w:val="003A042A"/>
    <w:rsid w:val="003A0FEF"/>
    <w:rsid w:val="003A1206"/>
    <w:rsid w:val="003A18DB"/>
    <w:rsid w:val="003A29DC"/>
    <w:rsid w:val="003A29FB"/>
    <w:rsid w:val="003A2BFF"/>
    <w:rsid w:val="003A2E37"/>
    <w:rsid w:val="003A2FE3"/>
    <w:rsid w:val="003A3301"/>
    <w:rsid w:val="003A373B"/>
    <w:rsid w:val="003A3ACA"/>
    <w:rsid w:val="003A3D15"/>
    <w:rsid w:val="003A3D8A"/>
    <w:rsid w:val="003A3E19"/>
    <w:rsid w:val="003A3E80"/>
    <w:rsid w:val="003A3EFC"/>
    <w:rsid w:val="003A3F2F"/>
    <w:rsid w:val="003A414F"/>
    <w:rsid w:val="003A4218"/>
    <w:rsid w:val="003A4666"/>
    <w:rsid w:val="003A4B6A"/>
    <w:rsid w:val="003A4C25"/>
    <w:rsid w:val="003A4E80"/>
    <w:rsid w:val="003A52C2"/>
    <w:rsid w:val="003A538F"/>
    <w:rsid w:val="003A5792"/>
    <w:rsid w:val="003A5DC8"/>
    <w:rsid w:val="003A5E0B"/>
    <w:rsid w:val="003A5F69"/>
    <w:rsid w:val="003A5FAC"/>
    <w:rsid w:val="003A607D"/>
    <w:rsid w:val="003A6232"/>
    <w:rsid w:val="003A6A7F"/>
    <w:rsid w:val="003A7302"/>
    <w:rsid w:val="003A7325"/>
    <w:rsid w:val="003A73B6"/>
    <w:rsid w:val="003A75E6"/>
    <w:rsid w:val="003A7AFC"/>
    <w:rsid w:val="003A7CDD"/>
    <w:rsid w:val="003A7D99"/>
    <w:rsid w:val="003A7E54"/>
    <w:rsid w:val="003A7E6D"/>
    <w:rsid w:val="003B0139"/>
    <w:rsid w:val="003B0396"/>
    <w:rsid w:val="003B0AC8"/>
    <w:rsid w:val="003B0E2D"/>
    <w:rsid w:val="003B0FCB"/>
    <w:rsid w:val="003B1301"/>
    <w:rsid w:val="003B1499"/>
    <w:rsid w:val="003B1604"/>
    <w:rsid w:val="003B168D"/>
    <w:rsid w:val="003B19E3"/>
    <w:rsid w:val="003B1A16"/>
    <w:rsid w:val="003B1D62"/>
    <w:rsid w:val="003B1F15"/>
    <w:rsid w:val="003B1F7B"/>
    <w:rsid w:val="003B21FD"/>
    <w:rsid w:val="003B22AC"/>
    <w:rsid w:val="003B25AB"/>
    <w:rsid w:val="003B2810"/>
    <w:rsid w:val="003B2A4F"/>
    <w:rsid w:val="003B2C2B"/>
    <w:rsid w:val="003B2DB6"/>
    <w:rsid w:val="003B2E0D"/>
    <w:rsid w:val="003B2F4B"/>
    <w:rsid w:val="003B3A12"/>
    <w:rsid w:val="003B3D40"/>
    <w:rsid w:val="003B443D"/>
    <w:rsid w:val="003B4750"/>
    <w:rsid w:val="003B47C3"/>
    <w:rsid w:val="003B4A8B"/>
    <w:rsid w:val="003B53BD"/>
    <w:rsid w:val="003B5600"/>
    <w:rsid w:val="003B57ED"/>
    <w:rsid w:val="003B5908"/>
    <w:rsid w:val="003B5A29"/>
    <w:rsid w:val="003B624F"/>
    <w:rsid w:val="003B68B1"/>
    <w:rsid w:val="003B6C97"/>
    <w:rsid w:val="003B71A1"/>
    <w:rsid w:val="003B7362"/>
    <w:rsid w:val="003B74BE"/>
    <w:rsid w:val="003B75ED"/>
    <w:rsid w:val="003B7771"/>
    <w:rsid w:val="003B781C"/>
    <w:rsid w:val="003C0011"/>
    <w:rsid w:val="003C04F1"/>
    <w:rsid w:val="003C074C"/>
    <w:rsid w:val="003C0A6C"/>
    <w:rsid w:val="003C15CF"/>
    <w:rsid w:val="003C1F69"/>
    <w:rsid w:val="003C1F70"/>
    <w:rsid w:val="003C25F9"/>
    <w:rsid w:val="003C2BDA"/>
    <w:rsid w:val="003C2C0D"/>
    <w:rsid w:val="003C2C66"/>
    <w:rsid w:val="003C300B"/>
    <w:rsid w:val="003C30EC"/>
    <w:rsid w:val="003C348F"/>
    <w:rsid w:val="003C390B"/>
    <w:rsid w:val="003C3B57"/>
    <w:rsid w:val="003C4558"/>
    <w:rsid w:val="003C4F15"/>
    <w:rsid w:val="003C5140"/>
    <w:rsid w:val="003C5144"/>
    <w:rsid w:val="003C5E33"/>
    <w:rsid w:val="003C6914"/>
    <w:rsid w:val="003C6ECF"/>
    <w:rsid w:val="003C70F5"/>
    <w:rsid w:val="003C75D1"/>
    <w:rsid w:val="003C7903"/>
    <w:rsid w:val="003C7A8F"/>
    <w:rsid w:val="003C7D07"/>
    <w:rsid w:val="003C7E3B"/>
    <w:rsid w:val="003D0FA9"/>
    <w:rsid w:val="003D169E"/>
    <w:rsid w:val="003D1B95"/>
    <w:rsid w:val="003D2616"/>
    <w:rsid w:val="003D2A34"/>
    <w:rsid w:val="003D2FC3"/>
    <w:rsid w:val="003D3028"/>
    <w:rsid w:val="003D3FBD"/>
    <w:rsid w:val="003D4029"/>
    <w:rsid w:val="003D432D"/>
    <w:rsid w:val="003D446D"/>
    <w:rsid w:val="003D44EC"/>
    <w:rsid w:val="003D4E8A"/>
    <w:rsid w:val="003D4F8B"/>
    <w:rsid w:val="003D5307"/>
    <w:rsid w:val="003D5B12"/>
    <w:rsid w:val="003D5C22"/>
    <w:rsid w:val="003D5CB6"/>
    <w:rsid w:val="003D6672"/>
    <w:rsid w:val="003D66C9"/>
    <w:rsid w:val="003D701F"/>
    <w:rsid w:val="003D70B4"/>
    <w:rsid w:val="003D70C8"/>
    <w:rsid w:val="003D712A"/>
    <w:rsid w:val="003D7EA3"/>
    <w:rsid w:val="003D7FD2"/>
    <w:rsid w:val="003E00FF"/>
    <w:rsid w:val="003E07D5"/>
    <w:rsid w:val="003E0F81"/>
    <w:rsid w:val="003E11F5"/>
    <w:rsid w:val="003E1457"/>
    <w:rsid w:val="003E15FB"/>
    <w:rsid w:val="003E1BAD"/>
    <w:rsid w:val="003E240E"/>
    <w:rsid w:val="003E2559"/>
    <w:rsid w:val="003E2590"/>
    <w:rsid w:val="003E26E7"/>
    <w:rsid w:val="003E280B"/>
    <w:rsid w:val="003E2DCA"/>
    <w:rsid w:val="003E2FEB"/>
    <w:rsid w:val="003E329B"/>
    <w:rsid w:val="003E3AD8"/>
    <w:rsid w:val="003E4645"/>
    <w:rsid w:val="003E47FB"/>
    <w:rsid w:val="003E4809"/>
    <w:rsid w:val="003E482A"/>
    <w:rsid w:val="003E4857"/>
    <w:rsid w:val="003E48F1"/>
    <w:rsid w:val="003E4A4B"/>
    <w:rsid w:val="003E5011"/>
    <w:rsid w:val="003E55A4"/>
    <w:rsid w:val="003E63BD"/>
    <w:rsid w:val="003E6915"/>
    <w:rsid w:val="003E7083"/>
    <w:rsid w:val="003E7163"/>
    <w:rsid w:val="003E7911"/>
    <w:rsid w:val="003E7DAE"/>
    <w:rsid w:val="003F009A"/>
    <w:rsid w:val="003F065A"/>
    <w:rsid w:val="003F0C2C"/>
    <w:rsid w:val="003F0C6C"/>
    <w:rsid w:val="003F1031"/>
    <w:rsid w:val="003F1A32"/>
    <w:rsid w:val="003F1A90"/>
    <w:rsid w:val="003F1C36"/>
    <w:rsid w:val="003F1C5B"/>
    <w:rsid w:val="003F1DFD"/>
    <w:rsid w:val="003F1EA8"/>
    <w:rsid w:val="003F1ED4"/>
    <w:rsid w:val="003F30AA"/>
    <w:rsid w:val="003F3164"/>
    <w:rsid w:val="003F31AF"/>
    <w:rsid w:val="003F3345"/>
    <w:rsid w:val="003F3506"/>
    <w:rsid w:val="003F38A2"/>
    <w:rsid w:val="003F3A15"/>
    <w:rsid w:val="003F3E86"/>
    <w:rsid w:val="003F3FCF"/>
    <w:rsid w:val="003F43E9"/>
    <w:rsid w:val="003F449D"/>
    <w:rsid w:val="003F493C"/>
    <w:rsid w:val="003F4E3D"/>
    <w:rsid w:val="003F5080"/>
    <w:rsid w:val="003F5238"/>
    <w:rsid w:val="003F5547"/>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BDA"/>
    <w:rsid w:val="00402CE5"/>
    <w:rsid w:val="004030D9"/>
    <w:rsid w:val="0040337A"/>
    <w:rsid w:val="00403413"/>
    <w:rsid w:val="004034E3"/>
    <w:rsid w:val="0040358B"/>
    <w:rsid w:val="00403B47"/>
    <w:rsid w:val="00403C26"/>
    <w:rsid w:val="00403D9C"/>
    <w:rsid w:val="00404524"/>
    <w:rsid w:val="00404D8C"/>
    <w:rsid w:val="00404DEE"/>
    <w:rsid w:val="00405102"/>
    <w:rsid w:val="0040596D"/>
    <w:rsid w:val="00405A58"/>
    <w:rsid w:val="00405C90"/>
    <w:rsid w:val="0040698A"/>
    <w:rsid w:val="0040724B"/>
    <w:rsid w:val="0040743E"/>
    <w:rsid w:val="004075D4"/>
    <w:rsid w:val="0040777B"/>
    <w:rsid w:val="00407885"/>
    <w:rsid w:val="00407CF8"/>
    <w:rsid w:val="004100F3"/>
    <w:rsid w:val="00410659"/>
    <w:rsid w:val="00410AC8"/>
    <w:rsid w:val="00411642"/>
    <w:rsid w:val="00411972"/>
    <w:rsid w:val="004129DB"/>
    <w:rsid w:val="00412A85"/>
    <w:rsid w:val="00413AAE"/>
    <w:rsid w:val="00414C7D"/>
    <w:rsid w:val="00414F4F"/>
    <w:rsid w:val="00415919"/>
    <w:rsid w:val="00415B2D"/>
    <w:rsid w:val="00415D09"/>
    <w:rsid w:val="00415FF4"/>
    <w:rsid w:val="00416026"/>
    <w:rsid w:val="00416180"/>
    <w:rsid w:val="00416661"/>
    <w:rsid w:val="00416AC2"/>
    <w:rsid w:val="00416B32"/>
    <w:rsid w:val="00416E60"/>
    <w:rsid w:val="00416FC0"/>
    <w:rsid w:val="00417039"/>
    <w:rsid w:val="00417333"/>
    <w:rsid w:val="00417816"/>
    <w:rsid w:val="004178B0"/>
    <w:rsid w:val="00417BBD"/>
    <w:rsid w:val="00417EBE"/>
    <w:rsid w:val="0042013B"/>
    <w:rsid w:val="00420898"/>
    <w:rsid w:val="004219DE"/>
    <w:rsid w:val="004222DD"/>
    <w:rsid w:val="004224B4"/>
    <w:rsid w:val="0042392C"/>
    <w:rsid w:val="00423BC4"/>
    <w:rsid w:val="00423F1F"/>
    <w:rsid w:val="0042404A"/>
    <w:rsid w:val="00424085"/>
    <w:rsid w:val="004244A5"/>
    <w:rsid w:val="004247A7"/>
    <w:rsid w:val="004247E5"/>
    <w:rsid w:val="004250D8"/>
    <w:rsid w:val="00425114"/>
    <w:rsid w:val="004253CE"/>
    <w:rsid w:val="004255B5"/>
    <w:rsid w:val="0042583F"/>
    <w:rsid w:val="004258F2"/>
    <w:rsid w:val="0042596B"/>
    <w:rsid w:val="00425A28"/>
    <w:rsid w:val="00425FE5"/>
    <w:rsid w:val="00426153"/>
    <w:rsid w:val="00426526"/>
    <w:rsid w:val="00426B93"/>
    <w:rsid w:val="00426C8A"/>
    <w:rsid w:val="00426C8B"/>
    <w:rsid w:val="00427279"/>
    <w:rsid w:val="004274DB"/>
    <w:rsid w:val="00427555"/>
    <w:rsid w:val="00427560"/>
    <w:rsid w:val="00427FFB"/>
    <w:rsid w:val="004302B1"/>
    <w:rsid w:val="00430302"/>
    <w:rsid w:val="004303BF"/>
    <w:rsid w:val="0043079E"/>
    <w:rsid w:val="00430D33"/>
    <w:rsid w:val="00430E00"/>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0C6"/>
    <w:rsid w:val="00435725"/>
    <w:rsid w:val="00435A8B"/>
    <w:rsid w:val="00435F95"/>
    <w:rsid w:val="00436175"/>
    <w:rsid w:val="00436860"/>
    <w:rsid w:val="004371A0"/>
    <w:rsid w:val="00437284"/>
    <w:rsid w:val="00437842"/>
    <w:rsid w:val="00437C9B"/>
    <w:rsid w:val="00437CF4"/>
    <w:rsid w:val="00437F3B"/>
    <w:rsid w:val="00440146"/>
    <w:rsid w:val="00440B41"/>
    <w:rsid w:val="0044145F"/>
    <w:rsid w:val="0044148B"/>
    <w:rsid w:val="004414D0"/>
    <w:rsid w:val="004415AD"/>
    <w:rsid w:val="004416CD"/>
    <w:rsid w:val="00441853"/>
    <w:rsid w:val="00441D94"/>
    <w:rsid w:val="004420BA"/>
    <w:rsid w:val="0044218D"/>
    <w:rsid w:val="00442B8D"/>
    <w:rsid w:val="00443356"/>
    <w:rsid w:val="004435BE"/>
    <w:rsid w:val="004439FC"/>
    <w:rsid w:val="00443CD9"/>
    <w:rsid w:val="00443F49"/>
    <w:rsid w:val="00444235"/>
    <w:rsid w:val="00444286"/>
    <w:rsid w:val="004449E9"/>
    <w:rsid w:val="00444B64"/>
    <w:rsid w:val="00444D80"/>
    <w:rsid w:val="00445724"/>
    <w:rsid w:val="00445B0B"/>
    <w:rsid w:val="0044611A"/>
    <w:rsid w:val="00446B9A"/>
    <w:rsid w:val="00446EE8"/>
    <w:rsid w:val="00447172"/>
    <w:rsid w:val="00447BA7"/>
    <w:rsid w:val="004502DD"/>
    <w:rsid w:val="00450439"/>
    <w:rsid w:val="0045185B"/>
    <w:rsid w:val="00451D86"/>
    <w:rsid w:val="004521BF"/>
    <w:rsid w:val="00452206"/>
    <w:rsid w:val="00452294"/>
    <w:rsid w:val="00452568"/>
    <w:rsid w:val="00452C67"/>
    <w:rsid w:val="00453080"/>
    <w:rsid w:val="00453216"/>
    <w:rsid w:val="00453399"/>
    <w:rsid w:val="004536F4"/>
    <w:rsid w:val="0045376B"/>
    <w:rsid w:val="00453B3B"/>
    <w:rsid w:val="00454104"/>
    <w:rsid w:val="004546C8"/>
    <w:rsid w:val="004547DD"/>
    <w:rsid w:val="00454919"/>
    <w:rsid w:val="00454D17"/>
    <w:rsid w:val="00454E6C"/>
    <w:rsid w:val="00454FE0"/>
    <w:rsid w:val="004551B7"/>
    <w:rsid w:val="0045545D"/>
    <w:rsid w:val="00455994"/>
    <w:rsid w:val="00455E4C"/>
    <w:rsid w:val="00455FB7"/>
    <w:rsid w:val="004565E0"/>
    <w:rsid w:val="00456B4C"/>
    <w:rsid w:val="00456F3C"/>
    <w:rsid w:val="0045706A"/>
    <w:rsid w:val="00457426"/>
    <w:rsid w:val="004575AD"/>
    <w:rsid w:val="00457602"/>
    <w:rsid w:val="00457877"/>
    <w:rsid w:val="004578B1"/>
    <w:rsid w:val="00457963"/>
    <w:rsid w:val="00457969"/>
    <w:rsid w:val="0045796F"/>
    <w:rsid w:val="00460B70"/>
    <w:rsid w:val="00460EB8"/>
    <w:rsid w:val="00461991"/>
    <w:rsid w:val="004620C7"/>
    <w:rsid w:val="00462A87"/>
    <w:rsid w:val="00462C55"/>
    <w:rsid w:val="00463436"/>
    <w:rsid w:val="00463D21"/>
    <w:rsid w:val="00463E1E"/>
    <w:rsid w:val="004640C4"/>
    <w:rsid w:val="0046413C"/>
    <w:rsid w:val="004646F8"/>
    <w:rsid w:val="00464A44"/>
    <w:rsid w:val="0046505F"/>
    <w:rsid w:val="004651DE"/>
    <w:rsid w:val="00465844"/>
    <w:rsid w:val="004658A0"/>
    <w:rsid w:val="004659B7"/>
    <w:rsid w:val="00465C4F"/>
    <w:rsid w:val="00465F13"/>
    <w:rsid w:val="00466199"/>
    <w:rsid w:val="004664F8"/>
    <w:rsid w:val="00466829"/>
    <w:rsid w:val="00467141"/>
    <w:rsid w:val="004673DE"/>
    <w:rsid w:val="0046749E"/>
    <w:rsid w:val="004675B5"/>
    <w:rsid w:val="00467742"/>
    <w:rsid w:val="0046799A"/>
    <w:rsid w:val="00467BF7"/>
    <w:rsid w:val="00467E43"/>
    <w:rsid w:val="00470869"/>
    <w:rsid w:val="00470B7D"/>
    <w:rsid w:val="00471446"/>
    <w:rsid w:val="00471586"/>
    <w:rsid w:val="00471647"/>
    <w:rsid w:val="0047175B"/>
    <w:rsid w:val="00471838"/>
    <w:rsid w:val="0047196B"/>
    <w:rsid w:val="00471A2F"/>
    <w:rsid w:val="00472173"/>
    <w:rsid w:val="00472451"/>
    <w:rsid w:val="004727C4"/>
    <w:rsid w:val="00472EC8"/>
    <w:rsid w:val="00472F53"/>
    <w:rsid w:val="00473074"/>
    <w:rsid w:val="0047383B"/>
    <w:rsid w:val="00473E66"/>
    <w:rsid w:val="00474212"/>
    <w:rsid w:val="004744DC"/>
    <w:rsid w:val="00474E3B"/>
    <w:rsid w:val="00475145"/>
    <w:rsid w:val="00475624"/>
    <w:rsid w:val="00475C60"/>
    <w:rsid w:val="00475F2F"/>
    <w:rsid w:val="00476141"/>
    <w:rsid w:val="00476168"/>
    <w:rsid w:val="00477040"/>
    <w:rsid w:val="00477410"/>
    <w:rsid w:val="004777FB"/>
    <w:rsid w:val="0048059B"/>
    <w:rsid w:val="00480947"/>
    <w:rsid w:val="00480DC6"/>
    <w:rsid w:val="004812C6"/>
    <w:rsid w:val="004814C5"/>
    <w:rsid w:val="00481674"/>
    <w:rsid w:val="00481799"/>
    <w:rsid w:val="00481819"/>
    <w:rsid w:val="00481A08"/>
    <w:rsid w:val="00481DB8"/>
    <w:rsid w:val="00481EB7"/>
    <w:rsid w:val="00482114"/>
    <w:rsid w:val="004822B8"/>
    <w:rsid w:val="0048263F"/>
    <w:rsid w:val="00482656"/>
    <w:rsid w:val="00482677"/>
    <w:rsid w:val="00482D14"/>
    <w:rsid w:val="00482E90"/>
    <w:rsid w:val="004831EE"/>
    <w:rsid w:val="0048370C"/>
    <w:rsid w:val="00483D8C"/>
    <w:rsid w:val="00484473"/>
    <w:rsid w:val="0048461C"/>
    <w:rsid w:val="00484885"/>
    <w:rsid w:val="00484CC4"/>
    <w:rsid w:val="00484D6B"/>
    <w:rsid w:val="00484F7A"/>
    <w:rsid w:val="004850CB"/>
    <w:rsid w:val="00485885"/>
    <w:rsid w:val="00486301"/>
    <w:rsid w:val="00486557"/>
    <w:rsid w:val="0048667B"/>
    <w:rsid w:val="00486E8B"/>
    <w:rsid w:val="00486FC3"/>
    <w:rsid w:val="004874B9"/>
    <w:rsid w:val="004877FB"/>
    <w:rsid w:val="00487817"/>
    <w:rsid w:val="00487A04"/>
    <w:rsid w:val="00487B4F"/>
    <w:rsid w:val="00487C2C"/>
    <w:rsid w:val="00490125"/>
    <w:rsid w:val="004902CA"/>
    <w:rsid w:val="004904F9"/>
    <w:rsid w:val="00490510"/>
    <w:rsid w:val="00490907"/>
    <w:rsid w:val="00490BDF"/>
    <w:rsid w:val="00490C15"/>
    <w:rsid w:val="00490C1E"/>
    <w:rsid w:val="00490C8A"/>
    <w:rsid w:val="00491044"/>
    <w:rsid w:val="004918EE"/>
    <w:rsid w:val="00491DF8"/>
    <w:rsid w:val="00491DFD"/>
    <w:rsid w:val="00492327"/>
    <w:rsid w:val="00492DE1"/>
    <w:rsid w:val="00493124"/>
    <w:rsid w:val="0049351D"/>
    <w:rsid w:val="00493F24"/>
    <w:rsid w:val="00494252"/>
    <w:rsid w:val="004944B4"/>
    <w:rsid w:val="004947CC"/>
    <w:rsid w:val="00494963"/>
    <w:rsid w:val="00494D37"/>
    <w:rsid w:val="00494F94"/>
    <w:rsid w:val="0049582F"/>
    <w:rsid w:val="00495C62"/>
    <w:rsid w:val="004968A0"/>
    <w:rsid w:val="004969C9"/>
    <w:rsid w:val="00496AAB"/>
    <w:rsid w:val="00496AD7"/>
    <w:rsid w:val="004970E9"/>
    <w:rsid w:val="0049762C"/>
    <w:rsid w:val="00497A43"/>
    <w:rsid w:val="00497A91"/>
    <w:rsid w:val="00497F76"/>
    <w:rsid w:val="004A007B"/>
    <w:rsid w:val="004A0129"/>
    <w:rsid w:val="004A0190"/>
    <w:rsid w:val="004A0DF7"/>
    <w:rsid w:val="004A0EB5"/>
    <w:rsid w:val="004A0EBB"/>
    <w:rsid w:val="004A1389"/>
    <w:rsid w:val="004A14F4"/>
    <w:rsid w:val="004A167F"/>
    <w:rsid w:val="004A1C1F"/>
    <w:rsid w:val="004A226C"/>
    <w:rsid w:val="004A246B"/>
    <w:rsid w:val="004A25A3"/>
    <w:rsid w:val="004A28F5"/>
    <w:rsid w:val="004A2AD0"/>
    <w:rsid w:val="004A2CC2"/>
    <w:rsid w:val="004A2E54"/>
    <w:rsid w:val="004A2F89"/>
    <w:rsid w:val="004A33A3"/>
    <w:rsid w:val="004A35AC"/>
    <w:rsid w:val="004A3B23"/>
    <w:rsid w:val="004A46C8"/>
    <w:rsid w:val="004A474E"/>
    <w:rsid w:val="004A4D43"/>
    <w:rsid w:val="004A4FBB"/>
    <w:rsid w:val="004A54A4"/>
    <w:rsid w:val="004A5BD7"/>
    <w:rsid w:val="004A5D03"/>
    <w:rsid w:val="004A5EC4"/>
    <w:rsid w:val="004A6286"/>
    <w:rsid w:val="004A641C"/>
    <w:rsid w:val="004A6F63"/>
    <w:rsid w:val="004A731E"/>
    <w:rsid w:val="004A7370"/>
    <w:rsid w:val="004B171D"/>
    <w:rsid w:val="004B1B8B"/>
    <w:rsid w:val="004B1E98"/>
    <w:rsid w:val="004B244E"/>
    <w:rsid w:val="004B26FF"/>
    <w:rsid w:val="004B2721"/>
    <w:rsid w:val="004B2751"/>
    <w:rsid w:val="004B314F"/>
    <w:rsid w:val="004B40AB"/>
    <w:rsid w:val="004B4402"/>
    <w:rsid w:val="004B444C"/>
    <w:rsid w:val="004B4954"/>
    <w:rsid w:val="004B4CE1"/>
    <w:rsid w:val="004B5154"/>
    <w:rsid w:val="004B53F4"/>
    <w:rsid w:val="004B5875"/>
    <w:rsid w:val="004B5DE2"/>
    <w:rsid w:val="004B638C"/>
    <w:rsid w:val="004B66AE"/>
    <w:rsid w:val="004B7214"/>
    <w:rsid w:val="004B72CE"/>
    <w:rsid w:val="004B78D4"/>
    <w:rsid w:val="004B7D09"/>
    <w:rsid w:val="004B7DD3"/>
    <w:rsid w:val="004B7ED6"/>
    <w:rsid w:val="004C02F7"/>
    <w:rsid w:val="004C04E3"/>
    <w:rsid w:val="004C0BDF"/>
    <w:rsid w:val="004C1056"/>
    <w:rsid w:val="004C118A"/>
    <w:rsid w:val="004C1624"/>
    <w:rsid w:val="004C1729"/>
    <w:rsid w:val="004C1BAC"/>
    <w:rsid w:val="004C1F02"/>
    <w:rsid w:val="004C2263"/>
    <w:rsid w:val="004C2C3B"/>
    <w:rsid w:val="004C2DF8"/>
    <w:rsid w:val="004C2EC4"/>
    <w:rsid w:val="004C300E"/>
    <w:rsid w:val="004C3BE4"/>
    <w:rsid w:val="004C4381"/>
    <w:rsid w:val="004C47E5"/>
    <w:rsid w:val="004C4BF9"/>
    <w:rsid w:val="004C5059"/>
    <w:rsid w:val="004C50B3"/>
    <w:rsid w:val="004C55EA"/>
    <w:rsid w:val="004C5672"/>
    <w:rsid w:val="004C57AD"/>
    <w:rsid w:val="004C585F"/>
    <w:rsid w:val="004C630B"/>
    <w:rsid w:val="004C6494"/>
    <w:rsid w:val="004C65B9"/>
    <w:rsid w:val="004C66CE"/>
    <w:rsid w:val="004C66EB"/>
    <w:rsid w:val="004C6A9C"/>
    <w:rsid w:val="004C6AAB"/>
    <w:rsid w:val="004C6BD5"/>
    <w:rsid w:val="004C6E0D"/>
    <w:rsid w:val="004C72DA"/>
    <w:rsid w:val="004C734B"/>
    <w:rsid w:val="004C77C7"/>
    <w:rsid w:val="004C79C1"/>
    <w:rsid w:val="004C7BB8"/>
    <w:rsid w:val="004D085E"/>
    <w:rsid w:val="004D09C4"/>
    <w:rsid w:val="004D0D2A"/>
    <w:rsid w:val="004D0E09"/>
    <w:rsid w:val="004D17F8"/>
    <w:rsid w:val="004D1BF4"/>
    <w:rsid w:val="004D266E"/>
    <w:rsid w:val="004D2727"/>
    <w:rsid w:val="004D295D"/>
    <w:rsid w:val="004D2AB8"/>
    <w:rsid w:val="004D3AA5"/>
    <w:rsid w:val="004D3ACE"/>
    <w:rsid w:val="004D4288"/>
    <w:rsid w:val="004D449A"/>
    <w:rsid w:val="004D4AE2"/>
    <w:rsid w:val="004D4E1A"/>
    <w:rsid w:val="004D4E40"/>
    <w:rsid w:val="004D4FBD"/>
    <w:rsid w:val="004D5882"/>
    <w:rsid w:val="004D61BC"/>
    <w:rsid w:val="004D6821"/>
    <w:rsid w:val="004D752C"/>
    <w:rsid w:val="004D7626"/>
    <w:rsid w:val="004D76BB"/>
    <w:rsid w:val="004D773A"/>
    <w:rsid w:val="004D7A0D"/>
    <w:rsid w:val="004E0399"/>
    <w:rsid w:val="004E062C"/>
    <w:rsid w:val="004E074D"/>
    <w:rsid w:val="004E08E2"/>
    <w:rsid w:val="004E0E3E"/>
    <w:rsid w:val="004E10B0"/>
    <w:rsid w:val="004E1CE0"/>
    <w:rsid w:val="004E22A8"/>
    <w:rsid w:val="004E236D"/>
    <w:rsid w:val="004E27B6"/>
    <w:rsid w:val="004E283A"/>
    <w:rsid w:val="004E2E7E"/>
    <w:rsid w:val="004E3F1F"/>
    <w:rsid w:val="004E42BE"/>
    <w:rsid w:val="004E5182"/>
    <w:rsid w:val="004E60F4"/>
    <w:rsid w:val="004E6C3A"/>
    <w:rsid w:val="004E6D2C"/>
    <w:rsid w:val="004E6DDB"/>
    <w:rsid w:val="004E6EDB"/>
    <w:rsid w:val="004E7000"/>
    <w:rsid w:val="004E7056"/>
    <w:rsid w:val="004E709F"/>
    <w:rsid w:val="004E78B5"/>
    <w:rsid w:val="004E7A32"/>
    <w:rsid w:val="004E7A6C"/>
    <w:rsid w:val="004E7FB0"/>
    <w:rsid w:val="004F03F3"/>
    <w:rsid w:val="004F0E0D"/>
    <w:rsid w:val="004F0FB3"/>
    <w:rsid w:val="004F12E7"/>
    <w:rsid w:val="004F164B"/>
    <w:rsid w:val="004F1A80"/>
    <w:rsid w:val="004F1C43"/>
    <w:rsid w:val="004F1C95"/>
    <w:rsid w:val="004F1CD0"/>
    <w:rsid w:val="004F1DCF"/>
    <w:rsid w:val="004F22E4"/>
    <w:rsid w:val="004F2333"/>
    <w:rsid w:val="004F28B3"/>
    <w:rsid w:val="004F2B70"/>
    <w:rsid w:val="004F2ED5"/>
    <w:rsid w:val="004F34DC"/>
    <w:rsid w:val="004F358A"/>
    <w:rsid w:val="004F44A9"/>
    <w:rsid w:val="004F45B1"/>
    <w:rsid w:val="004F5359"/>
    <w:rsid w:val="004F5DB0"/>
    <w:rsid w:val="004F5FD5"/>
    <w:rsid w:val="004F6047"/>
    <w:rsid w:val="004F607C"/>
    <w:rsid w:val="004F624A"/>
    <w:rsid w:val="004F6959"/>
    <w:rsid w:val="004F698C"/>
    <w:rsid w:val="004F6B8D"/>
    <w:rsid w:val="004F6FE8"/>
    <w:rsid w:val="004F7BAE"/>
    <w:rsid w:val="004F7BE8"/>
    <w:rsid w:val="00500296"/>
    <w:rsid w:val="00500401"/>
    <w:rsid w:val="0050070A"/>
    <w:rsid w:val="00500C6B"/>
    <w:rsid w:val="0050116A"/>
    <w:rsid w:val="00501177"/>
    <w:rsid w:val="005014F2"/>
    <w:rsid w:val="0050214D"/>
    <w:rsid w:val="005021BD"/>
    <w:rsid w:val="00502E2D"/>
    <w:rsid w:val="00502F94"/>
    <w:rsid w:val="005038D0"/>
    <w:rsid w:val="00503CC8"/>
    <w:rsid w:val="00503F05"/>
    <w:rsid w:val="00504037"/>
    <w:rsid w:val="005040D3"/>
    <w:rsid w:val="005043C7"/>
    <w:rsid w:val="005047D7"/>
    <w:rsid w:val="00504B84"/>
    <w:rsid w:val="00505D82"/>
    <w:rsid w:val="00505E4F"/>
    <w:rsid w:val="00506417"/>
    <w:rsid w:val="00506B38"/>
    <w:rsid w:val="00506C01"/>
    <w:rsid w:val="00507541"/>
    <w:rsid w:val="00507966"/>
    <w:rsid w:val="00507B7B"/>
    <w:rsid w:val="00507F8E"/>
    <w:rsid w:val="00510836"/>
    <w:rsid w:val="00510E09"/>
    <w:rsid w:val="00510EB4"/>
    <w:rsid w:val="005111F0"/>
    <w:rsid w:val="00511426"/>
    <w:rsid w:val="0051166C"/>
    <w:rsid w:val="00511DD3"/>
    <w:rsid w:val="005121AC"/>
    <w:rsid w:val="0051335C"/>
    <w:rsid w:val="00513D22"/>
    <w:rsid w:val="00514525"/>
    <w:rsid w:val="005145CC"/>
    <w:rsid w:val="00514AB7"/>
    <w:rsid w:val="00514C53"/>
    <w:rsid w:val="005153B3"/>
    <w:rsid w:val="005156D5"/>
    <w:rsid w:val="00516437"/>
    <w:rsid w:val="00517156"/>
    <w:rsid w:val="00517176"/>
    <w:rsid w:val="005172CF"/>
    <w:rsid w:val="0051780B"/>
    <w:rsid w:val="00520A65"/>
    <w:rsid w:val="00520DD8"/>
    <w:rsid w:val="00521461"/>
    <w:rsid w:val="005217FD"/>
    <w:rsid w:val="005223A2"/>
    <w:rsid w:val="00522745"/>
    <w:rsid w:val="00522CAE"/>
    <w:rsid w:val="00522D70"/>
    <w:rsid w:val="00522DD6"/>
    <w:rsid w:val="00522FB7"/>
    <w:rsid w:val="00522FFA"/>
    <w:rsid w:val="00523430"/>
    <w:rsid w:val="00523560"/>
    <w:rsid w:val="0052368B"/>
    <w:rsid w:val="0052383B"/>
    <w:rsid w:val="005238DE"/>
    <w:rsid w:val="00523AF4"/>
    <w:rsid w:val="005240C8"/>
    <w:rsid w:val="00524213"/>
    <w:rsid w:val="00524BED"/>
    <w:rsid w:val="00524EFB"/>
    <w:rsid w:val="00525264"/>
    <w:rsid w:val="005254C7"/>
    <w:rsid w:val="00525647"/>
    <w:rsid w:val="00525739"/>
    <w:rsid w:val="0052662E"/>
    <w:rsid w:val="00526635"/>
    <w:rsid w:val="005269A1"/>
    <w:rsid w:val="00526BC2"/>
    <w:rsid w:val="00526FB4"/>
    <w:rsid w:val="00527469"/>
    <w:rsid w:val="00527C7F"/>
    <w:rsid w:val="00531095"/>
    <w:rsid w:val="005310D1"/>
    <w:rsid w:val="0053113A"/>
    <w:rsid w:val="00531740"/>
    <w:rsid w:val="00531788"/>
    <w:rsid w:val="0053185C"/>
    <w:rsid w:val="00531BE4"/>
    <w:rsid w:val="00531C6F"/>
    <w:rsid w:val="00532360"/>
    <w:rsid w:val="00532747"/>
    <w:rsid w:val="0053274D"/>
    <w:rsid w:val="005327B9"/>
    <w:rsid w:val="005339C4"/>
    <w:rsid w:val="00533DD5"/>
    <w:rsid w:val="00533EBD"/>
    <w:rsid w:val="00533F48"/>
    <w:rsid w:val="00533FF6"/>
    <w:rsid w:val="00534131"/>
    <w:rsid w:val="00534899"/>
    <w:rsid w:val="00534DA9"/>
    <w:rsid w:val="0053503C"/>
    <w:rsid w:val="0053519F"/>
    <w:rsid w:val="00535382"/>
    <w:rsid w:val="005356D1"/>
    <w:rsid w:val="0053596A"/>
    <w:rsid w:val="0053641E"/>
    <w:rsid w:val="0053703D"/>
    <w:rsid w:val="005370D3"/>
    <w:rsid w:val="00537114"/>
    <w:rsid w:val="00537663"/>
    <w:rsid w:val="00537B1B"/>
    <w:rsid w:val="00537C89"/>
    <w:rsid w:val="00537E24"/>
    <w:rsid w:val="00537ED0"/>
    <w:rsid w:val="00540C4A"/>
    <w:rsid w:val="00541204"/>
    <w:rsid w:val="00541713"/>
    <w:rsid w:val="005418EF"/>
    <w:rsid w:val="00541BB2"/>
    <w:rsid w:val="005422E1"/>
    <w:rsid w:val="00542301"/>
    <w:rsid w:val="00542303"/>
    <w:rsid w:val="005423F5"/>
    <w:rsid w:val="00542498"/>
    <w:rsid w:val="00542A03"/>
    <w:rsid w:val="00542D41"/>
    <w:rsid w:val="00543087"/>
    <w:rsid w:val="00543155"/>
    <w:rsid w:val="005431F9"/>
    <w:rsid w:val="005438C9"/>
    <w:rsid w:val="00543DF9"/>
    <w:rsid w:val="00544D97"/>
    <w:rsid w:val="00544E32"/>
    <w:rsid w:val="00544F32"/>
    <w:rsid w:val="0054522A"/>
    <w:rsid w:val="00545266"/>
    <w:rsid w:val="00546234"/>
    <w:rsid w:val="00546313"/>
    <w:rsid w:val="005464A9"/>
    <w:rsid w:val="00546BB4"/>
    <w:rsid w:val="00546EFA"/>
    <w:rsid w:val="005471ED"/>
    <w:rsid w:val="005474A6"/>
    <w:rsid w:val="00547537"/>
    <w:rsid w:val="00547BAC"/>
    <w:rsid w:val="00547D4F"/>
    <w:rsid w:val="00547D9B"/>
    <w:rsid w:val="0055029B"/>
    <w:rsid w:val="00550377"/>
    <w:rsid w:val="00550D50"/>
    <w:rsid w:val="0055106A"/>
    <w:rsid w:val="00551248"/>
    <w:rsid w:val="005516A4"/>
    <w:rsid w:val="005516AC"/>
    <w:rsid w:val="005517F9"/>
    <w:rsid w:val="005519CA"/>
    <w:rsid w:val="00551DF1"/>
    <w:rsid w:val="00552337"/>
    <w:rsid w:val="00552505"/>
    <w:rsid w:val="00553042"/>
    <w:rsid w:val="005535BE"/>
    <w:rsid w:val="005542F9"/>
    <w:rsid w:val="0055472D"/>
    <w:rsid w:val="00554A12"/>
    <w:rsid w:val="00554EA2"/>
    <w:rsid w:val="00555078"/>
    <w:rsid w:val="005551DB"/>
    <w:rsid w:val="00555230"/>
    <w:rsid w:val="005552EB"/>
    <w:rsid w:val="005557F6"/>
    <w:rsid w:val="00555BDA"/>
    <w:rsid w:val="00556110"/>
    <w:rsid w:val="00556165"/>
    <w:rsid w:val="005567D1"/>
    <w:rsid w:val="00556938"/>
    <w:rsid w:val="00556BA9"/>
    <w:rsid w:val="00556EBA"/>
    <w:rsid w:val="00557176"/>
    <w:rsid w:val="00557606"/>
    <w:rsid w:val="00557CF6"/>
    <w:rsid w:val="005601B8"/>
    <w:rsid w:val="005602D3"/>
    <w:rsid w:val="0056037F"/>
    <w:rsid w:val="0056073C"/>
    <w:rsid w:val="00560B95"/>
    <w:rsid w:val="00561258"/>
    <w:rsid w:val="00561AE9"/>
    <w:rsid w:val="00561B79"/>
    <w:rsid w:val="00562641"/>
    <w:rsid w:val="00562823"/>
    <w:rsid w:val="00562927"/>
    <w:rsid w:val="00562BEE"/>
    <w:rsid w:val="00562C57"/>
    <w:rsid w:val="00562F8D"/>
    <w:rsid w:val="00564630"/>
    <w:rsid w:val="00564637"/>
    <w:rsid w:val="0056463E"/>
    <w:rsid w:val="005647D8"/>
    <w:rsid w:val="00564AF5"/>
    <w:rsid w:val="00564B50"/>
    <w:rsid w:val="00564D74"/>
    <w:rsid w:val="00565168"/>
    <w:rsid w:val="00565316"/>
    <w:rsid w:val="005654D3"/>
    <w:rsid w:val="005656E0"/>
    <w:rsid w:val="00565717"/>
    <w:rsid w:val="00565B5A"/>
    <w:rsid w:val="00565B78"/>
    <w:rsid w:val="005664B7"/>
    <w:rsid w:val="00566D07"/>
    <w:rsid w:val="00566D20"/>
    <w:rsid w:val="00566E04"/>
    <w:rsid w:val="00567685"/>
    <w:rsid w:val="00567E11"/>
    <w:rsid w:val="0057019D"/>
    <w:rsid w:val="0057030A"/>
    <w:rsid w:val="0057036C"/>
    <w:rsid w:val="005715A6"/>
    <w:rsid w:val="0057262E"/>
    <w:rsid w:val="00572853"/>
    <w:rsid w:val="00572D49"/>
    <w:rsid w:val="0057310D"/>
    <w:rsid w:val="00573E71"/>
    <w:rsid w:val="005743C2"/>
    <w:rsid w:val="00574B82"/>
    <w:rsid w:val="00574EF0"/>
    <w:rsid w:val="0057545A"/>
    <w:rsid w:val="00575686"/>
    <w:rsid w:val="0057571F"/>
    <w:rsid w:val="00575790"/>
    <w:rsid w:val="005758B4"/>
    <w:rsid w:val="00575DAA"/>
    <w:rsid w:val="0057600E"/>
    <w:rsid w:val="0057639F"/>
    <w:rsid w:val="00576577"/>
    <w:rsid w:val="00576C25"/>
    <w:rsid w:val="00577059"/>
    <w:rsid w:val="005775E8"/>
    <w:rsid w:val="0057774E"/>
    <w:rsid w:val="00577A46"/>
    <w:rsid w:val="005807E7"/>
    <w:rsid w:val="005808C1"/>
    <w:rsid w:val="00580D1B"/>
    <w:rsid w:val="005815B5"/>
    <w:rsid w:val="005819E4"/>
    <w:rsid w:val="0058226D"/>
    <w:rsid w:val="005822D3"/>
    <w:rsid w:val="00582406"/>
    <w:rsid w:val="005824BF"/>
    <w:rsid w:val="00582ADA"/>
    <w:rsid w:val="00582B69"/>
    <w:rsid w:val="00582F97"/>
    <w:rsid w:val="005841FC"/>
    <w:rsid w:val="00584235"/>
    <w:rsid w:val="005843D3"/>
    <w:rsid w:val="005849AB"/>
    <w:rsid w:val="00584BB2"/>
    <w:rsid w:val="00584C06"/>
    <w:rsid w:val="0058538A"/>
    <w:rsid w:val="005860DD"/>
    <w:rsid w:val="005860EA"/>
    <w:rsid w:val="00586134"/>
    <w:rsid w:val="0058629F"/>
    <w:rsid w:val="005870E3"/>
    <w:rsid w:val="005871AC"/>
    <w:rsid w:val="005872F9"/>
    <w:rsid w:val="005874FC"/>
    <w:rsid w:val="00587DAA"/>
    <w:rsid w:val="005908F4"/>
    <w:rsid w:val="00590AEE"/>
    <w:rsid w:val="00591195"/>
    <w:rsid w:val="005914CB"/>
    <w:rsid w:val="005916FB"/>
    <w:rsid w:val="00591BB6"/>
    <w:rsid w:val="00591BC1"/>
    <w:rsid w:val="00591F0D"/>
    <w:rsid w:val="005920BD"/>
    <w:rsid w:val="00592148"/>
    <w:rsid w:val="00592C65"/>
    <w:rsid w:val="00593334"/>
    <w:rsid w:val="00593482"/>
    <w:rsid w:val="0059378B"/>
    <w:rsid w:val="00593EF8"/>
    <w:rsid w:val="00594B88"/>
    <w:rsid w:val="0059548C"/>
    <w:rsid w:val="005956F6"/>
    <w:rsid w:val="00595779"/>
    <w:rsid w:val="0059591D"/>
    <w:rsid w:val="00595A22"/>
    <w:rsid w:val="00595C78"/>
    <w:rsid w:val="00595D1D"/>
    <w:rsid w:val="0059616D"/>
    <w:rsid w:val="0059648F"/>
    <w:rsid w:val="005965CD"/>
    <w:rsid w:val="0059683C"/>
    <w:rsid w:val="00596A6E"/>
    <w:rsid w:val="00596B04"/>
    <w:rsid w:val="00596CF7"/>
    <w:rsid w:val="00596F6F"/>
    <w:rsid w:val="0059706E"/>
    <w:rsid w:val="0059706F"/>
    <w:rsid w:val="00597959"/>
    <w:rsid w:val="00597C60"/>
    <w:rsid w:val="005A018A"/>
    <w:rsid w:val="005A09FD"/>
    <w:rsid w:val="005A0F88"/>
    <w:rsid w:val="005A135A"/>
    <w:rsid w:val="005A166B"/>
    <w:rsid w:val="005A187B"/>
    <w:rsid w:val="005A2B11"/>
    <w:rsid w:val="005A2FCF"/>
    <w:rsid w:val="005A3440"/>
    <w:rsid w:val="005A38D8"/>
    <w:rsid w:val="005A3DB0"/>
    <w:rsid w:val="005A46E2"/>
    <w:rsid w:val="005A4C76"/>
    <w:rsid w:val="005A56C8"/>
    <w:rsid w:val="005A5C3A"/>
    <w:rsid w:val="005A5D9E"/>
    <w:rsid w:val="005A62C9"/>
    <w:rsid w:val="005A65A1"/>
    <w:rsid w:val="005A67D7"/>
    <w:rsid w:val="005A6B62"/>
    <w:rsid w:val="005A6CE9"/>
    <w:rsid w:val="005A73B1"/>
    <w:rsid w:val="005A758E"/>
    <w:rsid w:val="005A7A95"/>
    <w:rsid w:val="005B0236"/>
    <w:rsid w:val="005B0545"/>
    <w:rsid w:val="005B0962"/>
    <w:rsid w:val="005B12FA"/>
    <w:rsid w:val="005B1908"/>
    <w:rsid w:val="005B1D37"/>
    <w:rsid w:val="005B280F"/>
    <w:rsid w:val="005B2F5B"/>
    <w:rsid w:val="005B3936"/>
    <w:rsid w:val="005B4923"/>
    <w:rsid w:val="005B5755"/>
    <w:rsid w:val="005B587B"/>
    <w:rsid w:val="005B5D48"/>
    <w:rsid w:val="005B5DA0"/>
    <w:rsid w:val="005B5E40"/>
    <w:rsid w:val="005B6842"/>
    <w:rsid w:val="005B6B22"/>
    <w:rsid w:val="005B6DB4"/>
    <w:rsid w:val="005B7D57"/>
    <w:rsid w:val="005B7FE2"/>
    <w:rsid w:val="005C0341"/>
    <w:rsid w:val="005C04AB"/>
    <w:rsid w:val="005C07DF"/>
    <w:rsid w:val="005C0B2E"/>
    <w:rsid w:val="005C0D03"/>
    <w:rsid w:val="005C0D4B"/>
    <w:rsid w:val="005C0DAF"/>
    <w:rsid w:val="005C0ED0"/>
    <w:rsid w:val="005C0FE4"/>
    <w:rsid w:val="005C12EF"/>
    <w:rsid w:val="005C1711"/>
    <w:rsid w:val="005C19D6"/>
    <w:rsid w:val="005C1E38"/>
    <w:rsid w:val="005C2245"/>
    <w:rsid w:val="005C27DB"/>
    <w:rsid w:val="005C2844"/>
    <w:rsid w:val="005C3285"/>
    <w:rsid w:val="005C370C"/>
    <w:rsid w:val="005C3891"/>
    <w:rsid w:val="005C3AD2"/>
    <w:rsid w:val="005C3AFE"/>
    <w:rsid w:val="005C3C83"/>
    <w:rsid w:val="005C3EF5"/>
    <w:rsid w:val="005C3EFB"/>
    <w:rsid w:val="005C414A"/>
    <w:rsid w:val="005C48BC"/>
    <w:rsid w:val="005C4A6F"/>
    <w:rsid w:val="005C4B58"/>
    <w:rsid w:val="005C4DCF"/>
    <w:rsid w:val="005C5232"/>
    <w:rsid w:val="005C565E"/>
    <w:rsid w:val="005C5889"/>
    <w:rsid w:val="005C5950"/>
    <w:rsid w:val="005C5E94"/>
    <w:rsid w:val="005C5F79"/>
    <w:rsid w:val="005C61FF"/>
    <w:rsid w:val="005C62F6"/>
    <w:rsid w:val="005C6424"/>
    <w:rsid w:val="005C69D8"/>
    <w:rsid w:val="005C6B79"/>
    <w:rsid w:val="005C7C99"/>
    <w:rsid w:val="005D010C"/>
    <w:rsid w:val="005D0130"/>
    <w:rsid w:val="005D061B"/>
    <w:rsid w:val="005D0A25"/>
    <w:rsid w:val="005D0BE9"/>
    <w:rsid w:val="005D0C4E"/>
    <w:rsid w:val="005D1188"/>
    <w:rsid w:val="005D1AC1"/>
    <w:rsid w:val="005D21B8"/>
    <w:rsid w:val="005D2445"/>
    <w:rsid w:val="005D2752"/>
    <w:rsid w:val="005D2A6E"/>
    <w:rsid w:val="005D2F7E"/>
    <w:rsid w:val="005D304E"/>
    <w:rsid w:val="005D3344"/>
    <w:rsid w:val="005D3479"/>
    <w:rsid w:val="005D3BC3"/>
    <w:rsid w:val="005D3BD5"/>
    <w:rsid w:val="005D3D52"/>
    <w:rsid w:val="005D4710"/>
    <w:rsid w:val="005D5039"/>
    <w:rsid w:val="005D5F39"/>
    <w:rsid w:val="005D65AD"/>
    <w:rsid w:val="005D6763"/>
    <w:rsid w:val="005D72DA"/>
    <w:rsid w:val="005D73FF"/>
    <w:rsid w:val="005D764F"/>
    <w:rsid w:val="005D77A7"/>
    <w:rsid w:val="005D7F05"/>
    <w:rsid w:val="005E0EAB"/>
    <w:rsid w:val="005E1EC6"/>
    <w:rsid w:val="005E2165"/>
    <w:rsid w:val="005E22F3"/>
    <w:rsid w:val="005E380B"/>
    <w:rsid w:val="005E3C28"/>
    <w:rsid w:val="005E3F3A"/>
    <w:rsid w:val="005E4EEA"/>
    <w:rsid w:val="005E6040"/>
    <w:rsid w:val="005E60E1"/>
    <w:rsid w:val="005E65FD"/>
    <w:rsid w:val="005E69D4"/>
    <w:rsid w:val="005E6BE0"/>
    <w:rsid w:val="005E7476"/>
    <w:rsid w:val="005E7A2A"/>
    <w:rsid w:val="005E7E31"/>
    <w:rsid w:val="005F0A4C"/>
    <w:rsid w:val="005F150D"/>
    <w:rsid w:val="005F15E0"/>
    <w:rsid w:val="005F1797"/>
    <w:rsid w:val="005F1870"/>
    <w:rsid w:val="005F187E"/>
    <w:rsid w:val="005F1896"/>
    <w:rsid w:val="005F2621"/>
    <w:rsid w:val="005F272A"/>
    <w:rsid w:val="005F277D"/>
    <w:rsid w:val="005F2CA7"/>
    <w:rsid w:val="005F2FD2"/>
    <w:rsid w:val="005F3554"/>
    <w:rsid w:val="005F38F7"/>
    <w:rsid w:val="005F3ACF"/>
    <w:rsid w:val="005F3BFD"/>
    <w:rsid w:val="005F422E"/>
    <w:rsid w:val="005F44C1"/>
    <w:rsid w:val="005F47D3"/>
    <w:rsid w:val="005F49C7"/>
    <w:rsid w:val="005F4F76"/>
    <w:rsid w:val="005F514F"/>
    <w:rsid w:val="005F5198"/>
    <w:rsid w:val="005F586B"/>
    <w:rsid w:val="005F5B06"/>
    <w:rsid w:val="005F61E1"/>
    <w:rsid w:val="005F6444"/>
    <w:rsid w:val="005F68CC"/>
    <w:rsid w:val="005F6D30"/>
    <w:rsid w:val="005F6D7E"/>
    <w:rsid w:val="005F70A7"/>
    <w:rsid w:val="005F73AD"/>
    <w:rsid w:val="00600DB4"/>
    <w:rsid w:val="0060101B"/>
    <w:rsid w:val="00601223"/>
    <w:rsid w:val="00601259"/>
    <w:rsid w:val="00601341"/>
    <w:rsid w:val="00601C2F"/>
    <w:rsid w:val="00602364"/>
    <w:rsid w:val="00602425"/>
    <w:rsid w:val="00602E3E"/>
    <w:rsid w:val="00602F7B"/>
    <w:rsid w:val="00603584"/>
    <w:rsid w:val="006035AB"/>
    <w:rsid w:val="0060377B"/>
    <w:rsid w:val="006037F5"/>
    <w:rsid w:val="006039DD"/>
    <w:rsid w:val="00603AFA"/>
    <w:rsid w:val="00603CD3"/>
    <w:rsid w:val="00603CE8"/>
    <w:rsid w:val="0060442D"/>
    <w:rsid w:val="00604680"/>
    <w:rsid w:val="00604854"/>
    <w:rsid w:val="00604B4C"/>
    <w:rsid w:val="00604B53"/>
    <w:rsid w:val="00604FEB"/>
    <w:rsid w:val="00605A67"/>
    <w:rsid w:val="00605ECF"/>
    <w:rsid w:val="0060612B"/>
    <w:rsid w:val="0060647D"/>
    <w:rsid w:val="006065D4"/>
    <w:rsid w:val="0060668A"/>
    <w:rsid w:val="00607178"/>
    <w:rsid w:val="00607E78"/>
    <w:rsid w:val="00607EC5"/>
    <w:rsid w:val="0061014C"/>
    <w:rsid w:val="00610636"/>
    <w:rsid w:val="00610957"/>
    <w:rsid w:val="00610BF4"/>
    <w:rsid w:val="0061110C"/>
    <w:rsid w:val="0061158B"/>
    <w:rsid w:val="006116F7"/>
    <w:rsid w:val="0061182B"/>
    <w:rsid w:val="00611BBF"/>
    <w:rsid w:val="00611FEB"/>
    <w:rsid w:val="00612169"/>
    <w:rsid w:val="0061277C"/>
    <w:rsid w:val="00612A47"/>
    <w:rsid w:val="00612B84"/>
    <w:rsid w:val="006131BC"/>
    <w:rsid w:val="00613228"/>
    <w:rsid w:val="0061394B"/>
    <w:rsid w:val="00613FA7"/>
    <w:rsid w:val="00614028"/>
    <w:rsid w:val="0061535D"/>
    <w:rsid w:val="006153DF"/>
    <w:rsid w:val="00615673"/>
    <w:rsid w:val="00615BBF"/>
    <w:rsid w:val="006161E5"/>
    <w:rsid w:val="00616561"/>
    <w:rsid w:val="00616605"/>
    <w:rsid w:val="006167EF"/>
    <w:rsid w:val="00616D97"/>
    <w:rsid w:val="006170AD"/>
    <w:rsid w:val="00617898"/>
    <w:rsid w:val="00620776"/>
    <w:rsid w:val="006207FD"/>
    <w:rsid w:val="00620CEE"/>
    <w:rsid w:val="00621417"/>
    <w:rsid w:val="006222EE"/>
    <w:rsid w:val="00622CE8"/>
    <w:rsid w:val="00622D8F"/>
    <w:rsid w:val="00622E29"/>
    <w:rsid w:val="00623492"/>
    <w:rsid w:val="00623786"/>
    <w:rsid w:val="00624360"/>
    <w:rsid w:val="00624778"/>
    <w:rsid w:val="0062478C"/>
    <w:rsid w:val="0062488E"/>
    <w:rsid w:val="0062553A"/>
    <w:rsid w:val="00625654"/>
    <w:rsid w:val="0062575A"/>
    <w:rsid w:val="00625B9D"/>
    <w:rsid w:val="00625EF4"/>
    <w:rsid w:val="00626215"/>
    <w:rsid w:val="006264FA"/>
    <w:rsid w:val="00626C32"/>
    <w:rsid w:val="006276BB"/>
    <w:rsid w:val="00627887"/>
    <w:rsid w:val="00627DAE"/>
    <w:rsid w:val="006302EB"/>
    <w:rsid w:val="00630C13"/>
    <w:rsid w:val="006310C1"/>
    <w:rsid w:val="00631A78"/>
    <w:rsid w:val="00631E3B"/>
    <w:rsid w:val="00631F4C"/>
    <w:rsid w:val="00631FAF"/>
    <w:rsid w:val="00632211"/>
    <w:rsid w:val="0063242E"/>
    <w:rsid w:val="00632574"/>
    <w:rsid w:val="00632E59"/>
    <w:rsid w:val="00632F26"/>
    <w:rsid w:val="00632F36"/>
    <w:rsid w:val="00633405"/>
    <w:rsid w:val="006335A3"/>
    <w:rsid w:val="00633FDC"/>
    <w:rsid w:val="006345E3"/>
    <w:rsid w:val="00634701"/>
    <w:rsid w:val="00634A06"/>
    <w:rsid w:val="00634A69"/>
    <w:rsid w:val="00634DC0"/>
    <w:rsid w:val="006356B2"/>
    <w:rsid w:val="00635DCD"/>
    <w:rsid w:val="006364F7"/>
    <w:rsid w:val="006366A9"/>
    <w:rsid w:val="00636E15"/>
    <w:rsid w:val="00636EE0"/>
    <w:rsid w:val="006372D0"/>
    <w:rsid w:val="0063747A"/>
    <w:rsid w:val="0063799B"/>
    <w:rsid w:val="00637C68"/>
    <w:rsid w:val="00637E93"/>
    <w:rsid w:val="00637F16"/>
    <w:rsid w:val="006404EF"/>
    <w:rsid w:val="006409F6"/>
    <w:rsid w:val="00640F20"/>
    <w:rsid w:val="006410F6"/>
    <w:rsid w:val="00641667"/>
    <w:rsid w:val="00641ED0"/>
    <w:rsid w:val="00641F15"/>
    <w:rsid w:val="0064251E"/>
    <w:rsid w:val="00642A82"/>
    <w:rsid w:val="00642C8C"/>
    <w:rsid w:val="00642FE5"/>
    <w:rsid w:val="00643305"/>
    <w:rsid w:val="00643BF4"/>
    <w:rsid w:val="00643DB1"/>
    <w:rsid w:val="0064452F"/>
    <w:rsid w:val="006445A1"/>
    <w:rsid w:val="00644A84"/>
    <w:rsid w:val="00644C01"/>
    <w:rsid w:val="00644DD4"/>
    <w:rsid w:val="00644F09"/>
    <w:rsid w:val="006451D0"/>
    <w:rsid w:val="006452A9"/>
    <w:rsid w:val="006453EB"/>
    <w:rsid w:val="006461F3"/>
    <w:rsid w:val="0064641E"/>
    <w:rsid w:val="0064705F"/>
    <w:rsid w:val="00647093"/>
    <w:rsid w:val="00647149"/>
    <w:rsid w:val="006471EC"/>
    <w:rsid w:val="006473C2"/>
    <w:rsid w:val="006476DC"/>
    <w:rsid w:val="00647F32"/>
    <w:rsid w:val="006502C2"/>
    <w:rsid w:val="0065048B"/>
    <w:rsid w:val="00650535"/>
    <w:rsid w:val="0065092C"/>
    <w:rsid w:val="00650AEC"/>
    <w:rsid w:val="00650F8A"/>
    <w:rsid w:val="006510E4"/>
    <w:rsid w:val="00651B19"/>
    <w:rsid w:val="00651E4D"/>
    <w:rsid w:val="0065203B"/>
    <w:rsid w:val="0065283B"/>
    <w:rsid w:val="006529CA"/>
    <w:rsid w:val="00652AC9"/>
    <w:rsid w:val="00652B82"/>
    <w:rsid w:val="006534E7"/>
    <w:rsid w:val="006538BC"/>
    <w:rsid w:val="00653F20"/>
    <w:rsid w:val="00654108"/>
    <w:rsid w:val="006549E1"/>
    <w:rsid w:val="00654BFF"/>
    <w:rsid w:val="00654C22"/>
    <w:rsid w:val="00654F3E"/>
    <w:rsid w:val="00655130"/>
    <w:rsid w:val="006551A8"/>
    <w:rsid w:val="00655EC2"/>
    <w:rsid w:val="00656918"/>
    <w:rsid w:val="006572F0"/>
    <w:rsid w:val="0065751D"/>
    <w:rsid w:val="006576A7"/>
    <w:rsid w:val="006579BD"/>
    <w:rsid w:val="00657BE8"/>
    <w:rsid w:val="00657DAA"/>
    <w:rsid w:val="0066034F"/>
    <w:rsid w:val="00660433"/>
    <w:rsid w:val="0066072A"/>
    <w:rsid w:val="00660F83"/>
    <w:rsid w:val="00661300"/>
    <w:rsid w:val="006614E4"/>
    <w:rsid w:val="006616EF"/>
    <w:rsid w:val="00661A78"/>
    <w:rsid w:val="00661E1D"/>
    <w:rsid w:val="00661E52"/>
    <w:rsid w:val="00662170"/>
    <w:rsid w:val="00662479"/>
    <w:rsid w:val="00662E03"/>
    <w:rsid w:val="00662ECE"/>
    <w:rsid w:val="00663005"/>
    <w:rsid w:val="0066303D"/>
    <w:rsid w:val="00663073"/>
    <w:rsid w:val="00663406"/>
    <w:rsid w:val="00663AD0"/>
    <w:rsid w:val="00663CDF"/>
    <w:rsid w:val="00663F50"/>
    <w:rsid w:val="00663FD9"/>
    <w:rsid w:val="00664051"/>
    <w:rsid w:val="00664075"/>
    <w:rsid w:val="00664787"/>
    <w:rsid w:val="00664A4A"/>
    <w:rsid w:val="00664AA6"/>
    <w:rsid w:val="00664B8C"/>
    <w:rsid w:val="00665916"/>
    <w:rsid w:val="00665967"/>
    <w:rsid w:val="00665B44"/>
    <w:rsid w:val="00665DB3"/>
    <w:rsid w:val="00665F94"/>
    <w:rsid w:val="00666207"/>
    <w:rsid w:val="006666E4"/>
    <w:rsid w:val="00666A21"/>
    <w:rsid w:val="00666B9E"/>
    <w:rsid w:val="00666F87"/>
    <w:rsid w:val="00667156"/>
    <w:rsid w:val="00667922"/>
    <w:rsid w:val="006705F9"/>
    <w:rsid w:val="0067064C"/>
    <w:rsid w:val="00670F4A"/>
    <w:rsid w:val="00671029"/>
    <w:rsid w:val="00671194"/>
    <w:rsid w:val="006711F2"/>
    <w:rsid w:val="006714F3"/>
    <w:rsid w:val="00671BB1"/>
    <w:rsid w:val="006726FB"/>
    <w:rsid w:val="006728C3"/>
    <w:rsid w:val="00672B89"/>
    <w:rsid w:val="00672D5E"/>
    <w:rsid w:val="00672E9D"/>
    <w:rsid w:val="00672F1B"/>
    <w:rsid w:val="006730D3"/>
    <w:rsid w:val="00673A14"/>
    <w:rsid w:val="00673EB7"/>
    <w:rsid w:val="00673EC4"/>
    <w:rsid w:val="006745FA"/>
    <w:rsid w:val="0067478C"/>
    <w:rsid w:val="00674AA4"/>
    <w:rsid w:val="006752A9"/>
    <w:rsid w:val="006754A7"/>
    <w:rsid w:val="006755A5"/>
    <w:rsid w:val="00675668"/>
    <w:rsid w:val="00675763"/>
    <w:rsid w:val="006757AD"/>
    <w:rsid w:val="00675970"/>
    <w:rsid w:val="006759F2"/>
    <w:rsid w:val="00675B36"/>
    <w:rsid w:val="00675B76"/>
    <w:rsid w:val="00675FCA"/>
    <w:rsid w:val="00676101"/>
    <w:rsid w:val="00676131"/>
    <w:rsid w:val="006761E6"/>
    <w:rsid w:val="0067635F"/>
    <w:rsid w:val="00676908"/>
    <w:rsid w:val="006771C6"/>
    <w:rsid w:val="00677476"/>
    <w:rsid w:val="00677CF9"/>
    <w:rsid w:val="00677D56"/>
    <w:rsid w:val="0068074C"/>
    <w:rsid w:val="006816E7"/>
    <w:rsid w:val="006828B9"/>
    <w:rsid w:val="00682AC9"/>
    <w:rsid w:val="00682B18"/>
    <w:rsid w:val="00683618"/>
    <w:rsid w:val="00683636"/>
    <w:rsid w:val="006838F2"/>
    <w:rsid w:val="006846EA"/>
    <w:rsid w:val="00684944"/>
    <w:rsid w:val="00684DDA"/>
    <w:rsid w:val="00684DF2"/>
    <w:rsid w:val="00684FD1"/>
    <w:rsid w:val="0068527D"/>
    <w:rsid w:val="0068597D"/>
    <w:rsid w:val="00685CEE"/>
    <w:rsid w:val="00685D88"/>
    <w:rsid w:val="006869AA"/>
    <w:rsid w:val="00686F5B"/>
    <w:rsid w:val="006872BD"/>
    <w:rsid w:val="006905D1"/>
    <w:rsid w:val="006907DD"/>
    <w:rsid w:val="006912DF"/>
    <w:rsid w:val="00691348"/>
    <w:rsid w:val="00691E31"/>
    <w:rsid w:val="00691F19"/>
    <w:rsid w:val="00691F77"/>
    <w:rsid w:val="00691FCC"/>
    <w:rsid w:val="006920A9"/>
    <w:rsid w:val="006926C9"/>
    <w:rsid w:val="0069281A"/>
    <w:rsid w:val="006933DC"/>
    <w:rsid w:val="006935E3"/>
    <w:rsid w:val="00693729"/>
    <w:rsid w:val="00693B5E"/>
    <w:rsid w:val="006940C4"/>
    <w:rsid w:val="00694268"/>
    <w:rsid w:val="006944CD"/>
    <w:rsid w:val="00694C72"/>
    <w:rsid w:val="00694CA4"/>
    <w:rsid w:val="00694D4B"/>
    <w:rsid w:val="00694F35"/>
    <w:rsid w:val="006953A7"/>
    <w:rsid w:val="006953AB"/>
    <w:rsid w:val="00695A70"/>
    <w:rsid w:val="00696517"/>
    <w:rsid w:val="00697B1C"/>
    <w:rsid w:val="00697E01"/>
    <w:rsid w:val="006A04C8"/>
    <w:rsid w:val="006A09EE"/>
    <w:rsid w:val="006A0A3B"/>
    <w:rsid w:val="006A0EE1"/>
    <w:rsid w:val="006A1909"/>
    <w:rsid w:val="006A1B45"/>
    <w:rsid w:val="006A1D29"/>
    <w:rsid w:val="006A20F4"/>
    <w:rsid w:val="006A2255"/>
    <w:rsid w:val="006A2FDA"/>
    <w:rsid w:val="006A30ED"/>
    <w:rsid w:val="006A37C1"/>
    <w:rsid w:val="006A37D4"/>
    <w:rsid w:val="006A381E"/>
    <w:rsid w:val="006A384C"/>
    <w:rsid w:val="006A39C7"/>
    <w:rsid w:val="006A3CBF"/>
    <w:rsid w:val="006A3D28"/>
    <w:rsid w:val="006A3F75"/>
    <w:rsid w:val="006A4BB3"/>
    <w:rsid w:val="006A5BE5"/>
    <w:rsid w:val="006A60EE"/>
    <w:rsid w:val="006A60F2"/>
    <w:rsid w:val="006A612C"/>
    <w:rsid w:val="006A615A"/>
    <w:rsid w:val="006A69CB"/>
    <w:rsid w:val="006A6A43"/>
    <w:rsid w:val="006A71FE"/>
    <w:rsid w:val="006A741E"/>
    <w:rsid w:val="006A7F85"/>
    <w:rsid w:val="006B0340"/>
    <w:rsid w:val="006B0408"/>
    <w:rsid w:val="006B05D1"/>
    <w:rsid w:val="006B05FF"/>
    <w:rsid w:val="006B0971"/>
    <w:rsid w:val="006B0B27"/>
    <w:rsid w:val="006B1759"/>
    <w:rsid w:val="006B17C7"/>
    <w:rsid w:val="006B1823"/>
    <w:rsid w:val="006B190F"/>
    <w:rsid w:val="006B281D"/>
    <w:rsid w:val="006B286A"/>
    <w:rsid w:val="006B3177"/>
    <w:rsid w:val="006B36BE"/>
    <w:rsid w:val="006B40B8"/>
    <w:rsid w:val="006B441E"/>
    <w:rsid w:val="006B45FC"/>
    <w:rsid w:val="006B45FE"/>
    <w:rsid w:val="006B4761"/>
    <w:rsid w:val="006B49C5"/>
    <w:rsid w:val="006B4A99"/>
    <w:rsid w:val="006B4C1C"/>
    <w:rsid w:val="006B4CED"/>
    <w:rsid w:val="006B4CF1"/>
    <w:rsid w:val="006B511E"/>
    <w:rsid w:val="006B5643"/>
    <w:rsid w:val="006B5BC3"/>
    <w:rsid w:val="006B5E32"/>
    <w:rsid w:val="006B5E72"/>
    <w:rsid w:val="006B5E90"/>
    <w:rsid w:val="006B6A6F"/>
    <w:rsid w:val="006B6B90"/>
    <w:rsid w:val="006B7280"/>
    <w:rsid w:val="006B76E9"/>
    <w:rsid w:val="006B772C"/>
    <w:rsid w:val="006C035C"/>
    <w:rsid w:val="006C0602"/>
    <w:rsid w:val="006C1639"/>
    <w:rsid w:val="006C1693"/>
    <w:rsid w:val="006C16F4"/>
    <w:rsid w:val="006C1C0A"/>
    <w:rsid w:val="006C24AD"/>
    <w:rsid w:val="006C2714"/>
    <w:rsid w:val="006C287F"/>
    <w:rsid w:val="006C2C86"/>
    <w:rsid w:val="006C3139"/>
    <w:rsid w:val="006C34D1"/>
    <w:rsid w:val="006C3764"/>
    <w:rsid w:val="006C384B"/>
    <w:rsid w:val="006C3888"/>
    <w:rsid w:val="006C3AF1"/>
    <w:rsid w:val="006C3BC5"/>
    <w:rsid w:val="006C3CA6"/>
    <w:rsid w:val="006C44D4"/>
    <w:rsid w:val="006C488B"/>
    <w:rsid w:val="006C4E89"/>
    <w:rsid w:val="006C5034"/>
    <w:rsid w:val="006C520D"/>
    <w:rsid w:val="006C5920"/>
    <w:rsid w:val="006C5ACB"/>
    <w:rsid w:val="006C5FC0"/>
    <w:rsid w:val="006C60BE"/>
    <w:rsid w:val="006C67B9"/>
    <w:rsid w:val="006C6A9B"/>
    <w:rsid w:val="006C6F24"/>
    <w:rsid w:val="006C6F5F"/>
    <w:rsid w:val="006C750A"/>
    <w:rsid w:val="006C7559"/>
    <w:rsid w:val="006C778A"/>
    <w:rsid w:val="006C7D04"/>
    <w:rsid w:val="006C7F3C"/>
    <w:rsid w:val="006D03AE"/>
    <w:rsid w:val="006D08FE"/>
    <w:rsid w:val="006D0C0F"/>
    <w:rsid w:val="006D0D14"/>
    <w:rsid w:val="006D0EE4"/>
    <w:rsid w:val="006D0F57"/>
    <w:rsid w:val="006D1072"/>
    <w:rsid w:val="006D1319"/>
    <w:rsid w:val="006D147C"/>
    <w:rsid w:val="006D14D1"/>
    <w:rsid w:val="006D1D76"/>
    <w:rsid w:val="006D1D98"/>
    <w:rsid w:val="006D1FB4"/>
    <w:rsid w:val="006D2896"/>
    <w:rsid w:val="006D2DED"/>
    <w:rsid w:val="006D35DB"/>
    <w:rsid w:val="006D36D8"/>
    <w:rsid w:val="006D3DA0"/>
    <w:rsid w:val="006D422F"/>
    <w:rsid w:val="006D4826"/>
    <w:rsid w:val="006D5110"/>
    <w:rsid w:val="006D51BE"/>
    <w:rsid w:val="006D5A90"/>
    <w:rsid w:val="006D619C"/>
    <w:rsid w:val="006D682B"/>
    <w:rsid w:val="006D6D16"/>
    <w:rsid w:val="006D6EA3"/>
    <w:rsid w:val="006D788B"/>
    <w:rsid w:val="006D7979"/>
    <w:rsid w:val="006D7ABD"/>
    <w:rsid w:val="006D7B69"/>
    <w:rsid w:val="006E00BF"/>
    <w:rsid w:val="006E0F4E"/>
    <w:rsid w:val="006E0FAB"/>
    <w:rsid w:val="006E10F1"/>
    <w:rsid w:val="006E21AC"/>
    <w:rsid w:val="006E2399"/>
    <w:rsid w:val="006E23C3"/>
    <w:rsid w:val="006E2527"/>
    <w:rsid w:val="006E2883"/>
    <w:rsid w:val="006E3745"/>
    <w:rsid w:val="006E3765"/>
    <w:rsid w:val="006E3CB1"/>
    <w:rsid w:val="006E3D17"/>
    <w:rsid w:val="006E3D3C"/>
    <w:rsid w:val="006E3DDA"/>
    <w:rsid w:val="006E3E4C"/>
    <w:rsid w:val="006E3E8F"/>
    <w:rsid w:val="006E479E"/>
    <w:rsid w:val="006E52D9"/>
    <w:rsid w:val="006E57B4"/>
    <w:rsid w:val="006E5CB3"/>
    <w:rsid w:val="006E5E46"/>
    <w:rsid w:val="006E6303"/>
    <w:rsid w:val="006E6D63"/>
    <w:rsid w:val="006E6DD9"/>
    <w:rsid w:val="006F04BD"/>
    <w:rsid w:val="006F0C86"/>
    <w:rsid w:val="006F0F14"/>
    <w:rsid w:val="006F17F9"/>
    <w:rsid w:val="006F1C0F"/>
    <w:rsid w:val="006F1DED"/>
    <w:rsid w:val="006F21AF"/>
    <w:rsid w:val="006F2759"/>
    <w:rsid w:val="006F28FE"/>
    <w:rsid w:val="006F2A91"/>
    <w:rsid w:val="006F2D33"/>
    <w:rsid w:val="006F2D7A"/>
    <w:rsid w:val="006F2FF5"/>
    <w:rsid w:val="006F379C"/>
    <w:rsid w:val="006F4220"/>
    <w:rsid w:val="006F49EE"/>
    <w:rsid w:val="006F56C6"/>
    <w:rsid w:val="006F5973"/>
    <w:rsid w:val="006F627C"/>
    <w:rsid w:val="006F6758"/>
    <w:rsid w:val="006F6865"/>
    <w:rsid w:val="006F69F6"/>
    <w:rsid w:val="006F6A85"/>
    <w:rsid w:val="006F6BCB"/>
    <w:rsid w:val="006F6CDD"/>
    <w:rsid w:val="006F7104"/>
    <w:rsid w:val="006F73FC"/>
    <w:rsid w:val="006F778D"/>
    <w:rsid w:val="00700060"/>
    <w:rsid w:val="00700735"/>
    <w:rsid w:val="00701020"/>
    <w:rsid w:val="007011CA"/>
    <w:rsid w:val="00701265"/>
    <w:rsid w:val="00701AFC"/>
    <w:rsid w:val="007022EC"/>
    <w:rsid w:val="007028F0"/>
    <w:rsid w:val="00702935"/>
    <w:rsid w:val="00703563"/>
    <w:rsid w:val="0070397C"/>
    <w:rsid w:val="007039E6"/>
    <w:rsid w:val="00703CB5"/>
    <w:rsid w:val="00703CE8"/>
    <w:rsid w:val="00704737"/>
    <w:rsid w:val="00704BD9"/>
    <w:rsid w:val="00704C1B"/>
    <w:rsid w:val="00705195"/>
    <w:rsid w:val="0070544F"/>
    <w:rsid w:val="0070548B"/>
    <w:rsid w:val="007059EA"/>
    <w:rsid w:val="00705C2C"/>
    <w:rsid w:val="00705D34"/>
    <w:rsid w:val="00706311"/>
    <w:rsid w:val="00706362"/>
    <w:rsid w:val="0070638A"/>
    <w:rsid w:val="007066EA"/>
    <w:rsid w:val="0070708F"/>
    <w:rsid w:val="007076F1"/>
    <w:rsid w:val="00707769"/>
    <w:rsid w:val="007077B6"/>
    <w:rsid w:val="00710115"/>
    <w:rsid w:val="0071015D"/>
    <w:rsid w:val="0071021B"/>
    <w:rsid w:val="00710700"/>
    <w:rsid w:val="0071085C"/>
    <w:rsid w:val="00710906"/>
    <w:rsid w:val="00711289"/>
    <w:rsid w:val="007113ED"/>
    <w:rsid w:val="007117A9"/>
    <w:rsid w:val="00711F99"/>
    <w:rsid w:val="00712157"/>
    <w:rsid w:val="00712433"/>
    <w:rsid w:val="00712590"/>
    <w:rsid w:val="00712B4B"/>
    <w:rsid w:val="00712B76"/>
    <w:rsid w:val="00712C1D"/>
    <w:rsid w:val="00712E01"/>
    <w:rsid w:val="00712EA1"/>
    <w:rsid w:val="007135E0"/>
    <w:rsid w:val="0071398B"/>
    <w:rsid w:val="00713AB4"/>
    <w:rsid w:val="00713E35"/>
    <w:rsid w:val="00713F49"/>
    <w:rsid w:val="007143F3"/>
    <w:rsid w:val="00714532"/>
    <w:rsid w:val="00714CBE"/>
    <w:rsid w:val="00714E62"/>
    <w:rsid w:val="00714EAB"/>
    <w:rsid w:val="00714FAC"/>
    <w:rsid w:val="0071540E"/>
    <w:rsid w:val="00715639"/>
    <w:rsid w:val="0071564C"/>
    <w:rsid w:val="0071573F"/>
    <w:rsid w:val="00715A41"/>
    <w:rsid w:val="00716741"/>
    <w:rsid w:val="00717478"/>
    <w:rsid w:val="0071774E"/>
    <w:rsid w:val="007179DF"/>
    <w:rsid w:val="00717C07"/>
    <w:rsid w:val="007200F0"/>
    <w:rsid w:val="00720717"/>
    <w:rsid w:val="007209A3"/>
    <w:rsid w:val="007215EB"/>
    <w:rsid w:val="007216BB"/>
    <w:rsid w:val="00721CB2"/>
    <w:rsid w:val="00721F52"/>
    <w:rsid w:val="00722030"/>
    <w:rsid w:val="00722328"/>
    <w:rsid w:val="007233EA"/>
    <w:rsid w:val="007245FB"/>
    <w:rsid w:val="007246AD"/>
    <w:rsid w:val="0072483E"/>
    <w:rsid w:val="00724C10"/>
    <w:rsid w:val="00724CD7"/>
    <w:rsid w:val="00724D93"/>
    <w:rsid w:val="00724E16"/>
    <w:rsid w:val="00724E6E"/>
    <w:rsid w:val="007257E3"/>
    <w:rsid w:val="00725D01"/>
    <w:rsid w:val="00726003"/>
    <w:rsid w:val="00726995"/>
    <w:rsid w:val="00726E3E"/>
    <w:rsid w:val="00726E9E"/>
    <w:rsid w:val="007272EE"/>
    <w:rsid w:val="007272F6"/>
    <w:rsid w:val="0072740E"/>
    <w:rsid w:val="00727575"/>
    <w:rsid w:val="00727577"/>
    <w:rsid w:val="007277C9"/>
    <w:rsid w:val="0072781C"/>
    <w:rsid w:val="00727A07"/>
    <w:rsid w:val="00727D64"/>
    <w:rsid w:val="00727E0B"/>
    <w:rsid w:val="00727F09"/>
    <w:rsid w:val="0073105C"/>
    <w:rsid w:val="0073108A"/>
    <w:rsid w:val="0073165C"/>
    <w:rsid w:val="00731937"/>
    <w:rsid w:val="00732030"/>
    <w:rsid w:val="00732288"/>
    <w:rsid w:val="00732488"/>
    <w:rsid w:val="007325D6"/>
    <w:rsid w:val="00732AD8"/>
    <w:rsid w:val="00734E3B"/>
    <w:rsid w:val="007352CB"/>
    <w:rsid w:val="00735B5B"/>
    <w:rsid w:val="00735EAB"/>
    <w:rsid w:val="0073663C"/>
    <w:rsid w:val="0073689E"/>
    <w:rsid w:val="00737F14"/>
    <w:rsid w:val="00740175"/>
    <w:rsid w:val="00740A8B"/>
    <w:rsid w:val="00740B35"/>
    <w:rsid w:val="00740EC1"/>
    <w:rsid w:val="00740ECE"/>
    <w:rsid w:val="0074107F"/>
    <w:rsid w:val="0074158C"/>
    <w:rsid w:val="0074203E"/>
    <w:rsid w:val="007421D8"/>
    <w:rsid w:val="00742414"/>
    <w:rsid w:val="0074258A"/>
    <w:rsid w:val="007425C9"/>
    <w:rsid w:val="007426A6"/>
    <w:rsid w:val="0074278B"/>
    <w:rsid w:val="00742EC9"/>
    <w:rsid w:val="00743542"/>
    <w:rsid w:val="00743868"/>
    <w:rsid w:val="00743DEC"/>
    <w:rsid w:val="00744138"/>
    <w:rsid w:val="0074435F"/>
    <w:rsid w:val="00744814"/>
    <w:rsid w:val="00744AB9"/>
    <w:rsid w:val="00744FAE"/>
    <w:rsid w:val="00745335"/>
    <w:rsid w:val="00745468"/>
    <w:rsid w:val="00745894"/>
    <w:rsid w:val="00745DDD"/>
    <w:rsid w:val="00745FFC"/>
    <w:rsid w:val="007461A5"/>
    <w:rsid w:val="00746764"/>
    <w:rsid w:val="007475B7"/>
    <w:rsid w:val="00747643"/>
    <w:rsid w:val="0074779E"/>
    <w:rsid w:val="007477CD"/>
    <w:rsid w:val="007503C3"/>
    <w:rsid w:val="00750C1C"/>
    <w:rsid w:val="0075101B"/>
    <w:rsid w:val="00751028"/>
    <w:rsid w:val="007510EB"/>
    <w:rsid w:val="007511DC"/>
    <w:rsid w:val="00751412"/>
    <w:rsid w:val="00751956"/>
    <w:rsid w:val="007519A9"/>
    <w:rsid w:val="00751AE0"/>
    <w:rsid w:val="007527C2"/>
    <w:rsid w:val="0075327D"/>
    <w:rsid w:val="007535D4"/>
    <w:rsid w:val="007538FC"/>
    <w:rsid w:val="00753CBF"/>
    <w:rsid w:val="00753E3C"/>
    <w:rsid w:val="0075459A"/>
    <w:rsid w:val="00754723"/>
    <w:rsid w:val="007547D9"/>
    <w:rsid w:val="00754973"/>
    <w:rsid w:val="00755168"/>
    <w:rsid w:val="00755256"/>
    <w:rsid w:val="00755557"/>
    <w:rsid w:val="007559EA"/>
    <w:rsid w:val="00755AE5"/>
    <w:rsid w:val="00756084"/>
    <w:rsid w:val="00756302"/>
    <w:rsid w:val="0075649A"/>
    <w:rsid w:val="007565FE"/>
    <w:rsid w:val="0075672F"/>
    <w:rsid w:val="00756864"/>
    <w:rsid w:val="00756F61"/>
    <w:rsid w:val="007570AD"/>
    <w:rsid w:val="007577B1"/>
    <w:rsid w:val="0076002B"/>
    <w:rsid w:val="007605FB"/>
    <w:rsid w:val="00760B96"/>
    <w:rsid w:val="00760C03"/>
    <w:rsid w:val="00760D0A"/>
    <w:rsid w:val="00760DB2"/>
    <w:rsid w:val="0076106D"/>
    <w:rsid w:val="00761F4F"/>
    <w:rsid w:val="00762184"/>
    <w:rsid w:val="007623F9"/>
    <w:rsid w:val="0076251F"/>
    <w:rsid w:val="00762550"/>
    <w:rsid w:val="007627EC"/>
    <w:rsid w:val="007632F6"/>
    <w:rsid w:val="0076340E"/>
    <w:rsid w:val="007635D1"/>
    <w:rsid w:val="007639C1"/>
    <w:rsid w:val="00763CDF"/>
    <w:rsid w:val="007640BA"/>
    <w:rsid w:val="00764329"/>
    <w:rsid w:val="007643A0"/>
    <w:rsid w:val="00764958"/>
    <w:rsid w:val="00764D97"/>
    <w:rsid w:val="00765219"/>
    <w:rsid w:val="0076543B"/>
    <w:rsid w:val="00765BED"/>
    <w:rsid w:val="00765E32"/>
    <w:rsid w:val="007661B9"/>
    <w:rsid w:val="007663EC"/>
    <w:rsid w:val="00766B7A"/>
    <w:rsid w:val="00766B92"/>
    <w:rsid w:val="00766D74"/>
    <w:rsid w:val="00766F86"/>
    <w:rsid w:val="00767396"/>
    <w:rsid w:val="007673F2"/>
    <w:rsid w:val="00767C2E"/>
    <w:rsid w:val="00767DB1"/>
    <w:rsid w:val="00770342"/>
    <w:rsid w:val="007706BC"/>
    <w:rsid w:val="00770C42"/>
    <w:rsid w:val="00770D3F"/>
    <w:rsid w:val="0077107F"/>
    <w:rsid w:val="007712F0"/>
    <w:rsid w:val="007718F8"/>
    <w:rsid w:val="00771DBC"/>
    <w:rsid w:val="00772DF7"/>
    <w:rsid w:val="00772F18"/>
    <w:rsid w:val="00773457"/>
    <w:rsid w:val="007737AF"/>
    <w:rsid w:val="007737C1"/>
    <w:rsid w:val="00773D36"/>
    <w:rsid w:val="00774385"/>
    <w:rsid w:val="007745A7"/>
    <w:rsid w:val="007753A9"/>
    <w:rsid w:val="007753CC"/>
    <w:rsid w:val="00775B73"/>
    <w:rsid w:val="00775C47"/>
    <w:rsid w:val="00775F65"/>
    <w:rsid w:val="0077612A"/>
    <w:rsid w:val="00776142"/>
    <w:rsid w:val="0077730C"/>
    <w:rsid w:val="00777355"/>
    <w:rsid w:val="00777A43"/>
    <w:rsid w:val="007801AB"/>
    <w:rsid w:val="007803D7"/>
    <w:rsid w:val="007805E9"/>
    <w:rsid w:val="00780B88"/>
    <w:rsid w:val="00780CDC"/>
    <w:rsid w:val="00780E83"/>
    <w:rsid w:val="0078127E"/>
    <w:rsid w:val="0078141E"/>
    <w:rsid w:val="00781783"/>
    <w:rsid w:val="0078194F"/>
    <w:rsid w:val="00781974"/>
    <w:rsid w:val="00781B63"/>
    <w:rsid w:val="0078255C"/>
    <w:rsid w:val="0078260C"/>
    <w:rsid w:val="00782A2E"/>
    <w:rsid w:val="00782E31"/>
    <w:rsid w:val="00783395"/>
    <w:rsid w:val="0078356B"/>
    <w:rsid w:val="007837DE"/>
    <w:rsid w:val="007837E1"/>
    <w:rsid w:val="00783A82"/>
    <w:rsid w:val="00783D00"/>
    <w:rsid w:val="00783FF2"/>
    <w:rsid w:val="00784C03"/>
    <w:rsid w:val="00785350"/>
    <w:rsid w:val="00785563"/>
    <w:rsid w:val="0078595C"/>
    <w:rsid w:val="00786A3A"/>
    <w:rsid w:val="00786CB0"/>
    <w:rsid w:val="00786CCD"/>
    <w:rsid w:val="007870E2"/>
    <w:rsid w:val="0078712B"/>
    <w:rsid w:val="00787561"/>
    <w:rsid w:val="00787BEB"/>
    <w:rsid w:val="00787D27"/>
    <w:rsid w:val="00790231"/>
    <w:rsid w:val="00790262"/>
    <w:rsid w:val="007909A5"/>
    <w:rsid w:val="00790AC4"/>
    <w:rsid w:val="00790F66"/>
    <w:rsid w:val="00791239"/>
    <w:rsid w:val="00791833"/>
    <w:rsid w:val="00791C97"/>
    <w:rsid w:val="00791E38"/>
    <w:rsid w:val="0079208F"/>
    <w:rsid w:val="007928DD"/>
    <w:rsid w:val="00792D28"/>
    <w:rsid w:val="00792D31"/>
    <w:rsid w:val="00793391"/>
    <w:rsid w:val="007934ED"/>
    <w:rsid w:val="00793E4D"/>
    <w:rsid w:val="00794741"/>
    <w:rsid w:val="00794C98"/>
    <w:rsid w:val="00794E09"/>
    <w:rsid w:val="00794F37"/>
    <w:rsid w:val="007950C9"/>
    <w:rsid w:val="007950E0"/>
    <w:rsid w:val="00795750"/>
    <w:rsid w:val="00795DB4"/>
    <w:rsid w:val="0079673D"/>
    <w:rsid w:val="007967C5"/>
    <w:rsid w:val="007968F7"/>
    <w:rsid w:val="00797573"/>
    <w:rsid w:val="00797622"/>
    <w:rsid w:val="0079763B"/>
    <w:rsid w:val="00797CC4"/>
    <w:rsid w:val="00797CDB"/>
    <w:rsid w:val="007A0A28"/>
    <w:rsid w:val="007A18B5"/>
    <w:rsid w:val="007A1C6A"/>
    <w:rsid w:val="007A2523"/>
    <w:rsid w:val="007A287C"/>
    <w:rsid w:val="007A2922"/>
    <w:rsid w:val="007A39CE"/>
    <w:rsid w:val="007A42F5"/>
    <w:rsid w:val="007A5309"/>
    <w:rsid w:val="007A5338"/>
    <w:rsid w:val="007A559C"/>
    <w:rsid w:val="007A55C4"/>
    <w:rsid w:val="007A56AC"/>
    <w:rsid w:val="007A56D7"/>
    <w:rsid w:val="007A6721"/>
    <w:rsid w:val="007A69E1"/>
    <w:rsid w:val="007A6F5D"/>
    <w:rsid w:val="007A74BE"/>
    <w:rsid w:val="007B02E3"/>
    <w:rsid w:val="007B057E"/>
    <w:rsid w:val="007B0AAB"/>
    <w:rsid w:val="007B1032"/>
    <w:rsid w:val="007B1057"/>
    <w:rsid w:val="007B1D24"/>
    <w:rsid w:val="007B2048"/>
    <w:rsid w:val="007B2CDF"/>
    <w:rsid w:val="007B3217"/>
    <w:rsid w:val="007B37D2"/>
    <w:rsid w:val="007B39E2"/>
    <w:rsid w:val="007B3B1D"/>
    <w:rsid w:val="007B3CEB"/>
    <w:rsid w:val="007B3DAC"/>
    <w:rsid w:val="007B40F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D57"/>
    <w:rsid w:val="007C1560"/>
    <w:rsid w:val="007C184A"/>
    <w:rsid w:val="007C18AA"/>
    <w:rsid w:val="007C208D"/>
    <w:rsid w:val="007C22E7"/>
    <w:rsid w:val="007C3198"/>
    <w:rsid w:val="007C3866"/>
    <w:rsid w:val="007C42C1"/>
    <w:rsid w:val="007C4DBF"/>
    <w:rsid w:val="007C5053"/>
    <w:rsid w:val="007C6D10"/>
    <w:rsid w:val="007C71CA"/>
    <w:rsid w:val="007C72BE"/>
    <w:rsid w:val="007C7D6F"/>
    <w:rsid w:val="007D051A"/>
    <w:rsid w:val="007D0DEF"/>
    <w:rsid w:val="007D109C"/>
    <w:rsid w:val="007D15D4"/>
    <w:rsid w:val="007D192E"/>
    <w:rsid w:val="007D203A"/>
    <w:rsid w:val="007D2793"/>
    <w:rsid w:val="007D284E"/>
    <w:rsid w:val="007D2A83"/>
    <w:rsid w:val="007D2D62"/>
    <w:rsid w:val="007D329A"/>
    <w:rsid w:val="007D3482"/>
    <w:rsid w:val="007D34FE"/>
    <w:rsid w:val="007D3BBD"/>
    <w:rsid w:val="007D3DE8"/>
    <w:rsid w:val="007D3E13"/>
    <w:rsid w:val="007D3FBE"/>
    <w:rsid w:val="007D4891"/>
    <w:rsid w:val="007D48A5"/>
    <w:rsid w:val="007D4AAE"/>
    <w:rsid w:val="007D4DD5"/>
    <w:rsid w:val="007D521E"/>
    <w:rsid w:val="007D54F7"/>
    <w:rsid w:val="007D570B"/>
    <w:rsid w:val="007D57A1"/>
    <w:rsid w:val="007D57D9"/>
    <w:rsid w:val="007D5911"/>
    <w:rsid w:val="007D5954"/>
    <w:rsid w:val="007D59C0"/>
    <w:rsid w:val="007D59C9"/>
    <w:rsid w:val="007D59F2"/>
    <w:rsid w:val="007D5CB4"/>
    <w:rsid w:val="007D613B"/>
    <w:rsid w:val="007D6309"/>
    <w:rsid w:val="007D68FC"/>
    <w:rsid w:val="007D6B92"/>
    <w:rsid w:val="007D6DA8"/>
    <w:rsid w:val="007D7BA9"/>
    <w:rsid w:val="007D7F5B"/>
    <w:rsid w:val="007E0264"/>
    <w:rsid w:val="007E0289"/>
    <w:rsid w:val="007E04F5"/>
    <w:rsid w:val="007E051F"/>
    <w:rsid w:val="007E06EA"/>
    <w:rsid w:val="007E07DB"/>
    <w:rsid w:val="007E08BC"/>
    <w:rsid w:val="007E0CF1"/>
    <w:rsid w:val="007E16E5"/>
    <w:rsid w:val="007E19A6"/>
    <w:rsid w:val="007E19E9"/>
    <w:rsid w:val="007E2946"/>
    <w:rsid w:val="007E2AD0"/>
    <w:rsid w:val="007E2B5C"/>
    <w:rsid w:val="007E320F"/>
    <w:rsid w:val="007E33AE"/>
    <w:rsid w:val="007E375A"/>
    <w:rsid w:val="007E3A39"/>
    <w:rsid w:val="007E3D4B"/>
    <w:rsid w:val="007E3F57"/>
    <w:rsid w:val="007E40EE"/>
    <w:rsid w:val="007E4AF8"/>
    <w:rsid w:val="007E4FC4"/>
    <w:rsid w:val="007E5126"/>
    <w:rsid w:val="007E5339"/>
    <w:rsid w:val="007E5872"/>
    <w:rsid w:val="007E5889"/>
    <w:rsid w:val="007E5B4E"/>
    <w:rsid w:val="007E694C"/>
    <w:rsid w:val="007E6AE1"/>
    <w:rsid w:val="007E7171"/>
    <w:rsid w:val="007E78A6"/>
    <w:rsid w:val="007E796F"/>
    <w:rsid w:val="007F07CC"/>
    <w:rsid w:val="007F09E5"/>
    <w:rsid w:val="007F0D3C"/>
    <w:rsid w:val="007F0E17"/>
    <w:rsid w:val="007F12FF"/>
    <w:rsid w:val="007F1347"/>
    <w:rsid w:val="007F142D"/>
    <w:rsid w:val="007F1526"/>
    <w:rsid w:val="007F17D1"/>
    <w:rsid w:val="007F1A74"/>
    <w:rsid w:val="007F2A15"/>
    <w:rsid w:val="007F2AD9"/>
    <w:rsid w:val="007F30EA"/>
    <w:rsid w:val="007F3358"/>
    <w:rsid w:val="007F33F3"/>
    <w:rsid w:val="007F360E"/>
    <w:rsid w:val="007F3BE7"/>
    <w:rsid w:val="007F4196"/>
    <w:rsid w:val="007F41E1"/>
    <w:rsid w:val="007F4A6F"/>
    <w:rsid w:val="007F4C8C"/>
    <w:rsid w:val="007F4F09"/>
    <w:rsid w:val="007F5DEA"/>
    <w:rsid w:val="007F5FB0"/>
    <w:rsid w:val="007F62CF"/>
    <w:rsid w:val="007F6922"/>
    <w:rsid w:val="007F6E06"/>
    <w:rsid w:val="007F7237"/>
    <w:rsid w:val="007F73AA"/>
    <w:rsid w:val="007F750A"/>
    <w:rsid w:val="007F7562"/>
    <w:rsid w:val="007F7ACC"/>
    <w:rsid w:val="0080016F"/>
    <w:rsid w:val="00800469"/>
    <w:rsid w:val="00801064"/>
    <w:rsid w:val="0080107C"/>
    <w:rsid w:val="00801AD3"/>
    <w:rsid w:val="00801CF6"/>
    <w:rsid w:val="00801DBE"/>
    <w:rsid w:val="00802788"/>
    <w:rsid w:val="0080306D"/>
    <w:rsid w:val="00803778"/>
    <w:rsid w:val="00803A54"/>
    <w:rsid w:val="00803CD7"/>
    <w:rsid w:val="008042A4"/>
    <w:rsid w:val="008042B1"/>
    <w:rsid w:val="008042DA"/>
    <w:rsid w:val="0080479F"/>
    <w:rsid w:val="0080488F"/>
    <w:rsid w:val="00804E19"/>
    <w:rsid w:val="00804E32"/>
    <w:rsid w:val="00805326"/>
    <w:rsid w:val="008056B5"/>
    <w:rsid w:val="00805BCE"/>
    <w:rsid w:val="008060A1"/>
    <w:rsid w:val="0080645F"/>
    <w:rsid w:val="00806B88"/>
    <w:rsid w:val="00806F9D"/>
    <w:rsid w:val="00807484"/>
    <w:rsid w:val="008078A9"/>
    <w:rsid w:val="00810747"/>
    <w:rsid w:val="00811131"/>
    <w:rsid w:val="0081135E"/>
    <w:rsid w:val="00811C69"/>
    <w:rsid w:val="00811C7B"/>
    <w:rsid w:val="00811EFC"/>
    <w:rsid w:val="00812114"/>
    <w:rsid w:val="00812255"/>
    <w:rsid w:val="008122A0"/>
    <w:rsid w:val="0081324A"/>
    <w:rsid w:val="008134B5"/>
    <w:rsid w:val="00813C29"/>
    <w:rsid w:val="00814045"/>
    <w:rsid w:val="008141E1"/>
    <w:rsid w:val="0081424A"/>
    <w:rsid w:val="008142CB"/>
    <w:rsid w:val="00814349"/>
    <w:rsid w:val="00814461"/>
    <w:rsid w:val="008145A3"/>
    <w:rsid w:val="008145DD"/>
    <w:rsid w:val="00814BDD"/>
    <w:rsid w:val="00814F89"/>
    <w:rsid w:val="0081508A"/>
    <w:rsid w:val="00815ADB"/>
    <w:rsid w:val="00815B41"/>
    <w:rsid w:val="00815BBE"/>
    <w:rsid w:val="00816257"/>
    <w:rsid w:val="008177C6"/>
    <w:rsid w:val="00817B01"/>
    <w:rsid w:val="0082015C"/>
    <w:rsid w:val="0082050D"/>
    <w:rsid w:val="00820B7A"/>
    <w:rsid w:val="00821321"/>
    <w:rsid w:val="0082152E"/>
    <w:rsid w:val="00821C4C"/>
    <w:rsid w:val="0082239C"/>
    <w:rsid w:val="00822CD7"/>
    <w:rsid w:val="0082304B"/>
    <w:rsid w:val="00823089"/>
    <w:rsid w:val="00823348"/>
    <w:rsid w:val="008234F4"/>
    <w:rsid w:val="008237A9"/>
    <w:rsid w:val="00823A4D"/>
    <w:rsid w:val="0082411F"/>
    <w:rsid w:val="00824B95"/>
    <w:rsid w:val="00824C66"/>
    <w:rsid w:val="00824E09"/>
    <w:rsid w:val="0082621E"/>
    <w:rsid w:val="00826288"/>
    <w:rsid w:val="008263F2"/>
    <w:rsid w:val="00826B73"/>
    <w:rsid w:val="0082705A"/>
    <w:rsid w:val="00827112"/>
    <w:rsid w:val="0082784D"/>
    <w:rsid w:val="00827C33"/>
    <w:rsid w:val="008303F6"/>
    <w:rsid w:val="008304A2"/>
    <w:rsid w:val="00830A76"/>
    <w:rsid w:val="008310EA"/>
    <w:rsid w:val="0083158A"/>
    <w:rsid w:val="00831C65"/>
    <w:rsid w:val="00831CBA"/>
    <w:rsid w:val="00832059"/>
    <w:rsid w:val="0083215A"/>
    <w:rsid w:val="0083274E"/>
    <w:rsid w:val="0083275D"/>
    <w:rsid w:val="00832F4C"/>
    <w:rsid w:val="008331FE"/>
    <w:rsid w:val="008333D7"/>
    <w:rsid w:val="008338F1"/>
    <w:rsid w:val="008339BF"/>
    <w:rsid w:val="00833D95"/>
    <w:rsid w:val="00833DA0"/>
    <w:rsid w:val="00833EA8"/>
    <w:rsid w:val="00833F28"/>
    <w:rsid w:val="00834145"/>
    <w:rsid w:val="008343EF"/>
    <w:rsid w:val="008346EA"/>
    <w:rsid w:val="00834C64"/>
    <w:rsid w:val="00834EE1"/>
    <w:rsid w:val="00834F64"/>
    <w:rsid w:val="00834F75"/>
    <w:rsid w:val="008351FE"/>
    <w:rsid w:val="008352CE"/>
    <w:rsid w:val="00835590"/>
    <w:rsid w:val="008355C7"/>
    <w:rsid w:val="00835C6A"/>
    <w:rsid w:val="00836163"/>
    <w:rsid w:val="0083675E"/>
    <w:rsid w:val="00836861"/>
    <w:rsid w:val="00836A4E"/>
    <w:rsid w:val="00836B9A"/>
    <w:rsid w:val="00836E76"/>
    <w:rsid w:val="00837314"/>
    <w:rsid w:val="00837AA5"/>
    <w:rsid w:val="00837B8F"/>
    <w:rsid w:val="00837E9A"/>
    <w:rsid w:val="00837F11"/>
    <w:rsid w:val="0084009E"/>
    <w:rsid w:val="00840C91"/>
    <w:rsid w:val="00840F2D"/>
    <w:rsid w:val="0084171D"/>
    <w:rsid w:val="00841981"/>
    <w:rsid w:val="00842222"/>
    <w:rsid w:val="00842607"/>
    <w:rsid w:val="008428B2"/>
    <w:rsid w:val="00842E33"/>
    <w:rsid w:val="008436A5"/>
    <w:rsid w:val="0084399B"/>
    <w:rsid w:val="008440AA"/>
    <w:rsid w:val="00844805"/>
    <w:rsid w:val="0084597A"/>
    <w:rsid w:val="00845A1D"/>
    <w:rsid w:val="008462FC"/>
    <w:rsid w:val="00846597"/>
    <w:rsid w:val="008468B6"/>
    <w:rsid w:val="00846B00"/>
    <w:rsid w:val="00846D14"/>
    <w:rsid w:val="008473E4"/>
    <w:rsid w:val="0084799E"/>
    <w:rsid w:val="00847CAD"/>
    <w:rsid w:val="008501F6"/>
    <w:rsid w:val="00850359"/>
    <w:rsid w:val="008505BB"/>
    <w:rsid w:val="008511B9"/>
    <w:rsid w:val="008519ED"/>
    <w:rsid w:val="00851A7F"/>
    <w:rsid w:val="00851BA2"/>
    <w:rsid w:val="0085219D"/>
    <w:rsid w:val="00852497"/>
    <w:rsid w:val="00852D2C"/>
    <w:rsid w:val="00852DF1"/>
    <w:rsid w:val="008531CC"/>
    <w:rsid w:val="00853722"/>
    <w:rsid w:val="00853988"/>
    <w:rsid w:val="00853A46"/>
    <w:rsid w:val="00853F2C"/>
    <w:rsid w:val="008544DF"/>
    <w:rsid w:val="00854A0F"/>
    <w:rsid w:val="00854B2A"/>
    <w:rsid w:val="0085524F"/>
    <w:rsid w:val="00856573"/>
    <w:rsid w:val="008565AA"/>
    <w:rsid w:val="00857361"/>
    <w:rsid w:val="008579CB"/>
    <w:rsid w:val="0086023E"/>
    <w:rsid w:val="008608C4"/>
    <w:rsid w:val="00860CD5"/>
    <w:rsid w:val="00860DDF"/>
    <w:rsid w:val="00861301"/>
    <w:rsid w:val="0086172F"/>
    <w:rsid w:val="00861741"/>
    <w:rsid w:val="008618B5"/>
    <w:rsid w:val="00861CAF"/>
    <w:rsid w:val="00861EA4"/>
    <w:rsid w:val="00862057"/>
    <w:rsid w:val="0086227C"/>
    <w:rsid w:val="0086246A"/>
    <w:rsid w:val="008624EC"/>
    <w:rsid w:val="008625C9"/>
    <w:rsid w:val="00863E52"/>
    <w:rsid w:val="00864874"/>
    <w:rsid w:val="0086488B"/>
    <w:rsid w:val="0086499C"/>
    <w:rsid w:val="00864D16"/>
    <w:rsid w:val="00864DD3"/>
    <w:rsid w:val="00864EF0"/>
    <w:rsid w:val="008654E8"/>
    <w:rsid w:val="0086570D"/>
    <w:rsid w:val="00865D0F"/>
    <w:rsid w:val="00866DAF"/>
    <w:rsid w:val="00866EA2"/>
    <w:rsid w:val="008671FF"/>
    <w:rsid w:val="0086785A"/>
    <w:rsid w:val="00867BC6"/>
    <w:rsid w:val="00867CE4"/>
    <w:rsid w:val="00867D73"/>
    <w:rsid w:val="00867EFE"/>
    <w:rsid w:val="0087004D"/>
    <w:rsid w:val="00870214"/>
    <w:rsid w:val="008703CC"/>
    <w:rsid w:val="00870A00"/>
    <w:rsid w:val="00870DAE"/>
    <w:rsid w:val="008717E0"/>
    <w:rsid w:val="008719A5"/>
    <w:rsid w:val="00871BA8"/>
    <w:rsid w:val="008725EE"/>
    <w:rsid w:val="00872D01"/>
    <w:rsid w:val="00872D16"/>
    <w:rsid w:val="00873815"/>
    <w:rsid w:val="00873FA6"/>
    <w:rsid w:val="00873FF8"/>
    <w:rsid w:val="008740BF"/>
    <w:rsid w:val="0087478C"/>
    <w:rsid w:val="008749E8"/>
    <w:rsid w:val="008749EF"/>
    <w:rsid w:val="00874C89"/>
    <w:rsid w:val="00874E11"/>
    <w:rsid w:val="008754F5"/>
    <w:rsid w:val="008759D2"/>
    <w:rsid w:val="008762DA"/>
    <w:rsid w:val="008762E3"/>
    <w:rsid w:val="008763E8"/>
    <w:rsid w:val="0087642C"/>
    <w:rsid w:val="0087650A"/>
    <w:rsid w:val="00876557"/>
    <w:rsid w:val="00877506"/>
    <w:rsid w:val="00877C5B"/>
    <w:rsid w:val="00877D93"/>
    <w:rsid w:val="00877FD6"/>
    <w:rsid w:val="008802B7"/>
    <w:rsid w:val="00880BEE"/>
    <w:rsid w:val="00880C5F"/>
    <w:rsid w:val="00880E76"/>
    <w:rsid w:val="00880E9C"/>
    <w:rsid w:val="00881290"/>
    <w:rsid w:val="00881462"/>
    <w:rsid w:val="008818D2"/>
    <w:rsid w:val="00881B71"/>
    <w:rsid w:val="00881D78"/>
    <w:rsid w:val="008821D8"/>
    <w:rsid w:val="008822DF"/>
    <w:rsid w:val="0088292D"/>
    <w:rsid w:val="00882E2A"/>
    <w:rsid w:val="00882E49"/>
    <w:rsid w:val="008835DB"/>
    <w:rsid w:val="00883E81"/>
    <w:rsid w:val="00883E8B"/>
    <w:rsid w:val="00883F24"/>
    <w:rsid w:val="0088412B"/>
    <w:rsid w:val="00884166"/>
    <w:rsid w:val="00884171"/>
    <w:rsid w:val="00884196"/>
    <w:rsid w:val="0088449B"/>
    <w:rsid w:val="00884822"/>
    <w:rsid w:val="00884929"/>
    <w:rsid w:val="00884F85"/>
    <w:rsid w:val="008857B7"/>
    <w:rsid w:val="008862EE"/>
    <w:rsid w:val="00887033"/>
    <w:rsid w:val="008875A4"/>
    <w:rsid w:val="0088791E"/>
    <w:rsid w:val="00887CAE"/>
    <w:rsid w:val="00890263"/>
    <w:rsid w:val="00890781"/>
    <w:rsid w:val="008908C9"/>
    <w:rsid w:val="00890E56"/>
    <w:rsid w:val="0089110F"/>
    <w:rsid w:val="008912A8"/>
    <w:rsid w:val="00891369"/>
    <w:rsid w:val="0089136F"/>
    <w:rsid w:val="0089179F"/>
    <w:rsid w:val="00891941"/>
    <w:rsid w:val="008920BD"/>
    <w:rsid w:val="00892153"/>
    <w:rsid w:val="00892F11"/>
    <w:rsid w:val="00893404"/>
    <w:rsid w:val="0089395A"/>
    <w:rsid w:val="00894097"/>
    <w:rsid w:val="00894312"/>
    <w:rsid w:val="00894DB9"/>
    <w:rsid w:val="008951E1"/>
    <w:rsid w:val="008957CE"/>
    <w:rsid w:val="0089594C"/>
    <w:rsid w:val="00895DFF"/>
    <w:rsid w:val="008963EF"/>
    <w:rsid w:val="00896F15"/>
    <w:rsid w:val="0089713C"/>
    <w:rsid w:val="0089715E"/>
    <w:rsid w:val="0089732D"/>
    <w:rsid w:val="0089760C"/>
    <w:rsid w:val="00897F1A"/>
    <w:rsid w:val="008A0469"/>
    <w:rsid w:val="008A0667"/>
    <w:rsid w:val="008A0727"/>
    <w:rsid w:val="008A084D"/>
    <w:rsid w:val="008A0940"/>
    <w:rsid w:val="008A17BE"/>
    <w:rsid w:val="008A17C5"/>
    <w:rsid w:val="008A18B0"/>
    <w:rsid w:val="008A19B9"/>
    <w:rsid w:val="008A1BC0"/>
    <w:rsid w:val="008A27F2"/>
    <w:rsid w:val="008A28F0"/>
    <w:rsid w:val="008A2A93"/>
    <w:rsid w:val="008A2E7A"/>
    <w:rsid w:val="008A2FF2"/>
    <w:rsid w:val="008A3453"/>
    <w:rsid w:val="008A348F"/>
    <w:rsid w:val="008A3566"/>
    <w:rsid w:val="008A3B5D"/>
    <w:rsid w:val="008A3FCD"/>
    <w:rsid w:val="008A4589"/>
    <w:rsid w:val="008A45F2"/>
    <w:rsid w:val="008A490F"/>
    <w:rsid w:val="008A4B37"/>
    <w:rsid w:val="008A4E0D"/>
    <w:rsid w:val="008A56DB"/>
    <w:rsid w:val="008A6512"/>
    <w:rsid w:val="008A6607"/>
    <w:rsid w:val="008A67A7"/>
    <w:rsid w:val="008A6B48"/>
    <w:rsid w:val="008A6B90"/>
    <w:rsid w:val="008A7678"/>
    <w:rsid w:val="008A7BB3"/>
    <w:rsid w:val="008A7E76"/>
    <w:rsid w:val="008A7EC1"/>
    <w:rsid w:val="008B0077"/>
    <w:rsid w:val="008B08E3"/>
    <w:rsid w:val="008B0A37"/>
    <w:rsid w:val="008B0B77"/>
    <w:rsid w:val="008B0F45"/>
    <w:rsid w:val="008B10A3"/>
    <w:rsid w:val="008B1109"/>
    <w:rsid w:val="008B1F32"/>
    <w:rsid w:val="008B26A7"/>
    <w:rsid w:val="008B2799"/>
    <w:rsid w:val="008B2C26"/>
    <w:rsid w:val="008B3B36"/>
    <w:rsid w:val="008B3E1B"/>
    <w:rsid w:val="008B3EAF"/>
    <w:rsid w:val="008B4899"/>
    <w:rsid w:val="008B4DBA"/>
    <w:rsid w:val="008B4DF1"/>
    <w:rsid w:val="008B4E62"/>
    <w:rsid w:val="008B522D"/>
    <w:rsid w:val="008B5A94"/>
    <w:rsid w:val="008B634B"/>
    <w:rsid w:val="008B6764"/>
    <w:rsid w:val="008B6856"/>
    <w:rsid w:val="008B7679"/>
    <w:rsid w:val="008B769A"/>
    <w:rsid w:val="008B7779"/>
    <w:rsid w:val="008C0643"/>
    <w:rsid w:val="008C06B8"/>
    <w:rsid w:val="008C0758"/>
    <w:rsid w:val="008C0960"/>
    <w:rsid w:val="008C0ADB"/>
    <w:rsid w:val="008C0E2E"/>
    <w:rsid w:val="008C19DB"/>
    <w:rsid w:val="008C1F19"/>
    <w:rsid w:val="008C1F4B"/>
    <w:rsid w:val="008C1F5F"/>
    <w:rsid w:val="008C2061"/>
    <w:rsid w:val="008C2509"/>
    <w:rsid w:val="008C2659"/>
    <w:rsid w:val="008C28A9"/>
    <w:rsid w:val="008C2929"/>
    <w:rsid w:val="008C29E4"/>
    <w:rsid w:val="008C2B0E"/>
    <w:rsid w:val="008C2D57"/>
    <w:rsid w:val="008C2D7D"/>
    <w:rsid w:val="008C35D3"/>
    <w:rsid w:val="008C3C90"/>
    <w:rsid w:val="008C3EAF"/>
    <w:rsid w:val="008C4552"/>
    <w:rsid w:val="008C4929"/>
    <w:rsid w:val="008C49E2"/>
    <w:rsid w:val="008C4B34"/>
    <w:rsid w:val="008C4EDA"/>
    <w:rsid w:val="008C5013"/>
    <w:rsid w:val="008C5356"/>
    <w:rsid w:val="008C55BC"/>
    <w:rsid w:val="008C5CAF"/>
    <w:rsid w:val="008C60F6"/>
    <w:rsid w:val="008C677A"/>
    <w:rsid w:val="008C686D"/>
    <w:rsid w:val="008C68FE"/>
    <w:rsid w:val="008C6D20"/>
    <w:rsid w:val="008C6F23"/>
    <w:rsid w:val="008C7380"/>
    <w:rsid w:val="008C74A2"/>
    <w:rsid w:val="008C7A0D"/>
    <w:rsid w:val="008D047A"/>
    <w:rsid w:val="008D0739"/>
    <w:rsid w:val="008D080C"/>
    <w:rsid w:val="008D0ABF"/>
    <w:rsid w:val="008D0AFF"/>
    <w:rsid w:val="008D0B5B"/>
    <w:rsid w:val="008D118E"/>
    <w:rsid w:val="008D12C7"/>
    <w:rsid w:val="008D1CF5"/>
    <w:rsid w:val="008D1E7F"/>
    <w:rsid w:val="008D29F7"/>
    <w:rsid w:val="008D2A7D"/>
    <w:rsid w:val="008D2B7D"/>
    <w:rsid w:val="008D2D24"/>
    <w:rsid w:val="008D348D"/>
    <w:rsid w:val="008D3806"/>
    <w:rsid w:val="008D396B"/>
    <w:rsid w:val="008D3E89"/>
    <w:rsid w:val="008D3F70"/>
    <w:rsid w:val="008D4B4E"/>
    <w:rsid w:val="008D50BA"/>
    <w:rsid w:val="008D53CB"/>
    <w:rsid w:val="008D5739"/>
    <w:rsid w:val="008D5CD2"/>
    <w:rsid w:val="008D5D50"/>
    <w:rsid w:val="008D61C6"/>
    <w:rsid w:val="008D6CEE"/>
    <w:rsid w:val="008E051A"/>
    <w:rsid w:val="008E05B3"/>
    <w:rsid w:val="008E0899"/>
    <w:rsid w:val="008E0AAD"/>
    <w:rsid w:val="008E14C9"/>
    <w:rsid w:val="008E1584"/>
    <w:rsid w:val="008E1714"/>
    <w:rsid w:val="008E1A05"/>
    <w:rsid w:val="008E1A5F"/>
    <w:rsid w:val="008E2EFF"/>
    <w:rsid w:val="008E2F56"/>
    <w:rsid w:val="008E3B77"/>
    <w:rsid w:val="008E3C92"/>
    <w:rsid w:val="008E3CC9"/>
    <w:rsid w:val="008E3D24"/>
    <w:rsid w:val="008E4106"/>
    <w:rsid w:val="008E4978"/>
    <w:rsid w:val="008E4B5F"/>
    <w:rsid w:val="008E4BCA"/>
    <w:rsid w:val="008E4DF5"/>
    <w:rsid w:val="008E4E55"/>
    <w:rsid w:val="008E4F7E"/>
    <w:rsid w:val="008E6512"/>
    <w:rsid w:val="008E6956"/>
    <w:rsid w:val="008E70D9"/>
    <w:rsid w:val="008E7175"/>
    <w:rsid w:val="008E7525"/>
    <w:rsid w:val="008E7E66"/>
    <w:rsid w:val="008F02F8"/>
    <w:rsid w:val="008F0D99"/>
    <w:rsid w:val="008F15A1"/>
    <w:rsid w:val="008F1DDA"/>
    <w:rsid w:val="008F1F50"/>
    <w:rsid w:val="008F26B4"/>
    <w:rsid w:val="008F2B26"/>
    <w:rsid w:val="008F2B30"/>
    <w:rsid w:val="008F2C87"/>
    <w:rsid w:val="008F2C95"/>
    <w:rsid w:val="008F2E1D"/>
    <w:rsid w:val="008F2EF1"/>
    <w:rsid w:val="008F3169"/>
    <w:rsid w:val="008F350F"/>
    <w:rsid w:val="008F37F3"/>
    <w:rsid w:val="008F3B10"/>
    <w:rsid w:val="008F451B"/>
    <w:rsid w:val="008F4B57"/>
    <w:rsid w:val="008F4F41"/>
    <w:rsid w:val="008F50C1"/>
    <w:rsid w:val="008F52D8"/>
    <w:rsid w:val="008F58EA"/>
    <w:rsid w:val="008F6075"/>
    <w:rsid w:val="008F6115"/>
    <w:rsid w:val="008F6E4D"/>
    <w:rsid w:val="008F6F72"/>
    <w:rsid w:val="008F744E"/>
    <w:rsid w:val="008F74AB"/>
    <w:rsid w:val="008F7726"/>
    <w:rsid w:val="008F79B2"/>
    <w:rsid w:val="008F7DDE"/>
    <w:rsid w:val="008F7FD8"/>
    <w:rsid w:val="00900131"/>
    <w:rsid w:val="009002A7"/>
    <w:rsid w:val="009006D6"/>
    <w:rsid w:val="0090094F"/>
    <w:rsid w:val="00900C0C"/>
    <w:rsid w:val="00900E90"/>
    <w:rsid w:val="00900E9A"/>
    <w:rsid w:val="00901562"/>
    <w:rsid w:val="009016D5"/>
    <w:rsid w:val="009017A3"/>
    <w:rsid w:val="009022C6"/>
    <w:rsid w:val="009024DD"/>
    <w:rsid w:val="00902ABC"/>
    <w:rsid w:val="0090364F"/>
    <w:rsid w:val="009036D1"/>
    <w:rsid w:val="009039B0"/>
    <w:rsid w:val="009042E1"/>
    <w:rsid w:val="00904B40"/>
    <w:rsid w:val="00904B85"/>
    <w:rsid w:val="00904DF1"/>
    <w:rsid w:val="00905833"/>
    <w:rsid w:val="00906019"/>
    <w:rsid w:val="0090660F"/>
    <w:rsid w:val="0090667F"/>
    <w:rsid w:val="009067C6"/>
    <w:rsid w:val="00906DA2"/>
    <w:rsid w:val="009071FB"/>
    <w:rsid w:val="00907864"/>
    <w:rsid w:val="00907A00"/>
    <w:rsid w:val="00907F64"/>
    <w:rsid w:val="0091029D"/>
    <w:rsid w:val="009103BF"/>
    <w:rsid w:val="0091073A"/>
    <w:rsid w:val="00910879"/>
    <w:rsid w:val="00910CC2"/>
    <w:rsid w:val="00910E9B"/>
    <w:rsid w:val="00910EF4"/>
    <w:rsid w:val="00911B91"/>
    <w:rsid w:val="00912025"/>
    <w:rsid w:val="00912521"/>
    <w:rsid w:val="00912695"/>
    <w:rsid w:val="009128A3"/>
    <w:rsid w:val="009129F2"/>
    <w:rsid w:val="0091314E"/>
    <w:rsid w:val="00913EA4"/>
    <w:rsid w:val="00913F4E"/>
    <w:rsid w:val="009153F0"/>
    <w:rsid w:val="00915910"/>
    <w:rsid w:val="009160C5"/>
    <w:rsid w:val="0091646A"/>
    <w:rsid w:val="00917D4F"/>
    <w:rsid w:val="00920056"/>
    <w:rsid w:val="0092055C"/>
    <w:rsid w:val="009205A0"/>
    <w:rsid w:val="009207FE"/>
    <w:rsid w:val="00920D56"/>
    <w:rsid w:val="00921438"/>
    <w:rsid w:val="00922232"/>
    <w:rsid w:val="009223A8"/>
    <w:rsid w:val="00922885"/>
    <w:rsid w:val="00922905"/>
    <w:rsid w:val="00922DDC"/>
    <w:rsid w:val="009232A6"/>
    <w:rsid w:val="0092346E"/>
    <w:rsid w:val="0092351F"/>
    <w:rsid w:val="00923FF1"/>
    <w:rsid w:val="009249A3"/>
    <w:rsid w:val="00924B4B"/>
    <w:rsid w:val="00924C16"/>
    <w:rsid w:val="00924DA5"/>
    <w:rsid w:val="00924E7E"/>
    <w:rsid w:val="00925104"/>
    <w:rsid w:val="0092562A"/>
    <w:rsid w:val="009256E8"/>
    <w:rsid w:val="00926120"/>
    <w:rsid w:val="009264D2"/>
    <w:rsid w:val="00926980"/>
    <w:rsid w:val="00926A7F"/>
    <w:rsid w:val="00926B51"/>
    <w:rsid w:val="0092705D"/>
    <w:rsid w:val="009274EA"/>
    <w:rsid w:val="009276D2"/>
    <w:rsid w:val="00927EBF"/>
    <w:rsid w:val="00930BE0"/>
    <w:rsid w:val="00931B7E"/>
    <w:rsid w:val="00932124"/>
    <w:rsid w:val="00932457"/>
    <w:rsid w:val="00932545"/>
    <w:rsid w:val="00932715"/>
    <w:rsid w:val="0093292E"/>
    <w:rsid w:val="009337AC"/>
    <w:rsid w:val="0093393D"/>
    <w:rsid w:val="00933943"/>
    <w:rsid w:val="00933DB9"/>
    <w:rsid w:val="00934249"/>
    <w:rsid w:val="00934EA1"/>
    <w:rsid w:val="00934F00"/>
    <w:rsid w:val="009356DE"/>
    <w:rsid w:val="0093572F"/>
    <w:rsid w:val="00935A3E"/>
    <w:rsid w:val="00936145"/>
    <w:rsid w:val="00936AC0"/>
    <w:rsid w:val="00937048"/>
    <w:rsid w:val="009371A6"/>
    <w:rsid w:val="00937ADF"/>
    <w:rsid w:val="00937BCF"/>
    <w:rsid w:val="009409CC"/>
    <w:rsid w:val="009409E2"/>
    <w:rsid w:val="00940A90"/>
    <w:rsid w:val="0094135E"/>
    <w:rsid w:val="00941371"/>
    <w:rsid w:val="0094150D"/>
    <w:rsid w:val="00941561"/>
    <w:rsid w:val="00941B5E"/>
    <w:rsid w:val="00941C49"/>
    <w:rsid w:val="00942134"/>
    <w:rsid w:val="00942168"/>
    <w:rsid w:val="00942511"/>
    <w:rsid w:val="009425B4"/>
    <w:rsid w:val="0094289B"/>
    <w:rsid w:val="00942B7C"/>
    <w:rsid w:val="0094313E"/>
    <w:rsid w:val="009435EC"/>
    <w:rsid w:val="00943A8E"/>
    <w:rsid w:val="00943D1A"/>
    <w:rsid w:val="00943D76"/>
    <w:rsid w:val="00943E67"/>
    <w:rsid w:val="00944569"/>
    <w:rsid w:val="009445B6"/>
    <w:rsid w:val="00944611"/>
    <w:rsid w:val="009446B4"/>
    <w:rsid w:val="009449AB"/>
    <w:rsid w:val="00944A28"/>
    <w:rsid w:val="00944A94"/>
    <w:rsid w:val="00945BA5"/>
    <w:rsid w:val="00945CD2"/>
    <w:rsid w:val="00945D0B"/>
    <w:rsid w:val="00945D93"/>
    <w:rsid w:val="00945EB7"/>
    <w:rsid w:val="00946416"/>
    <w:rsid w:val="0094658C"/>
    <w:rsid w:val="0094698A"/>
    <w:rsid w:val="00946D46"/>
    <w:rsid w:val="00946EAA"/>
    <w:rsid w:val="00946F48"/>
    <w:rsid w:val="00947188"/>
    <w:rsid w:val="00947363"/>
    <w:rsid w:val="009476D2"/>
    <w:rsid w:val="0094798C"/>
    <w:rsid w:val="0095024D"/>
    <w:rsid w:val="00950442"/>
    <w:rsid w:val="009507FC"/>
    <w:rsid w:val="00950925"/>
    <w:rsid w:val="00951D00"/>
    <w:rsid w:val="00952061"/>
    <w:rsid w:val="009522BA"/>
    <w:rsid w:val="009522D0"/>
    <w:rsid w:val="0095276B"/>
    <w:rsid w:val="00952B4B"/>
    <w:rsid w:val="00952E11"/>
    <w:rsid w:val="009532CB"/>
    <w:rsid w:val="00953333"/>
    <w:rsid w:val="00953555"/>
    <w:rsid w:val="0095361C"/>
    <w:rsid w:val="00953A35"/>
    <w:rsid w:val="00953FEF"/>
    <w:rsid w:val="00954980"/>
    <w:rsid w:val="00954A17"/>
    <w:rsid w:val="00954D26"/>
    <w:rsid w:val="00954E5C"/>
    <w:rsid w:val="00955003"/>
    <w:rsid w:val="00955212"/>
    <w:rsid w:val="00955D69"/>
    <w:rsid w:val="00956500"/>
    <w:rsid w:val="00956965"/>
    <w:rsid w:val="009569CB"/>
    <w:rsid w:val="0095746D"/>
    <w:rsid w:val="009574BD"/>
    <w:rsid w:val="00957842"/>
    <w:rsid w:val="009578A3"/>
    <w:rsid w:val="00957A44"/>
    <w:rsid w:val="00957ABD"/>
    <w:rsid w:val="00957E54"/>
    <w:rsid w:val="00957E5D"/>
    <w:rsid w:val="00960351"/>
    <w:rsid w:val="00960535"/>
    <w:rsid w:val="0096073A"/>
    <w:rsid w:val="00961653"/>
    <w:rsid w:val="009619A9"/>
    <w:rsid w:val="00961D8C"/>
    <w:rsid w:val="00961EB2"/>
    <w:rsid w:val="009620C5"/>
    <w:rsid w:val="0096269C"/>
    <w:rsid w:val="00962A5A"/>
    <w:rsid w:val="0096446E"/>
    <w:rsid w:val="00964840"/>
    <w:rsid w:val="00964BBF"/>
    <w:rsid w:val="009650D2"/>
    <w:rsid w:val="009650F3"/>
    <w:rsid w:val="00965136"/>
    <w:rsid w:val="0096530D"/>
    <w:rsid w:val="00965DE7"/>
    <w:rsid w:val="00965F68"/>
    <w:rsid w:val="0096602B"/>
    <w:rsid w:val="0096626F"/>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17D"/>
    <w:rsid w:val="0097248E"/>
    <w:rsid w:val="00972858"/>
    <w:rsid w:val="009732D2"/>
    <w:rsid w:val="009737F6"/>
    <w:rsid w:val="00973889"/>
    <w:rsid w:val="00973919"/>
    <w:rsid w:val="00973969"/>
    <w:rsid w:val="00973CF1"/>
    <w:rsid w:val="00973D59"/>
    <w:rsid w:val="00973EB7"/>
    <w:rsid w:val="00974721"/>
    <w:rsid w:val="00974777"/>
    <w:rsid w:val="009754DB"/>
    <w:rsid w:val="00975871"/>
    <w:rsid w:val="0097651A"/>
    <w:rsid w:val="00976609"/>
    <w:rsid w:val="009766B5"/>
    <w:rsid w:val="00976FB8"/>
    <w:rsid w:val="0097730F"/>
    <w:rsid w:val="009773C9"/>
    <w:rsid w:val="00977AB7"/>
    <w:rsid w:val="00977E78"/>
    <w:rsid w:val="00977F6D"/>
    <w:rsid w:val="009801CE"/>
    <w:rsid w:val="00980559"/>
    <w:rsid w:val="009808C3"/>
    <w:rsid w:val="00980B31"/>
    <w:rsid w:val="00980B72"/>
    <w:rsid w:val="00981999"/>
    <w:rsid w:val="00981A74"/>
    <w:rsid w:val="00981CB3"/>
    <w:rsid w:val="00982468"/>
    <w:rsid w:val="0098249D"/>
    <w:rsid w:val="00983248"/>
    <w:rsid w:val="009832DC"/>
    <w:rsid w:val="00983740"/>
    <w:rsid w:val="009839D9"/>
    <w:rsid w:val="00983A78"/>
    <w:rsid w:val="009840C0"/>
    <w:rsid w:val="00984322"/>
    <w:rsid w:val="00984372"/>
    <w:rsid w:val="00984674"/>
    <w:rsid w:val="009848DE"/>
    <w:rsid w:val="009849DD"/>
    <w:rsid w:val="0098579B"/>
    <w:rsid w:val="00985DB8"/>
    <w:rsid w:val="00986098"/>
    <w:rsid w:val="00986268"/>
    <w:rsid w:val="009863DD"/>
    <w:rsid w:val="0098650A"/>
    <w:rsid w:val="00986BE0"/>
    <w:rsid w:val="00987743"/>
    <w:rsid w:val="00990072"/>
    <w:rsid w:val="00990925"/>
    <w:rsid w:val="00990BE3"/>
    <w:rsid w:val="00990D01"/>
    <w:rsid w:val="00990EE2"/>
    <w:rsid w:val="00991C1B"/>
    <w:rsid w:val="009921C7"/>
    <w:rsid w:val="009921E9"/>
    <w:rsid w:val="0099276A"/>
    <w:rsid w:val="00992967"/>
    <w:rsid w:val="00992C1A"/>
    <w:rsid w:val="00993D33"/>
    <w:rsid w:val="00993E4A"/>
    <w:rsid w:val="00993E8E"/>
    <w:rsid w:val="00993EF6"/>
    <w:rsid w:val="0099409A"/>
    <w:rsid w:val="0099499B"/>
    <w:rsid w:val="00994A7A"/>
    <w:rsid w:val="00994AEB"/>
    <w:rsid w:val="00994B23"/>
    <w:rsid w:val="00994C19"/>
    <w:rsid w:val="00994E74"/>
    <w:rsid w:val="00995072"/>
    <w:rsid w:val="0099539D"/>
    <w:rsid w:val="009953CD"/>
    <w:rsid w:val="009966AB"/>
    <w:rsid w:val="00996DF9"/>
    <w:rsid w:val="009978B7"/>
    <w:rsid w:val="009979D5"/>
    <w:rsid w:val="009A04D2"/>
    <w:rsid w:val="009A05CB"/>
    <w:rsid w:val="009A05D1"/>
    <w:rsid w:val="009A0741"/>
    <w:rsid w:val="009A083C"/>
    <w:rsid w:val="009A0998"/>
    <w:rsid w:val="009A144F"/>
    <w:rsid w:val="009A1F4F"/>
    <w:rsid w:val="009A2396"/>
    <w:rsid w:val="009A2C7E"/>
    <w:rsid w:val="009A2DA7"/>
    <w:rsid w:val="009A32B5"/>
    <w:rsid w:val="009A331D"/>
    <w:rsid w:val="009A370B"/>
    <w:rsid w:val="009A3D30"/>
    <w:rsid w:val="009A3D84"/>
    <w:rsid w:val="009A413A"/>
    <w:rsid w:val="009A4159"/>
    <w:rsid w:val="009A43C7"/>
    <w:rsid w:val="009A4449"/>
    <w:rsid w:val="009A46E0"/>
    <w:rsid w:val="009A4954"/>
    <w:rsid w:val="009A4B34"/>
    <w:rsid w:val="009A4E9C"/>
    <w:rsid w:val="009A5167"/>
    <w:rsid w:val="009A51CB"/>
    <w:rsid w:val="009A5206"/>
    <w:rsid w:val="009A5287"/>
    <w:rsid w:val="009A52F5"/>
    <w:rsid w:val="009A5A0E"/>
    <w:rsid w:val="009A5B03"/>
    <w:rsid w:val="009A65F6"/>
    <w:rsid w:val="009A6677"/>
    <w:rsid w:val="009A670D"/>
    <w:rsid w:val="009A6D41"/>
    <w:rsid w:val="009A6F0F"/>
    <w:rsid w:val="009A757C"/>
    <w:rsid w:val="009A76A0"/>
    <w:rsid w:val="009A7701"/>
    <w:rsid w:val="009A780F"/>
    <w:rsid w:val="009A78D4"/>
    <w:rsid w:val="009A7DBC"/>
    <w:rsid w:val="009A7E24"/>
    <w:rsid w:val="009A7F50"/>
    <w:rsid w:val="009A7F95"/>
    <w:rsid w:val="009B0FBD"/>
    <w:rsid w:val="009B1066"/>
    <w:rsid w:val="009B1397"/>
    <w:rsid w:val="009B13BD"/>
    <w:rsid w:val="009B1430"/>
    <w:rsid w:val="009B1B24"/>
    <w:rsid w:val="009B1C6B"/>
    <w:rsid w:val="009B1D71"/>
    <w:rsid w:val="009B2046"/>
    <w:rsid w:val="009B225A"/>
    <w:rsid w:val="009B235C"/>
    <w:rsid w:val="009B25D0"/>
    <w:rsid w:val="009B264D"/>
    <w:rsid w:val="009B3050"/>
    <w:rsid w:val="009B3170"/>
    <w:rsid w:val="009B3540"/>
    <w:rsid w:val="009B370E"/>
    <w:rsid w:val="009B396F"/>
    <w:rsid w:val="009B39DF"/>
    <w:rsid w:val="009B3B6E"/>
    <w:rsid w:val="009B3C6F"/>
    <w:rsid w:val="009B3E22"/>
    <w:rsid w:val="009B4267"/>
    <w:rsid w:val="009B43B2"/>
    <w:rsid w:val="009B44AB"/>
    <w:rsid w:val="009B4BF9"/>
    <w:rsid w:val="009B4C39"/>
    <w:rsid w:val="009B53BE"/>
    <w:rsid w:val="009B6AD3"/>
    <w:rsid w:val="009B6C35"/>
    <w:rsid w:val="009B71CC"/>
    <w:rsid w:val="009B789F"/>
    <w:rsid w:val="009C00D2"/>
    <w:rsid w:val="009C016A"/>
    <w:rsid w:val="009C01E9"/>
    <w:rsid w:val="009C0365"/>
    <w:rsid w:val="009C058E"/>
    <w:rsid w:val="009C09EA"/>
    <w:rsid w:val="009C0B48"/>
    <w:rsid w:val="009C1135"/>
    <w:rsid w:val="009C2352"/>
    <w:rsid w:val="009C27D3"/>
    <w:rsid w:val="009C2C17"/>
    <w:rsid w:val="009C2EED"/>
    <w:rsid w:val="009C3064"/>
    <w:rsid w:val="009C3184"/>
    <w:rsid w:val="009C33A3"/>
    <w:rsid w:val="009C46F8"/>
    <w:rsid w:val="009C4885"/>
    <w:rsid w:val="009C4981"/>
    <w:rsid w:val="009C5CD5"/>
    <w:rsid w:val="009C5D3E"/>
    <w:rsid w:val="009C5E45"/>
    <w:rsid w:val="009C64B0"/>
    <w:rsid w:val="009C6B5A"/>
    <w:rsid w:val="009C6BA6"/>
    <w:rsid w:val="009C6C10"/>
    <w:rsid w:val="009C76BC"/>
    <w:rsid w:val="009C7817"/>
    <w:rsid w:val="009C7877"/>
    <w:rsid w:val="009C795A"/>
    <w:rsid w:val="009C79FA"/>
    <w:rsid w:val="009C7BCF"/>
    <w:rsid w:val="009C7BFA"/>
    <w:rsid w:val="009C7E16"/>
    <w:rsid w:val="009D01DD"/>
    <w:rsid w:val="009D0AC6"/>
    <w:rsid w:val="009D0ED7"/>
    <w:rsid w:val="009D0F02"/>
    <w:rsid w:val="009D11B3"/>
    <w:rsid w:val="009D11DB"/>
    <w:rsid w:val="009D12D5"/>
    <w:rsid w:val="009D1483"/>
    <w:rsid w:val="009D16FC"/>
    <w:rsid w:val="009D1828"/>
    <w:rsid w:val="009D1BC9"/>
    <w:rsid w:val="009D1D76"/>
    <w:rsid w:val="009D21FE"/>
    <w:rsid w:val="009D246B"/>
    <w:rsid w:val="009D2787"/>
    <w:rsid w:val="009D2B29"/>
    <w:rsid w:val="009D3777"/>
    <w:rsid w:val="009D4706"/>
    <w:rsid w:val="009D477B"/>
    <w:rsid w:val="009D5092"/>
    <w:rsid w:val="009D59FA"/>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4CAF"/>
    <w:rsid w:val="009E51E9"/>
    <w:rsid w:val="009E52B3"/>
    <w:rsid w:val="009E537A"/>
    <w:rsid w:val="009E560A"/>
    <w:rsid w:val="009E57A9"/>
    <w:rsid w:val="009E5920"/>
    <w:rsid w:val="009E606F"/>
    <w:rsid w:val="009E6553"/>
    <w:rsid w:val="009E6F06"/>
    <w:rsid w:val="009E7348"/>
    <w:rsid w:val="009E765D"/>
    <w:rsid w:val="009E783F"/>
    <w:rsid w:val="009E7A4A"/>
    <w:rsid w:val="009F090D"/>
    <w:rsid w:val="009F0C6B"/>
    <w:rsid w:val="009F139F"/>
    <w:rsid w:val="009F176C"/>
    <w:rsid w:val="009F190F"/>
    <w:rsid w:val="009F1EB3"/>
    <w:rsid w:val="009F2537"/>
    <w:rsid w:val="009F28C7"/>
    <w:rsid w:val="009F2A82"/>
    <w:rsid w:val="009F2AAD"/>
    <w:rsid w:val="009F2DAD"/>
    <w:rsid w:val="009F30E6"/>
    <w:rsid w:val="009F3862"/>
    <w:rsid w:val="009F387A"/>
    <w:rsid w:val="009F3897"/>
    <w:rsid w:val="009F42BE"/>
    <w:rsid w:val="009F4E01"/>
    <w:rsid w:val="009F517A"/>
    <w:rsid w:val="009F5D9E"/>
    <w:rsid w:val="009F5E66"/>
    <w:rsid w:val="009F5FBA"/>
    <w:rsid w:val="009F6066"/>
    <w:rsid w:val="009F60EB"/>
    <w:rsid w:val="009F6867"/>
    <w:rsid w:val="009F6927"/>
    <w:rsid w:val="009F6AA5"/>
    <w:rsid w:val="009F72DA"/>
    <w:rsid w:val="009F7905"/>
    <w:rsid w:val="009F7A8D"/>
    <w:rsid w:val="009F7F58"/>
    <w:rsid w:val="00A00509"/>
    <w:rsid w:val="00A007A2"/>
    <w:rsid w:val="00A00C65"/>
    <w:rsid w:val="00A010A7"/>
    <w:rsid w:val="00A01488"/>
    <w:rsid w:val="00A016AF"/>
    <w:rsid w:val="00A02026"/>
    <w:rsid w:val="00A02637"/>
    <w:rsid w:val="00A029F4"/>
    <w:rsid w:val="00A037E2"/>
    <w:rsid w:val="00A04132"/>
    <w:rsid w:val="00A042F2"/>
    <w:rsid w:val="00A059B5"/>
    <w:rsid w:val="00A05B0B"/>
    <w:rsid w:val="00A06056"/>
    <w:rsid w:val="00A0688C"/>
    <w:rsid w:val="00A07CED"/>
    <w:rsid w:val="00A10499"/>
    <w:rsid w:val="00A1198A"/>
    <w:rsid w:val="00A120F3"/>
    <w:rsid w:val="00A12E40"/>
    <w:rsid w:val="00A13285"/>
    <w:rsid w:val="00A136DC"/>
    <w:rsid w:val="00A13BA1"/>
    <w:rsid w:val="00A13FF0"/>
    <w:rsid w:val="00A14346"/>
    <w:rsid w:val="00A1473C"/>
    <w:rsid w:val="00A14905"/>
    <w:rsid w:val="00A1566C"/>
    <w:rsid w:val="00A1573D"/>
    <w:rsid w:val="00A1582B"/>
    <w:rsid w:val="00A158C6"/>
    <w:rsid w:val="00A158EC"/>
    <w:rsid w:val="00A158FD"/>
    <w:rsid w:val="00A1606D"/>
    <w:rsid w:val="00A160DD"/>
    <w:rsid w:val="00A163C2"/>
    <w:rsid w:val="00A163FA"/>
    <w:rsid w:val="00A17372"/>
    <w:rsid w:val="00A17675"/>
    <w:rsid w:val="00A1773F"/>
    <w:rsid w:val="00A177E9"/>
    <w:rsid w:val="00A2017C"/>
    <w:rsid w:val="00A20440"/>
    <w:rsid w:val="00A20824"/>
    <w:rsid w:val="00A20A17"/>
    <w:rsid w:val="00A20D7A"/>
    <w:rsid w:val="00A20E5F"/>
    <w:rsid w:val="00A2135C"/>
    <w:rsid w:val="00A215CB"/>
    <w:rsid w:val="00A21D35"/>
    <w:rsid w:val="00A2226B"/>
    <w:rsid w:val="00A224A9"/>
    <w:rsid w:val="00A22750"/>
    <w:rsid w:val="00A228C8"/>
    <w:rsid w:val="00A22B60"/>
    <w:rsid w:val="00A22D86"/>
    <w:rsid w:val="00A22E78"/>
    <w:rsid w:val="00A23117"/>
    <w:rsid w:val="00A235AA"/>
    <w:rsid w:val="00A237D9"/>
    <w:rsid w:val="00A2384D"/>
    <w:rsid w:val="00A23A5B"/>
    <w:rsid w:val="00A23A80"/>
    <w:rsid w:val="00A246B1"/>
    <w:rsid w:val="00A24E06"/>
    <w:rsid w:val="00A253AD"/>
    <w:rsid w:val="00A255D7"/>
    <w:rsid w:val="00A2568B"/>
    <w:rsid w:val="00A25D7C"/>
    <w:rsid w:val="00A25F87"/>
    <w:rsid w:val="00A26001"/>
    <w:rsid w:val="00A26057"/>
    <w:rsid w:val="00A26235"/>
    <w:rsid w:val="00A26329"/>
    <w:rsid w:val="00A26585"/>
    <w:rsid w:val="00A27277"/>
    <w:rsid w:val="00A272A7"/>
    <w:rsid w:val="00A279CE"/>
    <w:rsid w:val="00A27C15"/>
    <w:rsid w:val="00A27CE9"/>
    <w:rsid w:val="00A27E94"/>
    <w:rsid w:val="00A30342"/>
    <w:rsid w:val="00A30443"/>
    <w:rsid w:val="00A30C5B"/>
    <w:rsid w:val="00A30EE8"/>
    <w:rsid w:val="00A31748"/>
    <w:rsid w:val="00A317EF"/>
    <w:rsid w:val="00A31CDD"/>
    <w:rsid w:val="00A31D90"/>
    <w:rsid w:val="00A321CA"/>
    <w:rsid w:val="00A32329"/>
    <w:rsid w:val="00A323A8"/>
    <w:rsid w:val="00A32440"/>
    <w:rsid w:val="00A3273D"/>
    <w:rsid w:val="00A32C09"/>
    <w:rsid w:val="00A33520"/>
    <w:rsid w:val="00A337AC"/>
    <w:rsid w:val="00A33A61"/>
    <w:rsid w:val="00A33C2C"/>
    <w:rsid w:val="00A35309"/>
    <w:rsid w:val="00A355CA"/>
    <w:rsid w:val="00A356B2"/>
    <w:rsid w:val="00A357C2"/>
    <w:rsid w:val="00A35D0A"/>
    <w:rsid w:val="00A3606E"/>
    <w:rsid w:val="00A368AC"/>
    <w:rsid w:val="00A36C1B"/>
    <w:rsid w:val="00A36FF3"/>
    <w:rsid w:val="00A3753E"/>
    <w:rsid w:val="00A37AE0"/>
    <w:rsid w:val="00A37E75"/>
    <w:rsid w:val="00A37E82"/>
    <w:rsid w:val="00A40068"/>
    <w:rsid w:val="00A40903"/>
    <w:rsid w:val="00A40A2D"/>
    <w:rsid w:val="00A40B61"/>
    <w:rsid w:val="00A40F3F"/>
    <w:rsid w:val="00A4121C"/>
    <w:rsid w:val="00A41381"/>
    <w:rsid w:val="00A414BF"/>
    <w:rsid w:val="00A41DC0"/>
    <w:rsid w:val="00A41DEB"/>
    <w:rsid w:val="00A42085"/>
    <w:rsid w:val="00A4217E"/>
    <w:rsid w:val="00A421BF"/>
    <w:rsid w:val="00A42570"/>
    <w:rsid w:val="00A42977"/>
    <w:rsid w:val="00A42A19"/>
    <w:rsid w:val="00A42B29"/>
    <w:rsid w:val="00A42FD1"/>
    <w:rsid w:val="00A4386C"/>
    <w:rsid w:val="00A43997"/>
    <w:rsid w:val="00A43CD7"/>
    <w:rsid w:val="00A43D2A"/>
    <w:rsid w:val="00A43D59"/>
    <w:rsid w:val="00A43DF2"/>
    <w:rsid w:val="00A44393"/>
    <w:rsid w:val="00A443A8"/>
    <w:rsid w:val="00A443D0"/>
    <w:rsid w:val="00A444A3"/>
    <w:rsid w:val="00A449A1"/>
    <w:rsid w:val="00A44CBD"/>
    <w:rsid w:val="00A451A2"/>
    <w:rsid w:val="00A455D9"/>
    <w:rsid w:val="00A455E4"/>
    <w:rsid w:val="00A45760"/>
    <w:rsid w:val="00A457D1"/>
    <w:rsid w:val="00A45F52"/>
    <w:rsid w:val="00A46AD1"/>
    <w:rsid w:val="00A46F48"/>
    <w:rsid w:val="00A46F6D"/>
    <w:rsid w:val="00A46FFA"/>
    <w:rsid w:val="00A474F5"/>
    <w:rsid w:val="00A475EE"/>
    <w:rsid w:val="00A478CC"/>
    <w:rsid w:val="00A47B05"/>
    <w:rsid w:val="00A50AF4"/>
    <w:rsid w:val="00A50FA7"/>
    <w:rsid w:val="00A51014"/>
    <w:rsid w:val="00A51378"/>
    <w:rsid w:val="00A51573"/>
    <w:rsid w:val="00A516B8"/>
    <w:rsid w:val="00A517DF"/>
    <w:rsid w:val="00A51A13"/>
    <w:rsid w:val="00A51DA8"/>
    <w:rsid w:val="00A51E51"/>
    <w:rsid w:val="00A51ECF"/>
    <w:rsid w:val="00A52913"/>
    <w:rsid w:val="00A53116"/>
    <w:rsid w:val="00A53210"/>
    <w:rsid w:val="00A536AF"/>
    <w:rsid w:val="00A5387C"/>
    <w:rsid w:val="00A53C06"/>
    <w:rsid w:val="00A545EE"/>
    <w:rsid w:val="00A547B3"/>
    <w:rsid w:val="00A54DE0"/>
    <w:rsid w:val="00A5557F"/>
    <w:rsid w:val="00A55AF8"/>
    <w:rsid w:val="00A56FFD"/>
    <w:rsid w:val="00A60698"/>
    <w:rsid w:val="00A608E7"/>
    <w:rsid w:val="00A60E0B"/>
    <w:rsid w:val="00A60E14"/>
    <w:rsid w:val="00A60E4A"/>
    <w:rsid w:val="00A61A2B"/>
    <w:rsid w:val="00A61C90"/>
    <w:rsid w:val="00A61CB3"/>
    <w:rsid w:val="00A6211F"/>
    <w:rsid w:val="00A62658"/>
    <w:rsid w:val="00A62989"/>
    <w:rsid w:val="00A62EED"/>
    <w:rsid w:val="00A62EF9"/>
    <w:rsid w:val="00A62F23"/>
    <w:rsid w:val="00A63094"/>
    <w:rsid w:val="00A6309D"/>
    <w:rsid w:val="00A639E3"/>
    <w:rsid w:val="00A6462D"/>
    <w:rsid w:val="00A6474D"/>
    <w:rsid w:val="00A647E4"/>
    <w:rsid w:val="00A648A0"/>
    <w:rsid w:val="00A6545D"/>
    <w:rsid w:val="00A6554F"/>
    <w:rsid w:val="00A65B67"/>
    <w:rsid w:val="00A65C5B"/>
    <w:rsid w:val="00A66B74"/>
    <w:rsid w:val="00A677D1"/>
    <w:rsid w:val="00A67882"/>
    <w:rsid w:val="00A67A2C"/>
    <w:rsid w:val="00A67D44"/>
    <w:rsid w:val="00A7015B"/>
    <w:rsid w:val="00A703D8"/>
    <w:rsid w:val="00A705C4"/>
    <w:rsid w:val="00A70AE6"/>
    <w:rsid w:val="00A70F76"/>
    <w:rsid w:val="00A7116B"/>
    <w:rsid w:val="00A7176B"/>
    <w:rsid w:val="00A71816"/>
    <w:rsid w:val="00A71D1D"/>
    <w:rsid w:val="00A7218E"/>
    <w:rsid w:val="00A7232D"/>
    <w:rsid w:val="00A7257B"/>
    <w:rsid w:val="00A72699"/>
    <w:rsid w:val="00A729FC"/>
    <w:rsid w:val="00A72A59"/>
    <w:rsid w:val="00A735CF"/>
    <w:rsid w:val="00A73A1B"/>
    <w:rsid w:val="00A73B32"/>
    <w:rsid w:val="00A73D14"/>
    <w:rsid w:val="00A73F3F"/>
    <w:rsid w:val="00A73F7E"/>
    <w:rsid w:val="00A73F80"/>
    <w:rsid w:val="00A74A6F"/>
    <w:rsid w:val="00A7514B"/>
    <w:rsid w:val="00A754E7"/>
    <w:rsid w:val="00A75703"/>
    <w:rsid w:val="00A7585A"/>
    <w:rsid w:val="00A7595C"/>
    <w:rsid w:val="00A75E13"/>
    <w:rsid w:val="00A7647C"/>
    <w:rsid w:val="00A76776"/>
    <w:rsid w:val="00A769E9"/>
    <w:rsid w:val="00A76B01"/>
    <w:rsid w:val="00A76D09"/>
    <w:rsid w:val="00A770F0"/>
    <w:rsid w:val="00A7714E"/>
    <w:rsid w:val="00A77FC6"/>
    <w:rsid w:val="00A80CC6"/>
    <w:rsid w:val="00A80FCD"/>
    <w:rsid w:val="00A81609"/>
    <w:rsid w:val="00A817E5"/>
    <w:rsid w:val="00A82130"/>
    <w:rsid w:val="00A82200"/>
    <w:rsid w:val="00A82495"/>
    <w:rsid w:val="00A82567"/>
    <w:rsid w:val="00A826AE"/>
    <w:rsid w:val="00A82C98"/>
    <w:rsid w:val="00A82DC0"/>
    <w:rsid w:val="00A82EF3"/>
    <w:rsid w:val="00A8313C"/>
    <w:rsid w:val="00A84170"/>
    <w:rsid w:val="00A84C38"/>
    <w:rsid w:val="00A84FD0"/>
    <w:rsid w:val="00A85731"/>
    <w:rsid w:val="00A85E99"/>
    <w:rsid w:val="00A864DB"/>
    <w:rsid w:val="00A86607"/>
    <w:rsid w:val="00A8679F"/>
    <w:rsid w:val="00A86F0E"/>
    <w:rsid w:val="00A871F9"/>
    <w:rsid w:val="00A878F9"/>
    <w:rsid w:val="00A87D1B"/>
    <w:rsid w:val="00A90568"/>
    <w:rsid w:val="00A916B3"/>
    <w:rsid w:val="00A91763"/>
    <w:rsid w:val="00A9194C"/>
    <w:rsid w:val="00A91D05"/>
    <w:rsid w:val="00A91E2D"/>
    <w:rsid w:val="00A91EEF"/>
    <w:rsid w:val="00A9251D"/>
    <w:rsid w:val="00A92B0B"/>
    <w:rsid w:val="00A93280"/>
    <w:rsid w:val="00A934FE"/>
    <w:rsid w:val="00A935BE"/>
    <w:rsid w:val="00A93766"/>
    <w:rsid w:val="00A94064"/>
    <w:rsid w:val="00A942CA"/>
    <w:rsid w:val="00A94789"/>
    <w:rsid w:val="00A947CB"/>
    <w:rsid w:val="00A94BD2"/>
    <w:rsid w:val="00A9596E"/>
    <w:rsid w:val="00A95AC1"/>
    <w:rsid w:val="00A95EFD"/>
    <w:rsid w:val="00A95F86"/>
    <w:rsid w:val="00A96223"/>
    <w:rsid w:val="00A96357"/>
    <w:rsid w:val="00A9679B"/>
    <w:rsid w:val="00A96887"/>
    <w:rsid w:val="00A96CD2"/>
    <w:rsid w:val="00A978FE"/>
    <w:rsid w:val="00A97EF3"/>
    <w:rsid w:val="00AA0075"/>
    <w:rsid w:val="00AA0336"/>
    <w:rsid w:val="00AA057F"/>
    <w:rsid w:val="00AA0D5A"/>
    <w:rsid w:val="00AA0EF4"/>
    <w:rsid w:val="00AA10C7"/>
    <w:rsid w:val="00AA128B"/>
    <w:rsid w:val="00AA1AAD"/>
    <w:rsid w:val="00AA1AC1"/>
    <w:rsid w:val="00AA1F6F"/>
    <w:rsid w:val="00AA2106"/>
    <w:rsid w:val="00AA23A8"/>
    <w:rsid w:val="00AA252D"/>
    <w:rsid w:val="00AA2855"/>
    <w:rsid w:val="00AA2A9E"/>
    <w:rsid w:val="00AA2FB1"/>
    <w:rsid w:val="00AA318A"/>
    <w:rsid w:val="00AA34DE"/>
    <w:rsid w:val="00AA3868"/>
    <w:rsid w:val="00AA3A3D"/>
    <w:rsid w:val="00AA3AD1"/>
    <w:rsid w:val="00AA3C73"/>
    <w:rsid w:val="00AA4724"/>
    <w:rsid w:val="00AA55DE"/>
    <w:rsid w:val="00AA60F4"/>
    <w:rsid w:val="00AA670E"/>
    <w:rsid w:val="00AA676A"/>
    <w:rsid w:val="00AA69BA"/>
    <w:rsid w:val="00AA69E3"/>
    <w:rsid w:val="00AA6F30"/>
    <w:rsid w:val="00AA7BCB"/>
    <w:rsid w:val="00AA7DC2"/>
    <w:rsid w:val="00AB0123"/>
    <w:rsid w:val="00AB08D7"/>
    <w:rsid w:val="00AB1553"/>
    <w:rsid w:val="00AB2548"/>
    <w:rsid w:val="00AB2A52"/>
    <w:rsid w:val="00AB2C9C"/>
    <w:rsid w:val="00AB2EA4"/>
    <w:rsid w:val="00AB36A1"/>
    <w:rsid w:val="00AB3A45"/>
    <w:rsid w:val="00AB3AC7"/>
    <w:rsid w:val="00AB40B1"/>
    <w:rsid w:val="00AB4111"/>
    <w:rsid w:val="00AB46D0"/>
    <w:rsid w:val="00AB471E"/>
    <w:rsid w:val="00AB4D60"/>
    <w:rsid w:val="00AB51C9"/>
    <w:rsid w:val="00AB69CE"/>
    <w:rsid w:val="00AB6BBD"/>
    <w:rsid w:val="00AB70FC"/>
    <w:rsid w:val="00AB73FF"/>
    <w:rsid w:val="00AB77A7"/>
    <w:rsid w:val="00AB7D1B"/>
    <w:rsid w:val="00AB7D3D"/>
    <w:rsid w:val="00AC001C"/>
    <w:rsid w:val="00AC02FA"/>
    <w:rsid w:val="00AC0F76"/>
    <w:rsid w:val="00AC133E"/>
    <w:rsid w:val="00AC1415"/>
    <w:rsid w:val="00AC1C83"/>
    <w:rsid w:val="00AC1CC5"/>
    <w:rsid w:val="00AC1DB1"/>
    <w:rsid w:val="00AC2338"/>
    <w:rsid w:val="00AC277F"/>
    <w:rsid w:val="00AC2994"/>
    <w:rsid w:val="00AC2F85"/>
    <w:rsid w:val="00AC3B49"/>
    <w:rsid w:val="00AC3FA1"/>
    <w:rsid w:val="00AC4139"/>
    <w:rsid w:val="00AC44A4"/>
    <w:rsid w:val="00AC4855"/>
    <w:rsid w:val="00AC4F24"/>
    <w:rsid w:val="00AC53F0"/>
    <w:rsid w:val="00AC5D35"/>
    <w:rsid w:val="00AC6668"/>
    <w:rsid w:val="00AC6A9B"/>
    <w:rsid w:val="00AC6AB8"/>
    <w:rsid w:val="00AC6ED0"/>
    <w:rsid w:val="00AC722A"/>
    <w:rsid w:val="00AC7831"/>
    <w:rsid w:val="00AC79FC"/>
    <w:rsid w:val="00AD0075"/>
    <w:rsid w:val="00AD03B8"/>
    <w:rsid w:val="00AD04E2"/>
    <w:rsid w:val="00AD06D9"/>
    <w:rsid w:val="00AD0831"/>
    <w:rsid w:val="00AD1047"/>
    <w:rsid w:val="00AD1784"/>
    <w:rsid w:val="00AD1B5F"/>
    <w:rsid w:val="00AD1F6A"/>
    <w:rsid w:val="00AD1FD7"/>
    <w:rsid w:val="00AD2676"/>
    <w:rsid w:val="00AD28F7"/>
    <w:rsid w:val="00AD29A7"/>
    <w:rsid w:val="00AD29DC"/>
    <w:rsid w:val="00AD2CD6"/>
    <w:rsid w:val="00AD2D7F"/>
    <w:rsid w:val="00AD3168"/>
    <w:rsid w:val="00AD39AB"/>
    <w:rsid w:val="00AD3A94"/>
    <w:rsid w:val="00AD3CD9"/>
    <w:rsid w:val="00AD4311"/>
    <w:rsid w:val="00AD480A"/>
    <w:rsid w:val="00AD4B66"/>
    <w:rsid w:val="00AD5316"/>
    <w:rsid w:val="00AD5576"/>
    <w:rsid w:val="00AD56F5"/>
    <w:rsid w:val="00AD57A8"/>
    <w:rsid w:val="00AD5953"/>
    <w:rsid w:val="00AD5CC6"/>
    <w:rsid w:val="00AD5CEB"/>
    <w:rsid w:val="00AD5DE9"/>
    <w:rsid w:val="00AD5F11"/>
    <w:rsid w:val="00AD7026"/>
    <w:rsid w:val="00AD7182"/>
    <w:rsid w:val="00AD7B8D"/>
    <w:rsid w:val="00AE0775"/>
    <w:rsid w:val="00AE0EB6"/>
    <w:rsid w:val="00AE1158"/>
    <w:rsid w:val="00AE11D3"/>
    <w:rsid w:val="00AE11DB"/>
    <w:rsid w:val="00AE11FA"/>
    <w:rsid w:val="00AE1262"/>
    <w:rsid w:val="00AE1314"/>
    <w:rsid w:val="00AE13E7"/>
    <w:rsid w:val="00AE14B1"/>
    <w:rsid w:val="00AE1518"/>
    <w:rsid w:val="00AE162C"/>
    <w:rsid w:val="00AE16DB"/>
    <w:rsid w:val="00AE1838"/>
    <w:rsid w:val="00AE1CD3"/>
    <w:rsid w:val="00AE1DAD"/>
    <w:rsid w:val="00AE1EA0"/>
    <w:rsid w:val="00AE234D"/>
    <w:rsid w:val="00AE2EEE"/>
    <w:rsid w:val="00AE324B"/>
    <w:rsid w:val="00AE3D93"/>
    <w:rsid w:val="00AE4ABE"/>
    <w:rsid w:val="00AE4D23"/>
    <w:rsid w:val="00AE5749"/>
    <w:rsid w:val="00AE599C"/>
    <w:rsid w:val="00AE5A3F"/>
    <w:rsid w:val="00AE5BE7"/>
    <w:rsid w:val="00AE5FD3"/>
    <w:rsid w:val="00AE6127"/>
    <w:rsid w:val="00AE64AC"/>
    <w:rsid w:val="00AE6B33"/>
    <w:rsid w:val="00AE6FD4"/>
    <w:rsid w:val="00AE6FDF"/>
    <w:rsid w:val="00AE70ED"/>
    <w:rsid w:val="00AE74DF"/>
    <w:rsid w:val="00AE752E"/>
    <w:rsid w:val="00AF020E"/>
    <w:rsid w:val="00AF0BD1"/>
    <w:rsid w:val="00AF139C"/>
    <w:rsid w:val="00AF13CF"/>
    <w:rsid w:val="00AF1E3A"/>
    <w:rsid w:val="00AF1F43"/>
    <w:rsid w:val="00AF239D"/>
    <w:rsid w:val="00AF28CA"/>
    <w:rsid w:val="00AF3062"/>
    <w:rsid w:val="00AF377F"/>
    <w:rsid w:val="00AF3D25"/>
    <w:rsid w:val="00AF50FF"/>
    <w:rsid w:val="00AF533B"/>
    <w:rsid w:val="00AF5E22"/>
    <w:rsid w:val="00AF5F7A"/>
    <w:rsid w:val="00AF6A4A"/>
    <w:rsid w:val="00AF77F6"/>
    <w:rsid w:val="00AF7AB9"/>
    <w:rsid w:val="00AF7FD7"/>
    <w:rsid w:val="00B002D8"/>
    <w:rsid w:val="00B004A4"/>
    <w:rsid w:val="00B008AC"/>
    <w:rsid w:val="00B00C80"/>
    <w:rsid w:val="00B00DA6"/>
    <w:rsid w:val="00B01269"/>
    <w:rsid w:val="00B0144E"/>
    <w:rsid w:val="00B015E4"/>
    <w:rsid w:val="00B01604"/>
    <w:rsid w:val="00B01B58"/>
    <w:rsid w:val="00B021F6"/>
    <w:rsid w:val="00B0257E"/>
    <w:rsid w:val="00B02AEE"/>
    <w:rsid w:val="00B0300B"/>
    <w:rsid w:val="00B03701"/>
    <w:rsid w:val="00B0441A"/>
    <w:rsid w:val="00B04DFB"/>
    <w:rsid w:val="00B05017"/>
    <w:rsid w:val="00B05733"/>
    <w:rsid w:val="00B05998"/>
    <w:rsid w:val="00B05AB9"/>
    <w:rsid w:val="00B05B00"/>
    <w:rsid w:val="00B06077"/>
    <w:rsid w:val="00B0680D"/>
    <w:rsid w:val="00B06847"/>
    <w:rsid w:val="00B072DC"/>
    <w:rsid w:val="00B07315"/>
    <w:rsid w:val="00B10A43"/>
    <w:rsid w:val="00B10FB5"/>
    <w:rsid w:val="00B113CE"/>
    <w:rsid w:val="00B11A35"/>
    <w:rsid w:val="00B11BF5"/>
    <w:rsid w:val="00B11F9D"/>
    <w:rsid w:val="00B12C5B"/>
    <w:rsid w:val="00B12C98"/>
    <w:rsid w:val="00B12E28"/>
    <w:rsid w:val="00B13547"/>
    <w:rsid w:val="00B13C47"/>
    <w:rsid w:val="00B13E40"/>
    <w:rsid w:val="00B14985"/>
    <w:rsid w:val="00B149D2"/>
    <w:rsid w:val="00B15095"/>
    <w:rsid w:val="00B15554"/>
    <w:rsid w:val="00B15BE8"/>
    <w:rsid w:val="00B15FB4"/>
    <w:rsid w:val="00B16199"/>
    <w:rsid w:val="00B16334"/>
    <w:rsid w:val="00B16C3E"/>
    <w:rsid w:val="00B16D88"/>
    <w:rsid w:val="00B16E6E"/>
    <w:rsid w:val="00B16F30"/>
    <w:rsid w:val="00B1709C"/>
    <w:rsid w:val="00B17A38"/>
    <w:rsid w:val="00B17D0E"/>
    <w:rsid w:val="00B20068"/>
    <w:rsid w:val="00B2022C"/>
    <w:rsid w:val="00B202A1"/>
    <w:rsid w:val="00B20374"/>
    <w:rsid w:val="00B206BF"/>
    <w:rsid w:val="00B20A42"/>
    <w:rsid w:val="00B20D47"/>
    <w:rsid w:val="00B21231"/>
    <w:rsid w:val="00B2135B"/>
    <w:rsid w:val="00B213F2"/>
    <w:rsid w:val="00B21785"/>
    <w:rsid w:val="00B21904"/>
    <w:rsid w:val="00B21935"/>
    <w:rsid w:val="00B21AFE"/>
    <w:rsid w:val="00B21D08"/>
    <w:rsid w:val="00B2203E"/>
    <w:rsid w:val="00B22930"/>
    <w:rsid w:val="00B22A66"/>
    <w:rsid w:val="00B22C00"/>
    <w:rsid w:val="00B22D6E"/>
    <w:rsid w:val="00B230B7"/>
    <w:rsid w:val="00B23C36"/>
    <w:rsid w:val="00B2433C"/>
    <w:rsid w:val="00B246D4"/>
    <w:rsid w:val="00B257CA"/>
    <w:rsid w:val="00B25A20"/>
    <w:rsid w:val="00B260F7"/>
    <w:rsid w:val="00B26228"/>
    <w:rsid w:val="00B263B3"/>
    <w:rsid w:val="00B263F1"/>
    <w:rsid w:val="00B26540"/>
    <w:rsid w:val="00B269AD"/>
    <w:rsid w:val="00B26D2C"/>
    <w:rsid w:val="00B26F9C"/>
    <w:rsid w:val="00B27393"/>
    <w:rsid w:val="00B307C0"/>
    <w:rsid w:val="00B30C90"/>
    <w:rsid w:val="00B31095"/>
    <w:rsid w:val="00B316A1"/>
    <w:rsid w:val="00B3211B"/>
    <w:rsid w:val="00B332E3"/>
    <w:rsid w:val="00B334EC"/>
    <w:rsid w:val="00B33EA8"/>
    <w:rsid w:val="00B34B4D"/>
    <w:rsid w:val="00B34F72"/>
    <w:rsid w:val="00B34FE6"/>
    <w:rsid w:val="00B35B06"/>
    <w:rsid w:val="00B35B64"/>
    <w:rsid w:val="00B35DA3"/>
    <w:rsid w:val="00B361E6"/>
    <w:rsid w:val="00B363F6"/>
    <w:rsid w:val="00B36966"/>
    <w:rsid w:val="00B36DD6"/>
    <w:rsid w:val="00B3752E"/>
    <w:rsid w:val="00B3776C"/>
    <w:rsid w:val="00B37969"/>
    <w:rsid w:val="00B37C42"/>
    <w:rsid w:val="00B40690"/>
    <w:rsid w:val="00B40FEB"/>
    <w:rsid w:val="00B41303"/>
    <w:rsid w:val="00B41C70"/>
    <w:rsid w:val="00B41D2A"/>
    <w:rsid w:val="00B41DA9"/>
    <w:rsid w:val="00B42034"/>
    <w:rsid w:val="00B4269D"/>
    <w:rsid w:val="00B4280D"/>
    <w:rsid w:val="00B42B0A"/>
    <w:rsid w:val="00B42CEE"/>
    <w:rsid w:val="00B43160"/>
    <w:rsid w:val="00B43659"/>
    <w:rsid w:val="00B4398B"/>
    <w:rsid w:val="00B439BF"/>
    <w:rsid w:val="00B43D8E"/>
    <w:rsid w:val="00B43FF7"/>
    <w:rsid w:val="00B4458C"/>
    <w:rsid w:val="00B4458D"/>
    <w:rsid w:val="00B44921"/>
    <w:rsid w:val="00B44EB6"/>
    <w:rsid w:val="00B45695"/>
    <w:rsid w:val="00B45BB7"/>
    <w:rsid w:val="00B45FD4"/>
    <w:rsid w:val="00B4601B"/>
    <w:rsid w:val="00B466C3"/>
    <w:rsid w:val="00B46913"/>
    <w:rsid w:val="00B46943"/>
    <w:rsid w:val="00B47309"/>
    <w:rsid w:val="00B47812"/>
    <w:rsid w:val="00B47C5B"/>
    <w:rsid w:val="00B47F01"/>
    <w:rsid w:val="00B507EB"/>
    <w:rsid w:val="00B50B42"/>
    <w:rsid w:val="00B50E2F"/>
    <w:rsid w:val="00B517EA"/>
    <w:rsid w:val="00B51E7B"/>
    <w:rsid w:val="00B5220B"/>
    <w:rsid w:val="00B527AB"/>
    <w:rsid w:val="00B52A44"/>
    <w:rsid w:val="00B531EB"/>
    <w:rsid w:val="00B53A06"/>
    <w:rsid w:val="00B53ABB"/>
    <w:rsid w:val="00B53E1E"/>
    <w:rsid w:val="00B542E1"/>
    <w:rsid w:val="00B543C4"/>
    <w:rsid w:val="00B54560"/>
    <w:rsid w:val="00B548A1"/>
    <w:rsid w:val="00B54D4D"/>
    <w:rsid w:val="00B54DEE"/>
    <w:rsid w:val="00B55018"/>
    <w:rsid w:val="00B557AC"/>
    <w:rsid w:val="00B557BC"/>
    <w:rsid w:val="00B55A2A"/>
    <w:rsid w:val="00B56476"/>
    <w:rsid w:val="00B56796"/>
    <w:rsid w:val="00B56BD6"/>
    <w:rsid w:val="00B5752C"/>
    <w:rsid w:val="00B57880"/>
    <w:rsid w:val="00B57B9D"/>
    <w:rsid w:val="00B57F44"/>
    <w:rsid w:val="00B6009E"/>
    <w:rsid w:val="00B60235"/>
    <w:rsid w:val="00B603F1"/>
    <w:rsid w:val="00B60BD5"/>
    <w:rsid w:val="00B60C9E"/>
    <w:rsid w:val="00B612D2"/>
    <w:rsid w:val="00B61507"/>
    <w:rsid w:val="00B617FF"/>
    <w:rsid w:val="00B620F0"/>
    <w:rsid w:val="00B62287"/>
    <w:rsid w:val="00B623B6"/>
    <w:rsid w:val="00B624B1"/>
    <w:rsid w:val="00B62A99"/>
    <w:rsid w:val="00B63071"/>
    <w:rsid w:val="00B633EF"/>
    <w:rsid w:val="00B6379A"/>
    <w:rsid w:val="00B63C8C"/>
    <w:rsid w:val="00B63EF2"/>
    <w:rsid w:val="00B64019"/>
    <w:rsid w:val="00B640EA"/>
    <w:rsid w:val="00B649CC"/>
    <w:rsid w:val="00B64AC2"/>
    <w:rsid w:val="00B64F42"/>
    <w:rsid w:val="00B65497"/>
    <w:rsid w:val="00B65AAD"/>
    <w:rsid w:val="00B65B86"/>
    <w:rsid w:val="00B66B79"/>
    <w:rsid w:val="00B66D5C"/>
    <w:rsid w:val="00B673B3"/>
    <w:rsid w:val="00B67462"/>
    <w:rsid w:val="00B67544"/>
    <w:rsid w:val="00B6778A"/>
    <w:rsid w:val="00B67A35"/>
    <w:rsid w:val="00B67D70"/>
    <w:rsid w:val="00B70429"/>
    <w:rsid w:val="00B70B15"/>
    <w:rsid w:val="00B70CF9"/>
    <w:rsid w:val="00B711AE"/>
    <w:rsid w:val="00B71257"/>
    <w:rsid w:val="00B712CA"/>
    <w:rsid w:val="00B713CB"/>
    <w:rsid w:val="00B71654"/>
    <w:rsid w:val="00B71976"/>
    <w:rsid w:val="00B71D0B"/>
    <w:rsid w:val="00B71DF9"/>
    <w:rsid w:val="00B71E13"/>
    <w:rsid w:val="00B71E54"/>
    <w:rsid w:val="00B7215D"/>
    <w:rsid w:val="00B725E2"/>
    <w:rsid w:val="00B72773"/>
    <w:rsid w:val="00B7309F"/>
    <w:rsid w:val="00B73AE1"/>
    <w:rsid w:val="00B74264"/>
    <w:rsid w:val="00B747CF"/>
    <w:rsid w:val="00B74808"/>
    <w:rsid w:val="00B74958"/>
    <w:rsid w:val="00B74C7D"/>
    <w:rsid w:val="00B74D16"/>
    <w:rsid w:val="00B74D4F"/>
    <w:rsid w:val="00B7519F"/>
    <w:rsid w:val="00B751C5"/>
    <w:rsid w:val="00B75205"/>
    <w:rsid w:val="00B753AB"/>
    <w:rsid w:val="00B753DE"/>
    <w:rsid w:val="00B75970"/>
    <w:rsid w:val="00B75FB6"/>
    <w:rsid w:val="00B76566"/>
    <w:rsid w:val="00B76672"/>
    <w:rsid w:val="00B77292"/>
    <w:rsid w:val="00B77A73"/>
    <w:rsid w:val="00B77EBA"/>
    <w:rsid w:val="00B803CA"/>
    <w:rsid w:val="00B80833"/>
    <w:rsid w:val="00B80A33"/>
    <w:rsid w:val="00B80DBC"/>
    <w:rsid w:val="00B81329"/>
    <w:rsid w:val="00B813DF"/>
    <w:rsid w:val="00B8164A"/>
    <w:rsid w:val="00B8183B"/>
    <w:rsid w:val="00B81997"/>
    <w:rsid w:val="00B81A75"/>
    <w:rsid w:val="00B820CD"/>
    <w:rsid w:val="00B82331"/>
    <w:rsid w:val="00B827FF"/>
    <w:rsid w:val="00B8373D"/>
    <w:rsid w:val="00B839BC"/>
    <w:rsid w:val="00B83A18"/>
    <w:rsid w:val="00B84C25"/>
    <w:rsid w:val="00B84D6E"/>
    <w:rsid w:val="00B84FDB"/>
    <w:rsid w:val="00B8541F"/>
    <w:rsid w:val="00B8564B"/>
    <w:rsid w:val="00B85CCA"/>
    <w:rsid w:val="00B85D6C"/>
    <w:rsid w:val="00B85E1F"/>
    <w:rsid w:val="00B868FE"/>
    <w:rsid w:val="00B86FB3"/>
    <w:rsid w:val="00B871D3"/>
    <w:rsid w:val="00B876E2"/>
    <w:rsid w:val="00B87951"/>
    <w:rsid w:val="00B9005B"/>
    <w:rsid w:val="00B9049E"/>
    <w:rsid w:val="00B904F3"/>
    <w:rsid w:val="00B90619"/>
    <w:rsid w:val="00B90BD0"/>
    <w:rsid w:val="00B91320"/>
    <w:rsid w:val="00B91935"/>
    <w:rsid w:val="00B9201D"/>
    <w:rsid w:val="00B92066"/>
    <w:rsid w:val="00B92352"/>
    <w:rsid w:val="00B92548"/>
    <w:rsid w:val="00B92818"/>
    <w:rsid w:val="00B92973"/>
    <w:rsid w:val="00B931B7"/>
    <w:rsid w:val="00B93B66"/>
    <w:rsid w:val="00B93DAB"/>
    <w:rsid w:val="00B93EFE"/>
    <w:rsid w:val="00B9424E"/>
    <w:rsid w:val="00B9428F"/>
    <w:rsid w:val="00B943E8"/>
    <w:rsid w:val="00B94771"/>
    <w:rsid w:val="00B949C5"/>
    <w:rsid w:val="00B94B88"/>
    <w:rsid w:val="00B94E96"/>
    <w:rsid w:val="00B95183"/>
    <w:rsid w:val="00B95411"/>
    <w:rsid w:val="00B959CC"/>
    <w:rsid w:val="00B96973"/>
    <w:rsid w:val="00B96B79"/>
    <w:rsid w:val="00B97757"/>
    <w:rsid w:val="00B977DF"/>
    <w:rsid w:val="00B97D63"/>
    <w:rsid w:val="00BA104E"/>
    <w:rsid w:val="00BA1296"/>
    <w:rsid w:val="00BA1355"/>
    <w:rsid w:val="00BA1746"/>
    <w:rsid w:val="00BA179F"/>
    <w:rsid w:val="00BA17D0"/>
    <w:rsid w:val="00BA1F90"/>
    <w:rsid w:val="00BA2006"/>
    <w:rsid w:val="00BA2314"/>
    <w:rsid w:val="00BA2466"/>
    <w:rsid w:val="00BA24BE"/>
    <w:rsid w:val="00BA2645"/>
    <w:rsid w:val="00BA2708"/>
    <w:rsid w:val="00BA2896"/>
    <w:rsid w:val="00BA4ED5"/>
    <w:rsid w:val="00BA560B"/>
    <w:rsid w:val="00BA5AEC"/>
    <w:rsid w:val="00BA5B65"/>
    <w:rsid w:val="00BA5B6C"/>
    <w:rsid w:val="00BA5CAD"/>
    <w:rsid w:val="00BA64BE"/>
    <w:rsid w:val="00BA6916"/>
    <w:rsid w:val="00BA6D47"/>
    <w:rsid w:val="00BA6E77"/>
    <w:rsid w:val="00BA6F59"/>
    <w:rsid w:val="00BA7064"/>
    <w:rsid w:val="00BA77B4"/>
    <w:rsid w:val="00BA7B37"/>
    <w:rsid w:val="00BB012D"/>
    <w:rsid w:val="00BB01F5"/>
    <w:rsid w:val="00BB0D0E"/>
    <w:rsid w:val="00BB1B2F"/>
    <w:rsid w:val="00BB1F66"/>
    <w:rsid w:val="00BB2BE3"/>
    <w:rsid w:val="00BB2FA5"/>
    <w:rsid w:val="00BB30CA"/>
    <w:rsid w:val="00BB31AC"/>
    <w:rsid w:val="00BB322B"/>
    <w:rsid w:val="00BB3A2F"/>
    <w:rsid w:val="00BB4688"/>
    <w:rsid w:val="00BB4FFE"/>
    <w:rsid w:val="00BB5C55"/>
    <w:rsid w:val="00BB65C3"/>
    <w:rsid w:val="00BB6C59"/>
    <w:rsid w:val="00BB6E81"/>
    <w:rsid w:val="00BB6F0D"/>
    <w:rsid w:val="00BB71B8"/>
    <w:rsid w:val="00BB75D1"/>
    <w:rsid w:val="00BB7839"/>
    <w:rsid w:val="00BB7854"/>
    <w:rsid w:val="00BB78B1"/>
    <w:rsid w:val="00BB7917"/>
    <w:rsid w:val="00BB7E78"/>
    <w:rsid w:val="00BC02FD"/>
    <w:rsid w:val="00BC067F"/>
    <w:rsid w:val="00BC07C2"/>
    <w:rsid w:val="00BC09A7"/>
    <w:rsid w:val="00BC0F21"/>
    <w:rsid w:val="00BC17CA"/>
    <w:rsid w:val="00BC1B43"/>
    <w:rsid w:val="00BC1BBB"/>
    <w:rsid w:val="00BC20A0"/>
    <w:rsid w:val="00BC2269"/>
    <w:rsid w:val="00BC230C"/>
    <w:rsid w:val="00BC272D"/>
    <w:rsid w:val="00BC280A"/>
    <w:rsid w:val="00BC2CDB"/>
    <w:rsid w:val="00BC3123"/>
    <w:rsid w:val="00BC34BB"/>
    <w:rsid w:val="00BC3A68"/>
    <w:rsid w:val="00BC4457"/>
    <w:rsid w:val="00BC4C3E"/>
    <w:rsid w:val="00BC5397"/>
    <w:rsid w:val="00BC53DE"/>
    <w:rsid w:val="00BC552E"/>
    <w:rsid w:val="00BC592D"/>
    <w:rsid w:val="00BC5D41"/>
    <w:rsid w:val="00BC61F1"/>
    <w:rsid w:val="00BC62FE"/>
    <w:rsid w:val="00BC63D6"/>
    <w:rsid w:val="00BC6622"/>
    <w:rsid w:val="00BC674F"/>
    <w:rsid w:val="00BC69FC"/>
    <w:rsid w:val="00BC6D05"/>
    <w:rsid w:val="00BC6D91"/>
    <w:rsid w:val="00BC720A"/>
    <w:rsid w:val="00BC765D"/>
    <w:rsid w:val="00BC793F"/>
    <w:rsid w:val="00BC79F3"/>
    <w:rsid w:val="00BD04ED"/>
    <w:rsid w:val="00BD054B"/>
    <w:rsid w:val="00BD061C"/>
    <w:rsid w:val="00BD150C"/>
    <w:rsid w:val="00BD165F"/>
    <w:rsid w:val="00BD17E8"/>
    <w:rsid w:val="00BD1875"/>
    <w:rsid w:val="00BD1E9F"/>
    <w:rsid w:val="00BD2197"/>
    <w:rsid w:val="00BD3600"/>
    <w:rsid w:val="00BD388F"/>
    <w:rsid w:val="00BD4007"/>
    <w:rsid w:val="00BD420B"/>
    <w:rsid w:val="00BD47A8"/>
    <w:rsid w:val="00BD47BF"/>
    <w:rsid w:val="00BD4E31"/>
    <w:rsid w:val="00BD5177"/>
    <w:rsid w:val="00BD583E"/>
    <w:rsid w:val="00BD5B3E"/>
    <w:rsid w:val="00BD5CCC"/>
    <w:rsid w:val="00BD5FBD"/>
    <w:rsid w:val="00BD6B2F"/>
    <w:rsid w:val="00BD6F97"/>
    <w:rsid w:val="00BD76DA"/>
    <w:rsid w:val="00BD79BE"/>
    <w:rsid w:val="00BD7D0F"/>
    <w:rsid w:val="00BE00B2"/>
    <w:rsid w:val="00BE03F7"/>
    <w:rsid w:val="00BE056B"/>
    <w:rsid w:val="00BE0D93"/>
    <w:rsid w:val="00BE174A"/>
    <w:rsid w:val="00BE268B"/>
    <w:rsid w:val="00BE2975"/>
    <w:rsid w:val="00BE3035"/>
    <w:rsid w:val="00BE388A"/>
    <w:rsid w:val="00BE3E9B"/>
    <w:rsid w:val="00BE489A"/>
    <w:rsid w:val="00BE584B"/>
    <w:rsid w:val="00BE5933"/>
    <w:rsid w:val="00BE5E33"/>
    <w:rsid w:val="00BE68A7"/>
    <w:rsid w:val="00BE69A9"/>
    <w:rsid w:val="00BE7A93"/>
    <w:rsid w:val="00BE7D49"/>
    <w:rsid w:val="00BF0652"/>
    <w:rsid w:val="00BF081E"/>
    <w:rsid w:val="00BF0A55"/>
    <w:rsid w:val="00BF0B78"/>
    <w:rsid w:val="00BF0BFA"/>
    <w:rsid w:val="00BF0FE7"/>
    <w:rsid w:val="00BF1830"/>
    <w:rsid w:val="00BF2581"/>
    <w:rsid w:val="00BF3C8D"/>
    <w:rsid w:val="00BF4114"/>
    <w:rsid w:val="00BF4168"/>
    <w:rsid w:val="00BF424D"/>
    <w:rsid w:val="00BF4523"/>
    <w:rsid w:val="00BF493A"/>
    <w:rsid w:val="00BF4B5C"/>
    <w:rsid w:val="00BF5416"/>
    <w:rsid w:val="00BF54C5"/>
    <w:rsid w:val="00BF55FE"/>
    <w:rsid w:val="00BF56F0"/>
    <w:rsid w:val="00BF585F"/>
    <w:rsid w:val="00BF5A0E"/>
    <w:rsid w:val="00BF5E3B"/>
    <w:rsid w:val="00BF63B2"/>
    <w:rsid w:val="00BF65E8"/>
    <w:rsid w:val="00BF6B5D"/>
    <w:rsid w:val="00BF6B7F"/>
    <w:rsid w:val="00BF6E0D"/>
    <w:rsid w:val="00BF71F2"/>
    <w:rsid w:val="00BF7215"/>
    <w:rsid w:val="00BF7304"/>
    <w:rsid w:val="00BF7E14"/>
    <w:rsid w:val="00C003C7"/>
    <w:rsid w:val="00C00776"/>
    <w:rsid w:val="00C00882"/>
    <w:rsid w:val="00C00AAC"/>
    <w:rsid w:val="00C00E94"/>
    <w:rsid w:val="00C0126D"/>
    <w:rsid w:val="00C01904"/>
    <w:rsid w:val="00C01BCA"/>
    <w:rsid w:val="00C023EF"/>
    <w:rsid w:val="00C02F28"/>
    <w:rsid w:val="00C03FCA"/>
    <w:rsid w:val="00C05521"/>
    <w:rsid w:val="00C05C9F"/>
    <w:rsid w:val="00C05F4E"/>
    <w:rsid w:val="00C05FA2"/>
    <w:rsid w:val="00C0612E"/>
    <w:rsid w:val="00C06464"/>
    <w:rsid w:val="00C067F3"/>
    <w:rsid w:val="00C06B22"/>
    <w:rsid w:val="00C06B3A"/>
    <w:rsid w:val="00C06BE8"/>
    <w:rsid w:val="00C06D90"/>
    <w:rsid w:val="00C073A4"/>
    <w:rsid w:val="00C07796"/>
    <w:rsid w:val="00C07D6E"/>
    <w:rsid w:val="00C10CC0"/>
    <w:rsid w:val="00C114FB"/>
    <w:rsid w:val="00C11D18"/>
    <w:rsid w:val="00C12559"/>
    <w:rsid w:val="00C1276D"/>
    <w:rsid w:val="00C12DF5"/>
    <w:rsid w:val="00C1326F"/>
    <w:rsid w:val="00C134A4"/>
    <w:rsid w:val="00C135B2"/>
    <w:rsid w:val="00C13E70"/>
    <w:rsid w:val="00C14950"/>
    <w:rsid w:val="00C14CC8"/>
    <w:rsid w:val="00C15406"/>
    <w:rsid w:val="00C15C6A"/>
    <w:rsid w:val="00C15ECF"/>
    <w:rsid w:val="00C162DB"/>
    <w:rsid w:val="00C16487"/>
    <w:rsid w:val="00C16AAC"/>
    <w:rsid w:val="00C17013"/>
    <w:rsid w:val="00C173AB"/>
    <w:rsid w:val="00C17F9B"/>
    <w:rsid w:val="00C2011F"/>
    <w:rsid w:val="00C20DFF"/>
    <w:rsid w:val="00C211A5"/>
    <w:rsid w:val="00C2133B"/>
    <w:rsid w:val="00C21383"/>
    <w:rsid w:val="00C2138A"/>
    <w:rsid w:val="00C213EE"/>
    <w:rsid w:val="00C21669"/>
    <w:rsid w:val="00C21B9E"/>
    <w:rsid w:val="00C2275B"/>
    <w:rsid w:val="00C22C3C"/>
    <w:rsid w:val="00C22CC9"/>
    <w:rsid w:val="00C23641"/>
    <w:rsid w:val="00C238E7"/>
    <w:rsid w:val="00C23914"/>
    <w:rsid w:val="00C2398B"/>
    <w:rsid w:val="00C239AC"/>
    <w:rsid w:val="00C239E1"/>
    <w:rsid w:val="00C23A38"/>
    <w:rsid w:val="00C23E3A"/>
    <w:rsid w:val="00C24328"/>
    <w:rsid w:val="00C24B0B"/>
    <w:rsid w:val="00C24F9C"/>
    <w:rsid w:val="00C2557D"/>
    <w:rsid w:val="00C25EC4"/>
    <w:rsid w:val="00C261D3"/>
    <w:rsid w:val="00C2623D"/>
    <w:rsid w:val="00C263F1"/>
    <w:rsid w:val="00C26563"/>
    <w:rsid w:val="00C26A0E"/>
    <w:rsid w:val="00C26F31"/>
    <w:rsid w:val="00C26F5C"/>
    <w:rsid w:val="00C27679"/>
    <w:rsid w:val="00C27BE7"/>
    <w:rsid w:val="00C3034D"/>
    <w:rsid w:val="00C30834"/>
    <w:rsid w:val="00C3153F"/>
    <w:rsid w:val="00C31760"/>
    <w:rsid w:val="00C31BCF"/>
    <w:rsid w:val="00C322C5"/>
    <w:rsid w:val="00C3286D"/>
    <w:rsid w:val="00C32894"/>
    <w:rsid w:val="00C32994"/>
    <w:rsid w:val="00C32D21"/>
    <w:rsid w:val="00C32D32"/>
    <w:rsid w:val="00C337ED"/>
    <w:rsid w:val="00C339C7"/>
    <w:rsid w:val="00C33BEC"/>
    <w:rsid w:val="00C34527"/>
    <w:rsid w:val="00C34819"/>
    <w:rsid w:val="00C34D7D"/>
    <w:rsid w:val="00C353D3"/>
    <w:rsid w:val="00C3588C"/>
    <w:rsid w:val="00C358E4"/>
    <w:rsid w:val="00C35B12"/>
    <w:rsid w:val="00C35BA8"/>
    <w:rsid w:val="00C3647A"/>
    <w:rsid w:val="00C36B68"/>
    <w:rsid w:val="00C36E3C"/>
    <w:rsid w:val="00C37806"/>
    <w:rsid w:val="00C37993"/>
    <w:rsid w:val="00C37995"/>
    <w:rsid w:val="00C37DCF"/>
    <w:rsid w:val="00C4113F"/>
    <w:rsid w:val="00C41448"/>
    <w:rsid w:val="00C41843"/>
    <w:rsid w:val="00C41C5D"/>
    <w:rsid w:val="00C41E93"/>
    <w:rsid w:val="00C4346D"/>
    <w:rsid w:val="00C43A73"/>
    <w:rsid w:val="00C44908"/>
    <w:rsid w:val="00C44AE4"/>
    <w:rsid w:val="00C450B6"/>
    <w:rsid w:val="00C4541E"/>
    <w:rsid w:val="00C45696"/>
    <w:rsid w:val="00C456FE"/>
    <w:rsid w:val="00C4586A"/>
    <w:rsid w:val="00C45C7E"/>
    <w:rsid w:val="00C45E20"/>
    <w:rsid w:val="00C46020"/>
    <w:rsid w:val="00C461F6"/>
    <w:rsid w:val="00C46657"/>
    <w:rsid w:val="00C4695B"/>
    <w:rsid w:val="00C46F50"/>
    <w:rsid w:val="00C47369"/>
    <w:rsid w:val="00C4752A"/>
    <w:rsid w:val="00C4780E"/>
    <w:rsid w:val="00C47920"/>
    <w:rsid w:val="00C47E51"/>
    <w:rsid w:val="00C503CB"/>
    <w:rsid w:val="00C506AA"/>
    <w:rsid w:val="00C50C02"/>
    <w:rsid w:val="00C5185F"/>
    <w:rsid w:val="00C5193A"/>
    <w:rsid w:val="00C51BF8"/>
    <w:rsid w:val="00C51E58"/>
    <w:rsid w:val="00C521CE"/>
    <w:rsid w:val="00C52BBF"/>
    <w:rsid w:val="00C52C9D"/>
    <w:rsid w:val="00C52EF1"/>
    <w:rsid w:val="00C534B6"/>
    <w:rsid w:val="00C535D4"/>
    <w:rsid w:val="00C53E10"/>
    <w:rsid w:val="00C5482D"/>
    <w:rsid w:val="00C54968"/>
    <w:rsid w:val="00C54AF2"/>
    <w:rsid w:val="00C55189"/>
    <w:rsid w:val="00C55251"/>
    <w:rsid w:val="00C55389"/>
    <w:rsid w:val="00C5543F"/>
    <w:rsid w:val="00C554B5"/>
    <w:rsid w:val="00C555C0"/>
    <w:rsid w:val="00C5572F"/>
    <w:rsid w:val="00C5579F"/>
    <w:rsid w:val="00C5582B"/>
    <w:rsid w:val="00C55C65"/>
    <w:rsid w:val="00C55E9B"/>
    <w:rsid w:val="00C55F89"/>
    <w:rsid w:val="00C56015"/>
    <w:rsid w:val="00C56143"/>
    <w:rsid w:val="00C56377"/>
    <w:rsid w:val="00C566AF"/>
    <w:rsid w:val="00C56A00"/>
    <w:rsid w:val="00C56BE0"/>
    <w:rsid w:val="00C56C4F"/>
    <w:rsid w:val="00C56C89"/>
    <w:rsid w:val="00C57817"/>
    <w:rsid w:val="00C57A78"/>
    <w:rsid w:val="00C57DDF"/>
    <w:rsid w:val="00C60494"/>
    <w:rsid w:val="00C607C7"/>
    <w:rsid w:val="00C6084A"/>
    <w:rsid w:val="00C60970"/>
    <w:rsid w:val="00C60C7E"/>
    <w:rsid w:val="00C6116F"/>
    <w:rsid w:val="00C6129F"/>
    <w:rsid w:val="00C61945"/>
    <w:rsid w:val="00C6207A"/>
    <w:rsid w:val="00C624EE"/>
    <w:rsid w:val="00C62C3A"/>
    <w:rsid w:val="00C631B2"/>
    <w:rsid w:val="00C632AB"/>
    <w:rsid w:val="00C63AFE"/>
    <w:rsid w:val="00C63CA0"/>
    <w:rsid w:val="00C63E0D"/>
    <w:rsid w:val="00C64001"/>
    <w:rsid w:val="00C6458F"/>
    <w:rsid w:val="00C648F9"/>
    <w:rsid w:val="00C64A4E"/>
    <w:rsid w:val="00C64DF6"/>
    <w:rsid w:val="00C6535B"/>
    <w:rsid w:val="00C659B5"/>
    <w:rsid w:val="00C65A3E"/>
    <w:rsid w:val="00C65EF5"/>
    <w:rsid w:val="00C65F8D"/>
    <w:rsid w:val="00C66842"/>
    <w:rsid w:val="00C67009"/>
    <w:rsid w:val="00C670CE"/>
    <w:rsid w:val="00C67B2C"/>
    <w:rsid w:val="00C67C64"/>
    <w:rsid w:val="00C67FFA"/>
    <w:rsid w:val="00C70D0D"/>
    <w:rsid w:val="00C70F76"/>
    <w:rsid w:val="00C7143C"/>
    <w:rsid w:val="00C71541"/>
    <w:rsid w:val="00C7165F"/>
    <w:rsid w:val="00C71DE9"/>
    <w:rsid w:val="00C71EA8"/>
    <w:rsid w:val="00C725CF"/>
    <w:rsid w:val="00C72CDA"/>
    <w:rsid w:val="00C72E47"/>
    <w:rsid w:val="00C73187"/>
    <w:rsid w:val="00C73188"/>
    <w:rsid w:val="00C733B6"/>
    <w:rsid w:val="00C73504"/>
    <w:rsid w:val="00C735D8"/>
    <w:rsid w:val="00C73648"/>
    <w:rsid w:val="00C73770"/>
    <w:rsid w:val="00C737B8"/>
    <w:rsid w:val="00C74005"/>
    <w:rsid w:val="00C74225"/>
    <w:rsid w:val="00C743EE"/>
    <w:rsid w:val="00C74445"/>
    <w:rsid w:val="00C745D1"/>
    <w:rsid w:val="00C749BF"/>
    <w:rsid w:val="00C74A83"/>
    <w:rsid w:val="00C74BE8"/>
    <w:rsid w:val="00C74D46"/>
    <w:rsid w:val="00C74E40"/>
    <w:rsid w:val="00C75A39"/>
    <w:rsid w:val="00C76505"/>
    <w:rsid w:val="00C77679"/>
    <w:rsid w:val="00C77FEC"/>
    <w:rsid w:val="00C8043D"/>
    <w:rsid w:val="00C806CD"/>
    <w:rsid w:val="00C80791"/>
    <w:rsid w:val="00C8087B"/>
    <w:rsid w:val="00C80953"/>
    <w:rsid w:val="00C80962"/>
    <w:rsid w:val="00C81261"/>
    <w:rsid w:val="00C8159E"/>
    <w:rsid w:val="00C817AF"/>
    <w:rsid w:val="00C8181F"/>
    <w:rsid w:val="00C829D9"/>
    <w:rsid w:val="00C82BE1"/>
    <w:rsid w:val="00C82D8F"/>
    <w:rsid w:val="00C82E35"/>
    <w:rsid w:val="00C82FED"/>
    <w:rsid w:val="00C833A9"/>
    <w:rsid w:val="00C833AA"/>
    <w:rsid w:val="00C836BA"/>
    <w:rsid w:val="00C8397E"/>
    <w:rsid w:val="00C84519"/>
    <w:rsid w:val="00C847FA"/>
    <w:rsid w:val="00C84B5C"/>
    <w:rsid w:val="00C84FED"/>
    <w:rsid w:val="00C85CEB"/>
    <w:rsid w:val="00C860F6"/>
    <w:rsid w:val="00C8647A"/>
    <w:rsid w:val="00C86516"/>
    <w:rsid w:val="00C869FB"/>
    <w:rsid w:val="00C86B61"/>
    <w:rsid w:val="00C87581"/>
    <w:rsid w:val="00C8759C"/>
    <w:rsid w:val="00C8777C"/>
    <w:rsid w:val="00C879B9"/>
    <w:rsid w:val="00C87F39"/>
    <w:rsid w:val="00C900A1"/>
    <w:rsid w:val="00C90167"/>
    <w:rsid w:val="00C9067B"/>
    <w:rsid w:val="00C90987"/>
    <w:rsid w:val="00C90A17"/>
    <w:rsid w:val="00C90C27"/>
    <w:rsid w:val="00C916E2"/>
    <w:rsid w:val="00C91A42"/>
    <w:rsid w:val="00C91E61"/>
    <w:rsid w:val="00C9249B"/>
    <w:rsid w:val="00C924BB"/>
    <w:rsid w:val="00C926CD"/>
    <w:rsid w:val="00C92DA5"/>
    <w:rsid w:val="00C92E17"/>
    <w:rsid w:val="00C9340D"/>
    <w:rsid w:val="00C93AE2"/>
    <w:rsid w:val="00C93D34"/>
    <w:rsid w:val="00C93F94"/>
    <w:rsid w:val="00C9400E"/>
    <w:rsid w:val="00C94179"/>
    <w:rsid w:val="00C9429B"/>
    <w:rsid w:val="00C945F4"/>
    <w:rsid w:val="00C94844"/>
    <w:rsid w:val="00C94E85"/>
    <w:rsid w:val="00C95579"/>
    <w:rsid w:val="00C959FD"/>
    <w:rsid w:val="00C95C35"/>
    <w:rsid w:val="00C961FA"/>
    <w:rsid w:val="00C962B4"/>
    <w:rsid w:val="00C963B6"/>
    <w:rsid w:val="00C963E1"/>
    <w:rsid w:val="00C9642C"/>
    <w:rsid w:val="00C964AA"/>
    <w:rsid w:val="00C96A5F"/>
    <w:rsid w:val="00C96C0F"/>
    <w:rsid w:val="00C96FF1"/>
    <w:rsid w:val="00C971EA"/>
    <w:rsid w:val="00C976B9"/>
    <w:rsid w:val="00C97831"/>
    <w:rsid w:val="00C979EE"/>
    <w:rsid w:val="00C97A0F"/>
    <w:rsid w:val="00CA0F03"/>
    <w:rsid w:val="00CA0FD6"/>
    <w:rsid w:val="00CA1BF5"/>
    <w:rsid w:val="00CA1DF5"/>
    <w:rsid w:val="00CA1FAB"/>
    <w:rsid w:val="00CA2675"/>
    <w:rsid w:val="00CA27BA"/>
    <w:rsid w:val="00CA2BA0"/>
    <w:rsid w:val="00CA2E68"/>
    <w:rsid w:val="00CA30AC"/>
    <w:rsid w:val="00CA30B7"/>
    <w:rsid w:val="00CA3386"/>
    <w:rsid w:val="00CA365D"/>
    <w:rsid w:val="00CA3831"/>
    <w:rsid w:val="00CA3BBB"/>
    <w:rsid w:val="00CA4246"/>
    <w:rsid w:val="00CA443C"/>
    <w:rsid w:val="00CA45E2"/>
    <w:rsid w:val="00CA46E7"/>
    <w:rsid w:val="00CA473E"/>
    <w:rsid w:val="00CA4B34"/>
    <w:rsid w:val="00CA558D"/>
    <w:rsid w:val="00CA6782"/>
    <w:rsid w:val="00CA6AA3"/>
    <w:rsid w:val="00CA6F29"/>
    <w:rsid w:val="00CA735B"/>
    <w:rsid w:val="00CA7385"/>
    <w:rsid w:val="00CA74E0"/>
    <w:rsid w:val="00CA7B39"/>
    <w:rsid w:val="00CB0162"/>
    <w:rsid w:val="00CB0362"/>
    <w:rsid w:val="00CB0743"/>
    <w:rsid w:val="00CB08BF"/>
    <w:rsid w:val="00CB0DE0"/>
    <w:rsid w:val="00CB0E15"/>
    <w:rsid w:val="00CB12E7"/>
    <w:rsid w:val="00CB1493"/>
    <w:rsid w:val="00CB163A"/>
    <w:rsid w:val="00CB1761"/>
    <w:rsid w:val="00CB1891"/>
    <w:rsid w:val="00CB26AE"/>
    <w:rsid w:val="00CB2F0A"/>
    <w:rsid w:val="00CB3CB4"/>
    <w:rsid w:val="00CB3F22"/>
    <w:rsid w:val="00CB4ABF"/>
    <w:rsid w:val="00CB5329"/>
    <w:rsid w:val="00CB55FF"/>
    <w:rsid w:val="00CB5926"/>
    <w:rsid w:val="00CB5CBA"/>
    <w:rsid w:val="00CB62B3"/>
    <w:rsid w:val="00CB6E35"/>
    <w:rsid w:val="00CB731E"/>
    <w:rsid w:val="00CB73B5"/>
    <w:rsid w:val="00CC0170"/>
    <w:rsid w:val="00CC02F2"/>
    <w:rsid w:val="00CC065F"/>
    <w:rsid w:val="00CC1413"/>
    <w:rsid w:val="00CC1573"/>
    <w:rsid w:val="00CC19FB"/>
    <w:rsid w:val="00CC1B2D"/>
    <w:rsid w:val="00CC1B76"/>
    <w:rsid w:val="00CC2156"/>
    <w:rsid w:val="00CC2333"/>
    <w:rsid w:val="00CC2B1D"/>
    <w:rsid w:val="00CC2DB1"/>
    <w:rsid w:val="00CC31DE"/>
    <w:rsid w:val="00CC40E5"/>
    <w:rsid w:val="00CC41A2"/>
    <w:rsid w:val="00CC4726"/>
    <w:rsid w:val="00CC4B9E"/>
    <w:rsid w:val="00CC545D"/>
    <w:rsid w:val="00CC5633"/>
    <w:rsid w:val="00CC57C6"/>
    <w:rsid w:val="00CC5FA4"/>
    <w:rsid w:val="00CC6734"/>
    <w:rsid w:val="00CC68EE"/>
    <w:rsid w:val="00CC6A6C"/>
    <w:rsid w:val="00CC6DEA"/>
    <w:rsid w:val="00CC6E2D"/>
    <w:rsid w:val="00CC70A2"/>
    <w:rsid w:val="00CC73BE"/>
    <w:rsid w:val="00CC75B9"/>
    <w:rsid w:val="00CC7B51"/>
    <w:rsid w:val="00CC7CC6"/>
    <w:rsid w:val="00CC7D01"/>
    <w:rsid w:val="00CD04D2"/>
    <w:rsid w:val="00CD0784"/>
    <w:rsid w:val="00CD0818"/>
    <w:rsid w:val="00CD083E"/>
    <w:rsid w:val="00CD0C5B"/>
    <w:rsid w:val="00CD0F91"/>
    <w:rsid w:val="00CD1403"/>
    <w:rsid w:val="00CD142F"/>
    <w:rsid w:val="00CD157B"/>
    <w:rsid w:val="00CD17BB"/>
    <w:rsid w:val="00CD1992"/>
    <w:rsid w:val="00CD1A2F"/>
    <w:rsid w:val="00CD1AF6"/>
    <w:rsid w:val="00CD1BB6"/>
    <w:rsid w:val="00CD2389"/>
    <w:rsid w:val="00CD2834"/>
    <w:rsid w:val="00CD2BF8"/>
    <w:rsid w:val="00CD2FDD"/>
    <w:rsid w:val="00CD3149"/>
    <w:rsid w:val="00CD3348"/>
    <w:rsid w:val="00CD3943"/>
    <w:rsid w:val="00CD3F9D"/>
    <w:rsid w:val="00CD4A96"/>
    <w:rsid w:val="00CD4C58"/>
    <w:rsid w:val="00CD4ECE"/>
    <w:rsid w:val="00CD51BB"/>
    <w:rsid w:val="00CD6538"/>
    <w:rsid w:val="00CD73C1"/>
    <w:rsid w:val="00CD7E51"/>
    <w:rsid w:val="00CD7E93"/>
    <w:rsid w:val="00CD7ED1"/>
    <w:rsid w:val="00CE0415"/>
    <w:rsid w:val="00CE0671"/>
    <w:rsid w:val="00CE0ACE"/>
    <w:rsid w:val="00CE0AEB"/>
    <w:rsid w:val="00CE0C94"/>
    <w:rsid w:val="00CE0D01"/>
    <w:rsid w:val="00CE156E"/>
    <w:rsid w:val="00CE1ED6"/>
    <w:rsid w:val="00CE210E"/>
    <w:rsid w:val="00CE23A4"/>
    <w:rsid w:val="00CE24A5"/>
    <w:rsid w:val="00CE2549"/>
    <w:rsid w:val="00CE2BB8"/>
    <w:rsid w:val="00CE33DF"/>
    <w:rsid w:val="00CE3861"/>
    <w:rsid w:val="00CE3DFD"/>
    <w:rsid w:val="00CE3EFE"/>
    <w:rsid w:val="00CE40E2"/>
    <w:rsid w:val="00CE4474"/>
    <w:rsid w:val="00CE4A19"/>
    <w:rsid w:val="00CE4AD5"/>
    <w:rsid w:val="00CE4C6C"/>
    <w:rsid w:val="00CE4CE1"/>
    <w:rsid w:val="00CE4DC6"/>
    <w:rsid w:val="00CE5644"/>
    <w:rsid w:val="00CE5820"/>
    <w:rsid w:val="00CE5B07"/>
    <w:rsid w:val="00CE637F"/>
    <w:rsid w:val="00CE66C0"/>
    <w:rsid w:val="00CE6DFB"/>
    <w:rsid w:val="00CE700D"/>
    <w:rsid w:val="00CE7251"/>
    <w:rsid w:val="00CE73D9"/>
    <w:rsid w:val="00CE7959"/>
    <w:rsid w:val="00CE7CF8"/>
    <w:rsid w:val="00CE7FE3"/>
    <w:rsid w:val="00CF0706"/>
    <w:rsid w:val="00CF0BD9"/>
    <w:rsid w:val="00CF1778"/>
    <w:rsid w:val="00CF1D38"/>
    <w:rsid w:val="00CF294B"/>
    <w:rsid w:val="00CF3020"/>
    <w:rsid w:val="00CF3278"/>
    <w:rsid w:val="00CF346F"/>
    <w:rsid w:val="00CF3A3C"/>
    <w:rsid w:val="00CF3E23"/>
    <w:rsid w:val="00CF4175"/>
    <w:rsid w:val="00CF4245"/>
    <w:rsid w:val="00CF45DD"/>
    <w:rsid w:val="00CF4D45"/>
    <w:rsid w:val="00CF5271"/>
    <w:rsid w:val="00CF5386"/>
    <w:rsid w:val="00CF54AA"/>
    <w:rsid w:val="00CF54B4"/>
    <w:rsid w:val="00CF56BC"/>
    <w:rsid w:val="00CF58FE"/>
    <w:rsid w:val="00CF5D42"/>
    <w:rsid w:val="00CF5DCC"/>
    <w:rsid w:val="00CF5F17"/>
    <w:rsid w:val="00CF6286"/>
    <w:rsid w:val="00CF62B7"/>
    <w:rsid w:val="00CF63A9"/>
    <w:rsid w:val="00CF6A35"/>
    <w:rsid w:val="00CF6A86"/>
    <w:rsid w:val="00CF6ED9"/>
    <w:rsid w:val="00CF7BB2"/>
    <w:rsid w:val="00CF7D7D"/>
    <w:rsid w:val="00CF7DA3"/>
    <w:rsid w:val="00D009C0"/>
    <w:rsid w:val="00D00FD6"/>
    <w:rsid w:val="00D01FA6"/>
    <w:rsid w:val="00D0206E"/>
    <w:rsid w:val="00D0210F"/>
    <w:rsid w:val="00D02608"/>
    <w:rsid w:val="00D02B95"/>
    <w:rsid w:val="00D02C69"/>
    <w:rsid w:val="00D02D95"/>
    <w:rsid w:val="00D02F55"/>
    <w:rsid w:val="00D0304D"/>
    <w:rsid w:val="00D032A4"/>
    <w:rsid w:val="00D033BF"/>
    <w:rsid w:val="00D03FC6"/>
    <w:rsid w:val="00D04112"/>
    <w:rsid w:val="00D049BD"/>
    <w:rsid w:val="00D04D3A"/>
    <w:rsid w:val="00D05169"/>
    <w:rsid w:val="00D05253"/>
    <w:rsid w:val="00D05B8D"/>
    <w:rsid w:val="00D05BC2"/>
    <w:rsid w:val="00D06726"/>
    <w:rsid w:val="00D06830"/>
    <w:rsid w:val="00D07203"/>
    <w:rsid w:val="00D0734F"/>
    <w:rsid w:val="00D07400"/>
    <w:rsid w:val="00D074B3"/>
    <w:rsid w:val="00D07E46"/>
    <w:rsid w:val="00D07EB7"/>
    <w:rsid w:val="00D10B3B"/>
    <w:rsid w:val="00D10CCF"/>
    <w:rsid w:val="00D10FB9"/>
    <w:rsid w:val="00D11399"/>
    <w:rsid w:val="00D11532"/>
    <w:rsid w:val="00D118F6"/>
    <w:rsid w:val="00D11902"/>
    <w:rsid w:val="00D11A9C"/>
    <w:rsid w:val="00D11AC3"/>
    <w:rsid w:val="00D12095"/>
    <w:rsid w:val="00D123C8"/>
    <w:rsid w:val="00D125FD"/>
    <w:rsid w:val="00D12B7A"/>
    <w:rsid w:val="00D12C1F"/>
    <w:rsid w:val="00D12C74"/>
    <w:rsid w:val="00D13137"/>
    <w:rsid w:val="00D13148"/>
    <w:rsid w:val="00D13553"/>
    <w:rsid w:val="00D137CE"/>
    <w:rsid w:val="00D13804"/>
    <w:rsid w:val="00D13B54"/>
    <w:rsid w:val="00D13E66"/>
    <w:rsid w:val="00D1455B"/>
    <w:rsid w:val="00D15025"/>
    <w:rsid w:val="00D1574C"/>
    <w:rsid w:val="00D15798"/>
    <w:rsid w:val="00D158CC"/>
    <w:rsid w:val="00D15A0F"/>
    <w:rsid w:val="00D15EA5"/>
    <w:rsid w:val="00D15FD1"/>
    <w:rsid w:val="00D16A49"/>
    <w:rsid w:val="00D16BC8"/>
    <w:rsid w:val="00D1704B"/>
    <w:rsid w:val="00D17349"/>
    <w:rsid w:val="00D178B1"/>
    <w:rsid w:val="00D20376"/>
    <w:rsid w:val="00D20671"/>
    <w:rsid w:val="00D2075E"/>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5C1"/>
    <w:rsid w:val="00D26E53"/>
    <w:rsid w:val="00D271E5"/>
    <w:rsid w:val="00D272B2"/>
    <w:rsid w:val="00D27319"/>
    <w:rsid w:val="00D2755E"/>
    <w:rsid w:val="00D275B1"/>
    <w:rsid w:val="00D27DA1"/>
    <w:rsid w:val="00D30018"/>
    <w:rsid w:val="00D30268"/>
    <w:rsid w:val="00D30340"/>
    <w:rsid w:val="00D3071B"/>
    <w:rsid w:val="00D30F2D"/>
    <w:rsid w:val="00D317B2"/>
    <w:rsid w:val="00D31BB8"/>
    <w:rsid w:val="00D32450"/>
    <w:rsid w:val="00D3295B"/>
    <w:rsid w:val="00D3329C"/>
    <w:rsid w:val="00D333B0"/>
    <w:rsid w:val="00D33449"/>
    <w:rsid w:val="00D33758"/>
    <w:rsid w:val="00D34418"/>
    <w:rsid w:val="00D3449D"/>
    <w:rsid w:val="00D345BA"/>
    <w:rsid w:val="00D345C3"/>
    <w:rsid w:val="00D3463A"/>
    <w:rsid w:val="00D34809"/>
    <w:rsid w:val="00D35767"/>
    <w:rsid w:val="00D35985"/>
    <w:rsid w:val="00D35BC8"/>
    <w:rsid w:val="00D35F19"/>
    <w:rsid w:val="00D3669C"/>
    <w:rsid w:val="00D3678D"/>
    <w:rsid w:val="00D369F3"/>
    <w:rsid w:val="00D37DDD"/>
    <w:rsid w:val="00D37DF0"/>
    <w:rsid w:val="00D402CC"/>
    <w:rsid w:val="00D403B7"/>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7D2"/>
    <w:rsid w:val="00D47978"/>
    <w:rsid w:val="00D47E5F"/>
    <w:rsid w:val="00D500B9"/>
    <w:rsid w:val="00D50585"/>
    <w:rsid w:val="00D50CA2"/>
    <w:rsid w:val="00D5118A"/>
    <w:rsid w:val="00D517A7"/>
    <w:rsid w:val="00D5184A"/>
    <w:rsid w:val="00D51E2C"/>
    <w:rsid w:val="00D524D5"/>
    <w:rsid w:val="00D52CB8"/>
    <w:rsid w:val="00D531B1"/>
    <w:rsid w:val="00D53546"/>
    <w:rsid w:val="00D538E3"/>
    <w:rsid w:val="00D539F2"/>
    <w:rsid w:val="00D53BEF"/>
    <w:rsid w:val="00D53CFA"/>
    <w:rsid w:val="00D5480B"/>
    <w:rsid w:val="00D54D10"/>
    <w:rsid w:val="00D54DD2"/>
    <w:rsid w:val="00D55048"/>
    <w:rsid w:val="00D55470"/>
    <w:rsid w:val="00D561F6"/>
    <w:rsid w:val="00D56211"/>
    <w:rsid w:val="00D56B9A"/>
    <w:rsid w:val="00D570AD"/>
    <w:rsid w:val="00D57128"/>
    <w:rsid w:val="00D5772F"/>
    <w:rsid w:val="00D57853"/>
    <w:rsid w:val="00D57DDF"/>
    <w:rsid w:val="00D60604"/>
    <w:rsid w:val="00D606D0"/>
    <w:rsid w:val="00D60A68"/>
    <w:rsid w:val="00D61FAE"/>
    <w:rsid w:val="00D6217C"/>
    <w:rsid w:val="00D6228B"/>
    <w:rsid w:val="00D6253D"/>
    <w:rsid w:val="00D6289B"/>
    <w:rsid w:val="00D62EEE"/>
    <w:rsid w:val="00D63133"/>
    <w:rsid w:val="00D6390E"/>
    <w:rsid w:val="00D63DBC"/>
    <w:rsid w:val="00D6471F"/>
    <w:rsid w:val="00D648ED"/>
    <w:rsid w:val="00D64ADC"/>
    <w:rsid w:val="00D654BD"/>
    <w:rsid w:val="00D654E8"/>
    <w:rsid w:val="00D65A37"/>
    <w:rsid w:val="00D65B15"/>
    <w:rsid w:val="00D65BEB"/>
    <w:rsid w:val="00D6600F"/>
    <w:rsid w:val="00D66682"/>
    <w:rsid w:val="00D6680B"/>
    <w:rsid w:val="00D6685A"/>
    <w:rsid w:val="00D66A52"/>
    <w:rsid w:val="00D67639"/>
    <w:rsid w:val="00D67660"/>
    <w:rsid w:val="00D70859"/>
    <w:rsid w:val="00D716F8"/>
    <w:rsid w:val="00D7176F"/>
    <w:rsid w:val="00D719F8"/>
    <w:rsid w:val="00D71AB5"/>
    <w:rsid w:val="00D71DCF"/>
    <w:rsid w:val="00D72243"/>
    <w:rsid w:val="00D725F5"/>
    <w:rsid w:val="00D727A1"/>
    <w:rsid w:val="00D7293C"/>
    <w:rsid w:val="00D72CD7"/>
    <w:rsid w:val="00D72DAB"/>
    <w:rsid w:val="00D739C2"/>
    <w:rsid w:val="00D741BC"/>
    <w:rsid w:val="00D7477B"/>
    <w:rsid w:val="00D7487A"/>
    <w:rsid w:val="00D74AE4"/>
    <w:rsid w:val="00D7507A"/>
    <w:rsid w:val="00D75154"/>
    <w:rsid w:val="00D7555B"/>
    <w:rsid w:val="00D756AD"/>
    <w:rsid w:val="00D75754"/>
    <w:rsid w:val="00D75A3A"/>
    <w:rsid w:val="00D763C9"/>
    <w:rsid w:val="00D76F8D"/>
    <w:rsid w:val="00D77047"/>
    <w:rsid w:val="00D77246"/>
    <w:rsid w:val="00D778A4"/>
    <w:rsid w:val="00D77B70"/>
    <w:rsid w:val="00D77C9F"/>
    <w:rsid w:val="00D800CD"/>
    <w:rsid w:val="00D801A0"/>
    <w:rsid w:val="00D80C7B"/>
    <w:rsid w:val="00D810C1"/>
    <w:rsid w:val="00D8111B"/>
    <w:rsid w:val="00D811CF"/>
    <w:rsid w:val="00D811F5"/>
    <w:rsid w:val="00D813D4"/>
    <w:rsid w:val="00D81C56"/>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237"/>
    <w:rsid w:val="00D87471"/>
    <w:rsid w:val="00D87AB0"/>
    <w:rsid w:val="00D87C23"/>
    <w:rsid w:val="00D87DF9"/>
    <w:rsid w:val="00D87E90"/>
    <w:rsid w:val="00D87F1F"/>
    <w:rsid w:val="00D901CC"/>
    <w:rsid w:val="00D90D78"/>
    <w:rsid w:val="00D9145B"/>
    <w:rsid w:val="00D91A5A"/>
    <w:rsid w:val="00D91D02"/>
    <w:rsid w:val="00D91E50"/>
    <w:rsid w:val="00D9260D"/>
    <w:rsid w:val="00D92630"/>
    <w:rsid w:val="00D9276B"/>
    <w:rsid w:val="00D92B9C"/>
    <w:rsid w:val="00D92E8E"/>
    <w:rsid w:val="00D93605"/>
    <w:rsid w:val="00D938C3"/>
    <w:rsid w:val="00D93902"/>
    <w:rsid w:val="00D942B9"/>
    <w:rsid w:val="00D94560"/>
    <w:rsid w:val="00D94B21"/>
    <w:rsid w:val="00D94D40"/>
    <w:rsid w:val="00D94FFF"/>
    <w:rsid w:val="00D9562C"/>
    <w:rsid w:val="00D95ACE"/>
    <w:rsid w:val="00D95BF2"/>
    <w:rsid w:val="00D95E48"/>
    <w:rsid w:val="00D95EA5"/>
    <w:rsid w:val="00D95EDF"/>
    <w:rsid w:val="00D96B71"/>
    <w:rsid w:val="00D97308"/>
    <w:rsid w:val="00D9747C"/>
    <w:rsid w:val="00D97499"/>
    <w:rsid w:val="00D97567"/>
    <w:rsid w:val="00D97663"/>
    <w:rsid w:val="00D97712"/>
    <w:rsid w:val="00D97794"/>
    <w:rsid w:val="00D97A5E"/>
    <w:rsid w:val="00D97AA7"/>
    <w:rsid w:val="00D97BBC"/>
    <w:rsid w:val="00D97F67"/>
    <w:rsid w:val="00DA0443"/>
    <w:rsid w:val="00DA0665"/>
    <w:rsid w:val="00DA0696"/>
    <w:rsid w:val="00DA0AC9"/>
    <w:rsid w:val="00DA0C39"/>
    <w:rsid w:val="00DA12CE"/>
    <w:rsid w:val="00DA13AB"/>
    <w:rsid w:val="00DA1968"/>
    <w:rsid w:val="00DA1980"/>
    <w:rsid w:val="00DA1EB4"/>
    <w:rsid w:val="00DA1F88"/>
    <w:rsid w:val="00DA2736"/>
    <w:rsid w:val="00DA3248"/>
    <w:rsid w:val="00DA36F5"/>
    <w:rsid w:val="00DA39AE"/>
    <w:rsid w:val="00DA3C43"/>
    <w:rsid w:val="00DA47D5"/>
    <w:rsid w:val="00DA5132"/>
    <w:rsid w:val="00DA52E4"/>
    <w:rsid w:val="00DA576A"/>
    <w:rsid w:val="00DA589A"/>
    <w:rsid w:val="00DA5BD5"/>
    <w:rsid w:val="00DA5EFA"/>
    <w:rsid w:val="00DA6204"/>
    <w:rsid w:val="00DA6380"/>
    <w:rsid w:val="00DA6B1C"/>
    <w:rsid w:val="00DA7044"/>
    <w:rsid w:val="00DA797F"/>
    <w:rsid w:val="00DA7C57"/>
    <w:rsid w:val="00DA7EEB"/>
    <w:rsid w:val="00DA7F0A"/>
    <w:rsid w:val="00DB02F7"/>
    <w:rsid w:val="00DB05B6"/>
    <w:rsid w:val="00DB099F"/>
    <w:rsid w:val="00DB09AC"/>
    <w:rsid w:val="00DB0B10"/>
    <w:rsid w:val="00DB0EEF"/>
    <w:rsid w:val="00DB1CCB"/>
    <w:rsid w:val="00DB226E"/>
    <w:rsid w:val="00DB25B6"/>
    <w:rsid w:val="00DB2660"/>
    <w:rsid w:val="00DB2A3E"/>
    <w:rsid w:val="00DB2CA0"/>
    <w:rsid w:val="00DB2EDD"/>
    <w:rsid w:val="00DB35A0"/>
    <w:rsid w:val="00DB3C19"/>
    <w:rsid w:val="00DB3D1C"/>
    <w:rsid w:val="00DB3D34"/>
    <w:rsid w:val="00DB3D80"/>
    <w:rsid w:val="00DB3FDF"/>
    <w:rsid w:val="00DB41F2"/>
    <w:rsid w:val="00DB4619"/>
    <w:rsid w:val="00DB5046"/>
    <w:rsid w:val="00DB506A"/>
    <w:rsid w:val="00DB5112"/>
    <w:rsid w:val="00DB534F"/>
    <w:rsid w:val="00DB5EA3"/>
    <w:rsid w:val="00DB63E7"/>
    <w:rsid w:val="00DB675D"/>
    <w:rsid w:val="00DB77D6"/>
    <w:rsid w:val="00DB7D08"/>
    <w:rsid w:val="00DC03EF"/>
    <w:rsid w:val="00DC0830"/>
    <w:rsid w:val="00DC08E1"/>
    <w:rsid w:val="00DC0C6F"/>
    <w:rsid w:val="00DC13B6"/>
    <w:rsid w:val="00DC1556"/>
    <w:rsid w:val="00DC1FAB"/>
    <w:rsid w:val="00DC27B3"/>
    <w:rsid w:val="00DC2841"/>
    <w:rsid w:val="00DC2ADA"/>
    <w:rsid w:val="00DC2DAE"/>
    <w:rsid w:val="00DC2DF5"/>
    <w:rsid w:val="00DC35FF"/>
    <w:rsid w:val="00DC3793"/>
    <w:rsid w:val="00DC37C4"/>
    <w:rsid w:val="00DC3B6D"/>
    <w:rsid w:val="00DC3D79"/>
    <w:rsid w:val="00DC4403"/>
    <w:rsid w:val="00DC44FB"/>
    <w:rsid w:val="00DC4514"/>
    <w:rsid w:val="00DC4FB6"/>
    <w:rsid w:val="00DC5072"/>
    <w:rsid w:val="00DC52CC"/>
    <w:rsid w:val="00DC540E"/>
    <w:rsid w:val="00DC569B"/>
    <w:rsid w:val="00DC5A3A"/>
    <w:rsid w:val="00DC5BC2"/>
    <w:rsid w:val="00DC5E23"/>
    <w:rsid w:val="00DC5EDF"/>
    <w:rsid w:val="00DC5F2B"/>
    <w:rsid w:val="00DC5F4A"/>
    <w:rsid w:val="00DC63CE"/>
    <w:rsid w:val="00DC6736"/>
    <w:rsid w:val="00DC6B63"/>
    <w:rsid w:val="00DC6C95"/>
    <w:rsid w:val="00DC79D4"/>
    <w:rsid w:val="00DC7A6C"/>
    <w:rsid w:val="00DD044B"/>
    <w:rsid w:val="00DD05D1"/>
    <w:rsid w:val="00DD107B"/>
    <w:rsid w:val="00DD15ED"/>
    <w:rsid w:val="00DD19F5"/>
    <w:rsid w:val="00DD1DBD"/>
    <w:rsid w:val="00DD2C2C"/>
    <w:rsid w:val="00DD2C71"/>
    <w:rsid w:val="00DD2FDD"/>
    <w:rsid w:val="00DD3B94"/>
    <w:rsid w:val="00DD3FEB"/>
    <w:rsid w:val="00DD4952"/>
    <w:rsid w:val="00DD53FC"/>
    <w:rsid w:val="00DD5473"/>
    <w:rsid w:val="00DD6100"/>
    <w:rsid w:val="00DD6BF0"/>
    <w:rsid w:val="00DD6E56"/>
    <w:rsid w:val="00DD7311"/>
    <w:rsid w:val="00DD73AF"/>
    <w:rsid w:val="00DD74BB"/>
    <w:rsid w:val="00DD755E"/>
    <w:rsid w:val="00DD791E"/>
    <w:rsid w:val="00DD7D99"/>
    <w:rsid w:val="00DD7FB2"/>
    <w:rsid w:val="00DE02DD"/>
    <w:rsid w:val="00DE0326"/>
    <w:rsid w:val="00DE04B5"/>
    <w:rsid w:val="00DE0931"/>
    <w:rsid w:val="00DE0BD4"/>
    <w:rsid w:val="00DE0E34"/>
    <w:rsid w:val="00DE0F3F"/>
    <w:rsid w:val="00DE123D"/>
    <w:rsid w:val="00DE2576"/>
    <w:rsid w:val="00DE2ACB"/>
    <w:rsid w:val="00DE33D8"/>
    <w:rsid w:val="00DE3403"/>
    <w:rsid w:val="00DE3576"/>
    <w:rsid w:val="00DE35F4"/>
    <w:rsid w:val="00DE3C95"/>
    <w:rsid w:val="00DE3E27"/>
    <w:rsid w:val="00DE3E85"/>
    <w:rsid w:val="00DE3EFC"/>
    <w:rsid w:val="00DE4070"/>
    <w:rsid w:val="00DE44C8"/>
    <w:rsid w:val="00DE4CB0"/>
    <w:rsid w:val="00DE52AC"/>
    <w:rsid w:val="00DE56B7"/>
    <w:rsid w:val="00DE5CE2"/>
    <w:rsid w:val="00DE5EEB"/>
    <w:rsid w:val="00DE61A7"/>
    <w:rsid w:val="00DE61A9"/>
    <w:rsid w:val="00DE657F"/>
    <w:rsid w:val="00DE6A15"/>
    <w:rsid w:val="00DE730C"/>
    <w:rsid w:val="00DE7312"/>
    <w:rsid w:val="00DE734F"/>
    <w:rsid w:val="00DE7FE3"/>
    <w:rsid w:val="00DF03F6"/>
    <w:rsid w:val="00DF0883"/>
    <w:rsid w:val="00DF0A0D"/>
    <w:rsid w:val="00DF0E92"/>
    <w:rsid w:val="00DF1865"/>
    <w:rsid w:val="00DF1AC5"/>
    <w:rsid w:val="00DF1CF7"/>
    <w:rsid w:val="00DF1E45"/>
    <w:rsid w:val="00DF1EC7"/>
    <w:rsid w:val="00DF1EE7"/>
    <w:rsid w:val="00DF1F92"/>
    <w:rsid w:val="00DF23FB"/>
    <w:rsid w:val="00DF2537"/>
    <w:rsid w:val="00DF2654"/>
    <w:rsid w:val="00DF2B23"/>
    <w:rsid w:val="00DF2DDE"/>
    <w:rsid w:val="00DF313A"/>
    <w:rsid w:val="00DF3196"/>
    <w:rsid w:val="00DF3716"/>
    <w:rsid w:val="00DF37BF"/>
    <w:rsid w:val="00DF39C3"/>
    <w:rsid w:val="00DF3CCC"/>
    <w:rsid w:val="00DF3DD0"/>
    <w:rsid w:val="00DF404C"/>
    <w:rsid w:val="00DF495D"/>
    <w:rsid w:val="00DF4F52"/>
    <w:rsid w:val="00DF56C4"/>
    <w:rsid w:val="00DF5913"/>
    <w:rsid w:val="00DF5B03"/>
    <w:rsid w:val="00DF5D8D"/>
    <w:rsid w:val="00DF6397"/>
    <w:rsid w:val="00DF66FD"/>
    <w:rsid w:val="00DF67B7"/>
    <w:rsid w:val="00DF6D3F"/>
    <w:rsid w:val="00DF6DF5"/>
    <w:rsid w:val="00DF6FB1"/>
    <w:rsid w:val="00DF6FB9"/>
    <w:rsid w:val="00DF7332"/>
    <w:rsid w:val="00DF735D"/>
    <w:rsid w:val="00DF7626"/>
    <w:rsid w:val="00E000F1"/>
    <w:rsid w:val="00E009CB"/>
    <w:rsid w:val="00E00BDA"/>
    <w:rsid w:val="00E00CAE"/>
    <w:rsid w:val="00E00D3E"/>
    <w:rsid w:val="00E00E6D"/>
    <w:rsid w:val="00E01535"/>
    <w:rsid w:val="00E01A8A"/>
    <w:rsid w:val="00E029A7"/>
    <w:rsid w:val="00E02DD0"/>
    <w:rsid w:val="00E02F12"/>
    <w:rsid w:val="00E0334E"/>
    <w:rsid w:val="00E03447"/>
    <w:rsid w:val="00E034D2"/>
    <w:rsid w:val="00E038CC"/>
    <w:rsid w:val="00E03A87"/>
    <w:rsid w:val="00E03FE1"/>
    <w:rsid w:val="00E04B17"/>
    <w:rsid w:val="00E04BF5"/>
    <w:rsid w:val="00E05291"/>
    <w:rsid w:val="00E05305"/>
    <w:rsid w:val="00E0568A"/>
    <w:rsid w:val="00E0581D"/>
    <w:rsid w:val="00E05826"/>
    <w:rsid w:val="00E05CB2"/>
    <w:rsid w:val="00E06262"/>
    <w:rsid w:val="00E0642C"/>
    <w:rsid w:val="00E06A21"/>
    <w:rsid w:val="00E06A34"/>
    <w:rsid w:val="00E06BFB"/>
    <w:rsid w:val="00E06F07"/>
    <w:rsid w:val="00E07835"/>
    <w:rsid w:val="00E079AF"/>
    <w:rsid w:val="00E07AC8"/>
    <w:rsid w:val="00E07BDC"/>
    <w:rsid w:val="00E07EA4"/>
    <w:rsid w:val="00E1078C"/>
    <w:rsid w:val="00E10DD1"/>
    <w:rsid w:val="00E11416"/>
    <w:rsid w:val="00E11662"/>
    <w:rsid w:val="00E118C7"/>
    <w:rsid w:val="00E11CC1"/>
    <w:rsid w:val="00E11CD4"/>
    <w:rsid w:val="00E12775"/>
    <w:rsid w:val="00E12937"/>
    <w:rsid w:val="00E12987"/>
    <w:rsid w:val="00E12FD4"/>
    <w:rsid w:val="00E1378A"/>
    <w:rsid w:val="00E13A68"/>
    <w:rsid w:val="00E13AD8"/>
    <w:rsid w:val="00E13E43"/>
    <w:rsid w:val="00E13EED"/>
    <w:rsid w:val="00E141E7"/>
    <w:rsid w:val="00E148AF"/>
    <w:rsid w:val="00E14DEA"/>
    <w:rsid w:val="00E14E35"/>
    <w:rsid w:val="00E152A2"/>
    <w:rsid w:val="00E15D51"/>
    <w:rsid w:val="00E16321"/>
    <w:rsid w:val="00E168F0"/>
    <w:rsid w:val="00E16EAA"/>
    <w:rsid w:val="00E16F03"/>
    <w:rsid w:val="00E170EF"/>
    <w:rsid w:val="00E174C7"/>
    <w:rsid w:val="00E177BC"/>
    <w:rsid w:val="00E179AB"/>
    <w:rsid w:val="00E17D5F"/>
    <w:rsid w:val="00E2039A"/>
    <w:rsid w:val="00E20622"/>
    <w:rsid w:val="00E20745"/>
    <w:rsid w:val="00E21CC4"/>
    <w:rsid w:val="00E21E66"/>
    <w:rsid w:val="00E22302"/>
    <w:rsid w:val="00E230FC"/>
    <w:rsid w:val="00E2352F"/>
    <w:rsid w:val="00E23AE7"/>
    <w:rsid w:val="00E23AF1"/>
    <w:rsid w:val="00E2411A"/>
    <w:rsid w:val="00E24264"/>
    <w:rsid w:val="00E24727"/>
    <w:rsid w:val="00E24CF0"/>
    <w:rsid w:val="00E24DB4"/>
    <w:rsid w:val="00E254C4"/>
    <w:rsid w:val="00E25B75"/>
    <w:rsid w:val="00E2611F"/>
    <w:rsid w:val="00E261C2"/>
    <w:rsid w:val="00E26215"/>
    <w:rsid w:val="00E2624C"/>
    <w:rsid w:val="00E26401"/>
    <w:rsid w:val="00E27914"/>
    <w:rsid w:val="00E279C6"/>
    <w:rsid w:val="00E27B17"/>
    <w:rsid w:val="00E30F23"/>
    <w:rsid w:val="00E31516"/>
    <w:rsid w:val="00E316D8"/>
    <w:rsid w:val="00E31C2B"/>
    <w:rsid w:val="00E31EE9"/>
    <w:rsid w:val="00E31F77"/>
    <w:rsid w:val="00E320EE"/>
    <w:rsid w:val="00E32E84"/>
    <w:rsid w:val="00E32FB1"/>
    <w:rsid w:val="00E33E05"/>
    <w:rsid w:val="00E33E6A"/>
    <w:rsid w:val="00E344E4"/>
    <w:rsid w:val="00E35061"/>
    <w:rsid w:val="00E35BAD"/>
    <w:rsid w:val="00E36130"/>
    <w:rsid w:val="00E3618A"/>
    <w:rsid w:val="00E361E6"/>
    <w:rsid w:val="00E36533"/>
    <w:rsid w:val="00E36A79"/>
    <w:rsid w:val="00E36C40"/>
    <w:rsid w:val="00E37188"/>
    <w:rsid w:val="00E37466"/>
    <w:rsid w:val="00E37D35"/>
    <w:rsid w:val="00E37E1D"/>
    <w:rsid w:val="00E4026F"/>
    <w:rsid w:val="00E40750"/>
    <w:rsid w:val="00E411D9"/>
    <w:rsid w:val="00E41993"/>
    <w:rsid w:val="00E41EDE"/>
    <w:rsid w:val="00E4201F"/>
    <w:rsid w:val="00E43067"/>
    <w:rsid w:val="00E4336A"/>
    <w:rsid w:val="00E4347B"/>
    <w:rsid w:val="00E434E5"/>
    <w:rsid w:val="00E436BE"/>
    <w:rsid w:val="00E43CC1"/>
    <w:rsid w:val="00E443B3"/>
    <w:rsid w:val="00E44443"/>
    <w:rsid w:val="00E444F5"/>
    <w:rsid w:val="00E44586"/>
    <w:rsid w:val="00E447EA"/>
    <w:rsid w:val="00E44B18"/>
    <w:rsid w:val="00E44D87"/>
    <w:rsid w:val="00E44F49"/>
    <w:rsid w:val="00E45866"/>
    <w:rsid w:val="00E45DDA"/>
    <w:rsid w:val="00E45FB1"/>
    <w:rsid w:val="00E4675C"/>
    <w:rsid w:val="00E468E3"/>
    <w:rsid w:val="00E468EB"/>
    <w:rsid w:val="00E46F8B"/>
    <w:rsid w:val="00E470F3"/>
    <w:rsid w:val="00E47100"/>
    <w:rsid w:val="00E4770F"/>
    <w:rsid w:val="00E478F5"/>
    <w:rsid w:val="00E4790E"/>
    <w:rsid w:val="00E50382"/>
    <w:rsid w:val="00E50E19"/>
    <w:rsid w:val="00E50F38"/>
    <w:rsid w:val="00E514E3"/>
    <w:rsid w:val="00E5184B"/>
    <w:rsid w:val="00E51AF9"/>
    <w:rsid w:val="00E52082"/>
    <w:rsid w:val="00E5234E"/>
    <w:rsid w:val="00E52DE3"/>
    <w:rsid w:val="00E53ADF"/>
    <w:rsid w:val="00E53BCD"/>
    <w:rsid w:val="00E5409A"/>
    <w:rsid w:val="00E54D85"/>
    <w:rsid w:val="00E55AC1"/>
    <w:rsid w:val="00E56178"/>
    <w:rsid w:val="00E5660D"/>
    <w:rsid w:val="00E56B40"/>
    <w:rsid w:val="00E56CE6"/>
    <w:rsid w:val="00E56D71"/>
    <w:rsid w:val="00E5706E"/>
    <w:rsid w:val="00E5717B"/>
    <w:rsid w:val="00E571CA"/>
    <w:rsid w:val="00E578E2"/>
    <w:rsid w:val="00E5799B"/>
    <w:rsid w:val="00E60103"/>
    <w:rsid w:val="00E60556"/>
    <w:rsid w:val="00E60F93"/>
    <w:rsid w:val="00E61AEC"/>
    <w:rsid w:val="00E61BCF"/>
    <w:rsid w:val="00E61E30"/>
    <w:rsid w:val="00E62624"/>
    <w:rsid w:val="00E63D14"/>
    <w:rsid w:val="00E64905"/>
    <w:rsid w:val="00E64A11"/>
    <w:rsid w:val="00E64CC9"/>
    <w:rsid w:val="00E64D2A"/>
    <w:rsid w:val="00E64DCE"/>
    <w:rsid w:val="00E654A3"/>
    <w:rsid w:val="00E65661"/>
    <w:rsid w:val="00E65977"/>
    <w:rsid w:val="00E65A63"/>
    <w:rsid w:val="00E65D1E"/>
    <w:rsid w:val="00E65E68"/>
    <w:rsid w:val="00E661E7"/>
    <w:rsid w:val="00E66A4B"/>
    <w:rsid w:val="00E66DDE"/>
    <w:rsid w:val="00E66F30"/>
    <w:rsid w:val="00E66F70"/>
    <w:rsid w:val="00E670F9"/>
    <w:rsid w:val="00E671AC"/>
    <w:rsid w:val="00E67931"/>
    <w:rsid w:val="00E7013C"/>
    <w:rsid w:val="00E704CD"/>
    <w:rsid w:val="00E711FC"/>
    <w:rsid w:val="00E7174F"/>
    <w:rsid w:val="00E72968"/>
    <w:rsid w:val="00E72E67"/>
    <w:rsid w:val="00E72FAF"/>
    <w:rsid w:val="00E7342B"/>
    <w:rsid w:val="00E73908"/>
    <w:rsid w:val="00E73F5A"/>
    <w:rsid w:val="00E7400C"/>
    <w:rsid w:val="00E74094"/>
    <w:rsid w:val="00E74352"/>
    <w:rsid w:val="00E743D6"/>
    <w:rsid w:val="00E745E9"/>
    <w:rsid w:val="00E74644"/>
    <w:rsid w:val="00E749E2"/>
    <w:rsid w:val="00E74E1E"/>
    <w:rsid w:val="00E74E26"/>
    <w:rsid w:val="00E75213"/>
    <w:rsid w:val="00E75522"/>
    <w:rsid w:val="00E757C4"/>
    <w:rsid w:val="00E75952"/>
    <w:rsid w:val="00E75955"/>
    <w:rsid w:val="00E75969"/>
    <w:rsid w:val="00E75F10"/>
    <w:rsid w:val="00E75FEE"/>
    <w:rsid w:val="00E76492"/>
    <w:rsid w:val="00E7685C"/>
    <w:rsid w:val="00E76BB5"/>
    <w:rsid w:val="00E76D40"/>
    <w:rsid w:val="00E76D85"/>
    <w:rsid w:val="00E76E5B"/>
    <w:rsid w:val="00E7705E"/>
    <w:rsid w:val="00E77892"/>
    <w:rsid w:val="00E801F2"/>
    <w:rsid w:val="00E80B65"/>
    <w:rsid w:val="00E80E9E"/>
    <w:rsid w:val="00E8175D"/>
    <w:rsid w:val="00E82548"/>
    <w:rsid w:val="00E8280C"/>
    <w:rsid w:val="00E82A2A"/>
    <w:rsid w:val="00E83330"/>
    <w:rsid w:val="00E8338B"/>
    <w:rsid w:val="00E834A1"/>
    <w:rsid w:val="00E8384D"/>
    <w:rsid w:val="00E84093"/>
    <w:rsid w:val="00E84639"/>
    <w:rsid w:val="00E84C2A"/>
    <w:rsid w:val="00E85926"/>
    <w:rsid w:val="00E85C51"/>
    <w:rsid w:val="00E85FCB"/>
    <w:rsid w:val="00E8622D"/>
    <w:rsid w:val="00E8627F"/>
    <w:rsid w:val="00E86413"/>
    <w:rsid w:val="00E86502"/>
    <w:rsid w:val="00E870C7"/>
    <w:rsid w:val="00E8752B"/>
    <w:rsid w:val="00E876B3"/>
    <w:rsid w:val="00E879DA"/>
    <w:rsid w:val="00E87AC4"/>
    <w:rsid w:val="00E90843"/>
    <w:rsid w:val="00E9098F"/>
    <w:rsid w:val="00E909D6"/>
    <w:rsid w:val="00E91353"/>
    <w:rsid w:val="00E915C8"/>
    <w:rsid w:val="00E91699"/>
    <w:rsid w:val="00E91E54"/>
    <w:rsid w:val="00E91F3D"/>
    <w:rsid w:val="00E91F54"/>
    <w:rsid w:val="00E92466"/>
    <w:rsid w:val="00E927B0"/>
    <w:rsid w:val="00E929F0"/>
    <w:rsid w:val="00E92C80"/>
    <w:rsid w:val="00E92EB3"/>
    <w:rsid w:val="00E92FBE"/>
    <w:rsid w:val="00E933D4"/>
    <w:rsid w:val="00E93454"/>
    <w:rsid w:val="00E93923"/>
    <w:rsid w:val="00E93BB9"/>
    <w:rsid w:val="00E93CDD"/>
    <w:rsid w:val="00E94402"/>
    <w:rsid w:val="00E94CE2"/>
    <w:rsid w:val="00E94D33"/>
    <w:rsid w:val="00E94FC2"/>
    <w:rsid w:val="00E955AC"/>
    <w:rsid w:val="00E956F3"/>
    <w:rsid w:val="00E95BBF"/>
    <w:rsid w:val="00E95CA1"/>
    <w:rsid w:val="00E9640A"/>
    <w:rsid w:val="00E96ACF"/>
    <w:rsid w:val="00E96B66"/>
    <w:rsid w:val="00E96F9D"/>
    <w:rsid w:val="00E972BD"/>
    <w:rsid w:val="00E97481"/>
    <w:rsid w:val="00E976A4"/>
    <w:rsid w:val="00E97732"/>
    <w:rsid w:val="00E97835"/>
    <w:rsid w:val="00EA0030"/>
    <w:rsid w:val="00EA0725"/>
    <w:rsid w:val="00EA091B"/>
    <w:rsid w:val="00EA09CB"/>
    <w:rsid w:val="00EA0BEE"/>
    <w:rsid w:val="00EA101C"/>
    <w:rsid w:val="00EA109C"/>
    <w:rsid w:val="00EA116F"/>
    <w:rsid w:val="00EA1366"/>
    <w:rsid w:val="00EA1404"/>
    <w:rsid w:val="00EA1504"/>
    <w:rsid w:val="00EA15B9"/>
    <w:rsid w:val="00EA197F"/>
    <w:rsid w:val="00EA1FF3"/>
    <w:rsid w:val="00EA2529"/>
    <w:rsid w:val="00EA27A2"/>
    <w:rsid w:val="00EA329B"/>
    <w:rsid w:val="00EA408D"/>
    <w:rsid w:val="00EA43A3"/>
    <w:rsid w:val="00EA4777"/>
    <w:rsid w:val="00EA4848"/>
    <w:rsid w:val="00EA5284"/>
    <w:rsid w:val="00EA619F"/>
    <w:rsid w:val="00EA6B6D"/>
    <w:rsid w:val="00EA7479"/>
    <w:rsid w:val="00EA75E6"/>
    <w:rsid w:val="00EA7642"/>
    <w:rsid w:val="00EA76AC"/>
    <w:rsid w:val="00EA7711"/>
    <w:rsid w:val="00EB02E2"/>
    <w:rsid w:val="00EB0FD0"/>
    <w:rsid w:val="00EB149F"/>
    <w:rsid w:val="00EB15A2"/>
    <w:rsid w:val="00EB18C5"/>
    <w:rsid w:val="00EB1929"/>
    <w:rsid w:val="00EB1C36"/>
    <w:rsid w:val="00EB1F8D"/>
    <w:rsid w:val="00EB2037"/>
    <w:rsid w:val="00EB2094"/>
    <w:rsid w:val="00EB2519"/>
    <w:rsid w:val="00EB2B4C"/>
    <w:rsid w:val="00EB2C1D"/>
    <w:rsid w:val="00EB2D45"/>
    <w:rsid w:val="00EB33AE"/>
    <w:rsid w:val="00EB39B5"/>
    <w:rsid w:val="00EB3EFE"/>
    <w:rsid w:val="00EB40AF"/>
    <w:rsid w:val="00EB46A3"/>
    <w:rsid w:val="00EB55A7"/>
    <w:rsid w:val="00EB591A"/>
    <w:rsid w:val="00EB5A3D"/>
    <w:rsid w:val="00EB611E"/>
    <w:rsid w:val="00EB6258"/>
    <w:rsid w:val="00EB72BC"/>
    <w:rsid w:val="00EB733C"/>
    <w:rsid w:val="00EB7629"/>
    <w:rsid w:val="00EB7E05"/>
    <w:rsid w:val="00EB7EF0"/>
    <w:rsid w:val="00EB7EF1"/>
    <w:rsid w:val="00EC033D"/>
    <w:rsid w:val="00EC092D"/>
    <w:rsid w:val="00EC096C"/>
    <w:rsid w:val="00EC09CC"/>
    <w:rsid w:val="00EC0FA5"/>
    <w:rsid w:val="00EC124F"/>
    <w:rsid w:val="00EC245D"/>
    <w:rsid w:val="00EC2858"/>
    <w:rsid w:val="00EC288D"/>
    <w:rsid w:val="00EC2893"/>
    <w:rsid w:val="00EC2B7F"/>
    <w:rsid w:val="00EC32EA"/>
    <w:rsid w:val="00EC36FE"/>
    <w:rsid w:val="00EC3CD9"/>
    <w:rsid w:val="00EC3CF8"/>
    <w:rsid w:val="00EC3D62"/>
    <w:rsid w:val="00EC439D"/>
    <w:rsid w:val="00EC46FB"/>
    <w:rsid w:val="00EC488D"/>
    <w:rsid w:val="00EC49A0"/>
    <w:rsid w:val="00EC591E"/>
    <w:rsid w:val="00EC594C"/>
    <w:rsid w:val="00EC5B05"/>
    <w:rsid w:val="00EC5C6E"/>
    <w:rsid w:val="00EC5F73"/>
    <w:rsid w:val="00EC6106"/>
    <w:rsid w:val="00EC61E0"/>
    <w:rsid w:val="00EC662D"/>
    <w:rsid w:val="00EC6CDA"/>
    <w:rsid w:val="00EC6E3B"/>
    <w:rsid w:val="00EC7B57"/>
    <w:rsid w:val="00ED050D"/>
    <w:rsid w:val="00ED087A"/>
    <w:rsid w:val="00ED09B8"/>
    <w:rsid w:val="00ED22E0"/>
    <w:rsid w:val="00ED2C77"/>
    <w:rsid w:val="00ED2CA4"/>
    <w:rsid w:val="00ED2CC8"/>
    <w:rsid w:val="00ED3164"/>
    <w:rsid w:val="00ED326C"/>
    <w:rsid w:val="00ED33A1"/>
    <w:rsid w:val="00ED35FA"/>
    <w:rsid w:val="00ED3666"/>
    <w:rsid w:val="00ED3A09"/>
    <w:rsid w:val="00ED3A45"/>
    <w:rsid w:val="00ED4494"/>
    <w:rsid w:val="00ED48DE"/>
    <w:rsid w:val="00ED4CF4"/>
    <w:rsid w:val="00ED513F"/>
    <w:rsid w:val="00ED52A5"/>
    <w:rsid w:val="00ED5539"/>
    <w:rsid w:val="00ED56EB"/>
    <w:rsid w:val="00ED599F"/>
    <w:rsid w:val="00ED5A9D"/>
    <w:rsid w:val="00ED5F94"/>
    <w:rsid w:val="00ED6179"/>
    <w:rsid w:val="00ED6AFD"/>
    <w:rsid w:val="00ED6CBF"/>
    <w:rsid w:val="00ED6E93"/>
    <w:rsid w:val="00ED763D"/>
    <w:rsid w:val="00ED76B2"/>
    <w:rsid w:val="00ED76B6"/>
    <w:rsid w:val="00ED7B7B"/>
    <w:rsid w:val="00ED7B8A"/>
    <w:rsid w:val="00EE082F"/>
    <w:rsid w:val="00EE0DDF"/>
    <w:rsid w:val="00EE0F73"/>
    <w:rsid w:val="00EE11D2"/>
    <w:rsid w:val="00EE13EC"/>
    <w:rsid w:val="00EE1449"/>
    <w:rsid w:val="00EE1697"/>
    <w:rsid w:val="00EE1BF3"/>
    <w:rsid w:val="00EE2034"/>
    <w:rsid w:val="00EE2578"/>
    <w:rsid w:val="00EE2732"/>
    <w:rsid w:val="00EE300D"/>
    <w:rsid w:val="00EE326E"/>
    <w:rsid w:val="00EE3456"/>
    <w:rsid w:val="00EE3842"/>
    <w:rsid w:val="00EE47B3"/>
    <w:rsid w:val="00EE4D70"/>
    <w:rsid w:val="00EE4FF5"/>
    <w:rsid w:val="00EE521D"/>
    <w:rsid w:val="00EE57E7"/>
    <w:rsid w:val="00EE59CC"/>
    <w:rsid w:val="00EE6450"/>
    <w:rsid w:val="00EE64AC"/>
    <w:rsid w:val="00EE6632"/>
    <w:rsid w:val="00EE6B41"/>
    <w:rsid w:val="00EE75D4"/>
    <w:rsid w:val="00EE7E53"/>
    <w:rsid w:val="00EF02E6"/>
    <w:rsid w:val="00EF052F"/>
    <w:rsid w:val="00EF05F4"/>
    <w:rsid w:val="00EF07DB"/>
    <w:rsid w:val="00EF140E"/>
    <w:rsid w:val="00EF151E"/>
    <w:rsid w:val="00EF1878"/>
    <w:rsid w:val="00EF1B03"/>
    <w:rsid w:val="00EF1BDB"/>
    <w:rsid w:val="00EF2922"/>
    <w:rsid w:val="00EF2C83"/>
    <w:rsid w:val="00EF2D87"/>
    <w:rsid w:val="00EF2DB4"/>
    <w:rsid w:val="00EF2E32"/>
    <w:rsid w:val="00EF2F56"/>
    <w:rsid w:val="00EF32AC"/>
    <w:rsid w:val="00EF37C6"/>
    <w:rsid w:val="00EF383D"/>
    <w:rsid w:val="00EF38B6"/>
    <w:rsid w:val="00EF3AA0"/>
    <w:rsid w:val="00EF4E32"/>
    <w:rsid w:val="00EF521E"/>
    <w:rsid w:val="00EF5326"/>
    <w:rsid w:val="00EF5734"/>
    <w:rsid w:val="00EF5937"/>
    <w:rsid w:val="00EF61CD"/>
    <w:rsid w:val="00EF635B"/>
    <w:rsid w:val="00EF6780"/>
    <w:rsid w:val="00EF7226"/>
    <w:rsid w:val="00EF73E5"/>
    <w:rsid w:val="00EF740D"/>
    <w:rsid w:val="00EF7543"/>
    <w:rsid w:val="00EF7932"/>
    <w:rsid w:val="00EF7CFD"/>
    <w:rsid w:val="00EF7E6E"/>
    <w:rsid w:val="00EF7EA7"/>
    <w:rsid w:val="00F00345"/>
    <w:rsid w:val="00F0067B"/>
    <w:rsid w:val="00F00C18"/>
    <w:rsid w:val="00F00C2C"/>
    <w:rsid w:val="00F015CC"/>
    <w:rsid w:val="00F01603"/>
    <w:rsid w:val="00F0197A"/>
    <w:rsid w:val="00F01C62"/>
    <w:rsid w:val="00F01CB2"/>
    <w:rsid w:val="00F02520"/>
    <w:rsid w:val="00F02F4C"/>
    <w:rsid w:val="00F03016"/>
    <w:rsid w:val="00F0416B"/>
    <w:rsid w:val="00F048AE"/>
    <w:rsid w:val="00F049DB"/>
    <w:rsid w:val="00F04D07"/>
    <w:rsid w:val="00F04EF2"/>
    <w:rsid w:val="00F05631"/>
    <w:rsid w:val="00F05929"/>
    <w:rsid w:val="00F06061"/>
    <w:rsid w:val="00F0617F"/>
    <w:rsid w:val="00F06343"/>
    <w:rsid w:val="00F064D6"/>
    <w:rsid w:val="00F0680F"/>
    <w:rsid w:val="00F06975"/>
    <w:rsid w:val="00F0769A"/>
    <w:rsid w:val="00F07DAD"/>
    <w:rsid w:val="00F07FCB"/>
    <w:rsid w:val="00F100B0"/>
    <w:rsid w:val="00F106C7"/>
    <w:rsid w:val="00F10911"/>
    <w:rsid w:val="00F110E8"/>
    <w:rsid w:val="00F116FC"/>
    <w:rsid w:val="00F11700"/>
    <w:rsid w:val="00F117C2"/>
    <w:rsid w:val="00F11BAD"/>
    <w:rsid w:val="00F121AE"/>
    <w:rsid w:val="00F12536"/>
    <w:rsid w:val="00F12BFC"/>
    <w:rsid w:val="00F12CCF"/>
    <w:rsid w:val="00F12D62"/>
    <w:rsid w:val="00F133FD"/>
    <w:rsid w:val="00F135CD"/>
    <w:rsid w:val="00F13794"/>
    <w:rsid w:val="00F142C3"/>
    <w:rsid w:val="00F148E1"/>
    <w:rsid w:val="00F14B21"/>
    <w:rsid w:val="00F14EA6"/>
    <w:rsid w:val="00F14F09"/>
    <w:rsid w:val="00F15607"/>
    <w:rsid w:val="00F1589C"/>
    <w:rsid w:val="00F15DFC"/>
    <w:rsid w:val="00F161C4"/>
    <w:rsid w:val="00F1678E"/>
    <w:rsid w:val="00F167CB"/>
    <w:rsid w:val="00F16871"/>
    <w:rsid w:val="00F16E67"/>
    <w:rsid w:val="00F17078"/>
    <w:rsid w:val="00F17081"/>
    <w:rsid w:val="00F17568"/>
    <w:rsid w:val="00F175AC"/>
    <w:rsid w:val="00F201D1"/>
    <w:rsid w:val="00F2081A"/>
    <w:rsid w:val="00F20D23"/>
    <w:rsid w:val="00F212BC"/>
    <w:rsid w:val="00F21477"/>
    <w:rsid w:val="00F21701"/>
    <w:rsid w:val="00F21A83"/>
    <w:rsid w:val="00F21C3A"/>
    <w:rsid w:val="00F220F0"/>
    <w:rsid w:val="00F22FAF"/>
    <w:rsid w:val="00F23376"/>
    <w:rsid w:val="00F2342D"/>
    <w:rsid w:val="00F237A3"/>
    <w:rsid w:val="00F2391B"/>
    <w:rsid w:val="00F239E2"/>
    <w:rsid w:val="00F243E5"/>
    <w:rsid w:val="00F244FA"/>
    <w:rsid w:val="00F248AC"/>
    <w:rsid w:val="00F250E5"/>
    <w:rsid w:val="00F2518B"/>
    <w:rsid w:val="00F255FB"/>
    <w:rsid w:val="00F258D4"/>
    <w:rsid w:val="00F259B9"/>
    <w:rsid w:val="00F25D4F"/>
    <w:rsid w:val="00F26313"/>
    <w:rsid w:val="00F263F0"/>
    <w:rsid w:val="00F267CF"/>
    <w:rsid w:val="00F26E98"/>
    <w:rsid w:val="00F27532"/>
    <w:rsid w:val="00F27589"/>
    <w:rsid w:val="00F30735"/>
    <w:rsid w:val="00F3145D"/>
    <w:rsid w:val="00F31664"/>
    <w:rsid w:val="00F31719"/>
    <w:rsid w:val="00F31CD7"/>
    <w:rsid w:val="00F32826"/>
    <w:rsid w:val="00F32AB1"/>
    <w:rsid w:val="00F32D4C"/>
    <w:rsid w:val="00F32F90"/>
    <w:rsid w:val="00F33144"/>
    <w:rsid w:val="00F3336D"/>
    <w:rsid w:val="00F33891"/>
    <w:rsid w:val="00F340C4"/>
    <w:rsid w:val="00F34BD3"/>
    <w:rsid w:val="00F34DF0"/>
    <w:rsid w:val="00F35301"/>
    <w:rsid w:val="00F3542B"/>
    <w:rsid w:val="00F3573D"/>
    <w:rsid w:val="00F359B0"/>
    <w:rsid w:val="00F35D18"/>
    <w:rsid w:val="00F36343"/>
    <w:rsid w:val="00F3676B"/>
    <w:rsid w:val="00F36EA1"/>
    <w:rsid w:val="00F3722E"/>
    <w:rsid w:val="00F37AB7"/>
    <w:rsid w:val="00F37BFA"/>
    <w:rsid w:val="00F37C2B"/>
    <w:rsid w:val="00F40231"/>
    <w:rsid w:val="00F40326"/>
    <w:rsid w:val="00F40528"/>
    <w:rsid w:val="00F4097C"/>
    <w:rsid w:val="00F40E06"/>
    <w:rsid w:val="00F41513"/>
    <w:rsid w:val="00F41786"/>
    <w:rsid w:val="00F41AE7"/>
    <w:rsid w:val="00F41E49"/>
    <w:rsid w:val="00F42031"/>
    <w:rsid w:val="00F42509"/>
    <w:rsid w:val="00F42555"/>
    <w:rsid w:val="00F4294A"/>
    <w:rsid w:val="00F42EE4"/>
    <w:rsid w:val="00F42EE8"/>
    <w:rsid w:val="00F43DBB"/>
    <w:rsid w:val="00F44123"/>
    <w:rsid w:val="00F443A2"/>
    <w:rsid w:val="00F44565"/>
    <w:rsid w:val="00F450B4"/>
    <w:rsid w:val="00F45577"/>
    <w:rsid w:val="00F45760"/>
    <w:rsid w:val="00F45A5F"/>
    <w:rsid w:val="00F45C0A"/>
    <w:rsid w:val="00F45C2B"/>
    <w:rsid w:val="00F45DFF"/>
    <w:rsid w:val="00F462E1"/>
    <w:rsid w:val="00F46408"/>
    <w:rsid w:val="00F46454"/>
    <w:rsid w:val="00F465AB"/>
    <w:rsid w:val="00F4672C"/>
    <w:rsid w:val="00F469D4"/>
    <w:rsid w:val="00F47A38"/>
    <w:rsid w:val="00F47BFF"/>
    <w:rsid w:val="00F47CC6"/>
    <w:rsid w:val="00F47F34"/>
    <w:rsid w:val="00F504BE"/>
    <w:rsid w:val="00F508DD"/>
    <w:rsid w:val="00F50CC1"/>
    <w:rsid w:val="00F50EF3"/>
    <w:rsid w:val="00F51B4B"/>
    <w:rsid w:val="00F51FF5"/>
    <w:rsid w:val="00F5238B"/>
    <w:rsid w:val="00F52808"/>
    <w:rsid w:val="00F5381E"/>
    <w:rsid w:val="00F53987"/>
    <w:rsid w:val="00F53AB5"/>
    <w:rsid w:val="00F53F40"/>
    <w:rsid w:val="00F542CE"/>
    <w:rsid w:val="00F549BC"/>
    <w:rsid w:val="00F54A26"/>
    <w:rsid w:val="00F54E9C"/>
    <w:rsid w:val="00F555C1"/>
    <w:rsid w:val="00F555F1"/>
    <w:rsid w:val="00F5619F"/>
    <w:rsid w:val="00F565B0"/>
    <w:rsid w:val="00F56B98"/>
    <w:rsid w:val="00F5713B"/>
    <w:rsid w:val="00F57D76"/>
    <w:rsid w:val="00F600CB"/>
    <w:rsid w:val="00F602AC"/>
    <w:rsid w:val="00F602E1"/>
    <w:rsid w:val="00F60717"/>
    <w:rsid w:val="00F61065"/>
    <w:rsid w:val="00F6107F"/>
    <w:rsid w:val="00F61193"/>
    <w:rsid w:val="00F625B2"/>
    <w:rsid w:val="00F628EA"/>
    <w:rsid w:val="00F62CF9"/>
    <w:rsid w:val="00F62F9F"/>
    <w:rsid w:val="00F636BD"/>
    <w:rsid w:val="00F6399F"/>
    <w:rsid w:val="00F6444D"/>
    <w:rsid w:val="00F64AD6"/>
    <w:rsid w:val="00F64B49"/>
    <w:rsid w:val="00F64C50"/>
    <w:rsid w:val="00F65323"/>
    <w:rsid w:val="00F6557E"/>
    <w:rsid w:val="00F65E70"/>
    <w:rsid w:val="00F6600E"/>
    <w:rsid w:val="00F66049"/>
    <w:rsid w:val="00F665DD"/>
    <w:rsid w:val="00F667FA"/>
    <w:rsid w:val="00F66B10"/>
    <w:rsid w:val="00F66CF5"/>
    <w:rsid w:val="00F66F55"/>
    <w:rsid w:val="00F66FC8"/>
    <w:rsid w:val="00F67038"/>
    <w:rsid w:val="00F6734E"/>
    <w:rsid w:val="00F673B1"/>
    <w:rsid w:val="00F67FA3"/>
    <w:rsid w:val="00F7002B"/>
    <w:rsid w:val="00F700A5"/>
    <w:rsid w:val="00F70144"/>
    <w:rsid w:val="00F70589"/>
    <w:rsid w:val="00F7059A"/>
    <w:rsid w:val="00F7095F"/>
    <w:rsid w:val="00F70C57"/>
    <w:rsid w:val="00F7124C"/>
    <w:rsid w:val="00F713AA"/>
    <w:rsid w:val="00F71AB3"/>
    <w:rsid w:val="00F71C51"/>
    <w:rsid w:val="00F72022"/>
    <w:rsid w:val="00F7207B"/>
    <w:rsid w:val="00F720DA"/>
    <w:rsid w:val="00F7242A"/>
    <w:rsid w:val="00F72BF1"/>
    <w:rsid w:val="00F730C1"/>
    <w:rsid w:val="00F73318"/>
    <w:rsid w:val="00F733CC"/>
    <w:rsid w:val="00F73565"/>
    <w:rsid w:val="00F737A9"/>
    <w:rsid w:val="00F73DBF"/>
    <w:rsid w:val="00F740B7"/>
    <w:rsid w:val="00F740E3"/>
    <w:rsid w:val="00F7430C"/>
    <w:rsid w:val="00F745D1"/>
    <w:rsid w:val="00F747B4"/>
    <w:rsid w:val="00F74D81"/>
    <w:rsid w:val="00F7500E"/>
    <w:rsid w:val="00F75A91"/>
    <w:rsid w:val="00F7619D"/>
    <w:rsid w:val="00F7625B"/>
    <w:rsid w:val="00F764C7"/>
    <w:rsid w:val="00F76A30"/>
    <w:rsid w:val="00F76DD6"/>
    <w:rsid w:val="00F77342"/>
    <w:rsid w:val="00F77AA5"/>
    <w:rsid w:val="00F81084"/>
    <w:rsid w:val="00F81099"/>
    <w:rsid w:val="00F81406"/>
    <w:rsid w:val="00F81917"/>
    <w:rsid w:val="00F81B26"/>
    <w:rsid w:val="00F81C49"/>
    <w:rsid w:val="00F81C81"/>
    <w:rsid w:val="00F82025"/>
    <w:rsid w:val="00F8220F"/>
    <w:rsid w:val="00F82221"/>
    <w:rsid w:val="00F822C5"/>
    <w:rsid w:val="00F822D6"/>
    <w:rsid w:val="00F822EB"/>
    <w:rsid w:val="00F824E0"/>
    <w:rsid w:val="00F82AFD"/>
    <w:rsid w:val="00F82CB2"/>
    <w:rsid w:val="00F82F2A"/>
    <w:rsid w:val="00F82FA8"/>
    <w:rsid w:val="00F83497"/>
    <w:rsid w:val="00F83668"/>
    <w:rsid w:val="00F836F3"/>
    <w:rsid w:val="00F83BB6"/>
    <w:rsid w:val="00F83E66"/>
    <w:rsid w:val="00F83FD9"/>
    <w:rsid w:val="00F846AE"/>
    <w:rsid w:val="00F84868"/>
    <w:rsid w:val="00F84D40"/>
    <w:rsid w:val="00F84DBF"/>
    <w:rsid w:val="00F84E37"/>
    <w:rsid w:val="00F851EF"/>
    <w:rsid w:val="00F85D86"/>
    <w:rsid w:val="00F85DA4"/>
    <w:rsid w:val="00F85F94"/>
    <w:rsid w:val="00F86205"/>
    <w:rsid w:val="00F86415"/>
    <w:rsid w:val="00F86448"/>
    <w:rsid w:val="00F870D7"/>
    <w:rsid w:val="00F874AD"/>
    <w:rsid w:val="00F90307"/>
    <w:rsid w:val="00F9072F"/>
    <w:rsid w:val="00F90EF9"/>
    <w:rsid w:val="00F910FE"/>
    <w:rsid w:val="00F9224D"/>
    <w:rsid w:val="00F92490"/>
    <w:rsid w:val="00F929BC"/>
    <w:rsid w:val="00F92F1A"/>
    <w:rsid w:val="00F92F98"/>
    <w:rsid w:val="00F930A6"/>
    <w:rsid w:val="00F9333C"/>
    <w:rsid w:val="00F934D2"/>
    <w:rsid w:val="00F93658"/>
    <w:rsid w:val="00F9390C"/>
    <w:rsid w:val="00F93948"/>
    <w:rsid w:val="00F93D1E"/>
    <w:rsid w:val="00F94805"/>
    <w:rsid w:val="00F9492D"/>
    <w:rsid w:val="00F9513B"/>
    <w:rsid w:val="00F9531F"/>
    <w:rsid w:val="00F955D0"/>
    <w:rsid w:val="00F959CA"/>
    <w:rsid w:val="00F95C7E"/>
    <w:rsid w:val="00F95D51"/>
    <w:rsid w:val="00F96043"/>
    <w:rsid w:val="00F960F4"/>
    <w:rsid w:val="00F9624B"/>
    <w:rsid w:val="00F966D2"/>
    <w:rsid w:val="00F96C8D"/>
    <w:rsid w:val="00F96DC1"/>
    <w:rsid w:val="00F96EFE"/>
    <w:rsid w:val="00F9723E"/>
    <w:rsid w:val="00F979C1"/>
    <w:rsid w:val="00F97C38"/>
    <w:rsid w:val="00F97FBB"/>
    <w:rsid w:val="00F97FFD"/>
    <w:rsid w:val="00FA0796"/>
    <w:rsid w:val="00FA0BE2"/>
    <w:rsid w:val="00FA10C8"/>
    <w:rsid w:val="00FA1808"/>
    <w:rsid w:val="00FA1AD8"/>
    <w:rsid w:val="00FA225D"/>
    <w:rsid w:val="00FA268C"/>
    <w:rsid w:val="00FA29B1"/>
    <w:rsid w:val="00FA2A58"/>
    <w:rsid w:val="00FA2C43"/>
    <w:rsid w:val="00FA3335"/>
    <w:rsid w:val="00FA373F"/>
    <w:rsid w:val="00FA3CB7"/>
    <w:rsid w:val="00FA3EB8"/>
    <w:rsid w:val="00FA3ECC"/>
    <w:rsid w:val="00FA3F60"/>
    <w:rsid w:val="00FA4029"/>
    <w:rsid w:val="00FA4605"/>
    <w:rsid w:val="00FA4C50"/>
    <w:rsid w:val="00FA4E7E"/>
    <w:rsid w:val="00FA4F87"/>
    <w:rsid w:val="00FA52E1"/>
    <w:rsid w:val="00FA5ADB"/>
    <w:rsid w:val="00FA5D5E"/>
    <w:rsid w:val="00FA6246"/>
    <w:rsid w:val="00FA665D"/>
    <w:rsid w:val="00FA6C8A"/>
    <w:rsid w:val="00FA701F"/>
    <w:rsid w:val="00FA75A4"/>
    <w:rsid w:val="00FA780F"/>
    <w:rsid w:val="00FA7886"/>
    <w:rsid w:val="00FB052F"/>
    <w:rsid w:val="00FB054C"/>
    <w:rsid w:val="00FB0B16"/>
    <w:rsid w:val="00FB0C47"/>
    <w:rsid w:val="00FB0D9F"/>
    <w:rsid w:val="00FB0F6F"/>
    <w:rsid w:val="00FB11EC"/>
    <w:rsid w:val="00FB177C"/>
    <w:rsid w:val="00FB1C88"/>
    <w:rsid w:val="00FB1E3A"/>
    <w:rsid w:val="00FB2155"/>
    <w:rsid w:val="00FB244F"/>
    <w:rsid w:val="00FB37D8"/>
    <w:rsid w:val="00FB37FF"/>
    <w:rsid w:val="00FB3FD2"/>
    <w:rsid w:val="00FB41C7"/>
    <w:rsid w:val="00FB4445"/>
    <w:rsid w:val="00FB495D"/>
    <w:rsid w:val="00FB4B75"/>
    <w:rsid w:val="00FB4E73"/>
    <w:rsid w:val="00FB5084"/>
    <w:rsid w:val="00FB510F"/>
    <w:rsid w:val="00FB52E5"/>
    <w:rsid w:val="00FB5502"/>
    <w:rsid w:val="00FB57AB"/>
    <w:rsid w:val="00FB595F"/>
    <w:rsid w:val="00FB5C15"/>
    <w:rsid w:val="00FB6326"/>
    <w:rsid w:val="00FB67E8"/>
    <w:rsid w:val="00FB6867"/>
    <w:rsid w:val="00FB6CC5"/>
    <w:rsid w:val="00FB7028"/>
    <w:rsid w:val="00FB7131"/>
    <w:rsid w:val="00FB716B"/>
    <w:rsid w:val="00FB722F"/>
    <w:rsid w:val="00FB7293"/>
    <w:rsid w:val="00FB7307"/>
    <w:rsid w:val="00FB7315"/>
    <w:rsid w:val="00FB7461"/>
    <w:rsid w:val="00FB779B"/>
    <w:rsid w:val="00FB7FFD"/>
    <w:rsid w:val="00FC003B"/>
    <w:rsid w:val="00FC00AC"/>
    <w:rsid w:val="00FC0130"/>
    <w:rsid w:val="00FC0BAA"/>
    <w:rsid w:val="00FC0D2D"/>
    <w:rsid w:val="00FC0F2B"/>
    <w:rsid w:val="00FC1115"/>
    <w:rsid w:val="00FC1EC1"/>
    <w:rsid w:val="00FC2050"/>
    <w:rsid w:val="00FC213C"/>
    <w:rsid w:val="00FC2D68"/>
    <w:rsid w:val="00FC2FC9"/>
    <w:rsid w:val="00FC3F31"/>
    <w:rsid w:val="00FC4224"/>
    <w:rsid w:val="00FC434E"/>
    <w:rsid w:val="00FC49BD"/>
    <w:rsid w:val="00FC5A54"/>
    <w:rsid w:val="00FC5E10"/>
    <w:rsid w:val="00FC5E33"/>
    <w:rsid w:val="00FC605B"/>
    <w:rsid w:val="00FC656A"/>
    <w:rsid w:val="00FC65E9"/>
    <w:rsid w:val="00FC66A8"/>
    <w:rsid w:val="00FC679F"/>
    <w:rsid w:val="00FC6C85"/>
    <w:rsid w:val="00FC70A8"/>
    <w:rsid w:val="00FC7E20"/>
    <w:rsid w:val="00FD0722"/>
    <w:rsid w:val="00FD0BCD"/>
    <w:rsid w:val="00FD1288"/>
    <w:rsid w:val="00FD1358"/>
    <w:rsid w:val="00FD1E5E"/>
    <w:rsid w:val="00FD1F76"/>
    <w:rsid w:val="00FD245E"/>
    <w:rsid w:val="00FD253B"/>
    <w:rsid w:val="00FD2584"/>
    <w:rsid w:val="00FD2666"/>
    <w:rsid w:val="00FD2800"/>
    <w:rsid w:val="00FD2C3F"/>
    <w:rsid w:val="00FD30A3"/>
    <w:rsid w:val="00FD30C6"/>
    <w:rsid w:val="00FD32C6"/>
    <w:rsid w:val="00FD3706"/>
    <w:rsid w:val="00FD38E2"/>
    <w:rsid w:val="00FD4385"/>
    <w:rsid w:val="00FD4CF8"/>
    <w:rsid w:val="00FD52A0"/>
    <w:rsid w:val="00FD583D"/>
    <w:rsid w:val="00FD5DF7"/>
    <w:rsid w:val="00FD5DFA"/>
    <w:rsid w:val="00FD6A00"/>
    <w:rsid w:val="00FD6AD9"/>
    <w:rsid w:val="00FD6EB9"/>
    <w:rsid w:val="00FD6F34"/>
    <w:rsid w:val="00FD6F7E"/>
    <w:rsid w:val="00FD6FF2"/>
    <w:rsid w:val="00FD7017"/>
    <w:rsid w:val="00FD7088"/>
    <w:rsid w:val="00FD7A1D"/>
    <w:rsid w:val="00FD7C27"/>
    <w:rsid w:val="00FD7C8D"/>
    <w:rsid w:val="00FE0304"/>
    <w:rsid w:val="00FE063A"/>
    <w:rsid w:val="00FE07D1"/>
    <w:rsid w:val="00FE0EC1"/>
    <w:rsid w:val="00FE10B3"/>
    <w:rsid w:val="00FE155C"/>
    <w:rsid w:val="00FE158A"/>
    <w:rsid w:val="00FE19EE"/>
    <w:rsid w:val="00FE19F9"/>
    <w:rsid w:val="00FE21C1"/>
    <w:rsid w:val="00FE23DE"/>
    <w:rsid w:val="00FE28E4"/>
    <w:rsid w:val="00FE2D0D"/>
    <w:rsid w:val="00FE2F05"/>
    <w:rsid w:val="00FE314E"/>
    <w:rsid w:val="00FE3363"/>
    <w:rsid w:val="00FE34F4"/>
    <w:rsid w:val="00FE43D2"/>
    <w:rsid w:val="00FE4707"/>
    <w:rsid w:val="00FE4BA0"/>
    <w:rsid w:val="00FE4DDA"/>
    <w:rsid w:val="00FE5915"/>
    <w:rsid w:val="00FE5C1B"/>
    <w:rsid w:val="00FE5E76"/>
    <w:rsid w:val="00FE67B2"/>
    <w:rsid w:val="00FE67E3"/>
    <w:rsid w:val="00FE6A61"/>
    <w:rsid w:val="00FE7768"/>
    <w:rsid w:val="00FE7A1F"/>
    <w:rsid w:val="00FE7FB1"/>
    <w:rsid w:val="00FF002A"/>
    <w:rsid w:val="00FF01B7"/>
    <w:rsid w:val="00FF0356"/>
    <w:rsid w:val="00FF09C3"/>
    <w:rsid w:val="00FF0B8C"/>
    <w:rsid w:val="00FF0BA9"/>
    <w:rsid w:val="00FF0CC1"/>
    <w:rsid w:val="00FF0E0E"/>
    <w:rsid w:val="00FF1407"/>
    <w:rsid w:val="00FF1C37"/>
    <w:rsid w:val="00FF1E5D"/>
    <w:rsid w:val="00FF1E98"/>
    <w:rsid w:val="00FF212F"/>
    <w:rsid w:val="00FF2E49"/>
    <w:rsid w:val="00FF33D2"/>
    <w:rsid w:val="00FF3963"/>
    <w:rsid w:val="00FF3AFF"/>
    <w:rsid w:val="00FF3F46"/>
    <w:rsid w:val="00FF41F9"/>
    <w:rsid w:val="00FF4206"/>
    <w:rsid w:val="00FF42F2"/>
    <w:rsid w:val="00FF4667"/>
    <w:rsid w:val="00FF4C2D"/>
    <w:rsid w:val="00FF4D91"/>
    <w:rsid w:val="00FF50CF"/>
    <w:rsid w:val="00FF5144"/>
    <w:rsid w:val="00FF5241"/>
    <w:rsid w:val="00FF532B"/>
    <w:rsid w:val="00FF579E"/>
    <w:rsid w:val="00FF63C6"/>
    <w:rsid w:val="00FF65D5"/>
    <w:rsid w:val="00FF69C9"/>
    <w:rsid w:val="00FF6A35"/>
    <w:rsid w:val="00FF6BBA"/>
    <w:rsid w:val="00FF6CAE"/>
    <w:rsid w:val="00FF6D35"/>
    <w:rsid w:val="00FF6D3E"/>
    <w:rsid w:val="00FF6E87"/>
    <w:rsid w:val="00FF6FE9"/>
    <w:rsid w:val="00FF702B"/>
    <w:rsid w:val="00FF7279"/>
    <w:rsid w:val="00FF737E"/>
    <w:rsid w:val="00FF7803"/>
    <w:rsid w:val="00FF7D96"/>
    <w:rsid w:val="01E8DFFF"/>
    <w:rsid w:val="03DAC943"/>
    <w:rsid w:val="043E4301"/>
    <w:rsid w:val="0518FEA1"/>
    <w:rsid w:val="05321D18"/>
    <w:rsid w:val="05AD2DA6"/>
    <w:rsid w:val="060F0985"/>
    <w:rsid w:val="06141793"/>
    <w:rsid w:val="0671E18E"/>
    <w:rsid w:val="07812CA0"/>
    <w:rsid w:val="07CB5925"/>
    <w:rsid w:val="0B0E39C8"/>
    <w:rsid w:val="0B429F26"/>
    <w:rsid w:val="0B890C43"/>
    <w:rsid w:val="0D887FCA"/>
    <w:rsid w:val="0DEBA72F"/>
    <w:rsid w:val="0F3AB5FA"/>
    <w:rsid w:val="0F77E875"/>
    <w:rsid w:val="1069C5D2"/>
    <w:rsid w:val="11ED8468"/>
    <w:rsid w:val="134CD68B"/>
    <w:rsid w:val="138B6D7C"/>
    <w:rsid w:val="1461C3B6"/>
    <w:rsid w:val="147AB6EF"/>
    <w:rsid w:val="150C8D5A"/>
    <w:rsid w:val="16447C06"/>
    <w:rsid w:val="1685242A"/>
    <w:rsid w:val="16B59E9C"/>
    <w:rsid w:val="16B764F6"/>
    <w:rsid w:val="17295A6C"/>
    <w:rsid w:val="17DDF15B"/>
    <w:rsid w:val="17E4C498"/>
    <w:rsid w:val="198AE17F"/>
    <w:rsid w:val="1A322CF6"/>
    <w:rsid w:val="1AE27B51"/>
    <w:rsid w:val="1BB1B4FF"/>
    <w:rsid w:val="1BF2B20D"/>
    <w:rsid w:val="1CC0DCEC"/>
    <w:rsid w:val="1D45CBDC"/>
    <w:rsid w:val="1D5674C8"/>
    <w:rsid w:val="1E777D14"/>
    <w:rsid w:val="1EEE0BB3"/>
    <w:rsid w:val="1EEFE1C3"/>
    <w:rsid w:val="1EF45936"/>
    <w:rsid w:val="203708FD"/>
    <w:rsid w:val="20393E58"/>
    <w:rsid w:val="2232469F"/>
    <w:rsid w:val="232FB611"/>
    <w:rsid w:val="23AD7A41"/>
    <w:rsid w:val="2474DED3"/>
    <w:rsid w:val="24DA82C6"/>
    <w:rsid w:val="2514F88B"/>
    <w:rsid w:val="2549D470"/>
    <w:rsid w:val="2559C4C7"/>
    <w:rsid w:val="25A35D68"/>
    <w:rsid w:val="25AB83AA"/>
    <w:rsid w:val="25F0DFFE"/>
    <w:rsid w:val="26E55AD6"/>
    <w:rsid w:val="271B48DC"/>
    <w:rsid w:val="27239AE9"/>
    <w:rsid w:val="272FA1AC"/>
    <w:rsid w:val="273A5AD5"/>
    <w:rsid w:val="2745106A"/>
    <w:rsid w:val="2855E47F"/>
    <w:rsid w:val="287BA403"/>
    <w:rsid w:val="29700DEE"/>
    <w:rsid w:val="29B71D47"/>
    <w:rsid w:val="2A120843"/>
    <w:rsid w:val="2A8DC302"/>
    <w:rsid w:val="2B21D84C"/>
    <w:rsid w:val="2BEA209C"/>
    <w:rsid w:val="2C4B6A9B"/>
    <w:rsid w:val="2C8AB0F3"/>
    <w:rsid w:val="2C8ED68A"/>
    <w:rsid w:val="2D065D30"/>
    <w:rsid w:val="2D41E915"/>
    <w:rsid w:val="2D62BF09"/>
    <w:rsid w:val="2DAB02A2"/>
    <w:rsid w:val="2E3F0B5B"/>
    <w:rsid w:val="2E71A6C0"/>
    <w:rsid w:val="2EC1BEBE"/>
    <w:rsid w:val="2F03E769"/>
    <w:rsid w:val="2F15CF1C"/>
    <w:rsid w:val="2F2883D6"/>
    <w:rsid w:val="2F49E32E"/>
    <w:rsid w:val="2F4C6D91"/>
    <w:rsid w:val="2FEDE49F"/>
    <w:rsid w:val="31F6E179"/>
    <w:rsid w:val="329B519F"/>
    <w:rsid w:val="336CB82E"/>
    <w:rsid w:val="338101EB"/>
    <w:rsid w:val="3383BE60"/>
    <w:rsid w:val="339EE6E7"/>
    <w:rsid w:val="34A7F182"/>
    <w:rsid w:val="34C9EBDE"/>
    <w:rsid w:val="34E0EB88"/>
    <w:rsid w:val="34E21977"/>
    <w:rsid w:val="35222E1F"/>
    <w:rsid w:val="356DB3EB"/>
    <w:rsid w:val="36051BC5"/>
    <w:rsid w:val="360F58C9"/>
    <w:rsid w:val="36389447"/>
    <w:rsid w:val="36419B09"/>
    <w:rsid w:val="371226FD"/>
    <w:rsid w:val="37E72EE3"/>
    <w:rsid w:val="3861E636"/>
    <w:rsid w:val="38E9A8F4"/>
    <w:rsid w:val="3AB8E12F"/>
    <w:rsid w:val="3C329127"/>
    <w:rsid w:val="3C7A2AB4"/>
    <w:rsid w:val="3C8B006F"/>
    <w:rsid w:val="3CD73BA9"/>
    <w:rsid w:val="3D1629B6"/>
    <w:rsid w:val="3DEDFA7B"/>
    <w:rsid w:val="3E477515"/>
    <w:rsid w:val="3E7B04D7"/>
    <w:rsid w:val="3F436FCA"/>
    <w:rsid w:val="3F7A0184"/>
    <w:rsid w:val="3FAAD538"/>
    <w:rsid w:val="3FE2BB96"/>
    <w:rsid w:val="3FE728B0"/>
    <w:rsid w:val="3FFEAF97"/>
    <w:rsid w:val="4002310D"/>
    <w:rsid w:val="4081D94E"/>
    <w:rsid w:val="40922407"/>
    <w:rsid w:val="41730D48"/>
    <w:rsid w:val="418D8ADE"/>
    <w:rsid w:val="431C6688"/>
    <w:rsid w:val="43A58F6D"/>
    <w:rsid w:val="4425060A"/>
    <w:rsid w:val="4529EEEF"/>
    <w:rsid w:val="455BEBE6"/>
    <w:rsid w:val="46F8513E"/>
    <w:rsid w:val="47730AEE"/>
    <w:rsid w:val="478851E2"/>
    <w:rsid w:val="478E7C9E"/>
    <w:rsid w:val="48948B97"/>
    <w:rsid w:val="4914D1B7"/>
    <w:rsid w:val="49274082"/>
    <w:rsid w:val="49DBF708"/>
    <w:rsid w:val="4AAD5DFD"/>
    <w:rsid w:val="4B26CDC2"/>
    <w:rsid w:val="4BB6F246"/>
    <w:rsid w:val="4BF71081"/>
    <w:rsid w:val="4C4AE0E7"/>
    <w:rsid w:val="4C7CB4D5"/>
    <w:rsid w:val="4C7ED5CC"/>
    <w:rsid w:val="4CE5F63E"/>
    <w:rsid w:val="4CED34AB"/>
    <w:rsid w:val="4E22504F"/>
    <w:rsid w:val="4E2FADE8"/>
    <w:rsid w:val="4ECDF465"/>
    <w:rsid w:val="5010A9D8"/>
    <w:rsid w:val="50B7CFA2"/>
    <w:rsid w:val="50EC80E2"/>
    <w:rsid w:val="51CEADA3"/>
    <w:rsid w:val="51CF3768"/>
    <w:rsid w:val="52BD31EA"/>
    <w:rsid w:val="53DBE599"/>
    <w:rsid w:val="545221DF"/>
    <w:rsid w:val="54DD8EB1"/>
    <w:rsid w:val="553DF6C6"/>
    <w:rsid w:val="562AB8E2"/>
    <w:rsid w:val="56A3FB12"/>
    <w:rsid w:val="5764439B"/>
    <w:rsid w:val="57D36C13"/>
    <w:rsid w:val="582E3D0E"/>
    <w:rsid w:val="599451CE"/>
    <w:rsid w:val="5B11126C"/>
    <w:rsid w:val="5B8E5CD1"/>
    <w:rsid w:val="5C396BF1"/>
    <w:rsid w:val="5D0028E4"/>
    <w:rsid w:val="5E71BB5B"/>
    <w:rsid w:val="5E77092E"/>
    <w:rsid w:val="5F4C4E15"/>
    <w:rsid w:val="604B84FB"/>
    <w:rsid w:val="607A0C99"/>
    <w:rsid w:val="60A714DA"/>
    <w:rsid w:val="618BC42D"/>
    <w:rsid w:val="61E3A990"/>
    <w:rsid w:val="636DD9E3"/>
    <w:rsid w:val="63A07A14"/>
    <w:rsid w:val="63B84EB0"/>
    <w:rsid w:val="64423F93"/>
    <w:rsid w:val="675A5284"/>
    <w:rsid w:val="678AA8A9"/>
    <w:rsid w:val="685AFAA6"/>
    <w:rsid w:val="690FB859"/>
    <w:rsid w:val="691B9F33"/>
    <w:rsid w:val="6973CA9A"/>
    <w:rsid w:val="69CF5B36"/>
    <w:rsid w:val="6A01E505"/>
    <w:rsid w:val="6A0D926B"/>
    <w:rsid w:val="6B516D55"/>
    <w:rsid w:val="6C6BDAEE"/>
    <w:rsid w:val="6CB809A4"/>
    <w:rsid w:val="6DDE0DEF"/>
    <w:rsid w:val="6E90B7D5"/>
    <w:rsid w:val="6EC1BDC5"/>
    <w:rsid w:val="6F244E6F"/>
    <w:rsid w:val="6F45DC6C"/>
    <w:rsid w:val="6F8333F3"/>
    <w:rsid w:val="6F990D95"/>
    <w:rsid w:val="711D61CF"/>
    <w:rsid w:val="714B392A"/>
    <w:rsid w:val="718C401F"/>
    <w:rsid w:val="71D3485F"/>
    <w:rsid w:val="720B4BE9"/>
    <w:rsid w:val="72D6FC2E"/>
    <w:rsid w:val="73B37FBA"/>
    <w:rsid w:val="73CAF392"/>
    <w:rsid w:val="7482CA77"/>
    <w:rsid w:val="74AD9119"/>
    <w:rsid w:val="74D25F92"/>
    <w:rsid w:val="75336226"/>
    <w:rsid w:val="756EF01E"/>
    <w:rsid w:val="759CC835"/>
    <w:rsid w:val="75EDC473"/>
    <w:rsid w:val="7621A7BF"/>
    <w:rsid w:val="7659B832"/>
    <w:rsid w:val="768C64E8"/>
    <w:rsid w:val="771277A8"/>
    <w:rsid w:val="7781D5FF"/>
    <w:rsid w:val="78ACB0F6"/>
    <w:rsid w:val="78FCCBC0"/>
    <w:rsid w:val="79867F82"/>
    <w:rsid w:val="799BA24F"/>
    <w:rsid w:val="79ABC23F"/>
    <w:rsid w:val="79B30E6F"/>
    <w:rsid w:val="79E56E18"/>
    <w:rsid w:val="7AC1C7A2"/>
    <w:rsid w:val="7B607A92"/>
    <w:rsid w:val="7B737290"/>
    <w:rsid w:val="7BE2D567"/>
    <w:rsid w:val="7C1B7221"/>
    <w:rsid w:val="7C52DB74"/>
    <w:rsid w:val="7EEF4040"/>
    <w:rsid w:val="7F7CDF2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4F63C"/>
  <w15:docId w15:val="{26538415-E501-4F75-BFC1-CA744E8F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77D6"/>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ind w:left="340" w:hanging="227"/>
    </w:pPr>
  </w:style>
  <w:style w:type="paragraph" w:styleId="ListBullet2">
    <w:name w:val="List Bullet 2"/>
    <w:basedOn w:val="ListBullet"/>
    <w:qFormat/>
    <w:rsid w:val="00DE33D8"/>
    <w:pPr>
      <w:numPr>
        <w:ilvl w:val="1"/>
      </w:numPr>
      <w:ind w:left="340" w:hanging="227"/>
    </w:pPr>
  </w:style>
  <w:style w:type="paragraph" w:styleId="ListBullet3">
    <w:name w:val="List Bullet 3"/>
    <w:basedOn w:val="ListBullet2"/>
    <w:qFormat/>
    <w:rsid w:val="0058629F"/>
    <w:pPr>
      <w:numPr>
        <w:ilvl w:val="2"/>
      </w:numPr>
      <w:ind w:left="340" w:hanging="227"/>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E2F3FA" w:themeFill="accent1" w:themeFillTint="33"/>
    </w:tcPr>
    <w:tblStylePr w:type="firstRow">
      <w:rPr>
        <w:b/>
        <w:bCs/>
      </w:rPr>
      <w:tblPr/>
      <w:tcPr>
        <w:shd w:val="clear" w:color="auto" w:fill="C6E7F5" w:themeFill="accent1" w:themeFillTint="66"/>
      </w:tcPr>
    </w:tblStylePr>
    <w:tblStylePr w:type="lastRow">
      <w:rPr>
        <w:b/>
        <w:bCs/>
        <w:color w:val="232222" w:themeColor="text1"/>
      </w:rPr>
      <w:tblPr/>
      <w:tcPr>
        <w:shd w:val="clear" w:color="auto" w:fill="C6E7F5" w:themeFill="accent1" w:themeFillTint="66"/>
      </w:tcPr>
    </w:tblStylePr>
    <w:tblStylePr w:type="firstCol">
      <w:rPr>
        <w:color w:val="FFFFFF" w:themeColor="background1"/>
      </w:rPr>
      <w:tblPr/>
      <w:tcPr>
        <w:shd w:val="clear" w:color="auto" w:fill="26A6DC" w:themeFill="accent1" w:themeFillShade="BF"/>
      </w:tcPr>
    </w:tblStylePr>
    <w:tblStylePr w:type="lastCol">
      <w:rPr>
        <w:color w:val="FFFFFF" w:themeColor="background1"/>
      </w:rPr>
      <w:tblPr/>
      <w:tcPr>
        <w:shd w:val="clear" w:color="auto" w:fill="26A6DC" w:themeFill="accent1" w:themeFillShade="BF"/>
      </w:tc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4F6CD" w:themeFill="accent2" w:themeFillTint="33"/>
    </w:tcPr>
    <w:tblStylePr w:type="firstRow">
      <w:rPr>
        <w:b/>
        <w:bCs/>
      </w:rPr>
      <w:tblPr/>
      <w:tcPr>
        <w:shd w:val="clear" w:color="auto" w:fill="CAEE9C" w:themeFill="accent2" w:themeFillTint="66"/>
      </w:tcPr>
    </w:tblStylePr>
    <w:tblStylePr w:type="lastRow">
      <w:rPr>
        <w:b/>
        <w:bCs/>
        <w:color w:val="232222" w:themeColor="text1"/>
      </w:rPr>
      <w:tblPr/>
      <w:tcPr>
        <w:shd w:val="clear" w:color="auto" w:fill="CAEE9C" w:themeFill="accent2" w:themeFillTint="66"/>
      </w:tcPr>
    </w:tblStylePr>
    <w:tblStylePr w:type="firstCol">
      <w:rPr>
        <w:color w:val="FFFFFF" w:themeColor="background1"/>
      </w:rPr>
      <w:tblPr/>
      <w:tcPr>
        <w:shd w:val="clear" w:color="auto" w:fill="598E18" w:themeFill="accent2" w:themeFillShade="BF"/>
      </w:tcPr>
    </w:tblStylePr>
    <w:tblStylePr w:type="lastCol">
      <w:rPr>
        <w:color w:val="FFFFFF" w:themeColor="background1"/>
      </w:rPr>
      <w:tblPr/>
      <w:tcPr>
        <w:shd w:val="clear" w:color="auto" w:fill="598E18" w:themeFill="accent2" w:themeFillShade="BF"/>
      </w:tc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DF7FC" w:themeFill="accent5" w:themeFillTint="33"/>
    </w:tcPr>
    <w:tblStylePr w:type="firstRow">
      <w:rPr>
        <w:b/>
        <w:bCs/>
      </w:rPr>
      <w:tblPr/>
      <w:tcPr>
        <w:shd w:val="clear" w:color="auto" w:fill="DCF0F9" w:themeFill="accent5" w:themeFillTint="66"/>
      </w:tcPr>
    </w:tblStylePr>
    <w:tblStylePr w:type="lastRow">
      <w:rPr>
        <w:b/>
        <w:bCs/>
        <w:color w:val="232222" w:themeColor="text1"/>
      </w:rPr>
      <w:tblPr/>
      <w:tcPr>
        <w:shd w:val="clear" w:color="auto" w:fill="DCF0F9" w:themeFill="accent5" w:themeFillTint="66"/>
      </w:tcPr>
    </w:tblStylePr>
    <w:tblStylePr w:type="firstCol">
      <w:rPr>
        <w:color w:val="FFFFFF" w:themeColor="background1"/>
      </w:rPr>
      <w:tblPr/>
      <w:tcPr>
        <w:shd w:val="clear" w:color="auto" w:fill="51B7E2" w:themeFill="accent5" w:themeFillShade="BF"/>
      </w:tcPr>
    </w:tblStylePr>
    <w:tblStylePr w:type="lastCol">
      <w:rPr>
        <w:color w:val="FFFFFF" w:themeColor="background1"/>
      </w:rPr>
      <w:tblPr/>
      <w:tcPr>
        <w:shd w:val="clear" w:color="auto" w:fill="51B7E2" w:themeFill="accent5" w:themeFillShade="BF"/>
      </w:tc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EEF7E4" w:themeFill="accent6" w:themeFillTint="33"/>
    </w:tcPr>
    <w:tblStylePr w:type="firstRow">
      <w:rPr>
        <w:b/>
        <w:bCs/>
      </w:rPr>
      <w:tblPr/>
      <w:tcPr>
        <w:shd w:val="clear" w:color="auto" w:fill="DEEFC9" w:themeFill="accent6" w:themeFillTint="66"/>
      </w:tcPr>
    </w:tblStylePr>
    <w:tblStylePr w:type="lastRow">
      <w:rPr>
        <w:b/>
        <w:bCs/>
        <w:color w:val="232222" w:themeColor="text1"/>
      </w:rPr>
      <w:tblPr/>
      <w:tcPr>
        <w:shd w:val="clear" w:color="auto" w:fill="DEEFC9" w:themeFill="accent6" w:themeFillTint="66"/>
      </w:tcPr>
    </w:tblStylePr>
    <w:tblStylePr w:type="firstCol">
      <w:rPr>
        <w:color w:val="FFFFFF" w:themeColor="background1"/>
      </w:rPr>
      <w:tblPr/>
      <w:tcPr>
        <w:shd w:val="clear" w:color="auto" w:fill="86C339" w:themeFill="accent6" w:themeFillShade="BF"/>
      </w:tcPr>
    </w:tblStylePr>
    <w:tblStylePr w:type="lastCol">
      <w:rPr>
        <w:color w:val="FFFFFF" w:themeColor="background1"/>
      </w:rPr>
      <w:tblPr/>
      <w:tcPr>
        <w:shd w:val="clear" w:color="auto" w:fill="86C339" w:themeFill="accent6" w:themeFillShade="BF"/>
      </w:tc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F0F9FC" w:themeFill="accen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0F9" w:themeFill="accent1" w:themeFillTint="3F"/>
      </w:tcPr>
    </w:tblStylePr>
    <w:tblStylePr w:type="band1Horz">
      <w:tblPr/>
      <w:tcPr>
        <w:shd w:val="clear" w:color="auto" w:fill="E2F3FA"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1FBE6" w:themeFill="accent2"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4C1" w:themeFill="accent2" w:themeFillTint="3F"/>
      </w:tcPr>
    </w:tblStylePr>
    <w:tblStylePr w:type="band1Horz">
      <w:tblPr/>
      <w:tcPr>
        <w:shd w:val="clear" w:color="auto" w:fill="E4F6CD"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6FBFD" w:themeFill="accent5" w:themeFillTint="19"/>
    </w:tcPr>
    <w:tblStylePr w:type="firstRow">
      <w:rPr>
        <w:b/>
        <w:bCs/>
        <w:color w:val="FFFFFF" w:themeColor="background1"/>
      </w:rPr>
      <w:tblPr/>
      <w:tcPr>
        <w:tcBorders>
          <w:bottom w:val="single" w:sz="12" w:space="0" w:color="FFFFFF" w:themeColor="background1"/>
        </w:tcBorders>
        <w:shd w:val="clear" w:color="auto" w:fill="8EC844" w:themeFill="accent6" w:themeFillShade="CC"/>
      </w:tcPr>
    </w:tblStylePr>
    <w:tblStylePr w:type="lastRow">
      <w:rPr>
        <w:b/>
        <w:bCs/>
        <w:color w:val="8EC844"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6FB" w:themeFill="accent5" w:themeFillTint="3F"/>
      </w:tcPr>
    </w:tblStylePr>
    <w:tblStylePr w:type="band1Horz">
      <w:tblPr/>
      <w:tcPr>
        <w:shd w:val="clear" w:color="auto" w:fill="EDF7FC"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BF1" w:themeFill="accent6" w:themeFillTint="19"/>
    </w:tcPr>
    <w:tblStylePr w:type="firstRow">
      <w:rPr>
        <w:b/>
        <w:bCs/>
        <w:color w:val="FFFFFF" w:themeColor="background1"/>
      </w:rPr>
      <w:tblPr/>
      <w:tcPr>
        <w:tcBorders>
          <w:bottom w:val="single" w:sz="12" w:space="0" w:color="FFFFFF" w:themeColor="background1"/>
        </w:tcBorders>
        <w:shd w:val="clear" w:color="auto" w:fill="63BEE5" w:themeFill="accent5" w:themeFillShade="CC"/>
      </w:tcPr>
    </w:tblStylePr>
    <w:tblStylePr w:type="lastRow">
      <w:rPr>
        <w:b/>
        <w:bCs/>
        <w:color w:val="63BEE5"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5DD" w:themeFill="accent6" w:themeFillTint="3F"/>
      </w:tcPr>
    </w:tblStylePr>
    <w:tblStylePr w:type="band1Horz">
      <w:tblPr/>
      <w:tcPr>
        <w:shd w:val="clear" w:color="auto" w:fill="EEF7E4"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78BE20"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78BE20" w:themeColor="accent2"/>
        <w:left w:val="single" w:sz="4" w:space="0" w:color="71C5E8" w:themeColor="accent1"/>
        <w:bottom w:val="single" w:sz="4" w:space="0" w:color="71C5E8" w:themeColor="accent1"/>
        <w:right w:val="single" w:sz="4" w:space="0" w:color="71C5E8" w:themeColor="accent1"/>
        <w:insideH w:val="single" w:sz="4" w:space="0" w:color="FFFFFF" w:themeColor="background1"/>
        <w:insideV w:val="single" w:sz="4" w:space="0" w:color="FFFFFF" w:themeColor="background1"/>
      </w:tblBorders>
    </w:tblPr>
    <w:tcPr>
      <w:shd w:val="clear" w:color="auto" w:fill="F0F9FC" w:themeFill="accen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86B2" w:themeFill="accent1" w:themeFillShade="99"/>
      </w:tcPr>
    </w:tblStylePr>
    <w:tblStylePr w:type="firstCol">
      <w:rPr>
        <w:color w:val="FFFFFF" w:themeColor="background1"/>
      </w:rPr>
      <w:tblPr/>
      <w:tcPr>
        <w:tcBorders>
          <w:top w:val="nil"/>
          <w:left w:val="nil"/>
          <w:bottom w:val="nil"/>
          <w:right w:val="nil"/>
          <w:insideH w:val="single" w:sz="4" w:space="0" w:color="1D86B2" w:themeColor="accent1" w:themeShade="99"/>
          <w:insideV w:val="nil"/>
        </w:tcBorders>
        <w:shd w:val="clear" w:color="auto" w:fill="1D86B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D86B2" w:themeFill="accent1" w:themeFillShade="99"/>
      </w:tcPr>
    </w:tblStylePr>
    <w:tblStylePr w:type="band1Vert">
      <w:tblPr/>
      <w:tcPr>
        <w:shd w:val="clear" w:color="auto" w:fill="C6E7F5" w:themeFill="accent1" w:themeFillTint="66"/>
      </w:tcPr>
    </w:tblStylePr>
    <w:tblStylePr w:type="band1Horz">
      <w:tblPr/>
      <w:tcPr>
        <w:shd w:val="clear" w:color="auto" w:fill="B8E2F3"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78BE20" w:themeColor="accent2"/>
        <w:left w:val="single" w:sz="4" w:space="0" w:color="78BE20" w:themeColor="accent2"/>
        <w:bottom w:val="single" w:sz="4" w:space="0" w:color="78BE20" w:themeColor="accent2"/>
        <w:right w:val="single" w:sz="4" w:space="0" w:color="78BE20" w:themeColor="accent2"/>
        <w:insideH w:val="single" w:sz="4" w:space="0" w:color="FFFFFF" w:themeColor="background1"/>
        <w:insideV w:val="single" w:sz="4" w:space="0" w:color="FFFFFF" w:themeColor="background1"/>
      </w:tblBorders>
    </w:tblPr>
    <w:tcPr>
      <w:shd w:val="clear" w:color="auto" w:fill="F1FBE6" w:themeFill="accent2"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7113" w:themeFill="accent2" w:themeFillShade="99"/>
      </w:tcPr>
    </w:tblStylePr>
    <w:tblStylePr w:type="firstCol">
      <w:rPr>
        <w:color w:val="FFFFFF" w:themeColor="background1"/>
      </w:rPr>
      <w:tblPr/>
      <w:tcPr>
        <w:tcBorders>
          <w:top w:val="nil"/>
          <w:left w:val="nil"/>
          <w:bottom w:val="nil"/>
          <w:right w:val="nil"/>
          <w:insideH w:val="single" w:sz="4" w:space="0" w:color="477113" w:themeColor="accent2" w:themeShade="99"/>
          <w:insideV w:val="nil"/>
        </w:tcBorders>
        <w:shd w:val="clear" w:color="auto" w:fill="4771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77113" w:themeFill="accent2" w:themeFillShade="99"/>
      </w:tcPr>
    </w:tblStylePr>
    <w:tblStylePr w:type="band1Vert">
      <w:tblPr/>
      <w:tcPr>
        <w:shd w:val="clear" w:color="auto" w:fill="CAEE9C" w:themeFill="accent2" w:themeFillTint="66"/>
      </w:tcPr>
    </w:tblStylePr>
    <w:tblStylePr w:type="band1Horz">
      <w:tblPr/>
      <w:tcPr>
        <w:shd w:val="clear" w:color="auto" w:fill="BCEA84"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AED879" w:themeColor="accent6"/>
        <w:left w:val="single" w:sz="4" w:space="0" w:color="AADCF1" w:themeColor="accent5"/>
        <w:bottom w:val="single" w:sz="4" w:space="0" w:color="AADCF1" w:themeColor="accent5"/>
        <w:right w:val="single" w:sz="4" w:space="0" w:color="AADCF1" w:themeColor="accent5"/>
        <w:insideH w:val="single" w:sz="4" w:space="0" w:color="FFFFFF" w:themeColor="background1"/>
        <w:insideV w:val="single" w:sz="4" w:space="0" w:color="FFFFFF" w:themeColor="background1"/>
      </w:tblBorders>
    </w:tblPr>
    <w:tcPr>
      <w:shd w:val="clear" w:color="auto" w:fill="F6FBFD" w:themeFill="accent5" w:themeFillTint="19"/>
    </w:tcPr>
    <w:tblStylePr w:type="firstRow">
      <w:rPr>
        <w:b/>
        <w:bCs/>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9ED3" w:themeFill="accent5" w:themeFillShade="99"/>
      </w:tcPr>
    </w:tblStylePr>
    <w:tblStylePr w:type="firstCol">
      <w:rPr>
        <w:color w:val="FFFFFF" w:themeColor="background1"/>
      </w:rPr>
      <w:tblPr/>
      <w:tcPr>
        <w:tcBorders>
          <w:top w:val="nil"/>
          <w:left w:val="nil"/>
          <w:bottom w:val="nil"/>
          <w:right w:val="nil"/>
          <w:insideH w:val="single" w:sz="4" w:space="0" w:color="239ED3" w:themeColor="accent5" w:themeShade="99"/>
          <w:insideV w:val="nil"/>
        </w:tcBorders>
        <w:shd w:val="clear" w:color="auto" w:fill="239ED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39ED3" w:themeFill="accent5" w:themeFillShade="99"/>
      </w:tcPr>
    </w:tblStylePr>
    <w:tblStylePr w:type="band1Vert">
      <w:tblPr/>
      <w:tcPr>
        <w:shd w:val="clear" w:color="auto" w:fill="DCF0F9" w:themeFill="accent5" w:themeFillTint="66"/>
      </w:tcPr>
    </w:tblStylePr>
    <w:tblStylePr w:type="band1Horz">
      <w:tblPr/>
      <w:tcPr>
        <w:shd w:val="clear" w:color="auto" w:fill="D4EDF8"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AADCF1" w:themeColor="accent5"/>
        <w:left w:val="single" w:sz="4" w:space="0" w:color="AED879" w:themeColor="accent6"/>
        <w:bottom w:val="single" w:sz="4" w:space="0" w:color="AED879" w:themeColor="accent6"/>
        <w:right w:val="single" w:sz="4" w:space="0" w:color="AED879" w:themeColor="accent6"/>
        <w:insideH w:val="single" w:sz="4" w:space="0" w:color="FFFFFF" w:themeColor="background1"/>
        <w:insideV w:val="single" w:sz="4" w:space="0" w:color="FFFFFF" w:themeColor="background1"/>
      </w:tblBorders>
    </w:tblPr>
    <w:tcPr>
      <w:shd w:val="clear" w:color="auto" w:fill="F7FBF1" w:themeFill="accent6" w:themeFillTint="19"/>
    </w:tcPr>
    <w:tblStylePr w:type="firstRow">
      <w:rPr>
        <w:b/>
        <w:bCs/>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9C2D" w:themeFill="accent6" w:themeFillShade="99"/>
      </w:tcPr>
    </w:tblStylePr>
    <w:tblStylePr w:type="firstCol">
      <w:rPr>
        <w:color w:val="FFFFFF" w:themeColor="background1"/>
      </w:rPr>
      <w:tblPr/>
      <w:tcPr>
        <w:tcBorders>
          <w:top w:val="nil"/>
          <w:left w:val="nil"/>
          <w:bottom w:val="nil"/>
          <w:right w:val="nil"/>
          <w:insideH w:val="single" w:sz="4" w:space="0" w:color="6B9C2D" w:themeColor="accent6" w:themeShade="99"/>
          <w:insideV w:val="nil"/>
        </w:tcBorders>
        <w:shd w:val="clear" w:color="auto" w:fill="6B9C2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B9C2D" w:themeFill="accent6" w:themeFillShade="99"/>
      </w:tcPr>
    </w:tblStylePr>
    <w:tblStylePr w:type="band1Vert">
      <w:tblPr/>
      <w:tcPr>
        <w:shd w:val="clear" w:color="auto" w:fill="DEEFC9" w:themeFill="accent6" w:themeFillTint="66"/>
      </w:tcPr>
    </w:tblStylePr>
    <w:tblStylePr w:type="band1Horz">
      <w:tblPr/>
      <w:tcPr>
        <w:shd w:val="clear" w:color="auto" w:fill="D6EBBC"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71C5E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86F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A6D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A6DC" w:themeFill="accent1" w:themeFillShade="BF"/>
      </w:tcPr>
    </w:tblStylePr>
    <w:tblStylePr w:type="band1Vert">
      <w:tblPr/>
      <w:tcPr>
        <w:tcBorders>
          <w:top w:val="nil"/>
          <w:left w:val="nil"/>
          <w:bottom w:val="nil"/>
          <w:right w:val="nil"/>
          <w:insideH w:val="nil"/>
          <w:insideV w:val="nil"/>
        </w:tcBorders>
        <w:shd w:val="clear" w:color="auto" w:fill="26A6DC" w:themeFill="accent1" w:themeFillShade="BF"/>
      </w:tcPr>
    </w:tblStylePr>
    <w:tblStylePr w:type="band1Horz">
      <w:tblPr/>
      <w:tcPr>
        <w:tcBorders>
          <w:top w:val="nil"/>
          <w:left w:val="nil"/>
          <w:bottom w:val="nil"/>
          <w:right w:val="nil"/>
          <w:insideH w:val="nil"/>
          <w:insideV w:val="nil"/>
        </w:tcBorders>
        <w:shd w:val="clear" w:color="auto" w:fill="26A6DC"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78BE2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3B5E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98E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98E18" w:themeFill="accent2" w:themeFillShade="BF"/>
      </w:tcPr>
    </w:tblStylePr>
    <w:tblStylePr w:type="band1Vert">
      <w:tblPr/>
      <w:tcPr>
        <w:tcBorders>
          <w:top w:val="nil"/>
          <w:left w:val="nil"/>
          <w:bottom w:val="nil"/>
          <w:right w:val="nil"/>
          <w:insideH w:val="nil"/>
          <w:insideV w:val="nil"/>
        </w:tcBorders>
        <w:shd w:val="clear" w:color="auto" w:fill="598E18" w:themeFill="accent2" w:themeFillShade="BF"/>
      </w:tcPr>
    </w:tblStylePr>
    <w:tblStylePr w:type="band1Horz">
      <w:tblPr/>
      <w:tcPr>
        <w:tcBorders>
          <w:top w:val="nil"/>
          <w:left w:val="nil"/>
          <w:bottom w:val="nil"/>
          <w:right w:val="nil"/>
          <w:insideH w:val="nil"/>
          <w:insideV w:val="nil"/>
        </w:tcBorders>
        <w:shd w:val="clear" w:color="auto" w:fill="598E18"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AADC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D83A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1B7E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1B7E2" w:themeFill="accent5" w:themeFillShade="BF"/>
      </w:tcPr>
    </w:tblStylePr>
    <w:tblStylePr w:type="band1Vert">
      <w:tblPr/>
      <w:tcPr>
        <w:tcBorders>
          <w:top w:val="nil"/>
          <w:left w:val="nil"/>
          <w:bottom w:val="nil"/>
          <w:right w:val="nil"/>
          <w:insideH w:val="nil"/>
          <w:insideV w:val="nil"/>
        </w:tcBorders>
        <w:shd w:val="clear" w:color="auto" w:fill="51B7E2" w:themeFill="accent5" w:themeFillShade="BF"/>
      </w:tcPr>
    </w:tblStylePr>
    <w:tblStylePr w:type="band1Horz">
      <w:tblPr/>
      <w:tcPr>
        <w:tcBorders>
          <w:top w:val="nil"/>
          <w:left w:val="nil"/>
          <w:bottom w:val="nil"/>
          <w:right w:val="nil"/>
          <w:insideH w:val="nil"/>
          <w:insideV w:val="nil"/>
        </w:tcBorders>
        <w:shd w:val="clear" w:color="auto" w:fill="51B7E2"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AED8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59812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6C3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6C339" w:themeFill="accent6" w:themeFillShade="BF"/>
      </w:tcPr>
    </w:tblStylePr>
    <w:tblStylePr w:type="band1Vert">
      <w:tblPr/>
      <w:tcPr>
        <w:tcBorders>
          <w:top w:val="nil"/>
          <w:left w:val="nil"/>
          <w:bottom w:val="nil"/>
          <w:right w:val="nil"/>
          <w:insideH w:val="nil"/>
          <w:insideV w:val="nil"/>
        </w:tcBorders>
        <w:shd w:val="clear" w:color="auto" w:fill="86C339" w:themeFill="accent6" w:themeFillShade="BF"/>
      </w:tcPr>
    </w:tblStylePr>
    <w:tblStylePr w:type="band1Horz">
      <w:tblPr/>
      <w:tcPr>
        <w:tcBorders>
          <w:top w:val="nil"/>
          <w:left w:val="nil"/>
          <w:bottom w:val="nil"/>
          <w:right w:val="nil"/>
          <w:insideH w:val="nil"/>
          <w:insideV w:val="nil"/>
        </w:tcBorders>
        <w:shd w:val="clear" w:color="auto" w:fill="86C339"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C6E7F5" w:themeColor="accent1" w:themeTint="66"/>
        <w:left w:val="single" w:sz="4" w:space="0" w:color="C6E7F5" w:themeColor="accent1" w:themeTint="66"/>
        <w:bottom w:val="single" w:sz="4" w:space="0" w:color="C6E7F5" w:themeColor="accent1" w:themeTint="66"/>
        <w:right w:val="single" w:sz="4" w:space="0" w:color="C6E7F5" w:themeColor="accent1" w:themeTint="66"/>
        <w:insideH w:val="single" w:sz="4" w:space="0" w:color="C6E7F5" w:themeColor="accent1" w:themeTint="66"/>
        <w:insideV w:val="single" w:sz="4" w:space="0" w:color="C6E7F5" w:themeColor="accent1" w:themeTint="66"/>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2" w:space="0" w:color="A9DCF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AEE9C" w:themeColor="accent2" w:themeTint="66"/>
        <w:left w:val="single" w:sz="4" w:space="0" w:color="CAEE9C" w:themeColor="accent2" w:themeTint="66"/>
        <w:bottom w:val="single" w:sz="4" w:space="0" w:color="CAEE9C" w:themeColor="accent2" w:themeTint="66"/>
        <w:right w:val="single" w:sz="4" w:space="0" w:color="CAEE9C" w:themeColor="accent2" w:themeTint="66"/>
        <w:insideH w:val="single" w:sz="4" w:space="0" w:color="CAEE9C" w:themeColor="accent2" w:themeTint="66"/>
        <w:insideV w:val="single" w:sz="4" w:space="0" w:color="CAEE9C" w:themeColor="accent2" w:themeTint="66"/>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2" w:space="0" w:color="AFE66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CF0F9" w:themeColor="accent5" w:themeTint="66"/>
        <w:left w:val="single" w:sz="4" w:space="0" w:color="DCF0F9" w:themeColor="accent5" w:themeTint="66"/>
        <w:bottom w:val="single" w:sz="4" w:space="0" w:color="DCF0F9" w:themeColor="accent5" w:themeTint="66"/>
        <w:right w:val="single" w:sz="4" w:space="0" w:color="DCF0F9" w:themeColor="accent5" w:themeTint="66"/>
        <w:insideH w:val="single" w:sz="4" w:space="0" w:color="DCF0F9" w:themeColor="accent5" w:themeTint="66"/>
        <w:insideV w:val="single" w:sz="4" w:space="0" w:color="DCF0F9" w:themeColor="accent5" w:themeTint="66"/>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2" w:space="0" w:color="CBE9F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DEEFC9" w:themeColor="accent6" w:themeTint="66"/>
        <w:left w:val="single" w:sz="4" w:space="0" w:color="DEEFC9" w:themeColor="accent6" w:themeTint="66"/>
        <w:bottom w:val="single" w:sz="4" w:space="0" w:color="DEEFC9" w:themeColor="accent6" w:themeTint="66"/>
        <w:right w:val="single" w:sz="4" w:space="0" w:color="DEEFC9" w:themeColor="accent6" w:themeTint="66"/>
        <w:insideH w:val="single" w:sz="4" w:space="0" w:color="DEEFC9" w:themeColor="accent6" w:themeTint="66"/>
        <w:insideV w:val="single" w:sz="4" w:space="0" w:color="DEEFC9" w:themeColor="accent6" w:themeTint="66"/>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2" w:space="0" w:color="CEE7A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A9DCF1" w:themeColor="accent1" w:themeTint="99"/>
        <w:bottom w:val="single" w:sz="2" w:space="0" w:color="A9DCF1" w:themeColor="accent1" w:themeTint="99"/>
        <w:insideH w:val="single" w:sz="2" w:space="0" w:color="A9DCF1" w:themeColor="accent1" w:themeTint="99"/>
        <w:insideV w:val="single" w:sz="2" w:space="0" w:color="A9DCF1" w:themeColor="accent1" w:themeTint="99"/>
      </w:tblBorders>
    </w:tblPr>
    <w:tblStylePr w:type="firstRow">
      <w:rPr>
        <w:b/>
        <w:bCs/>
      </w:rPr>
      <w:tblPr/>
      <w:tcPr>
        <w:tcBorders>
          <w:top w:val="nil"/>
          <w:bottom w:val="single" w:sz="12" w:space="0" w:color="A9DCF1" w:themeColor="accent1" w:themeTint="99"/>
          <w:insideH w:val="nil"/>
          <w:insideV w:val="nil"/>
        </w:tcBorders>
        <w:shd w:val="clear" w:color="auto" w:fill="FFFFFF" w:themeFill="background1"/>
      </w:tcPr>
    </w:tblStylePr>
    <w:tblStylePr w:type="lastRow">
      <w:rPr>
        <w:b/>
        <w:bCs/>
      </w:rPr>
      <w:tblPr/>
      <w:tcPr>
        <w:tcBorders>
          <w:top w:val="double" w:sz="2" w:space="0" w:color="A9DCF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AFE66A" w:themeColor="accent2" w:themeTint="99"/>
        <w:bottom w:val="single" w:sz="2" w:space="0" w:color="AFE66A" w:themeColor="accent2" w:themeTint="99"/>
        <w:insideH w:val="single" w:sz="2" w:space="0" w:color="AFE66A" w:themeColor="accent2" w:themeTint="99"/>
        <w:insideV w:val="single" w:sz="2" w:space="0" w:color="AFE66A" w:themeColor="accent2" w:themeTint="99"/>
      </w:tblBorders>
    </w:tblPr>
    <w:tblStylePr w:type="firstRow">
      <w:rPr>
        <w:b/>
        <w:bCs/>
      </w:rPr>
      <w:tblPr/>
      <w:tcPr>
        <w:tcBorders>
          <w:top w:val="nil"/>
          <w:bottom w:val="single" w:sz="12" w:space="0" w:color="AFE66A" w:themeColor="accent2" w:themeTint="99"/>
          <w:insideH w:val="nil"/>
          <w:insideV w:val="nil"/>
        </w:tcBorders>
        <w:shd w:val="clear" w:color="auto" w:fill="FFFFFF" w:themeFill="background1"/>
      </w:tcPr>
    </w:tblStylePr>
    <w:tblStylePr w:type="lastRow">
      <w:rPr>
        <w:b/>
        <w:bCs/>
      </w:rPr>
      <w:tblPr/>
      <w:tcPr>
        <w:tcBorders>
          <w:top w:val="double" w:sz="2" w:space="0" w:color="AFE66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BE9F6" w:themeColor="accent5" w:themeTint="99"/>
        <w:bottom w:val="single" w:sz="2" w:space="0" w:color="CBE9F6" w:themeColor="accent5" w:themeTint="99"/>
        <w:insideH w:val="single" w:sz="2" w:space="0" w:color="CBE9F6" w:themeColor="accent5" w:themeTint="99"/>
        <w:insideV w:val="single" w:sz="2" w:space="0" w:color="CBE9F6" w:themeColor="accent5" w:themeTint="99"/>
      </w:tblBorders>
    </w:tblPr>
    <w:tblStylePr w:type="firstRow">
      <w:rPr>
        <w:b/>
        <w:bCs/>
      </w:rPr>
      <w:tblPr/>
      <w:tcPr>
        <w:tcBorders>
          <w:top w:val="nil"/>
          <w:bottom w:val="single" w:sz="12" w:space="0" w:color="CBE9F6" w:themeColor="accent5" w:themeTint="99"/>
          <w:insideH w:val="nil"/>
          <w:insideV w:val="nil"/>
        </w:tcBorders>
        <w:shd w:val="clear" w:color="auto" w:fill="FFFFFF" w:themeFill="background1"/>
      </w:tcPr>
    </w:tblStylePr>
    <w:tblStylePr w:type="lastRow">
      <w:rPr>
        <w:b/>
        <w:bCs/>
      </w:rPr>
      <w:tblPr/>
      <w:tcPr>
        <w:tcBorders>
          <w:top w:val="double" w:sz="2" w:space="0" w:color="CBE9F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CEE7AE" w:themeColor="accent6" w:themeTint="99"/>
        <w:bottom w:val="single" w:sz="2" w:space="0" w:color="CEE7AE" w:themeColor="accent6" w:themeTint="99"/>
        <w:insideH w:val="single" w:sz="2" w:space="0" w:color="CEE7AE" w:themeColor="accent6" w:themeTint="99"/>
        <w:insideV w:val="single" w:sz="2" w:space="0" w:color="CEE7AE" w:themeColor="accent6" w:themeTint="99"/>
      </w:tblBorders>
    </w:tblPr>
    <w:tblStylePr w:type="firstRow">
      <w:rPr>
        <w:b/>
        <w:bCs/>
      </w:rPr>
      <w:tblPr/>
      <w:tcPr>
        <w:tcBorders>
          <w:top w:val="nil"/>
          <w:bottom w:val="single" w:sz="12" w:space="0" w:color="CEE7AE" w:themeColor="accent6" w:themeTint="99"/>
          <w:insideH w:val="nil"/>
          <w:insideV w:val="nil"/>
        </w:tcBorders>
        <w:shd w:val="clear" w:color="auto" w:fill="FFFFFF" w:themeFill="background1"/>
      </w:tcPr>
    </w:tblStylePr>
    <w:tblStylePr w:type="lastRow">
      <w:rPr>
        <w:b/>
        <w:bCs/>
      </w:rPr>
      <w:tblPr/>
      <w:tcPr>
        <w:tcBorders>
          <w:top w:val="double" w:sz="2" w:space="0" w:color="CEE7A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insideV w:val="nil"/>
        </w:tcBorders>
        <w:shd w:val="clear" w:color="auto" w:fill="71C5E8" w:themeFill="accent1"/>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insideV w:val="nil"/>
        </w:tcBorders>
        <w:shd w:val="clear" w:color="auto" w:fill="78BE20" w:themeFill="accent2"/>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insideV w:val="nil"/>
        </w:tcBorders>
        <w:shd w:val="clear" w:color="auto" w:fill="AADCF1" w:themeFill="accent5"/>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insideV w:val="nil"/>
        </w:tcBorders>
        <w:shd w:val="clear" w:color="auto" w:fill="AED879" w:themeFill="accent6"/>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3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C5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C5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C5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C5E8" w:themeFill="accent1"/>
      </w:tcPr>
    </w:tblStylePr>
    <w:tblStylePr w:type="band1Vert">
      <w:tblPr/>
      <w:tcPr>
        <w:shd w:val="clear" w:color="auto" w:fill="C6E7F5" w:themeFill="accent1" w:themeFillTint="66"/>
      </w:tcPr>
    </w:tblStylePr>
    <w:tblStylePr w:type="band1Horz">
      <w:tblPr/>
      <w:tcPr>
        <w:shd w:val="clear" w:color="auto" w:fill="C6E7F5"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6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8BE2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8BE2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8BE2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8BE20" w:themeFill="accent2"/>
      </w:tcPr>
    </w:tblStylePr>
    <w:tblStylePr w:type="band1Vert">
      <w:tblPr/>
      <w:tcPr>
        <w:shd w:val="clear" w:color="auto" w:fill="CAEE9C" w:themeFill="accent2" w:themeFillTint="66"/>
      </w:tcPr>
    </w:tblStylePr>
    <w:tblStylePr w:type="band1Horz">
      <w:tblPr/>
      <w:tcPr>
        <w:shd w:val="clear" w:color="auto" w:fill="CAEE9C"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CF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CF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CF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CF1" w:themeFill="accent5"/>
      </w:tcPr>
    </w:tblStylePr>
    <w:tblStylePr w:type="band1Vert">
      <w:tblPr/>
      <w:tcPr>
        <w:shd w:val="clear" w:color="auto" w:fill="DCF0F9" w:themeFill="accent5" w:themeFillTint="66"/>
      </w:tcPr>
    </w:tblStylePr>
    <w:tblStylePr w:type="band1Horz">
      <w:tblPr/>
      <w:tcPr>
        <w:shd w:val="clear" w:color="auto" w:fill="DCF0F9"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7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ED87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ED87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ED87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ED879" w:themeFill="accent6"/>
      </w:tcPr>
    </w:tblStylePr>
    <w:tblStylePr w:type="band1Vert">
      <w:tblPr/>
      <w:tcPr>
        <w:shd w:val="clear" w:color="auto" w:fill="DEEFC9" w:themeFill="accent6" w:themeFillTint="66"/>
      </w:tcPr>
    </w:tblStylePr>
    <w:tblStylePr w:type="band1Horz">
      <w:tblPr/>
      <w:tcPr>
        <w:shd w:val="clear" w:color="auto" w:fill="DEEFC9"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6Colorful-Accent2">
    <w:name w:val="Grid Table 6 Colorful Accent 2"/>
    <w:basedOn w:val="TableNormal"/>
    <w:uiPriority w:val="51"/>
    <w:semiHidden/>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6Colorful-Accent6">
    <w:name w:val="Grid Table 6 Colorful Accent 6"/>
    <w:basedOn w:val="TableNormal"/>
    <w:uiPriority w:val="51"/>
    <w:semiHidden/>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7Colorful-Accent2">
    <w:name w:val="Grid Table 7 Colorful Accent 2"/>
    <w:basedOn w:val="TableNormal"/>
    <w:uiPriority w:val="52"/>
    <w:semiHidden/>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7Colorful-Accent6">
    <w:name w:val="Grid Table 7 Colorful Accent 6"/>
    <w:basedOn w:val="TableNormal"/>
    <w:uiPriority w:val="52"/>
    <w:semiHidden/>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18" w:space="0" w:color="71C5E8" w:themeColor="accent1"/>
          <w:right w:val="single" w:sz="8" w:space="0" w:color="71C5E8" w:themeColor="accent1"/>
          <w:insideH w:val="nil"/>
          <w:insideV w:val="single" w:sz="8" w:space="0" w:color="71C5E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insideH w:val="nil"/>
          <w:insideV w:val="single" w:sz="8" w:space="0" w:color="71C5E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shd w:val="clear" w:color="auto" w:fill="DBF0F9" w:themeFill="accent1" w:themeFillTint="3F"/>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shd w:val="clear" w:color="auto" w:fill="DBF0F9" w:themeFill="accent1" w:themeFillTint="3F"/>
      </w:tcPr>
    </w:tblStylePr>
    <w:tblStylePr w:type="band2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18" w:space="0" w:color="78BE20" w:themeColor="accent2"/>
          <w:right w:val="single" w:sz="8" w:space="0" w:color="78BE20" w:themeColor="accent2"/>
          <w:insideH w:val="nil"/>
          <w:insideV w:val="single" w:sz="8" w:space="0" w:color="78BE2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insideH w:val="nil"/>
          <w:insideV w:val="single" w:sz="8" w:space="0" w:color="78BE2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shd w:val="clear" w:color="auto" w:fill="DEF4C1" w:themeFill="accent2" w:themeFillTint="3F"/>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shd w:val="clear" w:color="auto" w:fill="DEF4C1" w:themeFill="accent2" w:themeFillTint="3F"/>
      </w:tcPr>
    </w:tblStylePr>
    <w:tblStylePr w:type="band2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18" w:space="0" w:color="AADCF1" w:themeColor="accent5"/>
          <w:right w:val="single" w:sz="8" w:space="0" w:color="AADCF1" w:themeColor="accent5"/>
          <w:insideH w:val="nil"/>
          <w:insideV w:val="single" w:sz="8" w:space="0" w:color="AADC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insideH w:val="nil"/>
          <w:insideV w:val="single" w:sz="8" w:space="0" w:color="AADC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shd w:val="clear" w:color="auto" w:fill="E9F6FB" w:themeFill="accent5" w:themeFillTint="3F"/>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shd w:val="clear" w:color="auto" w:fill="E9F6FB" w:themeFill="accent5" w:themeFillTint="3F"/>
      </w:tcPr>
    </w:tblStylePr>
    <w:tblStylePr w:type="band2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18" w:space="0" w:color="AED879" w:themeColor="accent6"/>
          <w:right w:val="single" w:sz="8" w:space="0" w:color="AED879" w:themeColor="accent6"/>
          <w:insideH w:val="nil"/>
          <w:insideV w:val="single" w:sz="8" w:space="0" w:color="AED8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insideH w:val="nil"/>
          <w:insideV w:val="single" w:sz="8" w:space="0" w:color="AED8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shd w:val="clear" w:color="auto" w:fill="EAF5DD" w:themeFill="accent6" w:themeFillTint="3F"/>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shd w:val="clear" w:color="auto" w:fill="EAF5DD" w:themeFill="accent6" w:themeFillTint="3F"/>
      </w:tcPr>
    </w:tblStylePr>
    <w:tblStylePr w:type="band2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pPr>
        <w:spacing w:before="0" w:after="0" w:line="240" w:lineRule="auto"/>
      </w:pPr>
      <w:rPr>
        <w:b/>
        <w:bCs/>
        <w:color w:val="FFFFFF" w:themeColor="background1"/>
      </w:rPr>
      <w:tblPr/>
      <w:tcPr>
        <w:shd w:val="clear" w:color="auto" w:fill="71C5E8" w:themeFill="accent1"/>
      </w:tcPr>
    </w:tblStylePr>
    <w:tblStylePr w:type="lastRow">
      <w:pPr>
        <w:spacing w:before="0" w:after="0" w:line="240" w:lineRule="auto"/>
      </w:pPr>
      <w:rPr>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tcBorders>
      </w:tcPr>
    </w:tblStylePr>
    <w:tblStylePr w:type="firstCol">
      <w:rPr>
        <w:b/>
        <w:bCs/>
      </w:rPr>
    </w:tblStylePr>
    <w:tblStylePr w:type="lastCol">
      <w:rPr>
        <w:b/>
        <w:bCs/>
      </w:r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pPr>
        <w:spacing w:before="0" w:after="0" w:line="240" w:lineRule="auto"/>
      </w:pPr>
      <w:rPr>
        <w:b/>
        <w:bCs/>
        <w:color w:val="FFFFFF" w:themeColor="background1"/>
      </w:rPr>
      <w:tblPr/>
      <w:tcPr>
        <w:shd w:val="clear" w:color="auto" w:fill="78BE20" w:themeFill="accent2"/>
      </w:tcPr>
    </w:tblStylePr>
    <w:tblStylePr w:type="lastRow">
      <w:pPr>
        <w:spacing w:before="0" w:after="0" w:line="240" w:lineRule="auto"/>
      </w:pPr>
      <w:rPr>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tcBorders>
      </w:tcPr>
    </w:tblStylePr>
    <w:tblStylePr w:type="firstCol">
      <w:rPr>
        <w:b/>
        <w:bCs/>
      </w:rPr>
    </w:tblStylePr>
    <w:tblStylePr w:type="lastCol">
      <w:rPr>
        <w:b/>
        <w:bCs/>
      </w:r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pPr>
        <w:spacing w:before="0" w:after="0" w:line="240" w:lineRule="auto"/>
      </w:pPr>
      <w:rPr>
        <w:b/>
        <w:bCs/>
        <w:color w:val="FFFFFF" w:themeColor="background1"/>
      </w:rPr>
      <w:tblPr/>
      <w:tcPr>
        <w:shd w:val="clear" w:color="auto" w:fill="AADCF1" w:themeFill="accent5"/>
      </w:tcPr>
    </w:tblStylePr>
    <w:tblStylePr w:type="lastRow">
      <w:pPr>
        <w:spacing w:before="0" w:after="0" w:line="240" w:lineRule="auto"/>
      </w:pPr>
      <w:rPr>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tcBorders>
      </w:tcPr>
    </w:tblStylePr>
    <w:tblStylePr w:type="firstCol">
      <w:rPr>
        <w:b/>
        <w:bCs/>
      </w:rPr>
    </w:tblStylePr>
    <w:tblStylePr w:type="lastCol">
      <w:rPr>
        <w:b/>
        <w:bCs/>
      </w:r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pPr>
        <w:spacing w:before="0" w:after="0" w:line="240" w:lineRule="auto"/>
      </w:pPr>
      <w:rPr>
        <w:b/>
        <w:bCs/>
        <w:color w:val="FFFFFF" w:themeColor="background1"/>
      </w:rPr>
      <w:tblPr/>
      <w:tcPr>
        <w:shd w:val="clear" w:color="auto" w:fill="AED879" w:themeFill="accent6"/>
      </w:tcPr>
    </w:tblStylePr>
    <w:tblStylePr w:type="lastRow">
      <w:pPr>
        <w:spacing w:before="0" w:after="0" w:line="240" w:lineRule="auto"/>
      </w:pPr>
      <w:rPr>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tcBorders>
      </w:tcPr>
    </w:tblStylePr>
    <w:tblStylePr w:type="firstCol">
      <w:rPr>
        <w:b/>
        <w:bCs/>
      </w:rPr>
    </w:tblStylePr>
    <w:tblStylePr w:type="lastCol">
      <w:rPr>
        <w:b/>
        <w:bCs/>
      </w:r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26A6DC" w:themeColor="accent1" w:themeShade="BF"/>
    </w:rPr>
    <w:tblPr>
      <w:tblStyleRowBandSize w:val="1"/>
      <w:tblStyleColBandSize w:val="1"/>
      <w:tblBorders>
        <w:top w:val="single" w:sz="8" w:space="0" w:color="71C5E8" w:themeColor="accent1"/>
        <w:bottom w:val="single" w:sz="8" w:space="0" w:color="71C5E8" w:themeColor="accent1"/>
      </w:tblBorders>
    </w:tblPr>
    <w:tblStylePr w:type="fir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la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left w:val="nil"/>
          <w:right w:val="nil"/>
          <w:insideH w:val="nil"/>
          <w:insideV w:val="nil"/>
        </w:tcBorders>
        <w:shd w:val="clear" w:color="auto" w:fill="DBF0F9" w:themeFill="accent1" w:themeFillTint="3F"/>
      </w:tcPr>
    </w:tblStylePr>
  </w:style>
  <w:style w:type="table" w:styleId="LightShading-Accent2">
    <w:name w:val="Light Shading Accent 2"/>
    <w:basedOn w:val="TableNormal"/>
    <w:uiPriority w:val="60"/>
    <w:semiHidden/>
    <w:rsid w:val="0058629F"/>
    <w:rPr>
      <w:color w:val="598E18" w:themeColor="accent2" w:themeShade="BF"/>
    </w:rPr>
    <w:tblPr>
      <w:tblStyleRowBandSize w:val="1"/>
      <w:tblStyleColBandSize w:val="1"/>
      <w:tblBorders>
        <w:top w:val="single" w:sz="8" w:space="0" w:color="78BE20" w:themeColor="accent2"/>
        <w:bottom w:val="single" w:sz="8" w:space="0" w:color="78BE20" w:themeColor="accent2"/>
      </w:tblBorders>
    </w:tblPr>
    <w:tblStylePr w:type="fir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la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left w:val="nil"/>
          <w:right w:val="nil"/>
          <w:insideH w:val="nil"/>
          <w:insideV w:val="nil"/>
        </w:tcBorders>
        <w:shd w:val="clear" w:color="auto" w:fill="DEF4C1"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51B7E2" w:themeColor="accent5" w:themeShade="BF"/>
    </w:rPr>
    <w:tblPr>
      <w:tblStyleRowBandSize w:val="1"/>
      <w:tblStyleColBandSize w:val="1"/>
      <w:tblBorders>
        <w:top w:val="single" w:sz="8" w:space="0" w:color="AADCF1" w:themeColor="accent5"/>
        <w:bottom w:val="single" w:sz="8" w:space="0" w:color="AADCF1" w:themeColor="accent5"/>
      </w:tblBorders>
    </w:tblPr>
    <w:tblStylePr w:type="fir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la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left w:val="nil"/>
          <w:right w:val="nil"/>
          <w:insideH w:val="nil"/>
          <w:insideV w:val="nil"/>
        </w:tcBorders>
        <w:shd w:val="clear" w:color="auto" w:fill="E9F6FB" w:themeFill="accent5" w:themeFillTint="3F"/>
      </w:tcPr>
    </w:tblStylePr>
  </w:style>
  <w:style w:type="table" w:styleId="LightShading-Accent6">
    <w:name w:val="Light Shading Accent 6"/>
    <w:basedOn w:val="TableNormal"/>
    <w:uiPriority w:val="60"/>
    <w:semiHidden/>
    <w:rsid w:val="0058629F"/>
    <w:rPr>
      <w:color w:val="86C339" w:themeColor="accent6" w:themeShade="BF"/>
    </w:rPr>
    <w:tblPr>
      <w:tblStyleRowBandSize w:val="1"/>
      <w:tblStyleColBandSize w:val="1"/>
      <w:tblBorders>
        <w:top w:val="single" w:sz="8" w:space="0" w:color="AED879" w:themeColor="accent6"/>
        <w:bottom w:val="single" w:sz="8" w:space="0" w:color="AED879" w:themeColor="accent6"/>
      </w:tblBorders>
    </w:tblPr>
    <w:tblStylePr w:type="fir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la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left w:val="nil"/>
          <w:right w:val="nil"/>
          <w:insideH w:val="nil"/>
          <w:insideV w:val="nil"/>
        </w:tcBorders>
        <w:shd w:val="clear" w:color="auto" w:fill="EAF5DD"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A9DCF1" w:themeColor="accent1" w:themeTint="99"/>
        </w:tcBorders>
      </w:tcPr>
    </w:tblStylePr>
    <w:tblStylePr w:type="lastRow">
      <w:rPr>
        <w:b/>
        <w:bCs/>
      </w:rPr>
      <w:tblPr/>
      <w:tcPr>
        <w:tcBorders>
          <w:top w:val="sing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AFE66A" w:themeColor="accent2" w:themeTint="99"/>
        </w:tcBorders>
      </w:tcPr>
    </w:tblStylePr>
    <w:tblStylePr w:type="lastRow">
      <w:rPr>
        <w:b/>
        <w:bCs/>
      </w:rPr>
      <w:tblPr/>
      <w:tcPr>
        <w:tcBorders>
          <w:top w:val="sing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BE9F6" w:themeColor="accent5" w:themeTint="99"/>
        </w:tcBorders>
      </w:tcPr>
    </w:tblStylePr>
    <w:tblStylePr w:type="lastRow">
      <w:rPr>
        <w:b/>
        <w:bCs/>
      </w:rPr>
      <w:tblPr/>
      <w:tcPr>
        <w:tcBorders>
          <w:top w:val="sing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CEE7AE" w:themeColor="accent6" w:themeTint="99"/>
        </w:tcBorders>
      </w:tcPr>
    </w:tblStylePr>
    <w:tblStylePr w:type="lastRow">
      <w:rPr>
        <w:b/>
        <w:bCs/>
      </w:rPr>
      <w:tblPr/>
      <w:tcPr>
        <w:tcBorders>
          <w:top w:val="sing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A9DCF1" w:themeColor="accent1" w:themeTint="99"/>
        <w:bottom w:val="single" w:sz="4" w:space="0" w:color="A9DCF1" w:themeColor="accent1" w:themeTint="99"/>
        <w:insideH w:val="single" w:sz="4" w:space="0" w:color="A9DCF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AFE66A" w:themeColor="accent2" w:themeTint="99"/>
        <w:bottom w:val="single" w:sz="4" w:space="0" w:color="AFE66A" w:themeColor="accent2" w:themeTint="99"/>
        <w:insideH w:val="single" w:sz="4" w:space="0" w:color="AFE66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BE9F6" w:themeColor="accent5" w:themeTint="99"/>
        <w:bottom w:val="single" w:sz="4" w:space="0" w:color="CBE9F6" w:themeColor="accent5" w:themeTint="99"/>
        <w:insideH w:val="single" w:sz="4" w:space="0" w:color="CBE9F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CEE7AE" w:themeColor="accent6" w:themeTint="99"/>
        <w:bottom w:val="single" w:sz="4" w:space="0" w:color="CEE7AE" w:themeColor="accent6" w:themeTint="99"/>
        <w:insideH w:val="single" w:sz="4" w:space="0" w:color="CEE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71C5E8" w:themeColor="accent1"/>
        <w:left w:val="single" w:sz="4" w:space="0" w:color="71C5E8" w:themeColor="accent1"/>
        <w:bottom w:val="single" w:sz="4" w:space="0" w:color="71C5E8" w:themeColor="accent1"/>
        <w:right w:val="single" w:sz="4" w:space="0" w:color="71C5E8" w:themeColor="accent1"/>
      </w:tblBorders>
    </w:tblPr>
    <w:tblStylePr w:type="firstRow">
      <w:rPr>
        <w:b/>
        <w:bCs/>
        <w:color w:val="FFFFFF" w:themeColor="background1"/>
      </w:rPr>
      <w:tblPr/>
      <w:tcPr>
        <w:shd w:val="clear" w:color="auto" w:fill="71C5E8" w:themeFill="accent1"/>
      </w:tcPr>
    </w:tblStylePr>
    <w:tblStylePr w:type="lastRow">
      <w:rPr>
        <w:b/>
        <w:bCs/>
      </w:rPr>
      <w:tblPr/>
      <w:tcPr>
        <w:tcBorders>
          <w:top w:val="double" w:sz="4" w:space="0" w:color="71C5E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C5E8" w:themeColor="accent1"/>
          <w:right w:val="single" w:sz="4" w:space="0" w:color="71C5E8" w:themeColor="accent1"/>
        </w:tcBorders>
      </w:tcPr>
    </w:tblStylePr>
    <w:tblStylePr w:type="band1Horz">
      <w:tblPr/>
      <w:tcPr>
        <w:tcBorders>
          <w:top w:val="single" w:sz="4" w:space="0" w:color="71C5E8" w:themeColor="accent1"/>
          <w:bottom w:val="single" w:sz="4" w:space="0" w:color="71C5E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C5E8" w:themeColor="accent1"/>
          <w:left w:val="nil"/>
        </w:tcBorders>
      </w:tcPr>
    </w:tblStylePr>
    <w:tblStylePr w:type="swCell">
      <w:tblPr/>
      <w:tcPr>
        <w:tcBorders>
          <w:top w:val="double" w:sz="4" w:space="0" w:color="71C5E8"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78BE20" w:themeColor="accent2"/>
        <w:left w:val="single" w:sz="4" w:space="0" w:color="78BE20" w:themeColor="accent2"/>
        <w:bottom w:val="single" w:sz="4" w:space="0" w:color="78BE20" w:themeColor="accent2"/>
        <w:right w:val="single" w:sz="4" w:space="0" w:color="78BE20" w:themeColor="accent2"/>
      </w:tblBorders>
    </w:tblPr>
    <w:tblStylePr w:type="firstRow">
      <w:rPr>
        <w:b/>
        <w:bCs/>
        <w:color w:val="FFFFFF" w:themeColor="background1"/>
      </w:rPr>
      <w:tblPr/>
      <w:tcPr>
        <w:shd w:val="clear" w:color="auto" w:fill="78BE20" w:themeFill="accent2"/>
      </w:tcPr>
    </w:tblStylePr>
    <w:tblStylePr w:type="lastRow">
      <w:rPr>
        <w:b/>
        <w:bCs/>
      </w:rPr>
      <w:tblPr/>
      <w:tcPr>
        <w:tcBorders>
          <w:top w:val="double" w:sz="4" w:space="0" w:color="78BE2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8BE20" w:themeColor="accent2"/>
          <w:right w:val="single" w:sz="4" w:space="0" w:color="78BE20" w:themeColor="accent2"/>
        </w:tcBorders>
      </w:tcPr>
    </w:tblStylePr>
    <w:tblStylePr w:type="band1Horz">
      <w:tblPr/>
      <w:tcPr>
        <w:tcBorders>
          <w:top w:val="single" w:sz="4" w:space="0" w:color="78BE20" w:themeColor="accent2"/>
          <w:bottom w:val="single" w:sz="4" w:space="0" w:color="78BE2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BE20" w:themeColor="accent2"/>
          <w:left w:val="nil"/>
        </w:tcBorders>
      </w:tcPr>
    </w:tblStylePr>
    <w:tblStylePr w:type="swCell">
      <w:tblPr/>
      <w:tcPr>
        <w:tcBorders>
          <w:top w:val="double" w:sz="4" w:space="0" w:color="78BE20"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AADCF1" w:themeColor="accent5"/>
        <w:left w:val="single" w:sz="4" w:space="0" w:color="AADCF1" w:themeColor="accent5"/>
        <w:bottom w:val="single" w:sz="4" w:space="0" w:color="AADCF1" w:themeColor="accent5"/>
        <w:right w:val="single" w:sz="4" w:space="0" w:color="AADCF1" w:themeColor="accent5"/>
      </w:tblBorders>
    </w:tblPr>
    <w:tblStylePr w:type="firstRow">
      <w:rPr>
        <w:b/>
        <w:bCs/>
        <w:color w:val="FFFFFF" w:themeColor="background1"/>
      </w:rPr>
      <w:tblPr/>
      <w:tcPr>
        <w:shd w:val="clear" w:color="auto" w:fill="AADCF1" w:themeFill="accent5"/>
      </w:tcPr>
    </w:tblStylePr>
    <w:tblStylePr w:type="lastRow">
      <w:rPr>
        <w:b/>
        <w:bCs/>
      </w:rPr>
      <w:tblPr/>
      <w:tcPr>
        <w:tcBorders>
          <w:top w:val="double" w:sz="4" w:space="0" w:color="AADCF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CF1" w:themeColor="accent5"/>
          <w:right w:val="single" w:sz="4" w:space="0" w:color="AADCF1" w:themeColor="accent5"/>
        </w:tcBorders>
      </w:tcPr>
    </w:tblStylePr>
    <w:tblStylePr w:type="band1Horz">
      <w:tblPr/>
      <w:tcPr>
        <w:tcBorders>
          <w:top w:val="single" w:sz="4" w:space="0" w:color="AADCF1" w:themeColor="accent5"/>
          <w:bottom w:val="single" w:sz="4" w:space="0" w:color="AADCF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CF1" w:themeColor="accent5"/>
          <w:left w:val="nil"/>
        </w:tcBorders>
      </w:tcPr>
    </w:tblStylePr>
    <w:tblStylePr w:type="swCell">
      <w:tblPr/>
      <w:tcPr>
        <w:tcBorders>
          <w:top w:val="double" w:sz="4" w:space="0" w:color="AADCF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AED879" w:themeColor="accent6"/>
        <w:left w:val="single" w:sz="4" w:space="0" w:color="AED879" w:themeColor="accent6"/>
        <w:bottom w:val="single" w:sz="4" w:space="0" w:color="AED879" w:themeColor="accent6"/>
        <w:right w:val="single" w:sz="4" w:space="0" w:color="AED879" w:themeColor="accent6"/>
      </w:tblBorders>
    </w:tblPr>
    <w:tblStylePr w:type="firstRow">
      <w:rPr>
        <w:b/>
        <w:bCs/>
        <w:color w:val="FFFFFF" w:themeColor="background1"/>
      </w:rPr>
      <w:tblPr/>
      <w:tcPr>
        <w:shd w:val="clear" w:color="auto" w:fill="AED879" w:themeFill="accent6"/>
      </w:tcPr>
    </w:tblStylePr>
    <w:tblStylePr w:type="lastRow">
      <w:rPr>
        <w:b/>
        <w:bCs/>
      </w:rPr>
      <w:tblPr/>
      <w:tcPr>
        <w:tcBorders>
          <w:top w:val="double" w:sz="4" w:space="0" w:color="AED87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D879" w:themeColor="accent6"/>
          <w:right w:val="single" w:sz="4" w:space="0" w:color="AED879" w:themeColor="accent6"/>
        </w:tcBorders>
      </w:tcPr>
    </w:tblStylePr>
    <w:tblStylePr w:type="band1Horz">
      <w:tblPr/>
      <w:tcPr>
        <w:tcBorders>
          <w:top w:val="single" w:sz="4" w:space="0" w:color="AED879" w:themeColor="accent6"/>
          <w:bottom w:val="single" w:sz="4" w:space="0" w:color="AED87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D879" w:themeColor="accent6"/>
          <w:left w:val="nil"/>
        </w:tcBorders>
      </w:tcPr>
    </w:tblStylePr>
    <w:tblStylePr w:type="swCell">
      <w:tblPr/>
      <w:tcPr>
        <w:tcBorders>
          <w:top w:val="double" w:sz="4" w:space="0" w:color="AED879"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tcBorders>
        <w:shd w:val="clear" w:color="auto" w:fill="71C5E8" w:themeFill="accent1"/>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tcBorders>
        <w:shd w:val="clear" w:color="auto" w:fill="78BE20" w:themeFill="accent2"/>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tcBorders>
        <w:shd w:val="clear" w:color="auto" w:fill="AADCF1" w:themeFill="accent5"/>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tcBorders>
        <w:shd w:val="clear" w:color="auto" w:fill="AED879" w:themeFill="accent6"/>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71C5E8" w:themeColor="accent1"/>
        <w:left w:val="single" w:sz="24" w:space="0" w:color="71C5E8" w:themeColor="accent1"/>
        <w:bottom w:val="single" w:sz="24" w:space="0" w:color="71C5E8" w:themeColor="accent1"/>
        <w:right w:val="single" w:sz="24" w:space="0" w:color="71C5E8" w:themeColor="accent1"/>
      </w:tblBorders>
    </w:tblPr>
    <w:tcPr>
      <w:shd w:val="clear" w:color="auto" w:fill="71C5E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78BE20" w:themeColor="accent2"/>
        <w:left w:val="single" w:sz="24" w:space="0" w:color="78BE20" w:themeColor="accent2"/>
        <w:bottom w:val="single" w:sz="24" w:space="0" w:color="78BE20" w:themeColor="accent2"/>
        <w:right w:val="single" w:sz="24" w:space="0" w:color="78BE20" w:themeColor="accent2"/>
      </w:tblBorders>
    </w:tblPr>
    <w:tcPr>
      <w:shd w:val="clear" w:color="auto" w:fill="78BE2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AADCF1" w:themeColor="accent5"/>
        <w:left w:val="single" w:sz="24" w:space="0" w:color="AADCF1" w:themeColor="accent5"/>
        <w:bottom w:val="single" w:sz="24" w:space="0" w:color="AADCF1" w:themeColor="accent5"/>
        <w:right w:val="single" w:sz="24" w:space="0" w:color="AADCF1" w:themeColor="accent5"/>
      </w:tblBorders>
    </w:tblPr>
    <w:tcPr>
      <w:shd w:val="clear" w:color="auto" w:fill="AADCF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AED879" w:themeColor="accent6"/>
        <w:left w:val="single" w:sz="24" w:space="0" w:color="AED879" w:themeColor="accent6"/>
        <w:bottom w:val="single" w:sz="24" w:space="0" w:color="AED879" w:themeColor="accent6"/>
        <w:right w:val="single" w:sz="24" w:space="0" w:color="AED879" w:themeColor="accent6"/>
      </w:tblBorders>
    </w:tblPr>
    <w:tcPr>
      <w:shd w:val="clear" w:color="auto" w:fill="AED87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26A6DC" w:themeColor="accent1" w:themeShade="BF"/>
    </w:rPr>
    <w:tblPr>
      <w:tblStyleRowBandSize w:val="1"/>
      <w:tblStyleColBandSize w:val="1"/>
      <w:tblBorders>
        <w:top w:val="single" w:sz="4" w:space="0" w:color="71C5E8" w:themeColor="accent1"/>
        <w:bottom w:val="single" w:sz="4" w:space="0" w:color="71C5E8" w:themeColor="accent1"/>
      </w:tblBorders>
    </w:tblPr>
    <w:tblStylePr w:type="firstRow">
      <w:rPr>
        <w:b/>
        <w:bCs/>
      </w:rPr>
      <w:tblPr/>
      <w:tcPr>
        <w:tcBorders>
          <w:bottom w:val="single" w:sz="4" w:space="0" w:color="71C5E8" w:themeColor="accent1"/>
        </w:tcBorders>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6Colorful-Accent2">
    <w:name w:val="List Table 6 Colorful Accent 2"/>
    <w:basedOn w:val="TableNormal"/>
    <w:uiPriority w:val="51"/>
    <w:semiHidden/>
    <w:rsid w:val="0058629F"/>
    <w:rPr>
      <w:color w:val="598E18" w:themeColor="accent2" w:themeShade="BF"/>
    </w:rPr>
    <w:tblPr>
      <w:tblStyleRowBandSize w:val="1"/>
      <w:tblStyleColBandSize w:val="1"/>
      <w:tblBorders>
        <w:top w:val="single" w:sz="4" w:space="0" w:color="78BE20" w:themeColor="accent2"/>
        <w:bottom w:val="single" w:sz="4" w:space="0" w:color="78BE20" w:themeColor="accent2"/>
      </w:tblBorders>
    </w:tblPr>
    <w:tblStylePr w:type="firstRow">
      <w:rPr>
        <w:b/>
        <w:bCs/>
      </w:rPr>
      <w:tblPr/>
      <w:tcPr>
        <w:tcBorders>
          <w:bottom w:val="single" w:sz="4" w:space="0" w:color="78BE20" w:themeColor="accent2"/>
        </w:tcBorders>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51B7E2" w:themeColor="accent5" w:themeShade="BF"/>
    </w:rPr>
    <w:tblPr>
      <w:tblStyleRowBandSize w:val="1"/>
      <w:tblStyleColBandSize w:val="1"/>
      <w:tblBorders>
        <w:top w:val="single" w:sz="4" w:space="0" w:color="AADCF1" w:themeColor="accent5"/>
        <w:bottom w:val="single" w:sz="4" w:space="0" w:color="AADCF1" w:themeColor="accent5"/>
      </w:tblBorders>
    </w:tblPr>
    <w:tblStylePr w:type="firstRow">
      <w:rPr>
        <w:b/>
        <w:bCs/>
      </w:rPr>
      <w:tblPr/>
      <w:tcPr>
        <w:tcBorders>
          <w:bottom w:val="single" w:sz="4" w:space="0" w:color="AADCF1" w:themeColor="accent5"/>
        </w:tcBorders>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6Colorful-Accent6">
    <w:name w:val="List Table 6 Colorful Accent 6"/>
    <w:basedOn w:val="TableNormal"/>
    <w:uiPriority w:val="51"/>
    <w:semiHidden/>
    <w:rsid w:val="0058629F"/>
    <w:rPr>
      <w:color w:val="86C339" w:themeColor="accent6" w:themeShade="BF"/>
    </w:rPr>
    <w:tblPr>
      <w:tblStyleRowBandSize w:val="1"/>
      <w:tblStyleColBandSize w:val="1"/>
      <w:tblBorders>
        <w:top w:val="single" w:sz="4" w:space="0" w:color="AED879" w:themeColor="accent6"/>
        <w:bottom w:val="single" w:sz="4" w:space="0" w:color="AED879" w:themeColor="accent6"/>
      </w:tblBorders>
    </w:tblPr>
    <w:tblStylePr w:type="firstRow">
      <w:rPr>
        <w:b/>
        <w:bCs/>
      </w:rPr>
      <w:tblPr/>
      <w:tcPr>
        <w:tcBorders>
          <w:bottom w:val="single" w:sz="4" w:space="0" w:color="AED879" w:themeColor="accent6"/>
        </w:tcBorders>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26A6D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C5E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C5E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C5E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C5E8" w:themeColor="accent1"/>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598E1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BE2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BE2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BE2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BE20" w:themeColor="accent2"/>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51B7E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CF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CF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CF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CF1" w:themeColor="accent5"/>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86C3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ED87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ED87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ED87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ED879" w:themeColor="accent6"/>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insideV w:val="single" w:sz="8" w:space="0" w:color="94D3ED" w:themeColor="accent1" w:themeTint="BF"/>
      </w:tblBorders>
    </w:tblPr>
    <w:tcPr>
      <w:shd w:val="clear" w:color="auto" w:fill="DBF0F9" w:themeFill="accent1" w:themeFillTint="3F"/>
    </w:tcPr>
    <w:tblStylePr w:type="firstRow">
      <w:rPr>
        <w:b/>
        <w:bCs/>
      </w:rPr>
    </w:tblStylePr>
    <w:tblStylePr w:type="lastRow">
      <w:rPr>
        <w:b/>
        <w:bCs/>
      </w:rPr>
      <w:tblPr/>
      <w:tcPr>
        <w:tcBorders>
          <w:top w:val="single" w:sz="18" w:space="0" w:color="94D3ED" w:themeColor="accent1" w:themeTint="BF"/>
        </w:tcBorders>
      </w:tcPr>
    </w:tblStylePr>
    <w:tblStylePr w:type="firstCol">
      <w:rPr>
        <w:b/>
        <w:bCs/>
      </w:rPr>
    </w:tblStylePr>
    <w:tblStylePr w:type="lastCol">
      <w:rPr>
        <w:b/>
        <w:bCs/>
      </w:r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insideV w:val="single" w:sz="8" w:space="0" w:color="9BDF46" w:themeColor="accent2" w:themeTint="BF"/>
      </w:tblBorders>
    </w:tblPr>
    <w:tcPr>
      <w:shd w:val="clear" w:color="auto" w:fill="DEF4C1" w:themeFill="accent2" w:themeFillTint="3F"/>
    </w:tcPr>
    <w:tblStylePr w:type="firstRow">
      <w:rPr>
        <w:b/>
        <w:bCs/>
      </w:rPr>
    </w:tblStylePr>
    <w:tblStylePr w:type="lastRow">
      <w:rPr>
        <w:b/>
        <w:bCs/>
      </w:rPr>
      <w:tblPr/>
      <w:tcPr>
        <w:tcBorders>
          <w:top w:val="single" w:sz="18" w:space="0" w:color="9BDF46" w:themeColor="accent2" w:themeTint="BF"/>
        </w:tcBorders>
      </w:tcPr>
    </w:tblStylePr>
    <w:tblStylePr w:type="firstCol">
      <w:rPr>
        <w:b/>
        <w:bCs/>
      </w:rPr>
    </w:tblStylePr>
    <w:tblStylePr w:type="lastCol">
      <w:rPr>
        <w:b/>
        <w:bCs/>
      </w:r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insideV w:val="single" w:sz="8" w:space="0" w:color="BFE4F4" w:themeColor="accent5" w:themeTint="BF"/>
      </w:tblBorders>
    </w:tblPr>
    <w:tcPr>
      <w:shd w:val="clear" w:color="auto" w:fill="E9F6FB" w:themeFill="accent5" w:themeFillTint="3F"/>
    </w:tcPr>
    <w:tblStylePr w:type="firstRow">
      <w:rPr>
        <w:b/>
        <w:bCs/>
      </w:rPr>
    </w:tblStylePr>
    <w:tblStylePr w:type="lastRow">
      <w:rPr>
        <w:b/>
        <w:bCs/>
      </w:rPr>
      <w:tblPr/>
      <w:tcPr>
        <w:tcBorders>
          <w:top w:val="single" w:sz="18" w:space="0" w:color="BFE4F4" w:themeColor="accent5" w:themeTint="BF"/>
        </w:tcBorders>
      </w:tcPr>
    </w:tblStylePr>
    <w:tblStylePr w:type="firstCol">
      <w:rPr>
        <w:b/>
        <w:bCs/>
      </w:rPr>
    </w:tblStylePr>
    <w:tblStylePr w:type="lastCol">
      <w:rPr>
        <w:b/>
        <w:bCs/>
      </w:r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insideV w:val="single" w:sz="8" w:space="0" w:color="C2E19A" w:themeColor="accent6" w:themeTint="BF"/>
      </w:tblBorders>
    </w:tblPr>
    <w:tcPr>
      <w:shd w:val="clear" w:color="auto" w:fill="EAF5DD" w:themeFill="accent6" w:themeFillTint="3F"/>
    </w:tcPr>
    <w:tblStylePr w:type="firstRow">
      <w:rPr>
        <w:b/>
        <w:bCs/>
      </w:rPr>
    </w:tblStylePr>
    <w:tblStylePr w:type="lastRow">
      <w:rPr>
        <w:b/>
        <w:bCs/>
      </w:rPr>
      <w:tblPr/>
      <w:tcPr>
        <w:tcBorders>
          <w:top w:val="single" w:sz="18" w:space="0" w:color="C2E19A" w:themeColor="accent6" w:themeTint="BF"/>
        </w:tcBorders>
      </w:tcPr>
    </w:tblStylePr>
    <w:tblStylePr w:type="firstCol">
      <w:rPr>
        <w:b/>
        <w:bCs/>
      </w:rPr>
    </w:tblStylePr>
    <w:tblStylePr w:type="lastCol">
      <w:rPr>
        <w:b/>
        <w:bCs/>
      </w:r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cPr>
      <w:shd w:val="clear" w:color="auto" w:fill="DBF0F9" w:themeFill="accent1" w:themeFillTint="3F"/>
    </w:tcPr>
    <w:tblStylePr w:type="firstRow">
      <w:rPr>
        <w:b/>
        <w:bCs/>
        <w:color w:val="232222" w:themeColor="text1"/>
      </w:rPr>
      <w:tblPr/>
      <w:tcPr>
        <w:shd w:val="clear" w:color="auto" w:fill="F0F9FC"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2F3FA" w:themeFill="accent1" w:themeFillTint="33"/>
      </w:tcPr>
    </w:tblStylePr>
    <w:tblStylePr w:type="band1Vert">
      <w:tblPr/>
      <w:tcPr>
        <w:shd w:val="clear" w:color="auto" w:fill="B8E2F3" w:themeFill="accent1" w:themeFillTint="7F"/>
      </w:tcPr>
    </w:tblStylePr>
    <w:tblStylePr w:type="band1Horz">
      <w:tblPr/>
      <w:tcPr>
        <w:tcBorders>
          <w:insideH w:val="single" w:sz="6" w:space="0" w:color="71C5E8" w:themeColor="accent1"/>
          <w:insideV w:val="single" w:sz="6" w:space="0" w:color="71C5E8" w:themeColor="accent1"/>
        </w:tcBorders>
        <w:shd w:val="clear" w:color="auto" w:fill="B8E2F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cPr>
      <w:shd w:val="clear" w:color="auto" w:fill="DEF4C1" w:themeFill="accent2" w:themeFillTint="3F"/>
    </w:tcPr>
    <w:tblStylePr w:type="firstRow">
      <w:rPr>
        <w:b/>
        <w:bCs/>
        <w:color w:val="232222" w:themeColor="text1"/>
      </w:rPr>
      <w:tblPr/>
      <w:tcPr>
        <w:shd w:val="clear" w:color="auto" w:fill="F1FBE6"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4F6CD" w:themeFill="accent2" w:themeFillTint="33"/>
      </w:tcPr>
    </w:tblStylePr>
    <w:tblStylePr w:type="band1Vert">
      <w:tblPr/>
      <w:tcPr>
        <w:shd w:val="clear" w:color="auto" w:fill="BCEA84" w:themeFill="accent2" w:themeFillTint="7F"/>
      </w:tcPr>
    </w:tblStylePr>
    <w:tblStylePr w:type="band1Horz">
      <w:tblPr/>
      <w:tcPr>
        <w:tcBorders>
          <w:insideH w:val="single" w:sz="6" w:space="0" w:color="78BE20" w:themeColor="accent2"/>
          <w:insideV w:val="single" w:sz="6" w:space="0" w:color="78BE20" w:themeColor="accent2"/>
        </w:tcBorders>
        <w:shd w:val="clear" w:color="auto" w:fill="BCEA8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cPr>
      <w:shd w:val="clear" w:color="auto" w:fill="E9F6FB" w:themeFill="accent5" w:themeFillTint="3F"/>
    </w:tcPr>
    <w:tblStylePr w:type="firstRow">
      <w:rPr>
        <w:b/>
        <w:bCs/>
        <w:color w:val="232222" w:themeColor="text1"/>
      </w:rPr>
      <w:tblPr/>
      <w:tcPr>
        <w:shd w:val="clear" w:color="auto" w:fill="F6FBFD"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DF7FC" w:themeFill="accent5" w:themeFillTint="33"/>
      </w:tcPr>
    </w:tblStylePr>
    <w:tblStylePr w:type="band1Vert">
      <w:tblPr/>
      <w:tcPr>
        <w:shd w:val="clear" w:color="auto" w:fill="D4EDF8" w:themeFill="accent5" w:themeFillTint="7F"/>
      </w:tcPr>
    </w:tblStylePr>
    <w:tblStylePr w:type="band1Horz">
      <w:tblPr/>
      <w:tcPr>
        <w:tcBorders>
          <w:insideH w:val="single" w:sz="6" w:space="0" w:color="AADCF1" w:themeColor="accent5"/>
          <w:insideV w:val="single" w:sz="6" w:space="0" w:color="AADCF1" w:themeColor="accent5"/>
        </w:tcBorders>
        <w:shd w:val="clear" w:color="auto" w:fill="D4EDF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cPr>
      <w:shd w:val="clear" w:color="auto" w:fill="EAF5DD" w:themeFill="accent6" w:themeFillTint="3F"/>
    </w:tcPr>
    <w:tblStylePr w:type="firstRow">
      <w:rPr>
        <w:b/>
        <w:bCs/>
        <w:color w:val="232222" w:themeColor="text1"/>
      </w:rPr>
      <w:tblPr/>
      <w:tcPr>
        <w:shd w:val="clear" w:color="auto" w:fill="F7FBF1"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EF7E4" w:themeFill="accent6" w:themeFillTint="33"/>
      </w:tcPr>
    </w:tblStylePr>
    <w:tblStylePr w:type="band1Vert">
      <w:tblPr/>
      <w:tcPr>
        <w:shd w:val="clear" w:color="auto" w:fill="D6EBBC" w:themeFill="accent6" w:themeFillTint="7F"/>
      </w:tcPr>
    </w:tblStylePr>
    <w:tblStylePr w:type="band1Horz">
      <w:tblPr/>
      <w:tcPr>
        <w:tcBorders>
          <w:insideH w:val="single" w:sz="6" w:space="0" w:color="AED879" w:themeColor="accent6"/>
          <w:insideV w:val="single" w:sz="6" w:space="0" w:color="AED879" w:themeColor="accent6"/>
        </w:tcBorders>
        <w:shd w:val="clear" w:color="auto" w:fill="D6EB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0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5E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5E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2F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2F3"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4C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BE2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BE2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A8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A84"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6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C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C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D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DF8"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5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D8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D8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B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BBC"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71C5E8" w:themeColor="accent1"/>
        <w:bottom w:val="single" w:sz="8" w:space="0" w:color="71C5E8" w:themeColor="accent1"/>
      </w:tblBorders>
    </w:tblPr>
    <w:tblStylePr w:type="firstRow">
      <w:rPr>
        <w:rFonts w:asciiTheme="majorHAnsi" w:eastAsiaTheme="majorEastAsia" w:hAnsiTheme="majorHAnsi" w:cstheme="majorBidi"/>
      </w:rPr>
      <w:tblPr/>
      <w:tcPr>
        <w:tcBorders>
          <w:top w:val="nil"/>
          <w:bottom w:val="single" w:sz="8" w:space="0" w:color="71C5E8" w:themeColor="accent1"/>
        </w:tcBorders>
      </w:tcPr>
    </w:tblStylePr>
    <w:tblStylePr w:type="lastRow">
      <w:rPr>
        <w:b/>
        <w:bCs/>
        <w:color w:val="201547" w:themeColor="text2"/>
      </w:rPr>
      <w:tblPr/>
      <w:tcPr>
        <w:tcBorders>
          <w:top w:val="single" w:sz="8" w:space="0" w:color="71C5E8" w:themeColor="accent1"/>
          <w:bottom w:val="single" w:sz="8" w:space="0" w:color="71C5E8" w:themeColor="accent1"/>
        </w:tcBorders>
      </w:tcPr>
    </w:tblStylePr>
    <w:tblStylePr w:type="firstCol">
      <w:rPr>
        <w:b/>
        <w:bCs/>
      </w:rPr>
    </w:tblStylePr>
    <w:tblStylePr w:type="lastCol">
      <w:rPr>
        <w:b/>
        <w:bCs/>
      </w:rPr>
      <w:tblPr/>
      <w:tcPr>
        <w:tcBorders>
          <w:top w:val="single" w:sz="8" w:space="0" w:color="71C5E8" w:themeColor="accent1"/>
          <w:bottom w:val="single" w:sz="8" w:space="0" w:color="71C5E8" w:themeColor="accent1"/>
        </w:tcBorders>
      </w:tcPr>
    </w:tblStylePr>
    <w:tblStylePr w:type="band1Vert">
      <w:tblPr/>
      <w:tcPr>
        <w:shd w:val="clear" w:color="auto" w:fill="DBF0F9" w:themeFill="accent1" w:themeFillTint="3F"/>
      </w:tcPr>
    </w:tblStylePr>
    <w:tblStylePr w:type="band1Horz">
      <w:tblPr/>
      <w:tcPr>
        <w:shd w:val="clear" w:color="auto" w:fill="DBF0F9"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78BE20" w:themeColor="accent2"/>
        <w:bottom w:val="single" w:sz="8" w:space="0" w:color="78BE20" w:themeColor="accent2"/>
      </w:tblBorders>
    </w:tblPr>
    <w:tblStylePr w:type="firstRow">
      <w:rPr>
        <w:rFonts w:asciiTheme="majorHAnsi" w:eastAsiaTheme="majorEastAsia" w:hAnsiTheme="majorHAnsi" w:cstheme="majorBidi"/>
      </w:rPr>
      <w:tblPr/>
      <w:tcPr>
        <w:tcBorders>
          <w:top w:val="nil"/>
          <w:bottom w:val="single" w:sz="8" w:space="0" w:color="78BE20" w:themeColor="accent2"/>
        </w:tcBorders>
      </w:tcPr>
    </w:tblStylePr>
    <w:tblStylePr w:type="lastRow">
      <w:rPr>
        <w:b/>
        <w:bCs/>
        <w:color w:val="201547" w:themeColor="text2"/>
      </w:rPr>
      <w:tblPr/>
      <w:tcPr>
        <w:tcBorders>
          <w:top w:val="single" w:sz="8" w:space="0" w:color="78BE20" w:themeColor="accent2"/>
          <w:bottom w:val="single" w:sz="8" w:space="0" w:color="78BE20" w:themeColor="accent2"/>
        </w:tcBorders>
      </w:tcPr>
    </w:tblStylePr>
    <w:tblStylePr w:type="firstCol">
      <w:rPr>
        <w:b/>
        <w:bCs/>
      </w:rPr>
    </w:tblStylePr>
    <w:tblStylePr w:type="lastCol">
      <w:rPr>
        <w:b/>
        <w:bCs/>
      </w:rPr>
      <w:tblPr/>
      <w:tcPr>
        <w:tcBorders>
          <w:top w:val="single" w:sz="8" w:space="0" w:color="78BE20" w:themeColor="accent2"/>
          <w:bottom w:val="single" w:sz="8" w:space="0" w:color="78BE20" w:themeColor="accent2"/>
        </w:tcBorders>
      </w:tcPr>
    </w:tblStylePr>
    <w:tblStylePr w:type="band1Vert">
      <w:tblPr/>
      <w:tcPr>
        <w:shd w:val="clear" w:color="auto" w:fill="DEF4C1" w:themeFill="accent2" w:themeFillTint="3F"/>
      </w:tcPr>
    </w:tblStylePr>
    <w:tblStylePr w:type="band1Horz">
      <w:tblPr/>
      <w:tcPr>
        <w:shd w:val="clear" w:color="auto" w:fill="DEF4C1"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AADCF1" w:themeColor="accent5"/>
        <w:bottom w:val="single" w:sz="8" w:space="0" w:color="AADCF1" w:themeColor="accent5"/>
      </w:tblBorders>
    </w:tblPr>
    <w:tblStylePr w:type="firstRow">
      <w:rPr>
        <w:rFonts w:asciiTheme="majorHAnsi" w:eastAsiaTheme="majorEastAsia" w:hAnsiTheme="majorHAnsi" w:cstheme="majorBidi"/>
      </w:rPr>
      <w:tblPr/>
      <w:tcPr>
        <w:tcBorders>
          <w:top w:val="nil"/>
          <w:bottom w:val="single" w:sz="8" w:space="0" w:color="AADCF1" w:themeColor="accent5"/>
        </w:tcBorders>
      </w:tcPr>
    </w:tblStylePr>
    <w:tblStylePr w:type="lastRow">
      <w:rPr>
        <w:b/>
        <w:bCs/>
        <w:color w:val="201547" w:themeColor="text2"/>
      </w:rPr>
      <w:tblPr/>
      <w:tcPr>
        <w:tcBorders>
          <w:top w:val="single" w:sz="8" w:space="0" w:color="AADCF1" w:themeColor="accent5"/>
          <w:bottom w:val="single" w:sz="8" w:space="0" w:color="AADCF1" w:themeColor="accent5"/>
        </w:tcBorders>
      </w:tcPr>
    </w:tblStylePr>
    <w:tblStylePr w:type="firstCol">
      <w:rPr>
        <w:b/>
        <w:bCs/>
      </w:rPr>
    </w:tblStylePr>
    <w:tblStylePr w:type="lastCol">
      <w:rPr>
        <w:b/>
        <w:bCs/>
      </w:rPr>
      <w:tblPr/>
      <w:tcPr>
        <w:tcBorders>
          <w:top w:val="single" w:sz="8" w:space="0" w:color="AADCF1" w:themeColor="accent5"/>
          <w:bottom w:val="single" w:sz="8" w:space="0" w:color="AADCF1" w:themeColor="accent5"/>
        </w:tcBorders>
      </w:tcPr>
    </w:tblStylePr>
    <w:tblStylePr w:type="band1Vert">
      <w:tblPr/>
      <w:tcPr>
        <w:shd w:val="clear" w:color="auto" w:fill="E9F6FB" w:themeFill="accent5" w:themeFillTint="3F"/>
      </w:tcPr>
    </w:tblStylePr>
    <w:tblStylePr w:type="band1Horz">
      <w:tblPr/>
      <w:tcPr>
        <w:shd w:val="clear" w:color="auto" w:fill="E9F6FB"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AED879" w:themeColor="accent6"/>
        <w:bottom w:val="single" w:sz="8" w:space="0" w:color="AED879" w:themeColor="accent6"/>
      </w:tblBorders>
    </w:tblPr>
    <w:tblStylePr w:type="firstRow">
      <w:rPr>
        <w:rFonts w:asciiTheme="majorHAnsi" w:eastAsiaTheme="majorEastAsia" w:hAnsiTheme="majorHAnsi" w:cstheme="majorBidi"/>
      </w:rPr>
      <w:tblPr/>
      <w:tcPr>
        <w:tcBorders>
          <w:top w:val="nil"/>
          <w:bottom w:val="single" w:sz="8" w:space="0" w:color="AED879" w:themeColor="accent6"/>
        </w:tcBorders>
      </w:tcPr>
    </w:tblStylePr>
    <w:tblStylePr w:type="lastRow">
      <w:rPr>
        <w:b/>
        <w:bCs/>
        <w:color w:val="201547" w:themeColor="text2"/>
      </w:rPr>
      <w:tblPr/>
      <w:tcPr>
        <w:tcBorders>
          <w:top w:val="single" w:sz="8" w:space="0" w:color="AED879" w:themeColor="accent6"/>
          <w:bottom w:val="single" w:sz="8" w:space="0" w:color="AED879" w:themeColor="accent6"/>
        </w:tcBorders>
      </w:tcPr>
    </w:tblStylePr>
    <w:tblStylePr w:type="firstCol">
      <w:rPr>
        <w:b/>
        <w:bCs/>
      </w:rPr>
    </w:tblStylePr>
    <w:tblStylePr w:type="lastCol">
      <w:rPr>
        <w:b/>
        <w:bCs/>
      </w:rPr>
      <w:tblPr/>
      <w:tcPr>
        <w:tcBorders>
          <w:top w:val="single" w:sz="8" w:space="0" w:color="AED879" w:themeColor="accent6"/>
          <w:bottom w:val="single" w:sz="8" w:space="0" w:color="AED879" w:themeColor="accent6"/>
        </w:tcBorders>
      </w:tcPr>
    </w:tblStylePr>
    <w:tblStylePr w:type="band1Vert">
      <w:tblPr/>
      <w:tcPr>
        <w:shd w:val="clear" w:color="auto" w:fill="EAF5DD" w:themeFill="accent6" w:themeFillTint="3F"/>
      </w:tcPr>
    </w:tblStylePr>
    <w:tblStylePr w:type="band1Horz">
      <w:tblPr/>
      <w:tcPr>
        <w:shd w:val="clear" w:color="auto" w:fill="EAF5DD"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rPr>
        <w:sz w:val="24"/>
        <w:szCs w:val="24"/>
      </w:rPr>
      <w:tblPr/>
      <w:tcPr>
        <w:tcBorders>
          <w:top w:val="nil"/>
          <w:left w:val="nil"/>
          <w:bottom w:val="single" w:sz="24" w:space="0" w:color="71C5E8" w:themeColor="accent1"/>
          <w:right w:val="nil"/>
          <w:insideH w:val="nil"/>
          <w:insideV w:val="nil"/>
        </w:tcBorders>
        <w:shd w:val="clear" w:color="auto" w:fill="FFFFFF" w:themeFill="background1"/>
      </w:tcPr>
    </w:tblStylePr>
    <w:tblStylePr w:type="lastRow">
      <w:tblPr/>
      <w:tcPr>
        <w:tcBorders>
          <w:top w:val="single" w:sz="8" w:space="0" w:color="71C5E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5E8" w:themeColor="accent1"/>
          <w:insideH w:val="nil"/>
          <w:insideV w:val="nil"/>
        </w:tcBorders>
        <w:shd w:val="clear" w:color="auto" w:fill="FFFFFF" w:themeFill="background1"/>
      </w:tcPr>
    </w:tblStylePr>
    <w:tblStylePr w:type="lastCol">
      <w:tblPr/>
      <w:tcPr>
        <w:tcBorders>
          <w:top w:val="nil"/>
          <w:left w:val="single" w:sz="8" w:space="0" w:color="71C5E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top w:val="nil"/>
          <w:bottom w:val="nil"/>
          <w:insideH w:val="nil"/>
          <w:insideV w:val="nil"/>
        </w:tcBorders>
        <w:shd w:val="clear" w:color="auto" w:fill="DBF0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rPr>
        <w:sz w:val="24"/>
        <w:szCs w:val="24"/>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tblPr/>
      <w:tcPr>
        <w:tcBorders>
          <w:top w:val="single" w:sz="8" w:space="0" w:color="78BE2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BE20" w:themeColor="accent2"/>
          <w:insideH w:val="nil"/>
          <w:insideV w:val="nil"/>
        </w:tcBorders>
        <w:shd w:val="clear" w:color="auto" w:fill="FFFFFF" w:themeFill="background1"/>
      </w:tcPr>
    </w:tblStylePr>
    <w:tblStylePr w:type="lastCol">
      <w:tblPr/>
      <w:tcPr>
        <w:tcBorders>
          <w:top w:val="nil"/>
          <w:left w:val="single" w:sz="8" w:space="0" w:color="78BE2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top w:val="nil"/>
          <w:bottom w:val="nil"/>
          <w:insideH w:val="nil"/>
          <w:insideV w:val="nil"/>
        </w:tcBorders>
        <w:shd w:val="clear" w:color="auto" w:fill="DEF4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rPr>
        <w:sz w:val="24"/>
        <w:szCs w:val="24"/>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tblPr/>
      <w:tcPr>
        <w:tcBorders>
          <w:top w:val="single" w:sz="8" w:space="0" w:color="AADC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CF1" w:themeColor="accent5"/>
          <w:insideH w:val="nil"/>
          <w:insideV w:val="nil"/>
        </w:tcBorders>
        <w:shd w:val="clear" w:color="auto" w:fill="FFFFFF" w:themeFill="background1"/>
      </w:tcPr>
    </w:tblStylePr>
    <w:tblStylePr w:type="lastCol">
      <w:tblPr/>
      <w:tcPr>
        <w:tcBorders>
          <w:top w:val="nil"/>
          <w:left w:val="single" w:sz="8" w:space="0" w:color="AADC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top w:val="nil"/>
          <w:bottom w:val="nil"/>
          <w:insideH w:val="nil"/>
          <w:insideV w:val="nil"/>
        </w:tcBorders>
        <w:shd w:val="clear" w:color="auto" w:fill="E9F6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rPr>
        <w:sz w:val="24"/>
        <w:szCs w:val="24"/>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tblPr/>
      <w:tcPr>
        <w:tcBorders>
          <w:top w:val="single" w:sz="8" w:space="0" w:color="AED8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D879" w:themeColor="accent6"/>
          <w:insideH w:val="nil"/>
          <w:insideV w:val="nil"/>
        </w:tcBorders>
        <w:shd w:val="clear" w:color="auto" w:fill="FFFFFF" w:themeFill="background1"/>
      </w:tcPr>
    </w:tblStylePr>
    <w:tblStylePr w:type="lastCol">
      <w:tblPr/>
      <w:tcPr>
        <w:tcBorders>
          <w:top w:val="nil"/>
          <w:left w:val="single" w:sz="8" w:space="0" w:color="AED8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top w:val="nil"/>
          <w:bottom w:val="nil"/>
          <w:insideH w:val="nil"/>
          <w:insideV w:val="nil"/>
        </w:tcBorders>
        <w:shd w:val="clear" w:color="auto" w:fill="EAF5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tblBorders>
    </w:tblPr>
    <w:tblStylePr w:type="firstRow">
      <w:pPr>
        <w:spacing w:before="0" w:after="0" w:line="240" w:lineRule="auto"/>
      </w:pPr>
      <w:rPr>
        <w:b/>
        <w:bCs/>
        <w:color w:val="FFFFFF" w:themeColor="background1"/>
      </w:rPr>
      <w:tblPr/>
      <w:tcPr>
        <w:tc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shd w:val="clear" w:color="auto" w:fill="71C5E8" w:themeFill="accent1"/>
      </w:tcPr>
    </w:tblStylePr>
    <w:tblStylePr w:type="lastRow">
      <w:pPr>
        <w:spacing w:before="0" w:after="0" w:line="240" w:lineRule="auto"/>
      </w:pPr>
      <w:rPr>
        <w:b/>
        <w:bCs/>
      </w:rPr>
      <w:tblPr/>
      <w:tcPr>
        <w:tcBorders>
          <w:top w:val="double" w:sz="6"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F0F9" w:themeFill="accent1" w:themeFillTint="3F"/>
      </w:tcPr>
    </w:tblStylePr>
    <w:tblStylePr w:type="band1Horz">
      <w:tblPr/>
      <w:tcPr>
        <w:tcBorders>
          <w:insideH w:val="nil"/>
          <w:insideV w:val="nil"/>
        </w:tcBorders>
        <w:shd w:val="clear" w:color="auto" w:fill="DBF0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tblBorders>
    </w:tblPr>
    <w:tblStylePr w:type="firstRow">
      <w:pPr>
        <w:spacing w:before="0" w:after="0" w:line="240" w:lineRule="auto"/>
      </w:pPr>
      <w:rPr>
        <w:b/>
        <w:bCs/>
        <w:color w:val="FFFFFF" w:themeColor="background1"/>
      </w:rPr>
      <w:tblPr/>
      <w:tcPr>
        <w:tc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shd w:val="clear" w:color="auto" w:fill="78BE20" w:themeFill="accent2"/>
      </w:tcPr>
    </w:tblStylePr>
    <w:tblStylePr w:type="lastRow">
      <w:pPr>
        <w:spacing w:before="0" w:after="0" w:line="240" w:lineRule="auto"/>
      </w:pPr>
      <w:rPr>
        <w:b/>
        <w:bCs/>
      </w:rPr>
      <w:tblPr/>
      <w:tcPr>
        <w:tcBorders>
          <w:top w:val="double" w:sz="6"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F4C1" w:themeFill="accent2" w:themeFillTint="3F"/>
      </w:tcPr>
    </w:tblStylePr>
    <w:tblStylePr w:type="band1Horz">
      <w:tblPr/>
      <w:tcPr>
        <w:tcBorders>
          <w:insideH w:val="nil"/>
          <w:insideV w:val="nil"/>
        </w:tcBorders>
        <w:shd w:val="clear" w:color="auto" w:fill="DEF4C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tblBorders>
    </w:tblPr>
    <w:tblStylePr w:type="firstRow">
      <w:pPr>
        <w:spacing w:before="0" w:after="0" w:line="240" w:lineRule="auto"/>
      </w:pPr>
      <w:rPr>
        <w:b/>
        <w:bCs/>
        <w:color w:val="FFFFFF" w:themeColor="background1"/>
      </w:rPr>
      <w:tblPr/>
      <w:tcPr>
        <w:tc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shd w:val="clear" w:color="auto" w:fill="AADCF1" w:themeFill="accent5"/>
      </w:tcPr>
    </w:tblStylePr>
    <w:tblStylePr w:type="lastRow">
      <w:pPr>
        <w:spacing w:before="0" w:after="0" w:line="240" w:lineRule="auto"/>
      </w:pPr>
      <w:rPr>
        <w:b/>
        <w:bCs/>
      </w:rPr>
      <w:tblPr/>
      <w:tcPr>
        <w:tcBorders>
          <w:top w:val="double" w:sz="6"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6FB" w:themeFill="accent5" w:themeFillTint="3F"/>
      </w:tcPr>
    </w:tblStylePr>
    <w:tblStylePr w:type="band1Horz">
      <w:tblPr/>
      <w:tcPr>
        <w:tcBorders>
          <w:insideH w:val="nil"/>
          <w:insideV w:val="nil"/>
        </w:tcBorders>
        <w:shd w:val="clear" w:color="auto" w:fill="E9F6F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tblBorders>
    </w:tblPr>
    <w:tblStylePr w:type="firstRow">
      <w:pPr>
        <w:spacing w:before="0" w:after="0" w:line="240" w:lineRule="auto"/>
      </w:pPr>
      <w:rPr>
        <w:b/>
        <w:bCs/>
        <w:color w:val="FFFFFF" w:themeColor="background1"/>
      </w:rPr>
      <w:tblPr/>
      <w:tcPr>
        <w:tc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shd w:val="clear" w:color="auto" w:fill="AED879" w:themeFill="accent6"/>
      </w:tcPr>
    </w:tblStylePr>
    <w:tblStylePr w:type="lastRow">
      <w:pPr>
        <w:spacing w:before="0" w:after="0" w:line="240" w:lineRule="auto"/>
      </w:pPr>
      <w:rPr>
        <w:b/>
        <w:bCs/>
      </w:rPr>
      <w:tblPr/>
      <w:tcPr>
        <w:tcBorders>
          <w:top w:val="double" w:sz="6"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F5DD" w:themeFill="accent6" w:themeFillTint="3F"/>
      </w:tcPr>
    </w:tblStylePr>
    <w:tblStylePr w:type="band1Horz">
      <w:tblPr/>
      <w:tcPr>
        <w:tcBorders>
          <w:insideH w:val="nil"/>
          <w:insideV w:val="nil"/>
        </w:tcBorders>
        <w:shd w:val="clear" w:color="auto" w:fill="EAF5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5E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5E8" w:themeFill="accent1"/>
      </w:tcPr>
    </w:tblStylePr>
    <w:tblStylePr w:type="lastCol">
      <w:rPr>
        <w:b/>
        <w:bCs/>
        <w:color w:val="FFFFFF" w:themeColor="background1"/>
      </w:rPr>
      <w:tblPr/>
      <w:tcPr>
        <w:tcBorders>
          <w:left w:val="nil"/>
          <w:right w:val="nil"/>
          <w:insideH w:val="nil"/>
          <w:insideV w:val="nil"/>
        </w:tcBorders>
        <w:shd w:val="clear" w:color="auto" w:fill="71C5E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BE2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BE20" w:themeFill="accent2"/>
      </w:tcPr>
    </w:tblStylePr>
    <w:tblStylePr w:type="lastCol">
      <w:rPr>
        <w:b/>
        <w:bCs/>
        <w:color w:val="FFFFFF" w:themeColor="background1"/>
      </w:rPr>
      <w:tblPr/>
      <w:tcPr>
        <w:tcBorders>
          <w:left w:val="nil"/>
          <w:right w:val="nil"/>
          <w:insideH w:val="nil"/>
          <w:insideV w:val="nil"/>
        </w:tcBorders>
        <w:shd w:val="clear" w:color="auto" w:fill="78BE2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C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CF1" w:themeFill="accent5"/>
      </w:tcPr>
    </w:tblStylePr>
    <w:tblStylePr w:type="lastCol">
      <w:rPr>
        <w:b/>
        <w:bCs/>
        <w:color w:val="FFFFFF" w:themeColor="background1"/>
      </w:rPr>
      <w:tblPr/>
      <w:tcPr>
        <w:tcBorders>
          <w:left w:val="nil"/>
          <w:right w:val="nil"/>
          <w:insideH w:val="nil"/>
          <w:insideV w:val="nil"/>
        </w:tcBorders>
        <w:shd w:val="clear" w:color="auto" w:fill="AADC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D8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D879" w:themeFill="accent6"/>
      </w:tcPr>
    </w:tblStylePr>
    <w:tblStylePr w:type="lastCol">
      <w:rPr>
        <w:b/>
        <w:bCs/>
        <w:color w:val="FFFFFF" w:themeColor="background1"/>
      </w:rPr>
      <w:tblPr/>
      <w:tcPr>
        <w:tcBorders>
          <w:left w:val="nil"/>
          <w:right w:val="nil"/>
          <w:insideH w:val="nil"/>
          <w:insideV w:val="nil"/>
        </w:tcBorders>
        <w:shd w:val="clear" w:color="auto" w:fill="AED8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0C5FD7"/>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201547" w:themeColor="text2"/>
      </w:rPr>
      <w:tblPr/>
      <w:tcPr>
        <w:tcBorders>
          <w:top w:val="nil"/>
          <w:left w:val="nil"/>
          <w:bottom w:val="nil"/>
          <w:right w:val="nil"/>
          <w:insideH w:val="nil"/>
          <w:insideV w:val="nil"/>
        </w:tcBorders>
        <w:shd w:val="clear" w:color="auto" w:fill="71C5E8" w:themeFill="accent1"/>
      </w:tcPr>
    </w:tblStylePr>
    <w:tblStylePr w:type="firstCol">
      <w:tblPr/>
      <w:tcPr>
        <w:shd w:val="clear" w:color="auto" w:fill="FFFFFF" w:themeFill="background1"/>
      </w:tcPr>
    </w:tblStylePr>
    <w:tblStylePr w:type="band1Vert">
      <w:tblPr/>
      <w:tcPr>
        <w:shd w:val="clear" w:color="auto" w:fill="E3F3F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71C5E8"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71C5E8" w:themeColor="accent1"/>
        <w:left w:val="single" w:sz="4" w:space="12" w:color="71C5E8" w:themeColor="accent1"/>
        <w:bottom w:val="single" w:sz="4" w:space="14" w:color="71C5E8" w:themeColor="accent1"/>
        <w:right w:val="single" w:sz="4" w:space="12" w:color="71C5E8" w:themeColor="accent1"/>
      </w:pBdr>
      <w:shd w:val="clear" w:color="auto" w:fill="71C5E8" w:themeFill="accent1"/>
      <w:tabs>
        <w:tab w:val="left" w:pos="2268"/>
        <w:tab w:val="left" w:pos="4536"/>
        <w:tab w:val="left" w:pos="6804"/>
        <w:tab w:val="right" w:pos="9638"/>
      </w:tabs>
      <w:spacing w:line="300" w:lineRule="exact"/>
      <w:ind w:left="227" w:right="227"/>
    </w:pPr>
    <w:rPr>
      <w:color w:val="201547" w:themeColor="text2"/>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201547" w:themeColor="text2"/>
    </w:rPr>
  </w:style>
  <w:style w:type="paragraph" w:customStyle="1" w:styleId="TableHeadingCentre">
    <w:name w:val="Table Heading Centre"/>
    <w:basedOn w:val="TableTextCentre"/>
    <w:qFormat/>
    <w:rsid w:val="00D05BC2"/>
    <w:pPr>
      <w:keepNext/>
    </w:pPr>
    <w:rPr>
      <w:b/>
      <w:color w:val="201547" w:themeColor="text2"/>
    </w:rPr>
  </w:style>
  <w:style w:type="paragraph" w:customStyle="1" w:styleId="TableHeadingRight">
    <w:name w:val="Table Heading Right"/>
    <w:basedOn w:val="TableTextRight"/>
    <w:qFormat/>
    <w:rsid w:val="00D05BC2"/>
    <w:pPr>
      <w:keepNext/>
    </w:pPr>
    <w:rPr>
      <w:b/>
      <w:color w:val="201547" w:themeColor="text2"/>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TablebulletL1">
    <w:name w:val="Table bullet_L1"/>
    <w:basedOn w:val="Normal"/>
    <w:uiPriority w:val="99"/>
    <w:rsid w:val="0024047F"/>
    <w:pPr>
      <w:numPr>
        <w:numId w:val="15"/>
      </w:numPr>
      <w:suppressAutoHyphens/>
      <w:autoSpaceDE w:val="0"/>
      <w:autoSpaceDN w:val="0"/>
      <w:adjustRightInd w:val="0"/>
      <w:spacing w:before="0" w:after="0" w:line="260" w:lineRule="atLeast"/>
      <w:ind w:left="346" w:hanging="346"/>
    </w:pPr>
    <w:rPr>
      <w:rFonts w:ascii="Calibri" w:eastAsiaTheme="minorHAnsi" w:hAnsi="Calibri" w:cs="Calibri"/>
      <w:color w:val="000000"/>
      <w:spacing w:val="-2"/>
      <w:sz w:val="22"/>
      <w:szCs w:val="22"/>
      <w:lang w:val="en-GB" w:eastAsia="en-US"/>
    </w:rPr>
  </w:style>
  <w:style w:type="paragraph" w:customStyle="1" w:styleId="BodybulletL1">
    <w:name w:val="Body bullet_L1"/>
    <w:basedOn w:val="Normal"/>
    <w:next w:val="Normal"/>
    <w:uiPriority w:val="99"/>
    <w:rsid w:val="0024047F"/>
    <w:pPr>
      <w:numPr>
        <w:numId w:val="16"/>
      </w:numPr>
      <w:suppressAutoHyphens/>
      <w:autoSpaceDE w:val="0"/>
      <w:autoSpaceDN w:val="0"/>
      <w:adjustRightInd w:val="0"/>
      <w:spacing w:before="0" w:after="57" w:line="260" w:lineRule="atLeast"/>
    </w:pPr>
    <w:rPr>
      <w:rFonts w:ascii="Calibri" w:eastAsiaTheme="minorHAnsi" w:hAnsi="Calibri" w:cs="Calibri"/>
      <w:color w:val="000000"/>
      <w:spacing w:val="-3"/>
      <w:sz w:val="21"/>
      <w:szCs w:val="21"/>
      <w:lang w:val="en-GB" w:eastAsia="en-US"/>
    </w:rPr>
  </w:style>
  <w:style w:type="table" w:customStyle="1" w:styleId="TableGrid10">
    <w:name w:val="Table Grid1"/>
    <w:basedOn w:val="TableNormal"/>
    <w:next w:val="TableGrid"/>
    <w:uiPriority w:val="59"/>
    <w:rsid w:val="005C4DCF"/>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shd w:val="clear" w:color="auto" w:fill="004C97"/>
      </w:tcPr>
    </w:tblStylePr>
    <w:tblStylePr w:type="firstCol">
      <w:tblPr/>
      <w:tcPr>
        <w:shd w:val="clear" w:color="auto" w:fill="FFFFFF"/>
      </w:tcPr>
    </w:tblStylePr>
    <w:tblStylePr w:type="band1Vert">
      <w:tblPr/>
      <w:tcPr>
        <w:shd w:val="clear" w:color="auto" w:fill="CCDBEA"/>
      </w:tcPr>
    </w:tblStylePr>
  </w:style>
  <w:style w:type="character" w:styleId="Strong">
    <w:name w:val="Strong"/>
    <w:basedOn w:val="DefaultParagraphFont"/>
    <w:uiPriority w:val="22"/>
    <w:qFormat/>
    <w:rsid w:val="00E8622D"/>
    <w:rPr>
      <w:b/>
      <w:bCs/>
    </w:rPr>
  </w:style>
  <w:style w:type="character" w:styleId="Mention">
    <w:name w:val="Mention"/>
    <w:basedOn w:val="DefaultParagraphFont"/>
    <w:uiPriority w:val="99"/>
    <w:unhideWhenUsed/>
    <w:rsid w:val="00DB77D6"/>
    <w:rPr>
      <w:color w:val="2B579A"/>
      <w:shd w:val="clear" w:color="auto" w:fill="E1DFDD"/>
    </w:rPr>
  </w:style>
  <w:style w:type="character" w:styleId="BookTitle">
    <w:name w:val="Book Title"/>
    <w:basedOn w:val="DefaultParagraphFont"/>
    <w:uiPriority w:val="33"/>
    <w:rsid w:val="008A7E76"/>
    <w:rPr>
      <w:b/>
      <w:bCs/>
      <w:i/>
      <w:iCs/>
      <w:spacing w:val="5"/>
    </w:rPr>
  </w:style>
  <w:style w:type="character" w:styleId="Emphasis">
    <w:name w:val="Emphasis"/>
    <w:basedOn w:val="DefaultParagraphFont"/>
    <w:rsid w:val="008A7E76"/>
    <w:rPr>
      <w:i/>
      <w:iCs/>
    </w:rPr>
  </w:style>
  <w:style w:type="character" w:styleId="IntenseEmphasis">
    <w:name w:val="Intense Emphasis"/>
    <w:basedOn w:val="DefaultParagraphFont"/>
    <w:uiPriority w:val="21"/>
    <w:rsid w:val="008A7E76"/>
    <w:rPr>
      <w:i/>
      <w:iCs/>
      <w:color w:val="71C5E8" w:themeColor="accent1"/>
    </w:rPr>
  </w:style>
  <w:style w:type="paragraph" w:styleId="IntenseQuote">
    <w:name w:val="Intense Quote"/>
    <w:basedOn w:val="Normal"/>
    <w:next w:val="Normal"/>
    <w:link w:val="IntenseQuoteChar"/>
    <w:rsid w:val="008A7E76"/>
    <w:pPr>
      <w:pBdr>
        <w:top w:val="single" w:sz="4" w:space="10" w:color="71C5E8" w:themeColor="accent1"/>
        <w:bottom w:val="single" w:sz="4" w:space="10" w:color="71C5E8" w:themeColor="accent1"/>
      </w:pBdr>
      <w:spacing w:before="360" w:after="360"/>
      <w:ind w:left="864" w:right="864"/>
      <w:jc w:val="center"/>
    </w:pPr>
    <w:rPr>
      <w:i/>
      <w:iCs/>
      <w:color w:val="71C5E8" w:themeColor="accent1"/>
    </w:rPr>
  </w:style>
  <w:style w:type="character" w:customStyle="1" w:styleId="IntenseQuoteChar">
    <w:name w:val="Intense Quote Char"/>
    <w:basedOn w:val="DefaultParagraphFont"/>
    <w:link w:val="IntenseQuote"/>
    <w:rsid w:val="008A7E76"/>
    <w:rPr>
      <w:i/>
      <w:iCs/>
      <w:color w:val="71C5E8" w:themeColor="accent1"/>
    </w:rPr>
  </w:style>
  <w:style w:type="character" w:styleId="IntenseReference">
    <w:name w:val="Intense Reference"/>
    <w:basedOn w:val="DefaultParagraphFont"/>
    <w:uiPriority w:val="32"/>
    <w:rsid w:val="008A7E76"/>
    <w:rPr>
      <w:b/>
      <w:bCs/>
      <w:smallCaps/>
      <w:color w:val="71C5E8" w:themeColor="accent1"/>
      <w:spacing w:val="5"/>
    </w:rPr>
  </w:style>
  <w:style w:type="character" w:styleId="SubtleEmphasis">
    <w:name w:val="Subtle Emphasis"/>
    <w:basedOn w:val="DefaultParagraphFont"/>
    <w:uiPriority w:val="19"/>
    <w:rsid w:val="008A7E76"/>
    <w:rPr>
      <w:i/>
      <w:iCs/>
      <w:color w:val="5B5858" w:themeColor="text1" w:themeTint="BF"/>
    </w:rPr>
  </w:style>
  <w:style w:type="character" w:styleId="SubtleReference">
    <w:name w:val="Subtle Reference"/>
    <w:basedOn w:val="DefaultParagraphFont"/>
    <w:uiPriority w:val="31"/>
    <w:rsid w:val="008A7E76"/>
    <w:rPr>
      <w:smallCaps/>
      <w:color w:val="716E6E" w:themeColor="text1" w:themeTint="A5"/>
    </w:rPr>
  </w:style>
  <w:style w:type="paragraph" w:customStyle="1" w:styleId="BodyA">
    <w:name w:val="Body A"/>
    <w:rsid w:val="00A545EE"/>
    <w:pPr>
      <w:pBdr>
        <w:top w:val="nil"/>
        <w:left w:val="nil"/>
        <w:bottom w:val="nil"/>
        <w:right w:val="nil"/>
        <w:between w:val="nil"/>
        <w:bar w:val="nil"/>
      </w:pBdr>
      <w:spacing w:before="0" w:line="240" w:lineRule="auto"/>
    </w:pPr>
    <w:rPr>
      <w:rFonts w:ascii="Calibri" w:eastAsia="Calibri" w:hAnsi="Calibri" w:cs="Calibri"/>
      <w:color w:val="000000"/>
      <w:sz w:val="28"/>
      <w:szCs w:val="28"/>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https://delwpvicgovau.sharepoint.com/Users/fionadurante/Downloads/deeca.vic.gov.au" TargetMode="External"/><Relationship Id="rId39" Type="http://schemas.openxmlformats.org/officeDocument/2006/relationships/header" Target="header7.xml"/><Relationship Id="rId21" Type="http://schemas.openxmlformats.org/officeDocument/2006/relationships/image" Target="media/image8.png"/><Relationship Id="rId34" Type="http://schemas.openxmlformats.org/officeDocument/2006/relationships/header" Target="header4.xml"/><Relationship Id="rId42" Type="http://schemas.openxmlformats.org/officeDocument/2006/relationships/image" Target="media/image15.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footer" Target="footer3.xml"/><Relationship Id="rId37" Type="http://schemas.openxmlformats.org/officeDocument/2006/relationships/image" Target="media/image13.png"/><Relationship Id="rId40" Type="http://schemas.openxmlformats.org/officeDocument/2006/relationships/header" Target="header8.xml"/><Relationship Id="rId45"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header" Target="header2.xml"/><Relationship Id="rId36"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eader" Target="header3.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eader" Target="header5.xml"/><Relationship Id="rId43"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https://delwpvicgovau.sharepoint.com/Users/fionadurante/Downloads/deeca.vic.gov.au" TargetMode="External"/><Relationship Id="rId33" Type="http://schemas.openxmlformats.org/officeDocument/2006/relationships/image" Target="media/image12.png"/><Relationship Id="rId38" Type="http://schemas.openxmlformats.org/officeDocument/2006/relationships/image" Target="media/image14.png"/><Relationship Id="rId20" Type="http://schemas.openxmlformats.org/officeDocument/2006/relationships/image" Target="media/image7.png"/><Relationship Id="rId41"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https://delwpvicgovau.sharepoint.com/sites/DEECAOrgAssetLib/DEECA%20Branded/DEECA%20Template%20(macro)/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E3F3FA"/>
      </a:lt2>
      <a:accent1>
        <a:srgbClr val="71C5E8"/>
      </a:accent1>
      <a:accent2>
        <a:srgbClr val="78BE20"/>
      </a:accent2>
      <a:accent3>
        <a:srgbClr val="00B2A9"/>
      </a:accent3>
      <a:accent4>
        <a:srgbClr val="201547"/>
      </a:accent4>
      <a:accent5>
        <a:srgbClr val="AADCF1"/>
      </a:accent5>
      <a:accent6>
        <a:srgbClr val="AED879"/>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22DBB243D80C1F4BAA0BB9C1A933D20D" ma:contentTypeVersion="49" ma:contentTypeDescription="Attachment Document" ma:contentTypeScope="" ma:versionID="2b517037e7d2d95ff7f483500605d6c2">
  <xsd:schema xmlns:xsd="http://www.w3.org/2001/XMLSchema" xmlns:xs="http://www.w3.org/2001/XMLSchema" xmlns:p="http://schemas.microsoft.com/office/2006/metadata/properties" xmlns:ns2="cae37ace-7a49-4147-b024-43561a7a3263" xmlns:ns3="a5f32de4-e402-4188-b034-e71ca7d22e54" xmlns:ns4="d128d784-c517-4e2f-813f-4afd507340dd" targetNamespace="http://schemas.microsoft.com/office/2006/metadata/properties" ma:root="true" ma:fieldsID="eba2474da0f470adc7069723bd00a8bc" ns2:_="" ns3:_="" ns4:_="">
    <xsd:import namespace="cae37ace-7a49-4147-b024-43561a7a3263"/>
    <xsd:import namespace="a5f32de4-e402-4188-b034-e71ca7d22e54"/>
    <xsd:import namespace="d128d784-c517-4e2f-813f-4afd507340dd"/>
    <xsd:element name="properties">
      <xsd:complexType>
        <xsd:sequence>
          <xsd:element name="documentManagement">
            <xsd:complexType>
              <xsd:all>
                <xsd:element ref="ns2:ABCSignatureRequired" minOccurs="0"/>
                <xsd:element ref="ns2:ABCSignatureInstructions" minOccurs="0"/>
                <xsd:element ref="ns2:ABCOrgApproverSignatureRequired" minOccurs="0"/>
                <xsd:element ref="ns2:ABCOrgApproverSignatureInstructions" minOccurs="0"/>
                <xsd:element ref="ns3:_dlc_DocId" minOccurs="0"/>
                <xsd:element ref="ns3:_dlc_DocIdUrl" minOccurs="0"/>
                <xsd:element ref="ns3:_dlc_DocIdPersistId"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37ace-7a49-4147-b024-43561a7a3263"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OrgApproverSignatureRequired" ma:index="3" nillable="true" ma:displayName="Org Approver Signature Required" ma:default="0" ma:internalName="ABCOrgApproverSignatureRequired">
      <xsd:simpleType>
        <xsd:restriction base="dms:Boolean"/>
      </xsd:simpleType>
    </xsd:element>
    <xsd:element name="ABCOrgApproverSignatureInstructions" ma:index="4" nillable="true" ma:displayName="Org Approver Signature Instructions" ma:internalName="ABCOrgApproverSignatureInstruc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28d784-c517-4e2f-813f-4afd507340dd"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_dlc_DocIdUrl xmlns="a5f32de4-e402-4188-b034-e71ca7d22e54">
      <Url>https://delwpvicgovau.sharepoint.com/sites/ecm_1149/_layouts/15/DocIdRedir.aspx?ID=DOCID1105-31294851-440</Url>
      <Description>DOCID1105-31294851-440</Description>
    </_dlc_DocIdUrl>
    <_dlc_DocId xmlns="a5f32de4-e402-4188-b034-e71ca7d22e54">DOCID1105-31294851-440</_dlc_DocId>
    <_dlc_DocIdPersistId xmlns="a5f32de4-e402-4188-b034-e71ca7d22e54" xsi:nil="true"/>
    <ABCSignatureRequired xmlns="cae37ace-7a49-4147-b024-43561a7a3263">false</ABCSignatureRequired>
    <ABCSignatureInstructions xmlns="cae37ace-7a49-4147-b024-43561a7a3263" xsi:nil="true"/>
    <ABCOrgApproverSignatureRequired xmlns="cae37ace-7a49-4147-b024-43561a7a3263">false</ABCOrgApproverSignatureRequired>
    <ABCOrgApproverSignatureInstructions xmlns="cae37ace-7a49-4147-b024-43561a7a3263" xsi:nil="true"/>
    <lcf76f155ced4ddcb4097134ff3c332f xmlns="d128d784-c517-4e2f-813f-4afd507340d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080EED43-65DB-4D31-8E7A-8E86C6BAC25B}">
  <ds:schemaRefs>
    <ds:schemaRef ds:uri="Microsoft.SharePoint.Taxonomy.ContentTypeSync"/>
  </ds:schemaRefs>
</ds:datastoreItem>
</file>

<file path=customXml/itemProps4.xml><?xml version="1.0" encoding="utf-8"?>
<ds:datastoreItem xmlns:ds="http://schemas.openxmlformats.org/officeDocument/2006/customXml" ds:itemID="{AB69B065-7FDC-4392-BA51-6387E49EE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37ace-7a49-4147-b024-43561a7a3263"/>
    <ds:schemaRef ds:uri="a5f32de4-e402-4188-b034-e71ca7d22e54"/>
    <ds:schemaRef ds:uri="d128d784-c517-4e2f-813f-4afd50734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43C081-C00A-4005-9B7E-8D97ADFC5730}">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cae37ace-7a49-4147-b024-43561a7a3263"/>
    <ds:schemaRef ds:uri="d128d784-c517-4e2f-813f-4afd507340dd"/>
  </ds:schemaRefs>
</ds:datastoreItem>
</file>

<file path=docProps/app.xml><?xml version="1.0" encoding="utf-8"?>
<Properties xmlns="http://schemas.openxmlformats.org/officeDocument/2006/extended-properties" xmlns:vt="http://schemas.openxmlformats.org/officeDocument/2006/docPropsVTypes">
  <Template>DEECA%20A4%20Blank.dotm</Template>
  <TotalTime>86</TotalTime>
  <Pages>1</Pages>
  <Words>1098</Words>
  <Characters>6261</Characters>
  <Application>Microsoft Office Word</Application>
  <DocSecurity>4</DocSecurity>
  <Lines>52</Lines>
  <Paragraphs>14</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1 - Guidance Note Flood risk ratings.docx</dc:title>
  <dc:subject>New state policy and accountabilities</dc:subject>
  <dc:creator>Fiona</dc:creator>
  <cp:keywords/>
  <dc:description/>
  <cp:lastModifiedBy>Rory T Shannon (DEECA)</cp:lastModifiedBy>
  <cp:revision>326</cp:revision>
  <cp:lastPrinted>2026-06-26T14:20:00Z</cp:lastPrinted>
  <dcterms:created xsi:type="dcterms:W3CDTF">2026-07-21T13:00:00Z</dcterms:created>
  <dcterms:modified xsi:type="dcterms:W3CDTF">2026-10-16T03:17:00Z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 over two to three lines unless the subtitle is not in use</vt:lpwstr>
  </property>
  <property fmtid="{D5CDD505-2E9C-101B-9397-08002B2CF9AE}" pid="3" name="xFooterSubtitle">
    <vt:lpwstr>Subtitle over two to three lines. Do not allow text to go below the navy header background or overlap graphics on the right</vt:lpwstr>
  </property>
  <property fmtid="{D5CDD505-2E9C-101B-9397-08002B2CF9AE}" pid="4" name="MediaServiceImageTags">
    <vt:lpwstr/>
  </property>
  <property fmtid="{D5CDD505-2E9C-101B-9397-08002B2CF9AE}" pid="5" name="MSIP_Label_4257e2ab-f512-40e2-9c9a-c64247360765_Enabled">
    <vt:lpwstr>true</vt:lpwstr>
  </property>
  <property fmtid="{D5CDD505-2E9C-101B-9397-08002B2CF9AE}" pid="6" name="MSIP_Label_4257e2ab-f512-40e2-9c9a-c64247360765_SetDate">
    <vt:lpwstr>2023-05-02T08:24:03Z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15d7d8ba-6e73-4c67-9ef1-dd7ab7778591</vt:lpwstr>
  </property>
  <property fmtid="{D5CDD505-2E9C-101B-9397-08002B2CF9AE}" pid="11" name="MSIP_Label_4257e2ab-f512-40e2-9c9a-c64247360765_ContentBits">
    <vt:lpwstr>2</vt:lpwstr>
  </property>
  <property fmtid="{D5CDD505-2E9C-101B-9397-08002B2CF9AE}" pid="12" name="Agency">
    <vt:i4>1</vt:i4>
  </property>
  <property fmtid="{D5CDD505-2E9C-101B-9397-08002B2CF9AE}" pid="13" name="Division">
    <vt:i4>5</vt:i4>
  </property>
  <property fmtid="{D5CDD505-2E9C-101B-9397-08002B2CF9AE}" pid="14" name="Order">
    <vt:r8>54200</vt:r8>
  </property>
  <property fmtid="{D5CDD505-2E9C-101B-9397-08002B2CF9AE}" pid="15" name="Language">
    <vt:lpwstr>English</vt:lpwstr>
  </property>
  <property fmtid="{D5CDD505-2E9C-101B-9397-08002B2CF9AE}" pid="16" name="pd01c257034b4e86b1f58279a3bd54c6">
    <vt:lpwstr>Unclassified|7fa379f4-4aba-4692-ab80-7d39d3a23cf4</vt:lpwstr>
  </property>
  <property fmtid="{D5CDD505-2E9C-101B-9397-08002B2CF9AE}" pid="17" name="xd_Signature">
    <vt:bool>false</vt:bool>
  </property>
  <property fmtid="{D5CDD505-2E9C-101B-9397-08002B2CF9AE}" pid="18" name="ece32f50ba964e1fbf627a9d83fe6c01">
    <vt:lpwstr>Department of Environment, Land, Water and Planning|607a3f87-1228-4cd9-82a5-076aa8776274</vt:lpwstr>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Brand type">
    <vt:lpwstr>DEECA Branded</vt:lpwstr>
  </property>
  <property fmtid="{D5CDD505-2E9C-101B-9397-08002B2CF9AE}" pid="24" name="n771d69a070c4babbf278c67c8a2b859">
    <vt:lpwstr>Information Services|30448c83-753c-4662-9f56-9cde52d6c172</vt:lpwstr>
  </property>
  <property fmtid="{D5CDD505-2E9C-101B-9397-08002B2CF9AE}" pid="25" name="TriggerFlowInfo">
    <vt:lpwstr/>
  </property>
  <property fmtid="{D5CDD505-2E9C-101B-9397-08002B2CF9AE}" pid="26" name="fb3179c379644f499d7166d0c985669b">
    <vt:lpwstr>FOUO|955eb6fc-b35a-4808-8aa5-31e514fa3f26</vt:lpwstr>
  </property>
  <property fmtid="{D5CDD505-2E9C-101B-9397-08002B2CF9AE}" pid="27" name="ContentTypeId">
    <vt:lpwstr>0x010100ADB6A493CB944449B507A6E62846B95F0022DBB243D80C1F4BAA0BB9C1A933D20D</vt:lpwstr>
  </property>
  <property fmtid="{D5CDD505-2E9C-101B-9397-08002B2CF9AE}" pid="28" name="Dissemination Limiting Marker">
    <vt:lpwstr>10;#FOUO|955eb6fc-b35a-4808-8aa5-31e514fa3f26</vt:lpwstr>
  </property>
  <property fmtid="{D5CDD505-2E9C-101B-9397-08002B2CF9AE}" pid="29" name="Security Classification">
    <vt:lpwstr>11;#Unclassified|7fa379f4-4aba-4692-ab80-7d39d3a23cf4</vt:lpwstr>
  </property>
  <property fmtid="{D5CDD505-2E9C-101B-9397-08002B2CF9AE}" pid="30" name="Record Purpose">
    <vt:lpwstr/>
  </property>
  <property fmtid="{D5CDD505-2E9C-101B-9397-08002B2CF9AE}" pid="31" name="Security_x0020_Classification">
    <vt:lpwstr>11;#Unclassified|7fa379f4-4aba-4692-ab80-7d39d3a23cf4</vt:lpwstr>
  </property>
  <property fmtid="{D5CDD505-2E9C-101B-9397-08002B2CF9AE}" pid="32" name="Record_x0020_Purpose">
    <vt:lpwstr/>
  </property>
  <property fmtid="{D5CDD505-2E9C-101B-9397-08002B2CF9AE}" pid="33" name="Department_x0020_Document_x0020_Type">
    <vt:lpwstr/>
  </property>
  <property fmtid="{D5CDD505-2E9C-101B-9397-08002B2CF9AE}" pid="34" name="Dissemination_x0020_Limiting_x0020_Marker">
    <vt:lpwstr>10;#FOUO|955eb6fc-b35a-4808-8aa5-31e514fa3f26</vt:lpwstr>
  </property>
  <property fmtid="{D5CDD505-2E9C-101B-9397-08002B2CF9AE}" pid="35" name="Department Document Type">
    <vt:lpwstr/>
  </property>
  <property fmtid="{D5CDD505-2E9C-101B-9397-08002B2CF9AE}" pid="36" name="_dlc_DocIdItemGuid">
    <vt:lpwstr>8aed70ea-acd7-45ef-8f60-3955e9fb273a</vt:lpwstr>
  </property>
  <property fmtid="{D5CDD505-2E9C-101B-9397-08002B2CF9AE}" pid="37" name="DocumentSetDescription">
    <vt:lpwstr/>
  </property>
  <property fmtid="{D5CDD505-2E9C-101B-9397-08002B2CF9AE}" pid="38" name="FPGroup">
    <vt:lpwstr>Whole of govt reforms</vt:lpwstr>
  </property>
  <property fmtid="{D5CDD505-2E9C-101B-9397-08002B2CF9AE}" pid="39" name="Content Types">
    <vt:lpwstr>Meetings</vt:lpwstr>
  </property>
  <property fmtid="{D5CDD505-2E9C-101B-9397-08002B2CF9AE}" pid="40" name="Classifications">
    <vt:lpwstr>External committee</vt:lpwstr>
  </property>
  <property fmtid="{D5CDD505-2E9C-101B-9397-08002B2CF9AE}" pid="41" name="DLCPolicyLabelValue">
    <vt:lpwstr>Version 0.57</vt:lpwstr>
  </property>
  <property fmtid="{D5CDD505-2E9C-101B-9397-08002B2CF9AE}" pid="42" name="DLCPolicyLabelClientValue">
    <vt:lpwstr>Version {_UIVersionString}</vt:lpwstr>
  </property>
  <property fmtid="{D5CDD505-2E9C-101B-9397-08002B2CF9AE}" pid="43" name="ABCBriefingType">
    <vt:lpwstr/>
  </property>
  <property fmtid="{D5CDD505-2E9C-101B-9397-08002B2CF9AE}" pid="44" name="ABCTimingTimeframe_0">
    <vt:lpwstr/>
  </property>
  <property fmtid="{D5CDD505-2E9C-101B-9397-08002B2CF9AE}" pid="45" name="ABCRequestFrom_0">
    <vt:lpwstr/>
  </property>
  <property fmtid="{D5CDD505-2E9C-101B-9397-08002B2CF9AE}" pid="46" name="ABCAccessCaveats_0">
    <vt:lpwstr/>
  </property>
  <property fmtid="{D5CDD505-2E9C-101B-9397-08002B2CF9AE}" pid="47" name="ABCRequestFrom">
    <vt:lpwstr/>
  </property>
  <property fmtid="{D5CDD505-2E9C-101B-9397-08002B2CF9AE}" pid="48" name="ABCTasks">
    <vt:lpwstr/>
  </property>
  <property fmtid="{D5CDD505-2E9C-101B-9397-08002B2CF9AE}" pid="49" name="ABCRecordFlags_0">
    <vt:lpwstr/>
  </property>
  <property fmtid="{D5CDD505-2E9C-101B-9397-08002B2CF9AE}" pid="50" name="ABCTimeframe">
    <vt:lpwstr/>
  </property>
  <property fmtid="{D5CDD505-2E9C-101B-9397-08002B2CF9AE}" pid="51" name="ABCAccessCaveats">
    <vt:lpwstr/>
  </property>
  <property fmtid="{D5CDD505-2E9C-101B-9397-08002B2CF9AE}" pid="52" name="ABCTasks_0">
    <vt:lpwstr/>
  </property>
  <property fmtid="{D5CDD505-2E9C-101B-9397-08002B2CF9AE}" pid="53" name="TaxCatchAll">
    <vt:lpwstr/>
  </property>
  <property fmtid="{D5CDD505-2E9C-101B-9397-08002B2CF9AE}" pid="54" name="ABCTimingTimeframe">
    <vt:lpwstr/>
  </property>
  <property fmtid="{D5CDD505-2E9C-101B-9397-08002B2CF9AE}" pid="55" name="ABCStage_0">
    <vt:lpwstr/>
  </property>
  <property fmtid="{D5CDD505-2E9C-101B-9397-08002B2CF9AE}" pid="56" name="ABCRecordFlags">
    <vt:lpwstr/>
  </property>
  <property fmtid="{D5CDD505-2E9C-101B-9397-08002B2CF9AE}" pid="57" name="ABCBriefingType_0">
    <vt:lpwstr/>
  </property>
  <property fmtid="{D5CDD505-2E9C-101B-9397-08002B2CF9AE}" pid="58" name="ABCTimeframe_0">
    <vt:lpwstr/>
  </property>
  <property fmtid="{D5CDD505-2E9C-101B-9397-08002B2CF9AE}" pid="59" name="ABCSecurityClassification_0">
    <vt:lpwstr/>
  </property>
  <property fmtid="{D5CDD505-2E9C-101B-9397-08002B2CF9AE}" pid="60" name="ABCDecisionCategory">
    <vt:lpwstr/>
  </property>
  <property fmtid="{D5CDD505-2E9C-101B-9397-08002B2CF9AE}" pid="61" name="ABCSecurityClassification">
    <vt:lpwstr/>
  </property>
  <property fmtid="{D5CDD505-2E9C-101B-9397-08002B2CF9AE}" pid="62" name="ABCStage">
    <vt:lpwstr/>
  </property>
  <property fmtid="{D5CDD505-2E9C-101B-9397-08002B2CF9AE}" pid="63" name="ABCDecisionCategory_0">
    <vt:lpwstr/>
  </property>
  <property fmtid="{D5CDD505-2E9C-101B-9397-08002B2CF9AE}" pid="64" name="docLang">
    <vt:lpwstr>en</vt:lpwstr>
  </property>
</Properties>
</file>