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10.xml" ContentType="application/vnd.openxmlformats-officedocument.customXmlProperties+xml"/>
  <Override PartName="/word/fontTable.xml" ContentType="application/vnd.openxmlformats-officedocument.wordprocessingml.fontTable+xml"/>
  <Override PartName="/customXml/itemProps9.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F46AE" w14:textId="1041E716" w:rsidR="00FE7623" w:rsidRPr="00D90AD4" w:rsidRDefault="00FE7623" w:rsidP="00FE7623">
      <w:pPr>
        <w:spacing w:before="100" w:beforeAutospacing="1" w:after="100" w:afterAutospacing="1"/>
        <w:rPr>
          <w:rFonts w:ascii="Arial" w:eastAsia="Times New Roman" w:hAnsi="Arial" w:cs="Arial"/>
          <w:sz w:val="24"/>
          <w:szCs w:val="24"/>
          <w:lang w:val="en-AU"/>
        </w:rPr>
      </w:pPr>
      <w:bookmarkStart w:id="0" w:name="_Ref146810265"/>
      <w:bookmarkStart w:id="1" w:name="_Toc147002222"/>
      <w:r w:rsidRPr="00D90AD4">
        <w:rPr>
          <w:rFonts w:ascii="Arial" w:eastAsia="Times New Roman" w:hAnsi="Arial" w:cs="Arial"/>
          <w:noProof/>
          <w:sz w:val="24"/>
          <w:szCs w:val="24"/>
          <w:lang w:val="en-AU"/>
        </w:rPr>
        <w:drawing>
          <wp:anchor distT="0" distB="0" distL="114300" distR="114300" simplePos="0" relativeHeight="251658240" behindDoc="0" locked="0" layoutInCell="1" allowOverlap="1" wp14:anchorId="7089C033" wp14:editId="7053D54D">
            <wp:simplePos x="723900" y="1162050"/>
            <wp:positionH relativeFrom="page">
              <wp:align>left</wp:align>
            </wp:positionH>
            <wp:positionV relativeFrom="page">
              <wp:align>top</wp:align>
            </wp:positionV>
            <wp:extent cx="7562088" cy="10689336"/>
            <wp:effectExtent l="0" t="0" r="1270" b="0"/>
            <wp:wrapNone/>
            <wp:docPr id="1724612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562088" cy="106893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DD9D63" w14:textId="77777777" w:rsidR="00D52C51" w:rsidRPr="00D90AD4" w:rsidRDefault="00D52C51" w:rsidP="00943B10">
      <w:pPr>
        <w:pStyle w:val="BodyText"/>
        <w:rPr>
          <w:rFonts w:cs="Arial"/>
          <w:lang w:val="en-AU"/>
        </w:rPr>
      </w:pPr>
    </w:p>
    <w:p w14:paraId="4E99A57A" w14:textId="77777777" w:rsidR="00D52C51" w:rsidRPr="00D90AD4" w:rsidRDefault="00D52C51" w:rsidP="00943B10">
      <w:pPr>
        <w:pStyle w:val="BodyText"/>
        <w:rPr>
          <w:rFonts w:cs="Arial"/>
          <w:lang w:val="en-AU"/>
        </w:rPr>
      </w:pPr>
    </w:p>
    <w:p w14:paraId="411006E2" w14:textId="77777777" w:rsidR="00D52C51" w:rsidRPr="00D90AD4" w:rsidRDefault="00D52C51" w:rsidP="00943B10">
      <w:pPr>
        <w:pStyle w:val="BodyText"/>
        <w:rPr>
          <w:rFonts w:cs="Arial"/>
          <w:lang w:val="en-AU"/>
        </w:rPr>
        <w:sectPr w:rsidR="00D52C51" w:rsidRPr="00D90AD4" w:rsidSect="005D164F">
          <w:headerReference w:type="default" r:id="rId19"/>
          <w:footerReference w:type="even" r:id="rId20"/>
          <w:footerReference w:type="default" r:id="rId21"/>
          <w:headerReference w:type="first" r:id="rId22"/>
          <w:footerReference w:type="first" r:id="rId23"/>
          <w:pgSz w:w="11906" w:h="16838" w:code="9"/>
          <w:pgMar w:top="1138" w:right="1138" w:bottom="562" w:left="1138" w:header="562" w:footer="0" w:gutter="0"/>
          <w:cols w:space="720"/>
          <w:titlePg/>
          <w:docGrid w:linePitch="360"/>
        </w:sectPr>
      </w:pPr>
    </w:p>
    <w:p w14:paraId="7C89F483" w14:textId="77777777" w:rsidR="002E331D" w:rsidRPr="00D90AD4" w:rsidRDefault="009A1A03" w:rsidP="00943B10">
      <w:pPr>
        <w:pStyle w:val="BodyText"/>
        <w:rPr>
          <w:rFonts w:cs="Arial"/>
          <w:lang w:val="en-AU"/>
        </w:rPr>
      </w:pPr>
      <w:r w:rsidRPr="00D90AD4">
        <w:rPr>
          <w:rFonts w:cs="Arial"/>
          <w:lang w:val="en-AU"/>
        </w:rPr>
        <w:lastRenderedPageBreak/>
        <w:t>This appendix expands on the</w:t>
      </w:r>
      <w:r w:rsidR="004B3119" w:rsidRPr="00D90AD4">
        <w:rPr>
          <w:rFonts w:cs="Arial"/>
          <w:lang w:val="en-AU"/>
        </w:rPr>
        <w:t xml:space="preserve"> summary of achievements made by EC5 projects to</w:t>
      </w:r>
      <w:r w:rsidR="00750C31" w:rsidRPr="00D90AD4">
        <w:rPr>
          <w:rFonts w:cs="Arial"/>
          <w:lang w:val="en-AU"/>
        </w:rPr>
        <w:t>ward</w:t>
      </w:r>
      <w:r w:rsidR="004B3119" w:rsidRPr="00D90AD4">
        <w:rPr>
          <w:rFonts w:cs="Arial"/>
          <w:lang w:val="en-AU"/>
        </w:rPr>
        <w:t xml:space="preserve"> the</w:t>
      </w:r>
      <w:r w:rsidR="00EA1259" w:rsidRPr="00D90AD4">
        <w:rPr>
          <w:rFonts w:cs="Arial"/>
          <w:lang w:val="en-AU"/>
        </w:rPr>
        <w:t xml:space="preserve"> EC5 End-</w:t>
      </w:r>
      <w:r w:rsidR="002B6106" w:rsidRPr="00D90AD4">
        <w:rPr>
          <w:rFonts w:cs="Arial"/>
          <w:lang w:val="en-AU"/>
        </w:rPr>
        <w:t>o</w:t>
      </w:r>
      <w:r w:rsidR="00EA1259" w:rsidRPr="00D90AD4">
        <w:rPr>
          <w:rFonts w:cs="Arial"/>
          <w:lang w:val="en-AU"/>
        </w:rPr>
        <w:t xml:space="preserve">f-Tranche and long-term </w:t>
      </w:r>
      <w:r w:rsidR="004B3119" w:rsidRPr="00D90AD4">
        <w:rPr>
          <w:rFonts w:cs="Arial"/>
          <w:lang w:val="en-AU"/>
        </w:rPr>
        <w:t xml:space="preserve">outcomes </w:t>
      </w:r>
      <w:r w:rsidR="00750C31" w:rsidRPr="00D90AD4">
        <w:rPr>
          <w:rFonts w:cs="Arial"/>
          <w:lang w:val="en-AU"/>
        </w:rPr>
        <w:t>provided in Section 4 of the End-</w:t>
      </w:r>
      <w:r w:rsidR="002B6106" w:rsidRPr="00D90AD4">
        <w:rPr>
          <w:rFonts w:cs="Arial"/>
          <w:lang w:val="en-AU"/>
        </w:rPr>
        <w:t>o</w:t>
      </w:r>
      <w:r w:rsidR="00750C31" w:rsidRPr="00D90AD4">
        <w:rPr>
          <w:rFonts w:cs="Arial"/>
          <w:lang w:val="en-AU"/>
        </w:rPr>
        <w:t>f-Tranche EC5 Evaluation Report</w:t>
      </w:r>
      <w:r w:rsidR="004B3119" w:rsidRPr="00D90AD4">
        <w:rPr>
          <w:rFonts w:cs="Arial"/>
          <w:lang w:val="en-AU"/>
        </w:rPr>
        <w:t xml:space="preserve">. </w:t>
      </w:r>
      <w:r w:rsidR="00DC7A87" w:rsidRPr="00D90AD4">
        <w:rPr>
          <w:rFonts w:cs="Arial"/>
          <w:lang w:val="en-AU"/>
        </w:rPr>
        <w:t>It provides</w:t>
      </w:r>
      <w:r w:rsidR="004B3119" w:rsidRPr="00D90AD4">
        <w:rPr>
          <w:rFonts w:cs="Arial"/>
          <w:lang w:val="en-AU"/>
        </w:rPr>
        <w:t xml:space="preserve"> examples of some of the main ways that individual projects have contributed to each outcome area.</w:t>
      </w:r>
    </w:p>
    <w:p w14:paraId="3EA81AE7" w14:textId="3B24597D" w:rsidR="00607D7F" w:rsidRPr="00966D5E" w:rsidRDefault="00607D7F">
      <w:pPr>
        <w:pStyle w:val="Heading2"/>
        <w:numPr>
          <w:ilvl w:val="1"/>
          <w:numId w:val="34"/>
        </w:numPr>
        <w:rPr>
          <w:rFonts w:cs="Arial"/>
          <w:lang w:val="en-AU"/>
        </w:rPr>
      </w:pPr>
      <w:r w:rsidRPr="00966D5E">
        <w:rPr>
          <w:rFonts w:cs="Arial"/>
          <w:lang w:val="en-AU"/>
        </w:rPr>
        <w:t>What progress has been made toward secure and resilient water systems?</w:t>
      </w:r>
      <w:bookmarkEnd w:id="0"/>
      <w:bookmarkEnd w:id="1"/>
    </w:p>
    <w:p w14:paraId="722765E3" w14:textId="447BDC11" w:rsidR="00607D7F" w:rsidRPr="00966D5E" w:rsidRDefault="00607D7F" w:rsidP="00CC7B09">
      <w:pPr>
        <w:pStyle w:val="Heading3"/>
        <w:rPr>
          <w:rFonts w:cs="Arial"/>
          <w:lang w:val="en-AU"/>
        </w:rPr>
      </w:pPr>
      <w:r w:rsidRPr="00966D5E">
        <w:rPr>
          <w:rFonts w:cs="Arial"/>
          <w:lang w:val="en-AU"/>
        </w:rPr>
        <w:t xml:space="preserve">Improved urban and rural planning for </w:t>
      </w:r>
      <w:r w:rsidR="006A252E" w:rsidRPr="00966D5E">
        <w:rPr>
          <w:rFonts w:cs="Arial"/>
          <w:lang w:val="en-AU"/>
        </w:rPr>
        <w:t>long-term</w:t>
      </w:r>
      <w:r w:rsidRPr="00966D5E">
        <w:rPr>
          <w:rFonts w:cs="Arial"/>
          <w:lang w:val="en-AU"/>
        </w:rPr>
        <w:t xml:space="preserve"> water </w:t>
      </w:r>
      <w:proofErr w:type="gramStart"/>
      <w:r w:rsidRPr="00966D5E">
        <w:rPr>
          <w:rFonts w:cs="Arial"/>
          <w:lang w:val="en-AU"/>
        </w:rPr>
        <w:t>security</w:t>
      </w:r>
      <w:proofErr w:type="gramEnd"/>
    </w:p>
    <w:p w14:paraId="2C85F88B" w14:textId="77777777" w:rsidR="002E331D" w:rsidRPr="00966D5E" w:rsidRDefault="00607D7F" w:rsidP="00CC7B09">
      <w:pPr>
        <w:pStyle w:val="BodyText"/>
        <w:rPr>
          <w:rFonts w:cs="Arial"/>
          <w:lang w:val="en-AU"/>
        </w:rPr>
      </w:pPr>
      <w:r w:rsidRPr="00966D5E">
        <w:rPr>
          <w:rFonts w:cs="Arial"/>
          <w:lang w:val="en-AU"/>
        </w:rPr>
        <w:t xml:space="preserve">Five of the EC5 </w:t>
      </w:r>
      <w:r w:rsidR="000C08D6" w:rsidRPr="00966D5E">
        <w:rPr>
          <w:rFonts w:cs="Arial"/>
          <w:lang w:val="en-AU"/>
        </w:rPr>
        <w:t xml:space="preserve">projects </w:t>
      </w:r>
      <w:r w:rsidRPr="00966D5E">
        <w:rPr>
          <w:rFonts w:cs="Arial"/>
          <w:lang w:val="en-AU"/>
        </w:rPr>
        <w:t xml:space="preserve">directly contributed to improving urban and rural planning for </w:t>
      </w:r>
      <w:r w:rsidR="006A252E" w:rsidRPr="00966D5E">
        <w:rPr>
          <w:rFonts w:cs="Arial"/>
          <w:lang w:val="en-AU"/>
        </w:rPr>
        <w:t>long-term</w:t>
      </w:r>
      <w:r w:rsidRPr="00966D5E">
        <w:rPr>
          <w:rFonts w:cs="Arial"/>
          <w:lang w:val="en-AU"/>
        </w:rPr>
        <w:t xml:space="preserve"> water security, with others providing indirect contributions</w:t>
      </w:r>
      <w:r w:rsidR="00B21975" w:rsidRPr="00966D5E">
        <w:rPr>
          <w:rFonts w:cs="Arial"/>
          <w:lang w:val="en-AU"/>
        </w:rPr>
        <w:t xml:space="preserve"> to this outcome</w:t>
      </w:r>
      <w:r w:rsidRPr="00966D5E">
        <w:rPr>
          <w:rFonts w:cs="Arial"/>
          <w:lang w:val="en-AU"/>
        </w:rPr>
        <w:t>. Some examples of significant progress toward this outcome include:</w:t>
      </w:r>
    </w:p>
    <w:p w14:paraId="153CB3C8" w14:textId="5A7A9A80" w:rsidR="00607D7F" w:rsidRPr="00966D5E" w:rsidRDefault="00742516" w:rsidP="005A7571">
      <w:pPr>
        <w:pStyle w:val="BulletLevel1"/>
        <w:rPr>
          <w:rFonts w:cs="Arial"/>
          <w:lang w:val="en-AU"/>
        </w:rPr>
      </w:pPr>
      <w:r w:rsidRPr="00966D5E">
        <w:rPr>
          <w:rFonts w:cs="Arial"/>
          <w:b/>
          <w:bCs/>
          <w:lang w:val="en-AU"/>
        </w:rPr>
        <w:t>PSP1:</w:t>
      </w:r>
      <w:r w:rsidR="00607D7F" w:rsidRPr="00966D5E">
        <w:rPr>
          <w:rFonts w:cs="Arial"/>
          <w:b/>
          <w:bCs/>
          <w:lang w:val="en-AU"/>
        </w:rPr>
        <w:t xml:space="preserve"> </w:t>
      </w:r>
      <w:r w:rsidR="000A795F" w:rsidRPr="00966D5E">
        <w:rPr>
          <w:rFonts w:cs="Arial"/>
          <w:b/>
          <w:bCs/>
          <w:lang w:val="en-AU"/>
        </w:rPr>
        <w:t>Long-</w:t>
      </w:r>
      <w:r w:rsidR="00607D7F" w:rsidRPr="00966D5E">
        <w:rPr>
          <w:rFonts w:cs="Arial"/>
          <w:b/>
          <w:bCs/>
          <w:lang w:val="en-AU"/>
        </w:rPr>
        <w:t>Term Water Security:</w:t>
      </w:r>
      <w:r w:rsidR="00607D7F" w:rsidRPr="00966D5E">
        <w:rPr>
          <w:rFonts w:cs="Arial"/>
          <w:lang w:val="en-AU"/>
        </w:rPr>
        <w:t xml:space="preserve"> This </w:t>
      </w:r>
      <w:r w:rsidR="000C08D6" w:rsidRPr="00966D5E">
        <w:rPr>
          <w:rFonts w:cs="Arial"/>
          <w:lang w:val="en-AU"/>
        </w:rPr>
        <w:t xml:space="preserve">project </w:t>
      </w:r>
      <w:r w:rsidR="007047A0" w:rsidRPr="00966D5E">
        <w:rPr>
          <w:rFonts w:cs="Arial"/>
          <w:lang w:val="en-AU"/>
        </w:rPr>
        <w:t>d</w:t>
      </w:r>
      <w:r w:rsidR="00946BBE" w:rsidRPr="00966D5E">
        <w:rPr>
          <w:rFonts w:cs="Arial"/>
          <w:lang w:val="en-AU"/>
        </w:rPr>
        <w:t>eveloped</w:t>
      </w:r>
      <w:r w:rsidR="00607D7F" w:rsidRPr="00966D5E">
        <w:rPr>
          <w:rFonts w:cs="Arial"/>
          <w:lang w:val="en-AU"/>
        </w:rPr>
        <w:t xml:space="preserve"> a </w:t>
      </w:r>
      <w:r w:rsidR="006A252E" w:rsidRPr="00966D5E">
        <w:rPr>
          <w:rFonts w:cs="Arial"/>
          <w:lang w:val="en-AU"/>
        </w:rPr>
        <w:t>long-term</w:t>
      </w:r>
      <w:r w:rsidR="00607D7F" w:rsidRPr="00966D5E">
        <w:rPr>
          <w:rFonts w:cs="Arial"/>
          <w:lang w:val="en-AU"/>
        </w:rPr>
        <w:t xml:space="preserve">, coordinated approach for improving water security across Victoria. Review and update of the </w:t>
      </w:r>
      <w:r w:rsidR="00607D7F" w:rsidRPr="00966D5E">
        <w:rPr>
          <w:rFonts w:cs="Arial"/>
          <w:i/>
          <w:iCs/>
          <w:lang w:val="en-AU"/>
        </w:rPr>
        <w:t>Urban Water Strategy Guidelines</w:t>
      </w:r>
      <w:r w:rsidR="00607D7F" w:rsidRPr="00966D5E">
        <w:rPr>
          <w:rFonts w:cs="Arial"/>
          <w:lang w:val="en-AU"/>
        </w:rPr>
        <w:t xml:space="preserve"> resulted in several </w:t>
      </w:r>
      <w:r w:rsidR="00CC29ED" w:rsidRPr="00966D5E">
        <w:rPr>
          <w:rFonts w:cs="Arial"/>
          <w:lang w:val="en-AU"/>
        </w:rPr>
        <w:t xml:space="preserve">key </w:t>
      </w:r>
      <w:r w:rsidR="00607D7F" w:rsidRPr="00966D5E">
        <w:rPr>
          <w:rFonts w:cs="Arial"/>
          <w:lang w:val="en-AU"/>
        </w:rPr>
        <w:t xml:space="preserve">improvements, including </w:t>
      </w:r>
      <w:r w:rsidR="00CC29ED" w:rsidRPr="00966D5E">
        <w:rPr>
          <w:rFonts w:cs="Arial"/>
          <w:lang w:val="en-AU"/>
        </w:rPr>
        <w:t xml:space="preserve">increased </w:t>
      </w:r>
      <w:r w:rsidR="00CE4AFF" w:rsidRPr="00966D5E">
        <w:rPr>
          <w:rFonts w:cs="Arial"/>
          <w:lang w:val="en-AU"/>
        </w:rPr>
        <w:t>Traditional Owner</w:t>
      </w:r>
      <w:r w:rsidR="00607D7F" w:rsidRPr="00966D5E">
        <w:rPr>
          <w:rFonts w:cs="Arial"/>
          <w:lang w:val="en-AU"/>
        </w:rPr>
        <w:t xml:space="preserve"> engagement</w:t>
      </w:r>
      <w:r w:rsidR="00B760E5" w:rsidRPr="00D90AD4">
        <w:rPr>
          <w:rFonts w:cs="Arial"/>
          <w:lang w:val="en-AU"/>
        </w:rPr>
        <w:t xml:space="preserve">, </w:t>
      </w:r>
      <w:r w:rsidR="00CC29ED" w:rsidRPr="00D90AD4">
        <w:rPr>
          <w:rFonts w:cs="Arial"/>
          <w:lang w:val="en-AU"/>
        </w:rPr>
        <w:t xml:space="preserve">inclusion of </w:t>
      </w:r>
      <w:r w:rsidR="00B760E5" w:rsidRPr="00D90AD4">
        <w:rPr>
          <w:rFonts w:cs="Arial"/>
          <w:lang w:val="en-AU"/>
        </w:rPr>
        <w:t>stress test scenarios</w:t>
      </w:r>
      <w:r w:rsidR="00607D7F" w:rsidRPr="00966D5E">
        <w:rPr>
          <w:rFonts w:cs="Arial"/>
          <w:lang w:val="en-AU"/>
        </w:rPr>
        <w:t xml:space="preserve"> and alignment </w:t>
      </w:r>
      <w:r w:rsidR="00B760E5" w:rsidRPr="00966D5E">
        <w:rPr>
          <w:rFonts w:cs="Arial"/>
          <w:lang w:val="en-AU"/>
        </w:rPr>
        <w:t xml:space="preserve">with </w:t>
      </w:r>
      <w:r w:rsidR="00607D7F" w:rsidRPr="00966D5E">
        <w:rPr>
          <w:rFonts w:cs="Arial"/>
          <w:lang w:val="en-AU"/>
        </w:rPr>
        <w:t xml:space="preserve">other water planning frameworks. Assessment of the broader water planning framework </w:t>
      </w:r>
      <w:r w:rsidR="00126C34" w:rsidRPr="00966D5E">
        <w:rPr>
          <w:rFonts w:cs="Arial"/>
          <w:lang w:val="en-AU"/>
        </w:rPr>
        <w:t>also commenced</w:t>
      </w:r>
      <w:r w:rsidR="00220365" w:rsidRPr="00966D5E">
        <w:rPr>
          <w:rFonts w:cs="Arial"/>
          <w:lang w:val="en-AU"/>
        </w:rPr>
        <w:t xml:space="preserve"> </w:t>
      </w:r>
      <w:r w:rsidR="00607D7F" w:rsidRPr="00966D5E">
        <w:rPr>
          <w:rFonts w:cs="Arial"/>
          <w:lang w:val="en-AU"/>
        </w:rPr>
        <w:t>to ensure it work</w:t>
      </w:r>
      <w:r w:rsidR="00860B5D" w:rsidRPr="00966D5E">
        <w:rPr>
          <w:rFonts w:cs="Arial"/>
          <w:lang w:val="en-AU"/>
        </w:rPr>
        <w:t>s</w:t>
      </w:r>
      <w:r w:rsidR="00607D7F" w:rsidRPr="00966D5E">
        <w:rPr>
          <w:rFonts w:cs="Arial"/>
          <w:lang w:val="en-AU"/>
        </w:rPr>
        <w:t xml:space="preserve"> efficiently and effectively to deliver water security for </w:t>
      </w:r>
      <w:r w:rsidR="00CE4AFF" w:rsidRPr="00966D5E">
        <w:rPr>
          <w:rFonts w:cs="Arial"/>
          <w:lang w:val="en-AU"/>
        </w:rPr>
        <w:t>communities</w:t>
      </w:r>
      <w:r w:rsidR="00607D7F" w:rsidRPr="00966D5E">
        <w:rPr>
          <w:rFonts w:cs="Arial"/>
          <w:lang w:val="en-AU"/>
        </w:rPr>
        <w:t xml:space="preserve"> at an acceptable</w:t>
      </w:r>
      <w:r w:rsidR="00005578" w:rsidRPr="00966D5E">
        <w:rPr>
          <w:rFonts w:cs="Arial"/>
          <w:lang w:val="en-AU"/>
        </w:rPr>
        <w:t> </w:t>
      </w:r>
      <w:r w:rsidR="00607D7F" w:rsidRPr="00966D5E">
        <w:rPr>
          <w:rFonts w:cs="Arial"/>
          <w:lang w:val="en-AU"/>
        </w:rPr>
        <w:t>cost.</w:t>
      </w:r>
    </w:p>
    <w:p w14:paraId="54C9ADF6" w14:textId="58B603D4" w:rsidR="00607D7F" w:rsidRPr="00966D5E" w:rsidRDefault="00331DBF" w:rsidP="005A7571">
      <w:pPr>
        <w:pStyle w:val="BulletLevel1"/>
        <w:rPr>
          <w:rFonts w:cs="Arial"/>
          <w:lang w:val="en-AU"/>
        </w:rPr>
      </w:pPr>
      <w:r w:rsidRPr="00966D5E">
        <w:rPr>
          <w:rFonts w:cs="Arial"/>
          <w:b/>
          <w:bCs/>
          <w:lang w:val="en-AU"/>
        </w:rPr>
        <w:t>CWCT01</w:t>
      </w:r>
      <w:r w:rsidR="006A252E" w:rsidRPr="00966D5E">
        <w:rPr>
          <w:rFonts w:cs="Arial"/>
          <w:b/>
          <w:bCs/>
          <w:lang w:val="en-AU"/>
        </w:rPr>
        <w:t xml:space="preserve">: </w:t>
      </w:r>
      <w:r w:rsidR="00607D7F" w:rsidRPr="00966D5E">
        <w:rPr>
          <w:rFonts w:cs="Arial"/>
          <w:b/>
          <w:bCs/>
          <w:lang w:val="en-AU"/>
        </w:rPr>
        <w:t>Integrated Water Management</w:t>
      </w:r>
      <w:r w:rsidR="00CE4AFF" w:rsidRPr="00966D5E">
        <w:rPr>
          <w:rFonts w:cs="Arial"/>
          <w:b/>
          <w:bCs/>
          <w:lang w:val="en-AU"/>
        </w:rPr>
        <w:t xml:space="preserve"> (IWM)</w:t>
      </w:r>
      <w:r w:rsidR="00607D7F" w:rsidRPr="00966D5E">
        <w:rPr>
          <w:rFonts w:cs="Arial"/>
          <w:b/>
          <w:bCs/>
          <w:lang w:val="en-AU"/>
        </w:rPr>
        <w:t>:</w:t>
      </w:r>
      <w:r w:rsidR="00607D7F" w:rsidRPr="00966D5E">
        <w:rPr>
          <w:rFonts w:cs="Arial"/>
          <w:lang w:val="en-AU"/>
        </w:rPr>
        <w:t xml:space="preserve"> IWM is a key </w:t>
      </w:r>
      <w:r w:rsidR="00BF56AC" w:rsidRPr="00966D5E">
        <w:rPr>
          <w:rFonts w:cs="Arial"/>
          <w:lang w:val="en-AU"/>
        </w:rPr>
        <w:t>approach for</w:t>
      </w:r>
      <w:r w:rsidR="00607D7F" w:rsidRPr="00966D5E">
        <w:rPr>
          <w:rFonts w:cs="Arial"/>
          <w:lang w:val="en-AU"/>
        </w:rPr>
        <w:t xml:space="preserve"> diversifying water sources and approaches </w:t>
      </w:r>
      <w:r w:rsidR="00BF56AC" w:rsidRPr="00966D5E">
        <w:rPr>
          <w:rFonts w:cs="Arial"/>
          <w:lang w:val="en-AU"/>
        </w:rPr>
        <w:t xml:space="preserve">that support </w:t>
      </w:r>
      <w:r w:rsidR="00607D7F" w:rsidRPr="00966D5E">
        <w:rPr>
          <w:rFonts w:cs="Arial"/>
          <w:lang w:val="en-AU"/>
        </w:rPr>
        <w:t>water security. Through facilitation of the 15 IWM Forums collaborative platform</w:t>
      </w:r>
      <w:r w:rsidR="006E0F8C" w:rsidRPr="00966D5E">
        <w:rPr>
          <w:rFonts w:cs="Arial"/>
          <w:lang w:val="en-AU"/>
        </w:rPr>
        <w:t>s</w:t>
      </w:r>
      <w:r w:rsidR="00607D7F" w:rsidRPr="00966D5E">
        <w:rPr>
          <w:rFonts w:cs="Arial"/>
          <w:lang w:val="en-AU"/>
        </w:rPr>
        <w:t xml:space="preserve"> to identify, asses</w:t>
      </w:r>
      <w:r w:rsidR="00CE4AFF" w:rsidRPr="00966D5E">
        <w:rPr>
          <w:rFonts w:cs="Arial"/>
          <w:lang w:val="en-AU"/>
        </w:rPr>
        <w:t>s</w:t>
      </w:r>
      <w:r w:rsidR="00607D7F" w:rsidRPr="00966D5E">
        <w:rPr>
          <w:rFonts w:cs="Arial"/>
          <w:lang w:val="en-AU"/>
        </w:rPr>
        <w:t>, and implement IWM solutions</w:t>
      </w:r>
      <w:r w:rsidR="006E0F8C" w:rsidRPr="00966D5E">
        <w:rPr>
          <w:rFonts w:cs="Arial"/>
          <w:lang w:val="en-AU"/>
        </w:rPr>
        <w:t>,</w:t>
      </w:r>
      <w:r w:rsidR="00607D7F" w:rsidRPr="00966D5E">
        <w:rPr>
          <w:rFonts w:cs="Arial"/>
          <w:lang w:val="en-AU"/>
        </w:rPr>
        <w:t xml:space="preserve"> and through supporting relevant policy reforms, the </w:t>
      </w:r>
      <w:r w:rsidR="000F6713" w:rsidRPr="00966D5E">
        <w:rPr>
          <w:rFonts w:cs="Arial"/>
          <w:lang w:val="en-AU"/>
        </w:rPr>
        <w:t>p</w:t>
      </w:r>
      <w:r w:rsidR="00CE4AFF" w:rsidRPr="00966D5E">
        <w:rPr>
          <w:rFonts w:cs="Arial"/>
          <w:lang w:val="en-AU"/>
        </w:rPr>
        <w:t xml:space="preserve">rogram </w:t>
      </w:r>
      <w:r w:rsidR="00607D7F" w:rsidRPr="00966D5E">
        <w:rPr>
          <w:rFonts w:cs="Arial"/>
          <w:lang w:val="en-AU"/>
        </w:rPr>
        <w:t>has increased the capacity and capabilities to apply IWM throughout Victoria</w:t>
      </w:r>
      <w:r w:rsidR="00C84309" w:rsidRPr="00966D5E">
        <w:rPr>
          <w:rFonts w:cs="Arial"/>
          <w:lang w:val="en-AU"/>
        </w:rPr>
        <w:t xml:space="preserve">. The </w:t>
      </w:r>
      <w:r w:rsidR="000F6713" w:rsidRPr="00966D5E">
        <w:rPr>
          <w:rFonts w:cs="Arial"/>
          <w:lang w:val="en-AU"/>
        </w:rPr>
        <w:t>p</w:t>
      </w:r>
      <w:r w:rsidR="00C84309" w:rsidRPr="00966D5E">
        <w:rPr>
          <w:rFonts w:cs="Arial"/>
          <w:lang w:val="en-AU"/>
        </w:rPr>
        <w:t>rogram also made</w:t>
      </w:r>
      <w:r w:rsidR="00A65121" w:rsidRPr="00966D5E">
        <w:rPr>
          <w:rFonts w:cs="Arial"/>
          <w:lang w:val="en-AU"/>
        </w:rPr>
        <w:t xml:space="preserve"> good progress </w:t>
      </w:r>
      <w:r w:rsidR="00596924" w:rsidRPr="00966D5E">
        <w:rPr>
          <w:rFonts w:cs="Arial"/>
          <w:lang w:val="en-AU"/>
        </w:rPr>
        <w:t xml:space="preserve">towards </w:t>
      </w:r>
      <w:r w:rsidR="00607D7F" w:rsidRPr="00966D5E">
        <w:rPr>
          <w:rFonts w:cs="Arial"/>
          <w:lang w:val="en-AU"/>
        </w:rPr>
        <w:t>entrench</w:t>
      </w:r>
      <w:r w:rsidR="00A65121" w:rsidRPr="00966D5E">
        <w:rPr>
          <w:rFonts w:cs="Arial"/>
          <w:lang w:val="en-AU"/>
        </w:rPr>
        <w:t>ing</w:t>
      </w:r>
      <w:r w:rsidR="00607D7F" w:rsidRPr="00966D5E">
        <w:rPr>
          <w:rFonts w:cs="Arial"/>
          <w:lang w:val="en-AU"/>
        </w:rPr>
        <w:t xml:space="preserve"> IWM as a business-as-usual water management </w:t>
      </w:r>
      <w:r w:rsidR="00A65121" w:rsidRPr="00966D5E">
        <w:rPr>
          <w:rFonts w:cs="Arial"/>
          <w:lang w:val="en-AU"/>
        </w:rPr>
        <w:t>across the state.</w:t>
      </w:r>
    </w:p>
    <w:p w14:paraId="582399F2" w14:textId="39EB5356" w:rsidR="00607D7F" w:rsidRPr="00966D5E" w:rsidRDefault="006A252E" w:rsidP="005A7571">
      <w:pPr>
        <w:pStyle w:val="BulletLevel1"/>
        <w:rPr>
          <w:rFonts w:cs="Arial"/>
          <w:lang w:val="en-AU"/>
        </w:rPr>
      </w:pPr>
      <w:r w:rsidRPr="00966D5E">
        <w:rPr>
          <w:rFonts w:cs="Arial"/>
          <w:b/>
          <w:bCs/>
          <w:lang w:val="en-AU"/>
        </w:rPr>
        <w:t xml:space="preserve">PSP4: </w:t>
      </w:r>
      <w:r w:rsidR="00904E72" w:rsidRPr="00966D5E">
        <w:rPr>
          <w:rFonts w:cs="Arial"/>
          <w:b/>
          <w:bCs/>
          <w:lang w:val="en-AU"/>
        </w:rPr>
        <w:t>Central and Gippsland Region Sustainable Water Strategy (</w:t>
      </w:r>
      <w:r w:rsidR="00607D7F" w:rsidRPr="00966D5E">
        <w:rPr>
          <w:rFonts w:cs="Arial"/>
          <w:b/>
          <w:bCs/>
          <w:lang w:val="en-AU"/>
        </w:rPr>
        <w:t>CGRSWS</w:t>
      </w:r>
      <w:r w:rsidR="00904E72" w:rsidRPr="00966D5E">
        <w:rPr>
          <w:rFonts w:cs="Arial"/>
          <w:b/>
          <w:bCs/>
          <w:lang w:val="en-AU"/>
        </w:rPr>
        <w:t>)</w:t>
      </w:r>
      <w:r w:rsidR="00607D7F" w:rsidRPr="00966D5E">
        <w:rPr>
          <w:rFonts w:cs="Arial"/>
          <w:b/>
          <w:bCs/>
          <w:lang w:val="en-AU"/>
        </w:rPr>
        <w:t xml:space="preserve"> </w:t>
      </w:r>
      <w:r w:rsidR="00DD4EF1" w:rsidRPr="00966D5E">
        <w:rPr>
          <w:rFonts w:cs="Arial"/>
          <w:b/>
          <w:bCs/>
          <w:lang w:val="en-AU"/>
        </w:rPr>
        <w:t xml:space="preserve">Funding </w:t>
      </w:r>
      <w:r w:rsidR="00904E72" w:rsidRPr="00966D5E">
        <w:rPr>
          <w:rFonts w:cs="Arial"/>
          <w:b/>
          <w:bCs/>
          <w:lang w:val="en-AU"/>
        </w:rPr>
        <w:t>Stream</w:t>
      </w:r>
      <w:r w:rsidR="00607D7F" w:rsidRPr="00966D5E">
        <w:rPr>
          <w:rFonts w:cs="Arial"/>
          <w:b/>
          <w:bCs/>
          <w:lang w:val="en-AU"/>
        </w:rPr>
        <w:t xml:space="preserve"> 4 Water Cycle Climate Change Adaptation Action Plan:</w:t>
      </w:r>
      <w:r w:rsidR="00607D7F" w:rsidRPr="00966D5E">
        <w:rPr>
          <w:rFonts w:cs="Arial"/>
          <w:lang w:val="en-AU"/>
        </w:rPr>
        <w:t xml:space="preserve"> Building on a pilot plan developed in</w:t>
      </w:r>
      <w:r w:rsidR="00AA2EA9" w:rsidRPr="00966D5E">
        <w:rPr>
          <w:rFonts w:cs="Arial"/>
          <w:lang w:val="en-AU"/>
        </w:rPr>
        <w:t xml:space="preserve"> the </w:t>
      </w:r>
      <w:r w:rsidR="00AA2EA9" w:rsidRPr="00D90AD4">
        <w:rPr>
          <w:rFonts w:cs="Arial"/>
          <w:iCs/>
          <w:lang w:val="en-AU"/>
        </w:rPr>
        <w:t xml:space="preserve">fourth tranche of the Environmental Contribution </w:t>
      </w:r>
      <w:r w:rsidR="00AA2EA9" w:rsidRPr="00966D5E">
        <w:rPr>
          <w:rFonts w:cs="Arial"/>
          <w:lang w:val="en-AU"/>
        </w:rPr>
        <w:t>(</w:t>
      </w:r>
      <w:r w:rsidR="00607D7F" w:rsidRPr="00966D5E">
        <w:rPr>
          <w:rFonts w:cs="Arial"/>
          <w:lang w:val="en-AU"/>
        </w:rPr>
        <w:t>EC4</w:t>
      </w:r>
      <w:r w:rsidR="00AA2EA9" w:rsidRPr="00966D5E">
        <w:rPr>
          <w:rFonts w:cs="Arial"/>
          <w:lang w:val="en-AU"/>
        </w:rPr>
        <w:t>)</w:t>
      </w:r>
      <w:r w:rsidR="00607D7F" w:rsidRPr="00966D5E">
        <w:rPr>
          <w:rFonts w:cs="Arial"/>
          <w:lang w:val="en-AU"/>
        </w:rPr>
        <w:t xml:space="preserve">, the first full </w:t>
      </w:r>
      <w:r w:rsidR="00607D7F" w:rsidRPr="00966D5E">
        <w:rPr>
          <w:rFonts w:cs="Arial"/>
          <w:i/>
          <w:iCs/>
          <w:lang w:val="en-AU"/>
        </w:rPr>
        <w:t>Water Cycle Adaptation Action Plan</w:t>
      </w:r>
      <w:r w:rsidR="00607D7F" w:rsidRPr="00966D5E">
        <w:rPr>
          <w:rFonts w:cs="Arial"/>
          <w:lang w:val="en-AU"/>
        </w:rPr>
        <w:t xml:space="preserve"> was launched in mid-2022. Implementation of the </w:t>
      </w:r>
      <w:r w:rsidR="006D3271" w:rsidRPr="00966D5E">
        <w:rPr>
          <w:rFonts w:cs="Arial"/>
          <w:lang w:val="en-AU"/>
        </w:rPr>
        <w:t>p</w:t>
      </w:r>
      <w:r w:rsidR="00607D7F" w:rsidRPr="00966D5E">
        <w:rPr>
          <w:rFonts w:cs="Arial"/>
          <w:lang w:val="en-AU"/>
        </w:rPr>
        <w:t xml:space="preserve">lan </w:t>
      </w:r>
      <w:r w:rsidR="005B3FD4" w:rsidRPr="00966D5E">
        <w:rPr>
          <w:rFonts w:cs="Arial"/>
          <w:lang w:val="en-AU"/>
        </w:rPr>
        <w:t xml:space="preserve">in </w:t>
      </w:r>
      <w:r w:rsidR="006D3271" w:rsidRPr="00966D5E">
        <w:rPr>
          <w:rFonts w:cs="Arial"/>
          <w:lang w:val="en-AU"/>
        </w:rPr>
        <w:t xml:space="preserve">the fifth </w:t>
      </w:r>
      <w:r w:rsidR="006D3271" w:rsidRPr="00D90AD4">
        <w:rPr>
          <w:rFonts w:cs="Arial"/>
          <w:iCs/>
          <w:lang w:val="en-AU"/>
        </w:rPr>
        <w:t>tranche of the Environmental Contribution</w:t>
      </w:r>
      <w:r w:rsidR="006D3271" w:rsidRPr="00966D5E">
        <w:rPr>
          <w:rFonts w:cs="Arial"/>
          <w:lang w:val="en-AU"/>
        </w:rPr>
        <w:t xml:space="preserve"> </w:t>
      </w:r>
      <w:r w:rsidR="00F369B7" w:rsidRPr="00966D5E">
        <w:rPr>
          <w:rFonts w:cs="Arial"/>
          <w:lang w:val="en-AU"/>
        </w:rPr>
        <w:t>(</w:t>
      </w:r>
      <w:r w:rsidR="005B3FD4" w:rsidRPr="00966D5E">
        <w:rPr>
          <w:rFonts w:cs="Arial"/>
          <w:lang w:val="en-AU"/>
        </w:rPr>
        <w:t>EC5</w:t>
      </w:r>
      <w:r w:rsidR="00F369B7" w:rsidRPr="00966D5E">
        <w:rPr>
          <w:rFonts w:cs="Arial"/>
          <w:lang w:val="en-AU"/>
        </w:rPr>
        <w:t>)</w:t>
      </w:r>
      <w:r w:rsidR="00607D7F" w:rsidRPr="00966D5E">
        <w:rPr>
          <w:rFonts w:cs="Arial"/>
          <w:lang w:val="en-AU"/>
        </w:rPr>
        <w:t xml:space="preserve"> focused (in part) on ensuring the water sector can continue to provide safe, secure, and reliable water services under a changing climate.</w:t>
      </w:r>
    </w:p>
    <w:p w14:paraId="68325742" w14:textId="77777777" w:rsidR="002E331D" w:rsidRPr="00966D5E" w:rsidRDefault="005328EC" w:rsidP="005A7571">
      <w:pPr>
        <w:pStyle w:val="BulletLevel1"/>
        <w:rPr>
          <w:rFonts w:cs="Arial"/>
          <w:lang w:val="en-AU"/>
        </w:rPr>
      </w:pPr>
      <w:r w:rsidRPr="00966D5E">
        <w:rPr>
          <w:rFonts w:cs="Arial"/>
          <w:b/>
          <w:bCs/>
          <w:lang w:val="en-AU"/>
        </w:rPr>
        <w:t>WRS12</w:t>
      </w:r>
      <w:r w:rsidR="006A252E" w:rsidRPr="00966D5E">
        <w:rPr>
          <w:rFonts w:cs="Arial"/>
          <w:b/>
          <w:bCs/>
          <w:lang w:val="en-AU"/>
        </w:rPr>
        <w:t xml:space="preserve">: </w:t>
      </w:r>
      <w:r w:rsidR="00607D7F" w:rsidRPr="00966D5E">
        <w:rPr>
          <w:rFonts w:cs="Arial"/>
          <w:b/>
          <w:bCs/>
          <w:lang w:val="en-AU"/>
        </w:rPr>
        <w:t>Long</w:t>
      </w:r>
      <w:r w:rsidR="006A252E" w:rsidRPr="00966D5E">
        <w:rPr>
          <w:rFonts w:cs="Arial"/>
          <w:b/>
          <w:bCs/>
          <w:lang w:val="en-AU"/>
        </w:rPr>
        <w:t>-</w:t>
      </w:r>
      <w:r w:rsidR="00607D7F" w:rsidRPr="00966D5E">
        <w:rPr>
          <w:rFonts w:cs="Arial"/>
          <w:b/>
          <w:bCs/>
          <w:lang w:val="en-AU"/>
        </w:rPr>
        <w:t xml:space="preserve">Term Water Resource Assessments </w:t>
      </w:r>
      <w:r w:rsidR="003C3ADE" w:rsidRPr="00D90AD4">
        <w:rPr>
          <w:rFonts w:cs="Arial"/>
          <w:b/>
          <w:bCs/>
          <w:lang w:val="en-AU"/>
        </w:rPr>
        <w:t xml:space="preserve">and </w:t>
      </w:r>
      <w:r w:rsidR="002C171E" w:rsidRPr="00966D5E">
        <w:rPr>
          <w:rFonts w:cs="Arial"/>
          <w:b/>
          <w:bCs/>
          <w:lang w:val="en-AU"/>
        </w:rPr>
        <w:t>A</w:t>
      </w:r>
      <w:r w:rsidR="003C3ADE" w:rsidRPr="00D90AD4">
        <w:rPr>
          <w:rFonts w:cs="Arial"/>
          <w:b/>
          <w:bCs/>
          <w:lang w:val="en-AU"/>
        </w:rPr>
        <w:t xml:space="preserve">ddressing the </w:t>
      </w:r>
      <w:r w:rsidR="002C171E" w:rsidRPr="00966D5E">
        <w:rPr>
          <w:rFonts w:cs="Arial"/>
          <w:b/>
          <w:bCs/>
          <w:lang w:val="en-AU"/>
        </w:rPr>
        <w:t>I</w:t>
      </w:r>
      <w:r w:rsidR="003C3ADE" w:rsidRPr="00D90AD4">
        <w:rPr>
          <w:rFonts w:cs="Arial"/>
          <w:b/>
          <w:bCs/>
          <w:lang w:val="en-AU"/>
        </w:rPr>
        <w:t xml:space="preserve">mpacts of </w:t>
      </w:r>
      <w:r w:rsidR="002C171E" w:rsidRPr="00966D5E">
        <w:rPr>
          <w:rFonts w:cs="Arial"/>
          <w:b/>
          <w:bCs/>
          <w:lang w:val="en-AU"/>
        </w:rPr>
        <w:t>M</w:t>
      </w:r>
      <w:r w:rsidR="003C3ADE" w:rsidRPr="00D90AD4">
        <w:rPr>
          <w:rFonts w:cs="Arial"/>
          <w:b/>
          <w:bCs/>
          <w:lang w:val="en-AU"/>
        </w:rPr>
        <w:t xml:space="preserve">ining and </w:t>
      </w:r>
      <w:r w:rsidR="002C171E" w:rsidRPr="00966D5E">
        <w:rPr>
          <w:rFonts w:cs="Arial"/>
          <w:b/>
          <w:bCs/>
          <w:lang w:val="en-AU"/>
        </w:rPr>
        <w:t>E</w:t>
      </w:r>
      <w:r w:rsidR="003C3ADE" w:rsidRPr="00D90AD4">
        <w:rPr>
          <w:rFonts w:cs="Arial"/>
          <w:b/>
          <w:bCs/>
          <w:lang w:val="en-AU"/>
        </w:rPr>
        <w:t xml:space="preserve">xtractive </w:t>
      </w:r>
      <w:r w:rsidR="002C171E" w:rsidRPr="00966D5E">
        <w:rPr>
          <w:rFonts w:cs="Arial"/>
          <w:b/>
          <w:bCs/>
          <w:lang w:val="en-AU"/>
        </w:rPr>
        <w:t>I</w:t>
      </w:r>
      <w:r w:rsidR="003C3ADE" w:rsidRPr="00D90AD4">
        <w:rPr>
          <w:rFonts w:cs="Arial"/>
          <w:b/>
          <w:bCs/>
          <w:lang w:val="en-AU"/>
        </w:rPr>
        <w:t>ndustries</w:t>
      </w:r>
      <w:r w:rsidR="00607D7F" w:rsidRPr="00966D5E">
        <w:rPr>
          <w:rFonts w:cs="Arial"/>
          <w:b/>
          <w:bCs/>
          <w:lang w:val="en-AU"/>
        </w:rPr>
        <w:t>:</w:t>
      </w:r>
      <w:r w:rsidR="00607D7F" w:rsidRPr="00966D5E">
        <w:rPr>
          <w:rFonts w:cs="Arial"/>
          <w:lang w:val="en-AU"/>
        </w:rPr>
        <w:t xml:space="preserve"> This </w:t>
      </w:r>
      <w:r w:rsidR="000C08D6" w:rsidRPr="00966D5E">
        <w:rPr>
          <w:rFonts w:cs="Arial"/>
          <w:lang w:val="en-AU"/>
        </w:rPr>
        <w:t xml:space="preserve">project </w:t>
      </w:r>
      <w:r w:rsidR="00607D7F" w:rsidRPr="00966D5E">
        <w:rPr>
          <w:rFonts w:cs="Arial"/>
          <w:lang w:val="en-AU"/>
        </w:rPr>
        <w:t xml:space="preserve">developed a response to the findings of the </w:t>
      </w:r>
      <w:r w:rsidR="006A252E" w:rsidRPr="00966D5E">
        <w:rPr>
          <w:rFonts w:cs="Arial"/>
          <w:i/>
          <w:iCs/>
          <w:lang w:val="en-AU"/>
        </w:rPr>
        <w:t>Long-</w:t>
      </w:r>
      <w:r w:rsidR="6D2E310E" w:rsidRPr="00966D5E">
        <w:rPr>
          <w:rFonts w:cs="Arial"/>
          <w:i/>
          <w:iCs/>
          <w:lang w:val="en-AU"/>
        </w:rPr>
        <w:t>T</w:t>
      </w:r>
      <w:r w:rsidR="006A252E" w:rsidRPr="00966D5E">
        <w:rPr>
          <w:rFonts w:cs="Arial"/>
          <w:i/>
          <w:iCs/>
          <w:lang w:val="en-AU"/>
        </w:rPr>
        <w:t>erm</w:t>
      </w:r>
      <w:r w:rsidR="00607D7F" w:rsidRPr="00966D5E">
        <w:rPr>
          <w:rFonts w:cs="Arial"/>
          <w:i/>
          <w:iCs/>
          <w:lang w:val="en-AU"/>
        </w:rPr>
        <w:t xml:space="preserve"> Water Resource Assessment</w:t>
      </w:r>
      <w:r w:rsidR="00607D7F" w:rsidRPr="00966D5E">
        <w:rPr>
          <w:rFonts w:cs="Arial"/>
          <w:lang w:val="en-AU"/>
        </w:rPr>
        <w:t xml:space="preserve"> </w:t>
      </w:r>
      <w:r w:rsidR="00717594" w:rsidRPr="00966D5E">
        <w:rPr>
          <w:rFonts w:cs="Arial"/>
          <w:i/>
          <w:iCs/>
          <w:lang w:val="en-AU"/>
        </w:rPr>
        <w:t xml:space="preserve">for </w:t>
      </w:r>
      <w:r w:rsidR="00607D7F" w:rsidRPr="00966D5E">
        <w:rPr>
          <w:rFonts w:cs="Arial"/>
          <w:i/>
          <w:iCs/>
          <w:lang w:val="en-AU"/>
        </w:rPr>
        <w:t>Southern Victoria</w:t>
      </w:r>
      <w:r w:rsidR="00607D7F" w:rsidRPr="00966D5E">
        <w:rPr>
          <w:rFonts w:cs="Arial"/>
          <w:lang w:val="en-AU"/>
        </w:rPr>
        <w:t xml:space="preserve">, by including a comprehensive set of actions in the CGRSWS </w:t>
      </w:r>
      <w:r w:rsidR="00C622D4" w:rsidRPr="00966D5E">
        <w:rPr>
          <w:rFonts w:cs="Arial"/>
          <w:lang w:val="en-AU"/>
        </w:rPr>
        <w:t>that are targeted towards addressing</w:t>
      </w:r>
      <w:r w:rsidR="00607D7F" w:rsidRPr="00966D5E">
        <w:rPr>
          <w:rFonts w:cs="Arial"/>
          <w:lang w:val="en-AU"/>
        </w:rPr>
        <w:t xml:space="preserve"> decline in </w:t>
      </w:r>
      <w:r w:rsidR="006A252E" w:rsidRPr="00966D5E">
        <w:rPr>
          <w:rFonts w:cs="Arial"/>
          <w:lang w:val="en-AU"/>
        </w:rPr>
        <w:t>long-term</w:t>
      </w:r>
      <w:r w:rsidR="00607D7F" w:rsidRPr="00966D5E">
        <w:rPr>
          <w:rFonts w:cs="Arial"/>
          <w:lang w:val="en-AU"/>
        </w:rPr>
        <w:t xml:space="preserve"> water availability and promot</w:t>
      </w:r>
      <w:r w:rsidR="00C622D4" w:rsidRPr="00966D5E">
        <w:rPr>
          <w:rFonts w:cs="Arial"/>
          <w:lang w:val="en-AU"/>
        </w:rPr>
        <w:t>ing</w:t>
      </w:r>
      <w:r w:rsidR="00607D7F" w:rsidRPr="00966D5E">
        <w:rPr>
          <w:rFonts w:cs="Arial"/>
          <w:lang w:val="en-AU"/>
        </w:rPr>
        <w:t xml:space="preserve"> sustainable management of water in Victoria.</w:t>
      </w:r>
    </w:p>
    <w:p w14:paraId="049C4BF9" w14:textId="748F3348" w:rsidR="002E331D" w:rsidRPr="00966D5E" w:rsidRDefault="006A252E" w:rsidP="6242B44F">
      <w:pPr>
        <w:pStyle w:val="BulletLevel1"/>
        <w:rPr>
          <w:rFonts w:cs="Arial"/>
          <w:lang w:val="en-AU"/>
        </w:rPr>
      </w:pPr>
      <w:r w:rsidRPr="00966D5E">
        <w:rPr>
          <w:rFonts w:cs="Arial"/>
          <w:b/>
          <w:bCs/>
          <w:lang w:val="en-AU"/>
        </w:rPr>
        <w:t xml:space="preserve">PSP2: </w:t>
      </w:r>
      <w:r w:rsidR="00607D7F" w:rsidRPr="00966D5E">
        <w:rPr>
          <w:rFonts w:cs="Arial"/>
          <w:b/>
          <w:bCs/>
          <w:lang w:val="en-AU"/>
        </w:rPr>
        <w:t>Sustainable Water Strategies:</w:t>
      </w:r>
      <w:r w:rsidR="00607D7F" w:rsidRPr="00966D5E">
        <w:rPr>
          <w:rFonts w:cs="Arial"/>
          <w:lang w:val="en-AU"/>
        </w:rPr>
        <w:t xml:space="preserve"> </w:t>
      </w:r>
      <w:r w:rsidR="6EA5561A" w:rsidRPr="00966D5E">
        <w:rPr>
          <w:rFonts w:cs="Arial"/>
          <w:lang w:val="en-AU"/>
        </w:rPr>
        <w:t xml:space="preserve">A </w:t>
      </w:r>
      <w:r w:rsidR="008E1604" w:rsidRPr="00966D5E">
        <w:rPr>
          <w:rFonts w:cs="Arial"/>
          <w:lang w:val="en-AU"/>
        </w:rPr>
        <w:t xml:space="preserve">Sustainable Water Strategy </w:t>
      </w:r>
      <w:r w:rsidR="00607D7F" w:rsidRPr="00966D5E">
        <w:rPr>
          <w:rFonts w:cs="Arial"/>
          <w:lang w:val="en-AU"/>
        </w:rPr>
        <w:t>provide</w:t>
      </w:r>
      <w:r w:rsidR="664330B4" w:rsidRPr="00966D5E">
        <w:rPr>
          <w:rFonts w:cs="Arial"/>
          <w:lang w:val="en-AU"/>
        </w:rPr>
        <w:t>s</w:t>
      </w:r>
      <w:r w:rsidR="00607D7F" w:rsidRPr="00966D5E">
        <w:rPr>
          <w:rFonts w:cs="Arial"/>
          <w:lang w:val="en-AU"/>
        </w:rPr>
        <w:t xml:space="preserve"> for the strategic planning of the use of water resources within a region to help address the challenges associated with providing affordable water securely. EC5 funded the development of the </w:t>
      </w:r>
      <w:r w:rsidRPr="00966D5E">
        <w:rPr>
          <w:rFonts w:cs="Arial"/>
          <w:lang w:val="en-AU"/>
        </w:rPr>
        <w:t>CGRSWS</w:t>
      </w:r>
      <w:r w:rsidR="00607D7F" w:rsidRPr="00966D5E">
        <w:rPr>
          <w:rFonts w:cs="Arial"/>
          <w:lang w:val="en-AU"/>
        </w:rPr>
        <w:t xml:space="preserve"> and Implementation Plan (published in 2022) and supported implementation of CGRSWS actions </w:t>
      </w:r>
      <w:r w:rsidR="00F06996" w:rsidRPr="00966D5E">
        <w:rPr>
          <w:rFonts w:cs="Arial"/>
          <w:lang w:val="en-AU"/>
        </w:rPr>
        <w:t>in the</w:t>
      </w:r>
      <w:r w:rsidR="00607D7F" w:rsidRPr="00966D5E">
        <w:rPr>
          <w:rFonts w:cs="Arial"/>
          <w:lang w:val="en-AU"/>
        </w:rPr>
        <w:t xml:space="preserve"> first two years</w:t>
      </w:r>
      <w:r w:rsidR="00F06996" w:rsidRPr="00966D5E">
        <w:rPr>
          <w:rFonts w:cs="Arial"/>
          <w:lang w:val="en-AU"/>
        </w:rPr>
        <w:t xml:space="preserve"> of the CGRSWS</w:t>
      </w:r>
      <w:r w:rsidR="00607D7F" w:rsidRPr="00966D5E">
        <w:rPr>
          <w:rFonts w:cs="Arial"/>
          <w:lang w:val="en-AU"/>
        </w:rPr>
        <w:t xml:space="preserve">. </w:t>
      </w:r>
      <w:r w:rsidR="00D87BFE" w:rsidRPr="00D90AD4">
        <w:rPr>
          <w:rFonts w:cs="Arial"/>
          <w:lang w:val="en-AU"/>
        </w:rPr>
        <w:t xml:space="preserve">For the </w:t>
      </w:r>
      <w:r w:rsidR="00D87BFE" w:rsidRPr="00966D5E">
        <w:rPr>
          <w:rFonts w:cs="Arial"/>
          <w:lang w:val="en-AU"/>
        </w:rPr>
        <w:t xml:space="preserve">first </w:t>
      </w:r>
      <w:r w:rsidR="00B57063" w:rsidRPr="00966D5E">
        <w:rPr>
          <w:rFonts w:cs="Arial"/>
          <w:lang w:val="en-AU"/>
        </w:rPr>
        <w:t>p</w:t>
      </w:r>
      <w:r w:rsidR="00D87BFE" w:rsidRPr="00966D5E">
        <w:rPr>
          <w:rFonts w:cs="Arial"/>
          <w:lang w:val="en-AU"/>
        </w:rPr>
        <w:t xml:space="preserve">rogress </w:t>
      </w:r>
      <w:r w:rsidR="00B57063" w:rsidRPr="00966D5E">
        <w:rPr>
          <w:rFonts w:cs="Arial"/>
          <w:lang w:val="en-AU"/>
        </w:rPr>
        <w:t>r</w:t>
      </w:r>
      <w:r w:rsidR="00D87BFE" w:rsidRPr="00966D5E">
        <w:rPr>
          <w:rFonts w:cs="Arial"/>
          <w:lang w:val="en-AU"/>
        </w:rPr>
        <w:t xml:space="preserve">eport, 79 of 96 actions </w:t>
      </w:r>
      <w:r w:rsidR="00F06996" w:rsidRPr="00966D5E">
        <w:rPr>
          <w:rFonts w:cs="Arial"/>
          <w:lang w:val="en-AU"/>
        </w:rPr>
        <w:t xml:space="preserve">had been </w:t>
      </w:r>
      <w:r w:rsidR="00D87BFE" w:rsidRPr="00966D5E">
        <w:rPr>
          <w:rFonts w:cs="Arial"/>
          <w:lang w:val="en-AU"/>
        </w:rPr>
        <w:t xml:space="preserve">started and 9 actions </w:t>
      </w:r>
      <w:r w:rsidR="00F06996" w:rsidRPr="00966D5E">
        <w:rPr>
          <w:rFonts w:cs="Arial"/>
          <w:lang w:val="en-AU"/>
        </w:rPr>
        <w:t>were</w:t>
      </w:r>
      <w:r w:rsidR="00D87BFE" w:rsidRPr="00966D5E">
        <w:rPr>
          <w:rFonts w:cs="Arial"/>
          <w:lang w:val="en-AU"/>
        </w:rPr>
        <w:t xml:space="preserve"> completed</w:t>
      </w:r>
      <w:r w:rsidR="00F06996" w:rsidRPr="00966D5E">
        <w:rPr>
          <w:rFonts w:cs="Arial"/>
          <w:lang w:val="en-AU"/>
        </w:rPr>
        <w:t xml:space="preserve">. </w:t>
      </w:r>
      <w:proofErr w:type="gramStart"/>
      <w:r w:rsidR="00F06996" w:rsidRPr="00966D5E">
        <w:rPr>
          <w:rFonts w:cs="Arial"/>
          <w:lang w:val="en-AU"/>
        </w:rPr>
        <w:t>F</w:t>
      </w:r>
      <w:r w:rsidR="00D87BFE" w:rsidRPr="00966D5E">
        <w:rPr>
          <w:rFonts w:cs="Arial"/>
          <w:lang w:val="en-AU"/>
        </w:rPr>
        <w:t xml:space="preserve">or </w:t>
      </w:r>
      <w:r w:rsidR="00B54E7E" w:rsidRPr="00966D5E">
        <w:rPr>
          <w:rFonts w:cs="Arial"/>
          <w:lang w:val="en-AU"/>
        </w:rPr>
        <w:t xml:space="preserve">the </w:t>
      </w:r>
      <w:r w:rsidR="002748DC" w:rsidRPr="00966D5E">
        <w:rPr>
          <w:rFonts w:cs="Arial"/>
          <w:lang w:val="en-AU"/>
        </w:rPr>
        <w:t xml:space="preserve">second </w:t>
      </w:r>
      <w:r w:rsidR="00B57063" w:rsidRPr="00966D5E">
        <w:rPr>
          <w:rFonts w:cs="Arial"/>
          <w:lang w:val="en-AU"/>
        </w:rPr>
        <w:t>p</w:t>
      </w:r>
      <w:r w:rsidR="002748DC" w:rsidRPr="00966D5E">
        <w:rPr>
          <w:rFonts w:cs="Arial"/>
          <w:lang w:val="en-AU"/>
        </w:rPr>
        <w:t xml:space="preserve">rogress </w:t>
      </w:r>
      <w:r w:rsidR="00B57063" w:rsidRPr="00966D5E">
        <w:rPr>
          <w:rFonts w:cs="Arial"/>
          <w:lang w:val="en-AU"/>
        </w:rPr>
        <w:t>r</w:t>
      </w:r>
      <w:r w:rsidR="002748DC" w:rsidRPr="00966D5E">
        <w:rPr>
          <w:rFonts w:cs="Arial"/>
          <w:lang w:val="en-AU"/>
        </w:rPr>
        <w:t>eport,</w:t>
      </w:r>
      <w:proofErr w:type="gramEnd"/>
      <w:r w:rsidR="002748DC" w:rsidRPr="00966D5E">
        <w:rPr>
          <w:rFonts w:cs="Arial"/>
          <w:lang w:val="en-AU"/>
        </w:rPr>
        <w:t xml:space="preserve"> </w:t>
      </w:r>
      <w:r w:rsidR="00DD4870" w:rsidRPr="00966D5E">
        <w:rPr>
          <w:rFonts w:cs="Arial"/>
          <w:lang w:val="en-AU"/>
        </w:rPr>
        <w:t xml:space="preserve">of </w:t>
      </w:r>
      <w:r w:rsidR="002748DC" w:rsidRPr="00966D5E">
        <w:rPr>
          <w:rFonts w:cs="Arial"/>
          <w:lang w:val="en-AU"/>
        </w:rPr>
        <w:t>the 111 actions and policies, 16 actions have been achieved (7 completed and 9 ongoing).</w:t>
      </w:r>
      <w:r w:rsidR="00607D7F" w:rsidRPr="00966D5E">
        <w:rPr>
          <w:rFonts w:cs="Arial"/>
          <w:lang w:val="en-AU"/>
        </w:rPr>
        <w:t xml:space="preserve"> Actions to date have contributed to a</w:t>
      </w:r>
      <w:r w:rsidR="004C3459" w:rsidRPr="00966D5E">
        <w:rPr>
          <w:rFonts w:cs="Arial"/>
          <w:lang w:val="en-AU"/>
        </w:rPr>
        <w:t>n</w:t>
      </w:r>
      <w:r w:rsidR="00607D7F" w:rsidRPr="00966D5E">
        <w:rPr>
          <w:rFonts w:cs="Arial"/>
          <w:lang w:val="en-AU"/>
        </w:rPr>
        <w:t xml:space="preserve"> </w:t>
      </w:r>
      <w:r w:rsidR="00F06996" w:rsidRPr="00966D5E">
        <w:rPr>
          <w:rFonts w:cs="Arial"/>
          <w:lang w:val="en-AU"/>
        </w:rPr>
        <w:t>improv</w:t>
      </w:r>
      <w:r w:rsidR="004C3459" w:rsidRPr="00966D5E">
        <w:rPr>
          <w:rFonts w:cs="Arial"/>
          <w:lang w:val="en-AU"/>
        </w:rPr>
        <w:t>ed</w:t>
      </w:r>
      <w:r w:rsidR="00F06996" w:rsidRPr="00966D5E">
        <w:rPr>
          <w:rFonts w:cs="Arial"/>
          <w:lang w:val="en-AU"/>
        </w:rPr>
        <w:t xml:space="preserve"> </w:t>
      </w:r>
      <w:r w:rsidR="00607D7F" w:rsidRPr="00966D5E">
        <w:rPr>
          <w:rFonts w:cs="Arial"/>
          <w:lang w:val="en-AU"/>
        </w:rPr>
        <w:t xml:space="preserve">understanding of </w:t>
      </w:r>
      <w:r w:rsidR="00F06996" w:rsidRPr="00966D5E">
        <w:rPr>
          <w:rFonts w:cs="Arial"/>
          <w:lang w:val="en-AU"/>
        </w:rPr>
        <w:t xml:space="preserve">the </w:t>
      </w:r>
      <w:r w:rsidR="00607D7F" w:rsidRPr="00966D5E">
        <w:rPr>
          <w:rFonts w:cs="Arial"/>
          <w:lang w:val="en-AU"/>
        </w:rPr>
        <w:t>water security challenges and solutions in the region.</w:t>
      </w:r>
    </w:p>
    <w:p w14:paraId="5BF82EFE" w14:textId="3F1430AE" w:rsidR="00607D7F" w:rsidRPr="00966D5E" w:rsidRDefault="00BA3F7A" w:rsidP="005A7571">
      <w:pPr>
        <w:pStyle w:val="BulletLevel1"/>
        <w:rPr>
          <w:rFonts w:cs="Arial"/>
          <w:lang w:val="en-AU"/>
        </w:rPr>
      </w:pPr>
      <w:r w:rsidRPr="00966D5E">
        <w:rPr>
          <w:rFonts w:cs="Arial"/>
          <w:b/>
          <w:bCs/>
          <w:lang w:val="en-AU"/>
        </w:rPr>
        <w:t xml:space="preserve">WRS10: </w:t>
      </w:r>
      <w:r w:rsidR="00607D7F" w:rsidRPr="00966D5E">
        <w:rPr>
          <w:rFonts w:cs="Arial"/>
          <w:b/>
          <w:bCs/>
          <w:lang w:val="en-AU"/>
        </w:rPr>
        <w:t>Understand and Apply Climate Science to Water:</w:t>
      </w:r>
      <w:r w:rsidR="00607D7F" w:rsidRPr="00966D5E">
        <w:rPr>
          <w:rFonts w:cs="Arial"/>
          <w:lang w:val="en-AU"/>
        </w:rPr>
        <w:t xml:space="preserve"> Key findings from research undertaken through this </w:t>
      </w:r>
      <w:r w:rsidR="000C08D6" w:rsidRPr="00966D5E">
        <w:rPr>
          <w:rFonts w:cs="Arial"/>
          <w:lang w:val="en-AU"/>
        </w:rPr>
        <w:t xml:space="preserve">project </w:t>
      </w:r>
      <w:r w:rsidR="00607D7F" w:rsidRPr="00966D5E">
        <w:rPr>
          <w:rFonts w:cs="Arial"/>
          <w:lang w:val="en-AU"/>
        </w:rPr>
        <w:t>ha</w:t>
      </w:r>
      <w:r w:rsidR="00587B4F" w:rsidRPr="00966D5E">
        <w:rPr>
          <w:rFonts w:cs="Arial"/>
          <w:lang w:val="en-AU"/>
        </w:rPr>
        <w:t>ve</w:t>
      </w:r>
      <w:r w:rsidR="00607D7F" w:rsidRPr="00966D5E">
        <w:rPr>
          <w:rFonts w:cs="Arial"/>
          <w:lang w:val="en-AU"/>
        </w:rPr>
        <w:t xml:space="preserve"> been used to inform various water resource strategies (e.g. </w:t>
      </w:r>
      <w:r w:rsidR="00607D7F" w:rsidRPr="00966D5E">
        <w:rPr>
          <w:rFonts w:cs="Arial"/>
          <w:i/>
          <w:iCs/>
          <w:lang w:val="en-AU"/>
        </w:rPr>
        <w:t>Urban Water Strategy</w:t>
      </w:r>
      <w:r w:rsidR="00607D7F" w:rsidRPr="00966D5E">
        <w:rPr>
          <w:rFonts w:cs="Arial"/>
          <w:lang w:val="en-AU"/>
        </w:rPr>
        <w:t xml:space="preserve">, </w:t>
      </w:r>
      <w:r w:rsidR="003C3ADE" w:rsidRPr="00966D5E">
        <w:rPr>
          <w:rFonts w:cs="Arial"/>
          <w:lang w:val="en-AU"/>
        </w:rPr>
        <w:t>CGRSWS</w:t>
      </w:r>
      <w:r w:rsidR="00607D7F" w:rsidRPr="00966D5E">
        <w:rPr>
          <w:rFonts w:cs="Arial"/>
          <w:lang w:val="en-AU"/>
        </w:rPr>
        <w:t>) and policy papers. Th</w:t>
      </w:r>
      <w:r w:rsidR="00587B4F" w:rsidRPr="00966D5E">
        <w:rPr>
          <w:rFonts w:cs="Arial"/>
          <w:lang w:val="en-AU"/>
        </w:rPr>
        <w:t>e</w:t>
      </w:r>
      <w:r w:rsidR="00607D7F" w:rsidRPr="00966D5E">
        <w:rPr>
          <w:rFonts w:cs="Arial"/>
          <w:lang w:val="en-AU"/>
        </w:rPr>
        <w:t xml:space="preserve"> findings </w:t>
      </w:r>
      <w:r w:rsidR="00587B4F" w:rsidRPr="00966D5E">
        <w:rPr>
          <w:rFonts w:cs="Arial"/>
          <w:lang w:val="en-AU"/>
        </w:rPr>
        <w:t>were specifically</w:t>
      </w:r>
      <w:r w:rsidR="00607D7F" w:rsidRPr="00966D5E">
        <w:rPr>
          <w:rFonts w:cs="Arial"/>
          <w:lang w:val="en-AU"/>
        </w:rPr>
        <w:t xml:space="preserve"> applied to assess</w:t>
      </w:r>
      <w:r w:rsidR="00587B4F" w:rsidRPr="00966D5E">
        <w:rPr>
          <w:rFonts w:cs="Arial"/>
          <w:lang w:val="en-AU"/>
        </w:rPr>
        <w:t>ments of the impact of</w:t>
      </w:r>
      <w:r w:rsidR="00607D7F" w:rsidRPr="00966D5E">
        <w:rPr>
          <w:rFonts w:cs="Arial"/>
          <w:lang w:val="en-AU"/>
        </w:rPr>
        <w:t xml:space="preserve"> climate change water availability.</w:t>
      </w:r>
    </w:p>
    <w:p w14:paraId="46F1D250" w14:textId="12B7C0D1" w:rsidR="001806F0" w:rsidRPr="00966D5E" w:rsidRDefault="00BC1DF4" w:rsidP="001958C9">
      <w:pPr>
        <w:pStyle w:val="BulletLevel1"/>
        <w:rPr>
          <w:rFonts w:cs="Arial"/>
          <w:lang w:val="en-AU"/>
        </w:rPr>
      </w:pPr>
      <w:r w:rsidRPr="00966D5E">
        <w:rPr>
          <w:rFonts w:cs="Arial"/>
          <w:b/>
          <w:bCs/>
          <w:lang w:val="en-AU"/>
        </w:rPr>
        <w:lastRenderedPageBreak/>
        <w:t>WRS1</w:t>
      </w:r>
      <w:r w:rsidR="009860DE" w:rsidRPr="00966D5E">
        <w:rPr>
          <w:rFonts w:cs="Arial"/>
          <w:b/>
          <w:bCs/>
          <w:lang w:val="en-AU"/>
        </w:rPr>
        <w:t>1</w:t>
      </w:r>
      <w:r w:rsidRPr="00966D5E">
        <w:rPr>
          <w:rFonts w:cs="Arial"/>
          <w:b/>
          <w:bCs/>
          <w:lang w:val="en-AU"/>
        </w:rPr>
        <w:t xml:space="preserve">: </w:t>
      </w:r>
      <w:r w:rsidR="00C64CDC" w:rsidRPr="00966D5E">
        <w:rPr>
          <w:rFonts w:cs="Arial"/>
          <w:b/>
          <w:bCs/>
          <w:lang w:val="en-AU"/>
        </w:rPr>
        <w:t>Surface Water Assessment and Modelling</w:t>
      </w:r>
      <w:r w:rsidRPr="00966D5E">
        <w:rPr>
          <w:rFonts w:cs="Arial"/>
          <w:b/>
          <w:bCs/>
          <w:lang w:val="en-AU"/>
        </w:rPr>
        <w:t>:</w:t>
      </w:r>
      <w:r w:rsidRPr="00966D5E">
        <w:rPr>
          <w:rFonts w:cs="Arial"/>
          <w:lang w:val="en-AU"/>
        </w:rPr>
        <w:t xml:space="preserve"> </w:t>
      </w:r>
      <w:r w:rsidR="00802CEE" w:rsidRPr="00966D5E">
        <w:rPr>
          <w:rFonts w:cs="Arial"/>
          <w:lang w:val="en-AU"/>
        </w:rPr>
        <w:t xml:space="preserve">This project </w:t>
      </w:r>
      <w:r w:rsidR="00802CEE" w:rsidRPr="00D90AD4">
        <w:rPr>
          <w:rFonts w:cs="Arial"/>
          <w:lang w:val="en-AU"/>
        </w:rPr>
        <w:t>supported the sustainable management of Victoria’s water resources</w:t>
      </w:r>
      <w:r w:rsidR="00055F9B" w:rsidRPr="00D90AD4">
        <w:rPr>
          <w:rFonts w:cs="Arial"/>
          <w:lang w:val="en-AU"/>
        </w:rPr>
        <w:t xml:space="preserve"> through transitioning all major Victorian surface water resource systems models from REALM</w:t>
      </w:r>
      <w:r w:rsidR="00DC5C72" w:rsidRPr="00D90AD4">
        <w:rPr>
          <w:rFonts w:cs="Arial"/>
          <w:lang w:val="en-AU"/>
        </w:rPr>
        <w:t xml:space="preserve"> (Resource Allocation Model)</w:t>
      </w:r>
      <w:r w:rsidR="00055F9B" w:rsidRPr="00D90AD4">
        <w:rPr>
          <w:rFonts w:cs="Arial"/>
          <w:lang w:val="en-AU"/>
        </w:rPr>
        <w:t xml:space="preserve"> to</w:t>
      </w:r>
      <w:r w:rsidR="00323151" w:rsidRPr="00D90AD4">
        <w:rPr>
          <w:rFonts w:cs="Arial"/>
          <w:lang w:val="en-AU"/>
        </w:rPr>
        <w:t xml:space="preserve"> the </w:t>
      </w:r>
      <w:r w:rsidR="00055F9B" w:rsidRPr="00D90AD4">
        <w:rPr>
          <w:rFonts w:cs="Arial"/>
          <w:lang w:val="en-AU"/>
        </w:rPr>
        <w:t>Source platform</w:t>
      </w:r>
      <w:r w:rsidR="00B912D8" w:rsidRPr="00D90AD4">
        <w:rPr>
          <w:rFonts w:cs="Arial"/>
          <w:lang w:val="en-AU"/>
        </w:rPr>
        <w:t>.</w:t>
      </w:r>
      <w:r w:rsidR="00B102A1" w:rsidRPr="00D90AD4">
        <w:rPr>
          <w:rFonts w:cs="Arial"/>
          <w:lang w:val="en-AU"/>
        </w:rPr>
        <w:t xml:space="preserve"> Source </w:t>
      </w:r>
      <w:r w:rsidR="00E944BA" w:rsidRPr="00D90AD4">
        <w:rPr>
          <w:rFonts w:cs="Arial"/>
          <w:lang w:val="en-AU"/>
        </w:rPr>
        <w:t xml:space="preserve">is a </w:t>
      </w:r>
      <w:r w:rsidR="001C76B1" w:rsidRPr="00D90AD4">
        <w:rPr>
          <w:rFonts w:cs="Arial"/>
          <w:lang w:val="en-AU"/>
        </w:rPr>
        <w:t xml:space="preserve">comprehensive and more defensible surface water modelling platform consistent with </w:t>
      </w:r>
      <w:r w:rsidR="00587B4F" w:rsidRPr="00D90AD4">
        <w:rPr>
          <w:rFonts w:cs="Arial"/>
          <w:lang w:val="en-AU"/>
        </w:rPr>
        <w:t xml:space="preserve">Australian </w:t>
      </w:r>
      <w:r w:rsidR="001C76B1" w:rsidRPr="00D90AD4">
        <w:rPr>
          <w:rFonts w:cs="Arial"/>
          <w:lang w:val="en-AU"/>
        </w:rPr>
        <w:t>national modelling,</w:t>
      </w:r>
      <w:r w:rsidR="001958C9" w:rsidRPr="00D90AD4">
        <w:rPr>
          <w:rFonts w:cs="Arial"/>
          <w:lang w:val="en-AU"/>
        </w:rPr>
        <w:t xml:space="preserve"> with</w:t>
      </w:r>
      <w:r w:rsidR="001C76B1" w:rsidRPr="00D90AD4">
        <w:rPr>
          <w:rFonts w:cs="Arial"/>
          <w:lang w:val="en-AU"/>
        </w:rPr>
        <w:t xml:space="preserve"> pilot automation of the platform and improved sharing </w:t>
      </w:r>
      <w:r w:rsidR="000F35B1" w:rsidRPr="00D90AD4">
        <w:rPr>
          <w:rFonts w:cs="Arial"/>
          <w:lang w:val="en-AU"/>
        </w:rPr>
        <w:t>across</w:t>
      </w:r>
      <w:r w:rsidR="001C76B1" w:rsidRPr="00D90AD4">
        <w:rPr>
          <w:rFonts w:cs="Arial"/>
          <w:lang w:val="en-AU"/>
        </w:rPr>
        <w:t xml:space="preserve"> water corporations (and the broader modelling community to ensure transparency and consistency).</w:t>
      </w:r>
      <w:r w:rsidR="001958C9" w:rsidRPr="00D90AD4">
        <w:rPr>
          <w:rFonts w:cs="Arial"/>
          <w:lang w:val="en-AU"/>
        </w:rPr>
        <w:t xml:space="preserve"> Source n</w:t>
      </w:r>
      <w:r w:rsidR="00B102A1" w:rsidRPr="00D90AD4">
        <w:rPr>
          <w:rFonts w:cs="Arial"/>
          <w:lang w:val="en-AU"/>
        </w:rPr>
        <w:t xml:space="preserve">ext-generation models are </w:t>
      </w:r>
      <w:r w:rsidR="001958C9" w:rsidRPr="00D90AD4">
        <w:rPr>
          <w:rFonts w:cs="Arial"/>
          <w:lang w:val="en-AU"/>
        </w:rPr>
        <w:t xml:space="preserve">also </w:t>
      </w:r>
      <w:r w:rsidR="00B102A1" w:rsidRPr="00D90AD4">
        <w:rPr>
          <w:rFonts w:cs="Arial"/>
          <w:lang w:val="en-AU"/>
        </w:rPr>
        <w:t>being used to support policy, planning and management decisions across urban and rural systems.</w:t>
      </w:r>
    </w:p>
    <w:p w14:paraId="7629E7EA" w14:textId="6AB15C96" w:rsidR="001B36C1" w:rsidRPr="00966D5E" w:rsidRDefault="00864196">
      <w:pPr>
        <w:pStyle w:val="BulletLevel1"/>
        <w:rPr>
          <w:rFonts w:cs="Arial"/>
          <w:lang w:val="en-AU"/>
        </w:rPr>
      </w:pPr>
      <w:r w:rsidRPr="00966D5E">
        <w:rPr>
          <w:rFonts w:cs="Arial"/>
          <w:b/>
          <w:bCs/>
          <w:lang w:val="en-AU"/>
        </w:rPr>
        <w:t xml:space="preserve">WRS13: </w:t>
      </w:r>
      <w:r w:rsidR="00A44EC4" w:rsidRPr="00966D5E">
        <w:rPr>
          <w:rFonts w:cs="Arial"/>
          <w:b/>
          <w:bCs/>
          <w:lang w:val="en-AU"/>
        </w:rPr>
        <w:t>Groundwater Assessment</w:t>
      </w:r>
      <w:r w:rsidRPr="00966D5E">
        <w:rPr>
          <w:rFonts w:cs="Arial"/>
          <w:b/>
          <w:bCs/>
          <w:lang w:val="en-AU"/>
        </w:rPr>
        <w:t xml:space="preserve"> and Modelling:</w:t>
      </w:r>
      <w:r w:rsidRPr="00966D5E">
        <w:rPr>
          <w:rFonts w:cs="Arial"/>
          <w:lang w:val="en-AU"/>
        </w:rPr>
        <w:t xml:space="preserve"> This project </w:t>
      </w:r>
      <w:r w:rsidR="0049120C" w:rsidRPr="00D90AD4">
        <w:rPr>
          <w:rFonts w:cs="Arial"/>
          <w:lang w:val="en-AU"/>
        </w:rPr>
        <w:t xml:space="preserve">provided an improved, shared understanding of groundwater and its uses for evidence-based management. </w:t>
      </w:r>
      <w:r w:rsidR="0038661E" w:rsidRPr="00D90AD4">
        <w:rPr>
          <w:rFonts w:cs="Arial"/>
          <w:lang w:val="en-AU"/>
        </w:rPr>
        <w:t xml:space="preserve">In EC5, a state-wide </w:t>
      </w:r>
      <w:r w:rsidR="003220E9" w:rsidRPr="00D90AD4">
        <w:rPr>
          <w:rFonts w:cs="Arial"/>
          <w:lang w:val="en-AU"/>
        </w:rPr>
        <w:t>assessment</w:t>
      </w:r>
      <w:r w:rsidR="0038661E" w:rsidRPr="00D90AD4">
        <w:rPr>
          <w:rFonts w:cs="Arial"/>
          <w:lang w:val="en-AU"/>
        </w:rPr>
        <w:t xml:space="preserve"> of groundwater </w:t>
      </w:r>
      <w:r w:rsidR="003220E9" w:rsidRPr="00D90AD4">
        <w:rPr>
          <w:rFonts w:cs="Arial"/>
          <w:lang w:val="en-AU"/>
        </w:rPr>
        <w:t xml:space="preserve">availability was </w:t>
      </w:r>
      <w:r w:rsidR="0038661E" w:rsidRPr="00D90AD4">
        <w:rPr>
          <w:rFonts w:cs="Arial"/>
          <w:lang w:val="en-AU"/>
        </w:rPr>
        <w:t>completed</w:t>
      </w:r>
      <w:r w:rsidR="003220E9" w:rsidRPr="00D90AD4">
        <w:rPr>
          <w:rFonts w:cs="Arial"/>
          <w:lang w:val="en-AU"/>
        </w:rPr>
        <w:t>,</w:t>
      </w:r>
      <w:r w:rsidR="001C4853" w:rsidRPr="00D90AD4">
        <w:rPr>
          <w:rFonts w:cs="Arial"/>
          <w:lang w:val="en-AU"/>
        </w:rPr>
        <w:t xml:space="preserve"> which will inform a review of limit of takes</w:t>
      </w:r>
      <w:r w:rsidR="00423A76" w:rsidRPr="00D90AD4">
        <w:rPr>
          <w:rFonts w:cs="Arial"/>
          <w:lang w:val="en-AU"/>
        </w:rPr>
        <w:t>.</w:t>
      </w:r>
      <w:r w:rsidR="008F4714" w:rsidRPr="00D90AD4">
        <w:rPr>
          <w:rFonts w:cs="Arial"/>
          <w:lang w:val="en-AU"/>
        </w:rPr>
        <w:t xml:space="preserve"> </w:t>
      </w:r>
      <w:r w:rsidR="00423A76" w:rsidRPr="00D90AD4">
        <w:rPr>
          <w:rFonts w:cs="Arial"/>
          <w:lang w:val="en-AU"/>
        </w:rPr>
        <w:t>S</w:t>
      </w:r>
      <w:r w:rsidR="008F4714" w:rsidRPr="00D90AD4">
        <w:rPr>
          <w:rFonts w:cs="Arial"/>
          <w:lang w:val="en-AU"/>
        </w:rPr>
        <w:t xml:space="preserve">pecialist advice </w:t>
      </w:r>
      <w:r w:rsidR="00423A76" w:rsidRPr="00D90AD4">
        <w:rPr>
          <w:rFonts w:cs="Arial"/>
          <w:lang w:val="en-AU"/>
        </w:rPr>
        <w:t xml:space="preserve">was also </w:t>
      </w:r>
      <w:r w:rsidR="008F4714" w:rsidRPr="00D90AD4">
        <w:rPr>
          <w:rFonts w:cs="Arial"/>
          <w:lang w:val="en-AU"/>
        </w:rPr>
        <w:t xml:space="preserve">provided </w:t>
      </w:r>
      <w:r w:rsidR="00423A76" w:rsidRPr="00D90AD4">
        <w:rPr>
          <w:rFonts w:cs="Arial"/>
          <w:lang w:val="en-AU"/>
        </w:rPr>
        <w:t>about</w:t>
      </w:r>
      <w:r w:rsidR="008F4714" w:rsidRPr="00D90AD4">
        <w:rPr>
          <w:rFonts w:cs="Arial"/>
          <w:lang w:val="en-AU"/>
        </w:rPr>
        <w:t xml:space="preserve"> </w:t>
      </w:r>
      <w:r w:rsidR="0038661E" w:rsidRPr="00D90AD4">
        <w:rPr>
          <w:rFonts w:cs="Arial"/>
          <w:lang w:val="en-AU"/>
        </w:rPr>
        <w:t>existing and emerging water related risks associated with the water entitlement framework</w:t>
      </w:r>
      <w:r w:rsidR="00E93AB8" w:rsidRPr="00D90AD4">
        <w:rPr>
          <w:rFonts w:cs="Arial"/>
          <w:lang w:val="en-AU"/>
        </w:rPr>
        <w:t>. The</w:t>
      </w:r>
      <w:r w:rsidR="0038661E" w:rsidRPr="00D90AD4">
        <w:rPr>
          <w:rFonts w:cs="Arial"/>
          <w:lang w:val="en-AU"/>
        </w:rPr>
        <w:t xml:space="preserve"> quality and accuracy of groundwater monitoring data</w:t>
      </w:r>
      <w:r w:rsidR="00E93AB8" w:rsidRPr="00D90AD4">
        <w:rPr>
          <w:rFonts w:cs="Arial"/>
          <w:lang w:val="en-AU"/>
        </w:rPr>
        <w:t xml:space="preserve"> was also improved</w:t>
      </w:r>
      <w:r w:rsidR="0038661E" w:rsidRPr="00D90AD4">
        <w:rPr>
          <w:rFonts w:cs="Arial"/>
          <w:lang w:val="en-AU"/>
        </w:rPr>
        <w:t xml:space="preserve"> through</w:t>
      </w:r>
      <w:r w:rsidR="006D01BA" w:rsidRPr="00D90AD4">
        <w:rPr>
          <w:rFonts w:cs="Arial"/>
          <w:lang w:val="en-AU"/>
        </w:rPr>
        <w:t xml:space="preserve"> the</w:t>
      </w:r>
      <w:r w:rsidR="0038661E" w:rsidRPr="00D90AD4">
        <w:rPr>
          <w:rFonts w:cs="Arial"/>
          <w:lang w:val="en-AU"/>
        </w:rPr>
        <w:t xml:space="preserve"> refurbishment of 23 bores and construction of 39 new bores</w:t>
      </w:r>
      <w:r w:rsidR="00E93AB8" w:rsidRPr="00D90AD4">
        <w:rPr>
          <w:rFonts w:cs="Arial"/>
          <w:lang w:val="en-AU"/>
        </w:rPr>
        <w:t>.</w:t>
      </w:r>
    </w:p>
    <w:p w14:paraId="620E8730" w14:textId="77777777" w:rsidR="00607D7F" w:rsidRPr="00966D5E" w:rsidRDefault="00607D7F" w:rsidP="00CC7B09">
      <w:pPr>
        <w:pStyle w:val="Heading3"/>
        <w:rPr>
          <w:rFonts w:cs="Arial"/>
          <w:lang w:val="en-AU"/>
        </w:rPr>
      </w:pPr>
      <w:r w:rsidRPr="00966D5E">
        <w:rPr>
          <w:rFonts w:cs="Arial"/>
          <w:lang w:val="en-AU"/>
        </w:rPr>
        <w:t>Increased uptake of alternative water supplies</w:t>
      </w:r>
    </w:p>
    <w:p w14:paraId="3EEE5FF2" w14:textId="77777777" w:rsidR="002E331D" w:rsidRPr="00966D5E" w:rsidRDefault="00607D7F" w:rsidP="00607D7F">
      <w:pPr>
        <w:pStyle w:val="BodyText"/>
        <w:rPr>
          <w:rFonts w:cs="Arial"/>
          <w:lang w:val="en-AU"/>
        </w:rPr>
      </w:pPr>
      <w:r w:rsidRPr="00966D5E">
        <w:rPr>
          <w:rFonts w:cs="Arial"/>
          <w:lang w:val="en-AU"/>
        </w:rPr>
        <w:t xml:space="preserve">EC5 </w:t>
      </w:r>
      <w:r w:rsidR="000C08D6" w:rsidRPr="00966D5E">
        <w:rPr>
          <w:rFonts w:cs="Arial"/>
          <w:lang w:val="en-AU"/>
        </w:rPr>
        <w:t xml:space="preserve">projects </w:t>
      </w:r>
      <w:r w:rsidR="007E1F79" w:rsidRPr="00966D5E">
        <w:rPr>
          <w:rFonts w:cs="Arial"/>
          <w:lang w:val="en-AU"/>
        </w:rPr>
        <w:t>delivered</w:t>
      </w:r>
      <w:r w:rsidRPr="00966D5E">
        <w:rPr>
          <w:rFonts w:cs="Arial"/>
          <w:lang w:val="en-AU"/>
        </w:rPr>
        <w:t xml:space="preserve"> of a range of </w:t>
      </w:r>
      <w:r w:rsidR="00252ACB" w:rsidRPr="00966D5E">
        <w:rPr>
          <w:rFonts w:cs="Arial"/>
          <w:lang w:val="en-AU"/>
        </w:rPr>
        <w:t>on-</w:t>
      </w:r>
      <w:r w:rsidRPr="00966D5E">
        <w:rPr>
          <w:rFonts w:cs="Arial"/>
          <w:lang w:val="en-AU"/>
        </w:rPr>
        <w:t xml:space="preserve">ground works, designs, and planning </w:t>
      </w:r>
      <w:r w:rsidR="00572F8C" w:rsidRPr="00966D5E">
        <w:rPr>
          <w:rFonts w:cs="Arial"/>
          <w:lang w:val="en-AU"/>
        </w:rPr>
        <w:t xml:space="preserve">targeted towards improving </w:t>
      </w:r>
      <w:r w:rsidRPr="00966D5E">
        <w:rPr>
          <w:rFonts w:cs="Arial"/>
          <w:lang w:val="en-AU"/>
        </w:rPr>
        <w:t>uptake of alternat</w:t>
      </w:r>
      <w:r w:rsidR="00572F8C" w:rsidRPr="00966D5E">
        <w:rPr>
          <w:rFonts w:cs="Arial"/>
          <w:lang w:val="en-AU"/>
        </w:rPr>
        <w:t>iv</w:t>
      </w:r>
      <w:r w:rsidRPr="00966D5E">
        <w:rPr>
          <w:rFonts w:cs="Arial"/>
          <w:lang w:val="en-AU"/>
        </w:rPr>
        <w:t xml:space="preserve">e water supplies. Three of the most significant contributions to increasing uptake of alternative water </w:t>
      </w:r>
      <w:r w:rsidR="00572F8C" w:rsidRPr="00966D5E">
        <w:rPr>
          <w:rFonts w:cs="Arial"/>
          <w:lang w:val="en-AU"/>
        </w:rPr>
        <w:t>supplies were</w:t>
      </w:r>
      <w:r w:rsidRPr="00966D5E">
        <w:rPr>
          <w:rFonts w:cs="Arial"/>
          <w:lang w:val="en-AU"/>
        </w:rPr>
        <w:t>:</w:t>
      </w:r>
    </w:p>
    <w:p w14:paraId="2AB2A2EE" w14:textId="5BC2100B" w:rsidR="00607D7F" w:rsidRPr="00966D5E" w:rsidRDefault="00282597" w:rsidP="005A7571">
      <w:pPr>
        <w:pStyle w:val="BulletLevel1"/>
        <w:rPr>
          <w:rFonts w:cs="Arial"/>
          <w:lang w:val="en-AU"/>
        </w:rPr>
      </w:pPr>
      <w:r w:rsidRPr="00966D5E">
        <w:rPr>
          <w:rFonts w:cs="Arial"/>
          <w:b/>
          <w:bCs/>
          <w:lang w:val="en-AU"/>
        </w:rPr>
        <w:t>CWCT01</w:t>
      </w:r>
      <w:r w:rsidR="00BA3F7A" w:rsidRPr="00966D5E">
        <w:rPr>
          <w:rFonts w:cs="Arial"/>
          <w:b/>
          <w:bCs/>
          <w:lang w:val="en-AU"/>
        </w:rPr>
        <w:t xml:space="preserve">: </w:t>
      </w:r>
      <w:r w:rsidR="00607D7F" w:rsidRPr="00966D5E">
        <w:rPr>
          <w:rFonts w:cs="Arial"/>
          <w:b/>
          <w:bCs/>
          <w:lang w:val="en-AU"/>
        </w:rPr>
        <w:t>Integrated Water Management:</w:t>
      </w:r>
      <w:r w:rsidR="00607D7F" w:rsidRPr="00966D5E">
        <w:rPr>
          <w:rFonts w:cs="Arial"/>
          <w:lang w:val="en-AU"/>
        </w:rPr>
        <w:t xml:space="preserve"> The IWM </w:t>
      </w:r>
      <w:r w:rsidR="00607E41" w:rsidRPr="00966D5E">
        <w:rPr>
          <w:rFonts w:cs="Arial"/>
          <w:lang w:val="en-AU"/>
        </w:rPr>
        <w:t xml:space="preserve">project </w:t>
      </w:r>
      <w:r w:rsidR="00607D7F" w:rsidRPr="00966D5E">
        <w:rPr>
          <w:rFonts w:cs="Arial"/>
          <w:lang w:val="en-AU"/>
        </w:rPr>
        <w:t xml:space="preserve">co-invested in a grants program supporting </w:t>
      </w:r>
      <w:r w:rsidR="005660DF" w:rsidRPr="00966D5E">
        <w:rPr>
          <w:rFonts w:cs="Arial"/>
          <w:lang w:val="en-AU"/>
        </w:rPr>
        <w:t xml:space="preserve">52 </w:t>
      </w:r>
      <w:r w:rsidR="00607D7F" w:rsidRPr="00966D5E">
        <w:rPr>
          <w:rFonts w:cs="Arial"/>
          <w:lang w:val="en-AU"/>
        </w:rPr>
        <w:t>IWM projects</w:t>
      </w:r>
      <w:r w:rsidR="002B7C65" w:rsidRPr="00966D5E">
        <w:rPr>
          <w:rFonts w:cs="Arial"/>
          <w:lang w:val="en-AU"/>
        </w:rPr>
        <w:t>,</w:t>
      </w:r>
      <w:r w:rsidR="00607D7F" w:rsidRPr="00966D5E">
        <w:rPr>
          <w:rFonts w:cs="Arial"/>
          <w:lang w:val="en-AU"/>
        </w:rPr>
        <w:t xml:space="preserve"> including capital works for 3 stormwater harvesting systems, </w:t>
      </w:r>
      <w:r w:rsidR="002B3639" w:rsidRPr="00966D5E">
        <w:rPr>
          <w:rFonts w:cs="Arial"/>
          <w:lang w:val="en-AU"/>
        </w:rPr>
        <w:t xml:space="preserve">4 </w:t>
      </w:r>
      <w:r w:rsidR="00607D7F" w:rsidRPr="00966D5E">
        <w:rPr>
          <w:rFonts w:cs="Arial"/>
          <w:lang w:val="en-AU"/>
        </w:rPr>
        <w:t>recycled water schemes</w:t>
      </w:r>
      <w:r w:rsidR="002B7C65" w:rsidRPr="00966D5E">
        <w:rPr>
          <w:rFonts w:cs="Arial"/>
          <w:lang w:val="en-AU"/>
        </w:rPr>
        <w:t>,</w:t>
      </w:r>
      <w:r w:rsidR="00607D7F" w:rsidRPr="00966D5E">
        <w:rPr>
          <w:rFonts w:cs="Arial"/>
          <w:lang w:val="en-AU"/>
        </w:rPr>
        <w:t xml:space="preserve"> 2 rainwater harvesting systems and </w:t>
      </w:r>
      <w:r w:rsidR="00BB5109" w:rsidRPr="00966D5E">
        <w:rPr>
          <w:rFonts w:cs="Arial"/>
          <w:lang w:val="en-AU"/>
        </w:rPr>
        <w:t xml:space="preserve">8 </w:t>
      </w:r>
      <w:r w:rsidR="00607D7F" w:rsidRPr="00966D5E">
        <w:rPr>
          <w:rFonts w:cs="Arial"/>
          <w:lang w:val="en-AU"/>
        </w:rPr>
        <w:t xml:space="preserve">detailed designs for alternative water projects. Once complete, the projects will generate an estimated </w:t>
      </w:r>
      <w:r w:rsidR="00973A8D" w:rsidRPr="00966D5E">
        <w:rPr>
          <w:rFonts w:cs="Arial"/>
          <w:lang w:val="en-AU"/>
        </w:rPr>
        <w:t xml:space="preserve">916 </w:t>
      </w:r>
      <w:r w:rsidR="00607D7F" w:rsidRPr="00966D5E">
        <w:rPr>
          <w:rFonts w:cs="Arial"/>
          <w:lang w:val="en-AU"/>
        </w:rPr>
        <w:t>ML/y</w:t>
      </w:r>
      <w:r w:rsidR="00A62B75" w:rsidRPr="00966D5E">
        <w:rPr>
          <w:rFonts w:cs="Arial"/>
          <w:lang w:val="en-AU"/>
        </w:rPr>
        <w:t>ea</w:t>
      </w:r>
      <w:r w:rsidR="00607D7F" w:rsidRPr="00966D5E">
        <w:rPr>
          <w:rFonts w:cs="Arial"/>
          <w:lang w:val="en-AU"/>
        </w:rPr>
        <w:t>r of alternative water for irrigation</w:t>
      </w:r>
      <w:r w:rsidR="002B7C65" w:rsidRPr="00966D5E">
        <w:rPr>
          <w:rFonts w:cs="Arial"/>
          <w:lang w:val="en-AU"/>
        </w:rPr>
        <w:t xml:space="preserve">, alongside other </w:t>
      </w:r>
      <w:r w:rsidR="00607D7F" w:rsidRPr="00966D5E">
        <w:rPr>
          <w:rFonts w:cs="Arial"/>
          <w:lang w:val="en-AU"/>
        </w:rPr>
        <w:t xml:space="preserve">benefits </w:t>
      </w:r>
      <w:r w:rsidR="002B7C65" w:rsidRPr="00966D5E">
        <w:rPr>
          <w:rFonts w:cs="Arial"/>
          <w:lang w:val="en-AU"/>
        </w:rPr>
        <w:t xml:space="preserve">as described </w:t>
      </w:r>
      <w:r w:rsidR="00607D7F" w:rsidRPr="00966D5E">
        <w:rPr>
          <w:rFonts w:cs="Arial"/>
          <w:lang w:val="en-AU"/>
        </w:rPr>
        <w:t xml:space="preserve">in </w:t>
      </w:r>
      <w:r w:rsidR="002B7C65" w:rsidRPr="00966D5E">
        <w:rPr>
          <w:rFonts w:cs="Arial"/>
          <w:lang w:val="en-AU"/>
        </w:rPr>
        <w:t xml:space="preserve">the </w:t>
      </w:r>
      <w:r w:rsidR="00607D7F" w:rsidRPr="00966D5E">
        <w:rPr>
          <w:rFonts w:cs="Arial"/>
          <w:lang w:val="en-AU"/>
        </w:rPr>
        <w:t>other outcome</w:t>
      </w:r>
      <w:r w:rsidR="00A043EF" w:rsidRPr="00966D5E">
        <w:rPr>
          <w:rFonts w:cs="Arial"/>
          <w:lang w:val="en-AU"/>
        </w:rPr>
        <w:t> </w:t>
      </w:r>
      <w:r w:rsidR="00607D7F" w:rsidRPr="00966D5E">
        <w:rPr>
          <w:rFonts w:cs="Arial"/>
          <w:lang w:val="en-AU"/>
        </w:rPr>
        <w:t>areas.</w:t>
      </w:r>
    </w:p>
    <w:p w14:paraId="69D776BE" w14:textId="77777777" w:rsidR="002E331D" w:rsidRPr="00D90AD4" w:rsidRDefault="00282597" w:rsidP="00572F8C">
      <w:pPr>
        <w:pStyle w:val="BulletLevel1"/>
        <w:spacing w:before="0" w:after="0"/>
        <w:ind w:left="360" w:hanging="360"/>
        <w:rPr>
          <w:rFonts w:cs="Arial"/>
          <w:sz w:val="19"/>
          <w:szCs w:val="19"/>
          <w:lang w:val="en-AU"/>
        </w:rPr>
      </w:pPr>
      <w:r w:rsidRPr="00966D5E">
        <w:rPr>
          <w:rFonts w:cs="Arial"/>
          <w:b/>
          <w:bCs/>
          <w:lang w:val="en-AU"/>
        </w:rPr>
        <w:t>CWCT04</w:t>
      </w:r>
      <w:r w:rsidR="00AC6E37" w:rsidRPr="00966D5E">
        <w:rPr>
          <w:rFonts w:cs="Arial"/>
          <w:b/>
          <w:bCs/>
          <w:lang w:val="en-AU"/>
        </w:rPr>
        <w:t xml:space="preserve">: </w:t>
      </w:r>
      <w:r w:rsidR="00607D7F" w:rsidRPr="00966D5E">
        <w:rPr>
          <w:rFonts w:cs="Arial"/>
          <w:b/>
          <w:bCs/>
          <w:lang w:val="en-AU"/>
        </w:rPr>
        <w:t xml:space="preserve">Recycled </w:t>
      </w:r>
      <w:r w:rsidR="008B671E" w:rsidRPr="00966D5E">
        <w:rPr>
          <w:rFonts w:cs="Arial"/>
          <w:b/>
          <w:bCs/>
          <w:lang w:val="en-AU"/>
        </w:rPr>
        <w:t>Water, Stormwater and Onsite Wastewater Policy</w:t>
      </w:r>
      <w:r w:rsidR="00607D7F" w:rsidRPr="00966D5E">
        <w:rPr>
          <w:rFonts w:cs="Arial"/>
          <w:b/>
          <w:bCs/>
          <w:lang w:val="en-AU"/>
        </w:rPr>
        <w:t>:</w:t>
      </w:r>
      <w:r w:rsidR="00607D7F" w:rsidRPr="00966D5E">
        <w:rPr>
          <w:rFonts w:cs="Arial"/>
          <w:lang w:val="en-AU"/>
        </w:rPr>
        <w:t xml:space="preserve"> This </w:t>
      </w:r>
      <w:r w:rsidR="00607E41" w:rsidRPr="00966D5E">
        <w:rPr>
          <w:rFonts w:cs="Arial"/>
          <w:lang w:val="en-AU"/>
        </w:rPr>
        <w:t xml:space="preserve">project </w:t>
      </w:r>
      <w:r w:rsidR="00DC5496" w:rsidRPr="00966D5E">
        <w:rPr>
          <w:rFonts w:cs="Arial"/>
          <w:lang w:val="en-AU"/>
        </w:rPr>
        <w:t>contributed</w:t>
      </w:r>
      <w:r w:rsidR="00607D7F" w:rsidRPr="00966D5E">
        <w:rPr>
          <w:rFonts w:cs="Arial"/>
          <w:lang w:val="en-AU"/>
        </w:rPr>
        <w:t xml:space="preserve"> </w:t>
      </w:r>
      <w:r w:rsidR="00DC5496" w:rsidRPr="00966D5E">
        <w:rPr>
          <w:rFonts w:cs="Arial"/>
          <w:lang w:val="en-AU"/>
        </w:rPr>
        <w:t xml:space="preserve">towards </w:t>
      </w:r>
      <w:r w:rsidR="00607D7F" w:rsidRPr="00966D5E">
        <w:rPr>
          <w:rFonts w:cs="Arial"/>
          <w:lang w:val="en-AU"/>
        </w:rPr>
        <w:t xml:space="preserve">creating an enabling environment to increase the uptake of recycled water, </w:t>
      </w:r>
      <w:proofErr w:type="gramStart"/>
      <w:r w:rsidR="00607D7F" w:rsidRPr="00966D5E">
        <w:rPr>
          <w:rFonts w:cs="Arial"/>
          <w:lang w:val="en-AU"/>
        </w:rPr>
        <w:t>rainwater</w:t>
      </w:r>
      <w:proofErr w:type="gramEnd"/>
      <w:r w:rsidR="00607D7F" w:rsidRPr="00966D5E">
        <w:rPr>
          <w:rFonts w:cs="Arial"/>
          <w:lang w:val="en-AU"/>
        </w:rPr>
        <w:t xml:space="preserve"> and stormwater through updating regulatory guidelines, developing risk frameworks, </w:t>
      </w:r>
      <w:r w:rsidR="00DC5496" w:rsidRPr="00966D5E">
        <w:rPr>
          <w:rFonts w:cs="Arial"/>
          <w:lang w:val="en-AU"/>
        </w:rPr>
        <w:t xml:space="preserve">undertaking </w:t>
      </w:r>
      <w:r w:rsidR="00607D7F" w:rsidRPr="00966D5E">
        <w:rPr>
          <w:rFonts w:cs="Arial"/>
          <w:lang w:val="en-AU"/>
        </w:rPr>
        <w:t xml:space="preserve">cost benefit analysis and regulatory impact statements, </w:t>
      </w:r>
      <w:r w:rsidR="006861CD" w:rsidRPr="00966D5E">
        <w:rPr>
          <w:rFonts w:cs="Arial"/>
          <w:lang w:val="en-AU"/>
        </w:rPr>
        <w:t xml:space="preserve">and developing </w:t>
      </w:r>
      <w:r w:rsidR="00607D7F" w:rsidRPr="00966D5E">
        <w:rPr>
          <w:rFonts w:cs="Arial"/>
          <w:lang w:val="en-AU"/>
        </w:rPr>
        <w:t xml:space="preserve">guidance </w:t>
      </w:r>
      <w:r w:rsidR="006861CD" w:rsidRPr="00966D5E">
        <w:rPr>
          <w:rFonts w:cs="Arial"/>
          <w:lang w:val="en-AU"/>
        </w:rPr>
        <w:t xml:space="preserve">for </w:t>
      </w:r>
      <w:r w:rsidR="00607D7F" w:rsidRPr="00966D5E">
        <w:rPr>
          <w:rFonts w:cs="Arial"/>
          <w:lang w:val="en-AU"/>
        </w:rPr>
        <w:t xml:space="preserve">councils, planning system users, government and practitioners. </w:t>
      </w:r>
      <w:r w:rsidR="00F4259A" w:rsidRPr="00966D5E">
        <w:rPr>
          <w:rFonts w:cs="Arial"/>
          <w:lang w:val="en-AU"/>
        </w:rPr>
        <w:t>Twenty</w:t>
      </w:r>
      <w:r w:rsidR="00607D7F" w:rsidRPr="00966D5E">
        <w:rPr>
          <w:rFonts w:cs="Arial"/>
          <w:lang w:val="en-AU"/>
        </w:rPr>
        <w:t xml:space="preserve"> educational sessions on Victoria’s stormwater planning requirements were delivered to over 900 people, with 100% of participants rating </w:t>
      </w:r>
      <w:r w:rsidR="00F20160" w:rsidRPr="00966D5E">
        <w:rPr>
          <w:rFonts w:cs="Arial"/>
          <w:lang w:val="en-AU"/>
        </w:rPr>
        <w:t>that they were</w:t>
      </w:r>
      <w:r w:rsidR="00607D7F" w:rsidRPr="00966D5E">
        <w:rPr>
          <w:rFonts w:cs="Arial"/>
          <w:lang w:val="en-AU"/>
        </w:rPr>
        <w:t xml:space="preserve"> satisf</w:t>
      </w:r>
      <w:r w:rsidR="00F20160" w:rsidRPr="00966D5E">
        <w:rPr>
          <w:rFonts w:cs="Arial"/>
          <w:lang w:val="en-AU"/>
        </w:rPr>
        <w:t>ied</w:t>
      </w:r>
      <w:r w:rsidR="00607D7F" w:rsidRPr="00966D5E">
        <w:rPr>
          <w:rFonts w:cs="Arial"/>
          <w:lang w:val="en-AU"/>
        </w:rPr>
        <w:t xml:space="preserve"> with the training. Four local government councils implemented new stormwater offset schemes (City of Kingston, Mornington Peninsula</w:t>
      </w:r>
      <w:r w:rsidR="0018667E" w:rsidRPr="00966D5E">
        <w:rPr>
          <w:rFonts w:cs="Arial"/>
          <w:lang w:val="en-AU"/>
        </w:rPr>
        <w:t xml:space="preserve"> Shire</w:t>
      </w:r>
      <w:r w:rsidR="00607D7F" w:rsidRPr="00966D5E">
        <w:rPr>
          <w:rFonts w:cs="Arial"/>
          <w:lang w:val="en-AU"/>
        </w:rPr>
        <w:t xml:space="preserve">, Mooney </w:t>
      </w:r>
      <w:proofErr w:type="gramStart"/>
      <w:r w:rsidR="00607D7F" w:rsidRPr="00966D5E">
        <w:rPr>
          <w:rFonts w:cs="Arial"/>
          <w:lang w:val="en-AU"/>
        </w:rPr>
        <w:t>Valley</w:t>
      </w:r>
      <w:proofErr w:type="gramEnd"/>
      <w:r w:rsidR="00607D7F" w:rsidRPr="00966D5E">
        <w:rPr>
          <w:rFonts w:cs="Arial"/>
          <w:lang w:val="en-AU"/>
        </w:rPr>
        <w:t xml:space="preserve"> and </w:t>
      </w:r>
      <w:r w:rsidR="0055164F" w:rsidRPr="00D90AD4">
        <w:rPr>
          <w:rFonts w:cs="Arial"/>
          <w:lang w:val="en-AU"/>
        </w:rPr>
        <w:t>City</w:t>
      </w:r>
      <w:r w:rsidR="0055164F" w:rsidRPr="00966D5E">
        <w:rPr>
          <w:rFonts w:cs="Arial"/>
          <w:lang w:val="en-AU"/>
        </w:rPr>
        <w:t xml:space="preserve"> of </w:t>
      </w:r>
      <w:r w:rsidR="00607D7F" w:rsidRPr="00966D5E">
        <w:rPr>
          <w:rFonts w:cs="Arial"/>
          <w:lang w:val="en-AU"/>
        </w:rPr>
        <w:t>Darebin), and several more are investigating options for setting up schemes</w:t>
      </w:r>
      <w:r w:rsidR="00725820" w:rsidRPr="00966D5E">
        <w:rPr>
          <w:rFonts w:cs="Arial"/>
          <w:lang w:val="en-AU"/>
        </w:rPr>
        <w:t xml:space="preserve"> within their municipalities</w:t>
      </w:r>
      <w:r w:rsidR="00607D7F" w:rsidRPr="00966D5E">
        <w:rPr>
          <w:rFonts w:cs="Arial"/>
          <w:lang w:val="en-AU"/>
        </w:rPr>
        <w:t xml:space="preserve">. </w:t>
      </w:r>
      <w:r w:rsidR="00EF093D" w:rsidRPr="00966D5E">
        <w:rPr>
          <w:rFonts w:cs="Arial"/>
          <w:lang w:val="en-AU"/>
        </w:rPr>
        <w:t xml:space="preserve">DEECA estimates that through the IWM grants </w:t>
      </w:r>
      <w:r w:rsidR="00632C6D" w:rsidRPr="00966D5E">
        <w:rPr>
          <w:rFonts w:cs="Arial"/>
          <w:lang w:val="en-AU"/>
        </w:rPr>
        <w:t>program, DEECA</w:t>
      </w:r>
      <w:r w:rsidR="00801022" w:rsidRPr="00966D5E">
        <w:rPr>
          <w:rFonts w:cs="Arial"/>
          <w:lang w:val="en-AU"/>
        </w:rPr>
        <w:t xml:space="preserve"> </w:t>
      </w:r>
      <w:r w:rsidR="00B72307" w:rsidRPr="00966D5E">
        <w:rPr>
          <w:rFonts w:cs="Arial"/>
          <w:lang w:val="en-AU"/>
        </w:rPr>
        <w:t>h</w:t>
      </w:r>
      <w:r w:rsidR="00801022" w:rsidRPr="00966D5E">
        <w:rPr>
          <w:rFonts w:cs="Arial"/>
          <w:lang w:val="en-AU"/>
        </w:rPr>
        <w:t xml:space="preserve">as </w:t>
      </w:r>
      <w:r w:rsidR="00EF093D" w:rsidRPr="00966D5E">
        <w:rPr>
          <w:rFonts w:cs="Arial"/>
          <w:lang w:val="en-AU"/>
        </w:rPr>
        <w:t>co-funded 550 ML/y</w:t>
      </w:r>
      <w:r w:rsidR="00A62B75" w:rsidRPr="00966D5E">
        <w:rPr>
          <w:rFonts w:cs="Arial"/>
          <w:lang w:val="en-AU"/>
        </w:rPr>
        <w:t>ea</w:t>
      </w:r>
      <w:r w:rsidR="00EF093D" w:rsidRPr="00966D5E">
        <w:rPr>
          <w:rFonts w:cs="Arial"/>
          <w:lang w:val="en-AU"/>
        </w:rPr>
        <w:t>r of additional stormwater through 15 projects.</w:t>
      </w:r>
    </w:p>
    <w:p w14:paraId="24CCE5F2" w14:textId="59AD5660" w:rsidR="006F1409" w:rsidRPr="00966D5E" w:rsidRDefault="00F60FF3" w:rsidP="005A7571">
      <w:pPr>
        <w:pStyle w:val="BulletLevel1"/>
        <w:rPr>
          <w:rFonts w:cs="Arial"/>
          <w:lang w:val="en-AU"/>
        </w:rPr>
      </w:pPr>
      <w:r w:rsidRPr="00966D5E">
        <w:rPr>
          <w:rFonts w:cs="Arial"/>
          <w:b/>
          <w:bCs/>
          <w:lang w:val="en-AU"/>
        </w:rPr>
        <w:t>CWCT07</w:t>
      </w:r>
      <w:r w:rsidR="006C3D68" w:rsidRPr="00966D5E">
        <w:rPr>
          <w:rFonts w:cs="Arial"/>
          <w:b/>
          <w:bCs/>
          <w:lang w:val="en-AU"/>
        </w:rPr>
        <w:t xml:space="preserve">: </w:t>
      </w:r>
      <w:r w:rsidR="00607D7F" w:rsidRPr="00966D5E">
        <w:rPr>
          <w:rFonts w:cs="Arial"/>
          <w:b/>
          <w:bCs/>
          <w:lang w:val="en-AU"/>
        </w:rPr>
        <w:t xml:space="preserve">CGRSWS Funding Stream 2 Diversify Water Sources and </w:t>
      </w:r>
      <w:r w:rsidR="00F018A6" w:rsidRPr="00966D5E">
        <w:rPr>
          <w:rFonts w:cs="Arial"/>
          <w:b/>
          <w:bCs/>
          <w:lang w:val="en-AU"/>
        </w:rPr>
        <w:t>I</w:t>
      </w:r>
      <w:r w:rsidR="00607D7F" w:rsidRPr="00966D5E">
        <w:rPr>
          <w:rFonts w:cs="Arial"/>
          <w:b/>
          <w:bCs/>
          <w:lang w:val="en-AU"/>
        </w:rPr>
        <w:t xml:space="preserve">ncrease </w:t>
      </w:r>
      <w:r w:rsidR="00F018A6" w:rsidRPr="00966D5E">
        <w:rPr>
          <w:rFonts w:cs="Arial"/>
          <w:b/>
          <w:bCs/>
          <w:lang w:val="en-AU"/>
        </w:rPr>
        <w:t>W</w:t>
      </w:r>
      <w:r w:rsidR="00607D7F" w:rsidRPr="00966D5E">
        <w:rPr>
          <w:rFonts w:cs="Arial"/>
          <w:b/>
          <w:bCs/>
          <w:lang w:val="en-AU"/>
        </w:rPr>
        <w:t xml:space="preserve">ater </w:t>
      </w:r>
      <w:r w:rsidR="00F018A6" w:rsidRPr="00966D5E">
        <w:rPr>
          <w:rFonts w:cs="Arial"/>
          <w:b/>
          <w:bCs/>
          <w:lang w:val="en-AU"/>
        </w:rPr>
        <w:t>E</w:t>
      </w:r>
      <w:r w:rsidR="00607D7F" w:rsidRPr="00966D5E">
        <w:rPr>
          <w:rFonts w:cs="Arial"/>
          <w:b/>
          <w:bCs/>
          <w:lang w:val="en-AU"/>
        </w:rPr>
        <w:t>fficiency:</w:t>
      </w:r>
      <w:r w:rsidR="00607D7F" w:rsidRPr="00966D5E">
        <w:rPr>
          <w:rFonts w:cs="Arial"/>
          <w:lang w:val="en-AU"/>
        </w:rPr>
        <w:t xml:space="preserve"> EC5 supported the co-investment of $31.729 million </w:t>
      </w:r>
      <w:r w:rsidR="00801022" w:rsidRPr="00966D5E">
        <w:rPr>
          <w:rFonts w:cs="Arial"/>
          <w:lang w:val="en-AU"/>
        </w:rPr>
        <w:t xml:space="preserve">in </w:t>
      </w:r>
      <w:r w:rsidR="00607D7F" w:rsidRPr="00966D5E">
        <w:rPr>
          <w:rFonts w:cs="Arial"/>
          <w:lang w:val="en-AU"/>
        </w:rPr>
        <w:t>1</w:t>
      </w:r>
      <w:r w:rsidR="00DF3E16" w:rsidRPr="00966D5E">
        <w:rPr>
          <w:rFonts w:cs="Arial"/>
          <w:lang w:val="en-AU"/>
        </w:rPr>
        <w:t>7</w:t>
      </w:r>
      <w:r w:rsidR="00607D7F" w:rsidRPr="00966D5E">
        <w:rPr>
          <w:rFonts w:cs="Arial"/>
          <w:lang w:val="en-AU"/>
        </w:rPr>
        <w:t xml:space="preserve"> IWM projects throughout the Central </w:t>
      </w:r>
      <w:r w:rsidR="0028446D" w:rsidRPr="00966D5E">
        <w:rPr>
          <w:rFonts w:cs="Arial"/>
          <w:lang w:val="en-AU"/>
        </w:rPr>
        <w:t xml:space="preserve">and </w:t>
      </w:r>
      <w:r w:rsidR="00607D7F" w:rsidRPr="00966D5E">
        <w:rPr>
          <w:rFonts w:cs="Arial"/>
          <w:lang w:val="en-AU"/>
        </w:rPr>
        <w:t xml:space="preserve">Gippsland region. This included </w:t>
      </w:r>
      <w:r w:rsidR="00C0140A" w:rsidRPr="00966D5E">
        <w:rPr>
          <w:rFonts w:cs="Arial"/>
          <w:lang w:val="en-AU"/>
        </w:rPr>
        <w:t xml:space="preserve">8 </w:t>
      </w:r>
      <w:r w:rsidR="00607D7F" w:rsidRPr="00966D5E">
        <w:rPr>
          <w:rFonts w:cs="Arial"/>
          <w:lang w:val="en-AU"/>
        </w:rPr>
        <w:t xml:space="preserve">capital on-ground projects </w:t>
      </w:r>
      <w:r w:rsidR="7112B3A2" w:rsidRPr="00966D5E">
        <w:rPr>
          <w:rFonts w:cs="Arial"/>
          <w:lang w:val="en-AU"/>
        </w:rPr>
        <w:t xml:space="preserve">that </w:t>
      </w:r>
      <w:r w:rsidR="00607D7F" w:rsidRPr="00966D5E">
        <w:rPr>
          <w:rFonts w:cs="Arial"/>
          <w:lang w:val="en-AU"/>
        </w:rPr>
        <w:t xml:space="preserve">will generate </w:t>
      </w:r>
      <w:r w:rsidR="049AB9BB" w:rsidRPr="00966D5E">
        <w:rPr>
          <w:rFonts w:cs="Arial"/>
          <w:lang w:val="en-AU"/>
        </w:rPr>
        <w:t xml:space="preserve">an </w:t>
      </w:r>
      <w:r w:rsidR="00607D7F" w:rsidRPr="00966D5E">
        <w:rPr>
          <w:rFonts w:cs="Arial"/>
          <w:lang w:val="en-AU"/>
        </w:rPr>
        <w:t xml:space="preserve">estimated </w:t>
      </w:r>
      <w:r w:rsidR="00C0140A" w:rsidRPr="00966D5E">
        <w:rPr>
          <w:rFonts w:cs="Arial"/>
          <w:lang w:val="en-AU"/>
        </w:rPr>
        <w:t>2,078</w:t>
      </w:r>
      <w:r w:rsidR="00607D7F" w:rsidRPr="00966D5E">
        <w:rPr>
          <w:rFonts w:cs="Arial"/>
          <w:lang w:val="en-AU"/>
        </w:rPr>
        <w:t xml:space="preserve"> ML/y</w:t>
      </w:r>
      <w:r w:rsidR="00A62B75" w:rsidRPr="00966D5E">
        <w:rPr>
          <w:rFonts w:cs="Arial"/>
          <w:lang w:val="en-AU"/>
        </w:rPr>
        <w:t>ea</w:t>
      </w:r>
      <w:r w:rsidR="00607D7F" w:rsidRPr="00966D5E">
        <w:rPr>
          <w:rFonts w:cs="Arial"/>
          <w:lang w:val="en-AU"/>
        </w:rPr>
        <w:t>r of alternative water</w:t>
      </w:r>
      <w:r w:rsidR="00801022" w:rsidRPr="00966D5E">
        <w:rPr>
          <w:rFonts w:cs="Arial"/>
          <w:lang w:val="en-AU"/>
        </w:rPr>
        <w:t xml:space="preserve"> supply</w:t>
      </w:r>
      <w:r w:rsidR="00607D7F" w:rsidRPr="00966D5E">
        <w:rPr>
          <w:rFonts w:cs="Arial"/>
          <w:lang w:val="en-AU"/>
        </w:rPr>
        <w:t>. The largest of these is the Dingley Recycled Water Scheme, which includes 42</w:t>
      </w:r>
      <w:r w:rsidR="00F11331" w:rsidRPr="00966D5E">
        <w:rPr>
          <w:rFonts w:cs="Arial"/>
          <w:lang w:val="en-AU"/>
        </w:rPr>
        <w:t xml:space="preserve"> </w:t>
      </w:r>
      <w:r w:rsidR="00607D7F" w:rsidRPr="00966D5E">
        <w:rPr>
          <w:rFonts w:cs="Arial"/>
          <w:lang w:val="en-AU"/>
        </w:rPr>
        <w:t xml:space="preserve">km of trunk and distribution mains and a reticulation network to </w:t>
      </w:r>
      <w:r w:rsidR="00815B06" w:rsidRPr="00966D5E">
        <w:rPr>
          <w:rFonts w:cs="Arial"/>
          <w:lang w:val="en-AU"/>
        </w:rPr>
        <w:t>40</w:t>
      </w:r>
      <w:r w:rsidR="00607D7F" w:rsidRPr="00966D5E">
        <w:rPr>
          <w:rFonts w:cs="Arial"/>
          <w:lang w:val="en-AU"/>
        </w:rPr>
        <w:t xml:space="preserve"> sites </w:t>
      </w:r>
      <w:r w:rsidR="2912D9BE" w:rsidRPr="00966D5E">
        <w:rPr>
          <w:rFonts w:cs="Arial"/>
          <w:lang w:val="en-AU"/>
        </w:rPr>
        <w:t>that</w:t>
      </w:r>
      <w:r w:rsidR="00607D7F" w:rsidRPr="00966D5E">
        <w:rPr>
          <w:rFonts w:cs="Arial"/>
          <w:lang w:val="en-AU"/>
        </w:rPr>
        <w:t xml:space="preserve"> will deliver recycled water from the Eastern Treatment Plant, saving up to 300</w:t>
      </w:r>
      <w:r w:rsidR="001D2D8A" w:rsidRPr="00966D5E">
        <w:rPr>
          <w:rFonts w:cs="Arial"/>
          <w:lang w:val="en-AU"/>
        </w:rPr>
        <w:t xml:space="preserve"> </w:t>
      </w:r>
      <w:r w:rsidR="00607D7F" w:rsidRPr="00966D5E">
        <w:rPr>
          <w:rFonts w:cs="Arial"/>
          <w:lang w:val="en-AU"/>
        </w:rPr>
        <w:t>ML/y</w:t>
      </w:r>
      <w:r w:rsidR="00A62B75" w:rsidRPr="00966D5E">
        <w:rPr>
          <w:rFonts w:cs="Arial"/>
          <w:lang w:val="en-AU"/>
        </w:rPr>
        <w:t>ea</w:t>
      </w:r>
      <w:r w:rsidR="00607D7F" w:rsidRPr="00966D5E">
        <w:rPr>
          <w:rFonts w:cs="Arial"/>
          <w:lang w:val="en-AU"/>
        </w:rPr>
        <w:t xml:space="preserve">r of potable water and reducing groundwater drawdown. This network could be expanded to support future populations of the Suburban Rail Loop Precincts. The </w:t>
      </w:r>
      <w:r w:rsidR="000C08D6" w:rsidRPr="00966D5E">
        <w:rPr>
          <w:rFonts w:cs="Arial"/>
          <w:lang w:val="en-AU"/>
        </w:rPr>
        <w:t xml:space="preserve">project </w:t>
      </w:r>
      <w:r w:rsidR="00607D7F" w:rsidRPr="00966D5E">
        <w:rPr>
          <w:rFonts w:cs="Arial"/>
          <w:lang w:val="en-AU"/>
        </w:rPr>
        <w:t xml:space="preserve">also supported, </w:t>
      </w:r>
      <w:r w:rsidR="001D2135" w:rsidRPr="00966D5E">
        <w:rPr>
          <w:rFonts w:cs="Arial"/>
          <w:lang w:val="en-AU"/>
        </w:rPr>
        <w:t xml:space="preserve">9 </w:t>
      </w:r>
      <w:r w:rsidR="00607D7F" w:rsidRPr="00966D5E">
        <w:rPr>
          <w:rFonts w:cs="Arial"/>
          <w:lang w:val="en-AU"/>
        </w:rPr>
        <w:t xml:space="preserve">feasibility studies, business cases or concept designs for alternative water </w:t>
      </w:r>
      <w:r w:rsidR="001D2135" w:rsidRPr="00966D5E">
        <w:rPr>
          <w:rFonts w:cs="Arial"/>
          <w:lang w:val="en-AU"/>
        </w:rPr>
        <w:t xml:space="preserve">supply </w:t>
      </w:r>
      <w:r w:rsidR="00607D7F" w:rsidRPr="00966D5E">
        <w:rPr>
          <w:rFonts w:cs="Arial"/>
          <w:lang w:val="en-AU"/>
        </w:rPr>
        <w:t>projects.</w:t>
      </w:r>
    </w:p>
    <w:p w14:paraId="1245F1FF" w14:textId="25E03138" w:rsidR="00607D7F" w:rsidRPr="00966D5E" w:rsidRDefault="00607D7F" w:rsidP="72A4A896">
      <w:pPr>
        <w:pStyle w:val="Heading3"/>
        <w:rPr>
          <w:rFonts w:cs="Arial"/>
          <w:lang w:val="en-AU"/>
        </w:rPr>
      </w:pPr>
      <w:r w:rsidRPr="00966D5E">
        <w:rPr>
          <w:rFonts w:cs="Arial"/>
          <w:lang w:val="en-AU"/>
        </w:rPr>
        <w:lastRenderedPageBreak/>
        <w:t>Reduced pressure on the water grid</w:t>
      </w:r>
    </w:p>
    <w:p w14:paraId="20986ACD" w14:textId="0A51899B" w:rsidR="00607D7F" w:rsidRPr="00966D5E" w:rsidRDefault="00607D7F" w:rsidP="72A4A896">
      <w:pPr>
        <w:pStyle w:val="BodyText"/>
        <w:rPr>
          <w:rFonts w:cs="Arial"/>
          <w:lang w:val="en-AU"/>
        </w:rPr>
      </w:pPr>
      <w:r w:rsidRPr="00966D5E">
        <w:rPr>
          <w:rFonts w:cs="Arial"/>
          <w:lang w:val="en-AU"/>
        </w:rPr>
        <w:t xml:space="preserve">Progress </w:t>
      </w:r>
      <w:r w:rsidR="001D2135" w:rsidRPr="00966D5E">
        <w:rPr>
          <w:rFonts w:cs="Arial"/>
          <w:lang w:val="en-AU"/>
        </w:rPr>
        <w:t>was</w:t>
      </w:r>
      <w:r w:rsidRPr="00966D5E">
        <w:rPr>
          <w:rFonts w:cs="Arial"/>
          <w:lang w:val="en-AU"/>
        </w:rPr>
        <w:t xml:space="preserve"> made toward this outcome through the Water Grid Oversight </w:t>
      </w:r>
      <w:r w:rsidR="000C08D6" w:rsidRPr="00966D5E">
        <w:rPr>
          <w:rFonts w:cs="Arial"/>
          <w:lang w:val="en-AU"/>
        </w:rPr>
        <w:t>project</w:t>
      </w:r>
      <w:r w:rsidRPr="00966D5E">
        <w:rPr>
          <w:rFonts w:cs="Arial"/>
          <w:lang w:val="en-AU"/>
        </w:rPr>
        <w:t>. Through establishment of an Executive Advisory Committee to provide oversight and guidance on urban water security</w:t>
      </w:r>
      <w:r w:rsidR="003A6C36" w:rsidRPr="00966D5E">
        <w:rPr>
          <w:rFonts w:cs="Arial"/>
          <w:lang w:val="en-AU"/>
        </w:rPr>
        <w:t>,</w:t>
      </w:r>
      <w:r w:rsidRPr="00966D5E">
        <w:rPr>
          <w:rFonts w:cs="Arial"/>
          <w:lang w:val="en-AU"/>
        </w:rPr>
        <w:t xml:space="preserve"> this </w:t>
      </w:r>
      <w:r w:rsidR="000C08D6" w:rsidRPr="00966D5E">
        <w:rPr>
          <w:rFonts w:cs="Arial"/>
          <w:lang w:val="en-AU"/>
        </w:rPr>
        <w:t>project</w:t>
      </w:r>
      <w:r w:rsidRPr="00966D5E">
        <w:rPr>
          <w:rFonts w:cs="Arial"/>
          <w:lang w:val="en-AU"/>
        </w:rPr>
        <w:t xml:space="preserve"> increased collaboration and coordination between the water industry and government</w:t>
      </w:r>
      <w:r w:rsidR="555091A4" w:rsidRPr="00966D5E">
        <w:rPr>
          <w:rFonts w:cs="Arial"/>
          <w:lang w:val="en-AU"/>
        </w:rPr>
        <w:t>.</w:t>
      </w:r>
    </w:p>
    <w:p w14:paraId="4D3F5361" w14:textId="77777777" w:rsidR="00607D7F" w:rsidRPr="00966D5E" w:rsidRDefault="00607D7F" w:rsidP="00CC7B09">
      <w:pPr>
        <w:pStyle w:val="Heading3"/>
        <w:rPr>
          <w:rFonts w:cs="Arial"/>
          <w:lang w:val="en-AU"/>
        </w:rPr>
      </w:pPr>
      <w:r w:rsidRPr="00966D5E">
        <w:rPr>
          <w:rFonts w:cs="Arial"/>
          <w:lang w:val="en-AU"/>
        </w:rPr>
        <w:t>Improved efficiency, effectiveness, and transparency of water markets</w:t>
      </w:r>
    </w:p>
    <w:p w14:paraId="36B2888B" w14:textId="77777777" w:rsidR="002E331D" w:rsidRPr="00966D5E" w:rsidRDefault="00607D7F" w:rsidP="00607D7F">
      <w:pPr>
        <w:pStyle w:val="BodyText"/>
        <w:rPr>
          <w:rFonts w:cs="Arial"/>
          <w:lang w:val="en-AU"/>
        </w:rPr>
      </w:pPr>
      <w:r w:rsidRPr="00966D5E">
        <w:rPr>
          <w:rFonts w:cs="Arial"/>
          <w:lang w:val="en-AU"/>
        </w:rPr>
        <w:t xml:space="preserve">Improving the effectiveness of water markets allows for the sharing of water security benefits in ways that are equitable, </w:t>
      </w:r>
      <w:proofErr w:type="gramStart"/>
      <w:r w:rsidRPr="00966D5E">
        <w:rPr>
          <w:rFonts w:cs="Arial"/>
          <w:lang w:val="en-AU"/>
        </w:rPr>
        <w:t>responsive</w:t>
      </w:r>
      <w:proofErr w:type="gramEnd"/>
      <w:r w:rsidRPr="00966D5E">
        <w:rPr>
          <w:rFonts w:cs="Arial"/>
          <w:lang w:val="en-AU"/>
        </w:rPr>
        <w:t xml:space="preserve"> and transparent. Throughout EC5, significant progress toward this outcome</w:t>
      </w:r>
      <w:r w:rsidR="001D2135" w:rsidRPr="00966D5E">
        <w:rPr>
          <w:rFonts w:cs="Arial"/>
          <w:lang w:val="en-AU"/>
        </w:rPr>
        <w:t xml:space="preserve"> has been achieved</w:t>
      </w:r>
      <w:r w:rsidRPr="00966D5E">
        <w:rPr>
          <w:rFonts w:cs="Arial"/>
          <w:lang w:val="en-AU"/>
        </w:rPr>
        <w:t xml:space="preserve"> through:</w:t>
      </w:r>
    </w:p>
    <w:p w14:paraId="36CC9221" w14:textId="4A4A5309" w:rsidR="00607D7F" w:rsidRPr="00966D5E" w:rsidRDefault="002D036E" w:rsidP="005A7571">
      <w:pPr>
        <w:pStyle w:val="BulletLevel1"/>
        <w:rPr>
          <w:rFonts w:cs="Arial"/>
          <w:lang w:val="en-AU"/>
        </w:rPr>
      </w:pPr>
      <w:r w:rsidRPr="00966D5E">
        <w:rPr>
          <w:rFonts w:cs="Arial"/>
          <w:b/>
          <w:bCs/>
          <w:lang w:val="en-AU"/>
        </w:rPr>
        <w:t xml:space="preserve">WRS3: </w:t>
      </w:r>
      <w:r w:rsidR="00607D7F" w:rsidRPr="00966D5E">
        <w:rPr>
          <w:rFonts w:cs="Arial"/>
          <w:b/>
          <w:bCs/>
          <w:lang w:val="en-AU"/>
        </w:rPr>
        <w:t>Water Market Reform:</w:t>
      </w:r>
      <w:r w:rsidR="00607D7F" w:rsidRPr="00966D5E">
        <w:rPr>
          <w:rFonts w:cs="Arial"/>
          <w:lang w:val="en-AU"/>
        </w:rPr>
        <w:t xml:space="preserve"> This </w:t>
      </w:r>
      <w:r w:rsidR="000C08D6" w:rsidRPr="00966D5E">
        <w:rPr>
          <w:rFonts w:cs="Arial"/>
          <w:lang w:val="en-AU"/>
        </w:rPr>
        <w:t xml:space="preserve">project </w:t>
      </w:r>
      <w:r w:rsidR="00607D7F" w:rsidRPr="00966D5E">
        <w:rPr>
          <w:rFonts w:cs="Arial"/>
          <w:lang w:val="en-AU"/>
        </w:rPr>
        <w:t>made progress toward</w:t>
      </w:r>
      <w:r w:rsidR="001D2135" w:rsidRPr="00966D5E">
        <w:rPr>
          <w:rFonts w:cs="Arial"/>
          <w:lang w:val="en-AU"/>
        </w:rPr>
        <w:t>s</w:t>
      </w:r>
      <w:r w:rsidR="00607D7F" w:rsidRPr="00966D5E">
        <w:rPr>
          <w:rFonts w:cs="Arial"/>
          <w:lang w:val="en-AU"/>
        </w:rPr>
        <w:t xml:space="preserve"> resolving water and cost sharing problems in South-Central Victoria through the collaborative design of a water sharing framework, which has been supported by stakeholders.</w:t>
      </w:r>
    </w:p>
    <w:p w14:paraId="157CC63B" w14:textId="77777777" w:rsidR="002E331D" w:rsidRPr="00966D5E" w:rsidRDefault="002D036E" w:rsidP="002C3E57">
      <w:pPr>
        <w:pStyle w:val="BulletLevel1"/>
        <w:rPr>
          <w:rFonts w:cs="Arial"/>
          <w:lang w:val="en-AU"/>
        </w:rPr>
      </w:pPr>
      <w:r w:rsidRPr="00966D5E">
        <w:rPr>
          <w:rFonts w:cs="Arial"/>
          <w:b/>
          <w:bCs/>
          <w:lang w:val="en-AU"/>
        </w:rPr>
        <w:t xml:space="preserve">WRS4: </w:t>
      </w:r>
      <w:r w:rsidR="00607D7F" w:rsidRPr="00966D5E">
        <w:rPr>
          <w:rFonts w:cs="Arial"/>
          <w:b/>
          <w:bCs/>
          <w:lang w:val="en-AU"/>
        </w:rPr>
        <w:t xml:space="preserve">Water Market Transparency: </w:t>
      </w:r>
      <w:r w:rsidR="00F15FD7" w:rsidRPr="00966D5E">
        <w:rPr>
          <w:rFonts w:cs="Arial"/>
          <w:lang w:val="en-AU"/>
        </w:rPr>
        <w:t>This project improved w</w:t>
      </w:r>
      <w:r w:rsidR="00607D7F" w:rsidRPr="00966D5E">
        <w:rPr>
          <w:rFonts w:cs="Arial"/>
          <w:lang w:val="en-AU"/>
        </w:rPr>
        <w:t xml:space="preserve">ater market transparency by publishing </w:t>
      </w:r>
      <w:r w:rsidR="00B977A5" w:rsidRPr="00D90AD4">
        <w:rPr>
          <w:rFonts w:cs="Arial"/>
          <w:lang w:val="en-AU"/>
        </w:rPr>
        <w:t>information on business</w:t>
      </w:r>
      <w:r w:rsidR="00F15FD7" w:rsidRPr="00D90AD4">
        <w:rPr>
          <w:rFonts w:cs="Arial"/>
          <w:lang w:val="en-AU"/>
        </w:rPr>
        <w:t>es that</w:t>
      </w:r>
      <w:r w:rsidR="00B977A5" w:rsidRPr="00D90AD4">
        <w:rPr>
          <w:rFonts w:cs="Arial"/>
          <w:lang w:val="en-AU"/>
        </w:rPr>
        <w:t xml:space="preserve"> own </w:t>
      </w:r>
      <w:r w:rsidR="00607D7F" w:rsidRPr="00966D5E">
        <w:rPr>
          <w:rFonts w:cs="Arial"/>
          <w:lang w:val="en-AU"/>
        </w:rPr>
        <w:t>over 2% of water</w:t>
      </w:r>
      <w:r w:rsidR="00CE2F40" w:rsidRPr="00966D5E">
        <w:rPr>
          <w:rFonts w:cs="Arial"/>
          <w:lang w:val="en-AU"/>
        </w:rPr>
        <w:t xml:space="preserve"> entitlements</w:t>
      </w:r>
      <w:r w:rsidR="00607D7F" w:rsidRPr="00966D5E">
        <w:rPr>
          <w:rFonts w:cs="Arial"/>
          <w:lang w:val="en-AU"/>
        </w:rPr>
        <w:t xml:space="preserve"> within a system. </w:t>
      </w:r>
      <w:r w:rsidR="00F15FD7" w:rsidRPr="00966D5E">
        <w:rPr>
          <w:rFonts w:cs="Arial"/>
          <w:lang w:val="en-AU"/>
        </w:rPr>
        <w:t>Publication of t</w:t>
      </w:r>
      <w:r w:rsidR="00607D7F" w:rsidRPr="00966D5E">
        <w:rPr>
          <w:rFonts w:cs="Arial"/>
          <w:lang w:val="en-AU"/>
        </w:rPr>
        <w:t xml:space="preserve">his </w:t>
      </w:r>
      <w:r w:rsidR="00F15FD7" w:rsidRPr="00966D5E">
        <w:rPr>
          <w:rFonts w:cs="Arial"/>
          <w:lang w:val="en-AU"/>
        </w:rPr>
        <w:t xml:space="preserve">information </w:t>
      </w:r>
      <w:r w:rsidR="00607D7F" w:rsidRPr="00966D5E">
        <w:rPr>
          <w:rFonts w:cs="Arial"/>
          <w:lang w:val="en-AU"/>
        </w:rPr>
        <w:t>helps foster transparency and openness in water markets and improve</w:t>
      </w:r>
      <w:r w:rsidR="00F15FD7" w:rsidRPr="00966D5E">
        <w:rPr>
          <w:rFonts w:cs="Arial"/>
          <w:lang w:val="en-AU"/>
        </w:rPr>
        <w:t>s</w:t>
      </w:r>
      <w:r w:rsidR="00607D7F" w:rsidRPr="00966D5E">
        <w:rPr>
          <w:rFonts w:cs="Arial"/>
          <w:lang w:val="en-AU"/>
        </w:rPr>
        <w:t xml:space="preserve"> market participants’ trust in the integrity of water markets. Other work to support water market transparency include input to a </w:t>
      </w:r>
      <w:r w:rsidR="00607D7F" w:rsidRPr="00D90AD4">
        <w:rPr>
          <w:rFonts w:cs="Arial"/>
          <w:lang w:val="en-AU"/>
        </w:rPr>
        <w:t>Basin</w:t>
      </w:r>
      <w:r w:rsidR="22F9FCD1" w:rsidRPr="00966D5E">
        <w:rPr>
          <w:rFonts w:cs="Arial"/>
          <w:lang w:val="en-AU"/>
        </w:rPr>
        <w:t>-</w:t>
      </w:r>
      <w:r w:rsidR="00607D7F" w:rsidRPr="00966D5E">
        <w:rPr>
          <w:rFonts w:cs="Arial"/>
          <w:lang w:val="en-AU"/>
        </w:rPr>
        <w:t xml:space="preserve">wide workplan for the </w:t>
      </w:r>
      <w:r w:rsidR="00CE2F40" w:rsidRPr="00966D5E">
        <w:rPr>
          <w:rFonts w:cs="Arial"/>
          <w:lang w:val="en-AU"/>
        </w:rPr>
        <w:t xml:space="preserve">Australian Government’s </w:t>
      </w:r>
      <w:r w:rsidR="00607D7F" w:rsidRPr="00966D5E">
        <w:rPr>
          <w:rFonts w:cs="Arial"/>
          <w:i/>
          <w:iCs/>
          <w:lang w:val="en-AU"/>
        </w:rPr>
        <w:t>Water Market Reform Roadmap</w:t>
      </w:r>
      <w:r w:rsidR="00607D7F" w:rsidRPr="00966D5E">
        <w:rPr>
          <w:rFonts w:cs="Arial"/>
          <w:lang w:val="en-AU"/>
        </w:rPr>
        <w:t>,</w:t>
      </w:r>
      <w:r w:rsidR="00C26B29" w:rsidRPr="00966D5E">
        <w:rPr>
          <w:rFonts w:cs="Arial"/>
          <w:lang w:val="en-AU"/>
        </w:rPr>
        <w:t xml:space="preserve"> the </w:t>
      </w:r>
      <w:r w:rsidR="00607D7F" w:rsidRPr="00966D5E">
        <w:rPr>
          <w:rFonts w:cs="Arial"/>
          <w:lang w:val="en-AU"/>
        </w:rPr>
        <w:t>develop</w:t>
      </w:r>
      <w:r w:rsidR="008A506D" w:rsidRPr="00966D5E">
        <w:rPr>
          <w:rFonts w:cs="Arial"/>
          <w:lang w:val="en-AU"/>
        </w:rPr>
        <w:t>ment of</w:t>
      </w:r>
      <w:r w:rsidR="00607D7F" w:rsidRPr="00966D5E">
        <w:rPr>
          <w:rFonts w:cs="Arial"/>
          <w:lang w:val="en-AU"/>
        </w:rPr>
        <w:t xml:space="preserve"> an assessment framework for fair and equitable access to intervalley trade with NSW, a pilot for a water market exchange platform in the Macalister </w:t>
      </w:r>
      <w:r w:rsidR="00CE2F40" w:rsidRPr="00966D5E">
        <w:rPr>
          <w:rFonts w:cs="Arial"/>
          <w:lang w:val="en-AU"/>
        </w:rPr>
        <w:t>I</w:t>
      </w:r>
      <w:r w:rsidR="00607D7F" w:rsidRPr="00966D5E">
        <w:rPr>
          <w:rFonts w:cs="Arial"/>
          <w:lang w:val="en-AU"/>
        </w:rPr>
        <w:t xml:space="preserve">rrigation </w:t>
      </w:r>
      <w:r w:rsidR="00CE2F40" w:rsidRPr="00966D5E">
        <w:rPr>
          <w:rFonts w:cs="Arial"/>
          <w:lang w:val="en-AU"/>
        </w:rPr>
        <w:t>D</w:t>
      </w:r>
      <w:r w:rsidR="00607D7F" w:rsidRPr="00966D5E">
        <w:rPr>
          <w:rFonts w:cs="Arial"/>
          <w:lang w:val="en-AU"/>
        </w:rPr>
        <w:t>istrict, and support to the Minister on market transparency and reform matters.</w:t>
      </w:r>
    </w:p>
    <w:p w14:paraId="0423E2E1" w14:textId="27BCEA7F" w:rsidR="00607D7F" w:rsidRPr="00D90AD4" w:rsidRDefault="005458EF" w:rsidP="002C3E57">
      <w:pPr>
        <w:pStyle w:val="BulletLevel1"/>
        <w:rPr>
          <w:rFonts w:cs="Arial"/>
          <w:lang w:val="en-AU"/>
        </w:rPr>
      </w:pPr>
      <w:r w:rsidRPr="00D90AD4">
        <w:rPr>
          <w:rFonts w:cs="Arial"/>
          <w:b/>
          <w:bCs/>
          <w:lang w:val="en-AU"/>
        </w:rPr>
        <w:t xml:space="preserve">WRS19: </w:t>
      </w:r>
      <w:r w:rsidR="00607D7F" w:rsidRPr="00D90AD4">
        <w:rPr>
          <w:rFonts w:cs="Arial"/>
          <w:b/>
          <w:bCs/>
          <w:lang w:val="en-AU"/>
        </w:rPr>
        <w:t xml:space="preserve">Resilient Water Markets, Regional </w:t>
      </w:r>
      <w:proofErr w:type="gramStart"/>
      <w:r w:rsidR="00607D7F" w:rsidRPr="00D90AD4">
        <w:rPr>
          <w:rFonts w:cs="Arial"/>
          <w:b/>
          <w:bCs/>
          <w:lang w:val="en-AU"/>
        </w:rPr>
        <w:t>Communities</w:t>
      </w:r>
      <w:proofErr w:type="gramEnd"/>
      <w:r w:rsidR="00607D7F" w:rsidRPr="00D90AD4">
        <w:rPr>
          <w:rFonts w:cs="Arial"/>
          <w:b/>
          <w:bCs/>
          <w:lang w:val="en-AU"/>
        </w:rPr>
        <w:t xml:space="preserve"> and Infrastructure:</w:t>
      </w:r>
      <w:r w:rsidR="00607D7F" w:rsidRPr="00D90AD4">
        <w:rPr>
          <w:rFonts w:cs="Arial"/>
          <w:lang w:val="en-AU"/>
        </w:rPr>
        <w:t xml:space="preserve"> Through EC5</w:t>
      </w:r>
      <w:r w:rsidR="0063047B" w:rsidRPr="00D90AD4">
        <w:rPr>
          <w:rFonts w:cs="Arial"/>
          <w:lang w:val="en-AU"/>
        </w:rPr>
        <w:t>,</w:t>
      </w:r>
      <w:r w:rsidR="00607D7F" w:rsidRPr="00D90AD4">
        <w:rPr>
          <w:rFonts w:cs="Arial"/>
          <w:lang w:val="en-AU"/>
        </w:rPr>
        <w:t xml:space="preserve"> this </w:t>
      </w:r>
      <w:r w:rsidR="000C08D6" w:rsidRPr="00D90AD4">
        <w:rPr>
          <w:rFonts w:cs="Arial"/>
          <w:lang w:val="en-AU"/>
        </w:rPr>
        <w:t xml:space="preserve">project </w:t>
      </w:r>
      <w:r w:rsidR="00C86E63" w:rsidRPr="00D90AD4">
        <w:rPr>
          <w:rFonts w:cs="Arial"/>
          <w:lang w:val="en-AU"/>
        </w:rPr>
        <w:t>addressed community concerns about the practices of water brokers through broker reform and regulation and involvement in inter-governmental reform</w:t>
      </w:r>
      <w:r w:rsidR="0063047B" w:rsidRPr="00D90AD4">
        <w:rPr>
          <w:rFonts w:cs="Arial"/>
          <w:lang w:val="en-AU"/>
        </w:rPr>
        <w:t>s</w:t>
      </w:r>
      <w:r w:rsidR="0062631B" w:rsidRPr="00D90AD4">
        <w:rPr>
          <w:rFonts w:cs="Arial"/>
          <w:lang w:val="en-AU"/>
        </w:rPr>
        <w:t xml:space="preserve">. This </w:t>
      </w:r>
      <w:r w:rsidR="00B12026" w:rsidRPr="00D90AD4">
        <w:rPr>
          <w:rFonts w:cs="Arial"/>
          <w:lang w:val="en-AU"/>
        </w:rPr>
        <w:t>included providing</w:t>
      </w:r>
      <w:r w:rsidR="00B06BD6" w:rsidRPr="00D90AD4">
        <w:rPr>
          <w:rFonts w:cs="Arial"/>
          <w:lang w:val="en-AU"/>
        </w:rPr>
        <w:t xml:space="preserve"> input on the Victorian component</w:t>
      </w:r>
      <w:r w:rsidR="00607D7F" w:rsidRPr="00D90AD4">
        <w:rPr>
          <w:rFonts w:cs="Arial"/>
          <w:lang w:val="en-AU"/>
        </w:rPr>
        <w:t xml:space="preserve"> of an interstate broker regulation scheme that delivers an agreed interstate standard of conduct</w:t>
      </w:r>
      <w:r w:rsidR="00202CC2" w:rsidRPr="00D90AD4">
        <w:rPr>
          <w:rFonts w:cs="Arial"/>
          <w:lang w:val="en-AU"/>
        </w:rPr>
        <w:t xml:space="preserve"> and</w:t>
      </w:r>
      <w:r w:rsidR="00A45BE0" w:rsidRPr="00D90AD4">
        <w:rPr>
          <w:rFonts w:cs="Arial"/>
          <w:lang w:val="en-AU"/>
        </w:rPr>
        <w:t xml:space="preserve"> developing foundational data to inform effective decision-making and long-term reform of Goulburn to Murray Trade rules (see WRS1</w:t>
      </w:r>
      <w:r w:rsidR="00834BD5" w:rsidRPr="00D90AD4">
        <w:rPr>
          <w:rFonts w:cs="Arial"/>
          <w:lang w:val="en-AU"/>
        </w:rPr>
        <w:t>: Retail Entitlements and Markets</w:t>
      </w:r>
      <w:r w:rsidR="00A45BE0" w:rsidRPr="00D90AD4">
        <w:rPr>
          <w:rFonts w:cs="Arial"/>
          <w:lang w:val="en-AU"/>
        </w:rPr>
        <w:t>)</w:t>
      </w:r>
      <w:r w:rsidR="00B12026" w:rsidRPr="00D90AD4">
        <w:rPr>
          <w:rFonts w:cs="Arial"/>
          <w:lang w:val="en-AU"/>
        </w:rPr>
        <w:t>.</w:t>
      </w:r>
      <w:r w:rsidR="00607D7F" w:rsidRPr="00D90AD4">
        <w:rPr>
          <w:rFonts w:cs="Arial"/>
          <w:lang w:val="en-AU"/>
        </w:rPr>
        <w:t xml:space="preserve"> </w:t>
      </w:r>
      <w:r w:rsidR="007D4D3D" w:rsidRPr="00D90AD4">
        <w:rPr>
          <w:rFonts w:cs="Arial"/>
          <w:lang w:val="en-AU"/>
        </w:rPr>
        <w:t>Draft broker regulations were also released that will support better water market transparency and confidence once implemented. Interim shortfall sharing arrangements provide arrangements to effectively manage capacity and delivery risks in 2024.</w:t>
      </w:r>
    </w:p>
    <w:p w14:paraId="38D4F7EF" w14:textId="3D76697B" w:rsidR="00607D7F" w:rsidRPr="00966D5E" w:rsidRDefault="005458EF" w:rsidP="005A7571">
      <w:pPr>
        <w:pStyle w:val="BulletLevel1"/>
        <w:rPr>
          <w:rFonts w:cs="Arial"/>
          <w:b/>
          <w:bCs/>
          <w:lang w:val="en-AU"/>
        </w:rPr>
      </w:pPr>
      <w:r w:rsidRPr="00966D5E">
        <w:rPr>
          <w:rFonts w:cs="Arial"/>
          <w:b/>
          <w:bCs/>
          <w:lang w:val="en-AU"/>
        </w:rPr>
        <w:t xml:space="preserve">WRS9: </w:t>
      </w:r>
      <w:r w:rsidR="00607D7F" w:rsidRPr="00966D5E">
        <w:rPr>
          <w:rFonts w:cs="Arial"/>
          <w:b/>
          <w:bCs/>
          <w:lang w:val="en-AU"/>
        </w:rPr>
        <w:t xml:space="preserve">Water Register Operations and Improvements: </w:t>
      </w:r>
      <w:r w:rsidR="00607D7F" w:rsidRPr="00966D5E">
        <w:rPr>
          <w:rFonts w:cs="Arial"/>
          <w:lang w:val="en-AU"/>
        </w:rPr>
        <w:t xml:space="preserve">This </w:t>
      </w:r>
      <w:r w:rsidR="00E87CEF" w:rsidRPr="00966D5E">
        <w:rPr>
          <w:rFonts w:cs="Arial"/>
          <w:lang w:val="en-AU"/>
        </w:rPr>
        <w:t xml:space="preserve">project </w:t>
      </w:r>
      <w:r w:rsidR="00607D7F" w:rsidRPr="00966D5E">
        <w:rPr>
          <w:rFonts w:cs="Arial"/>
          <w:lang w:val="en-AU"/>
        </w:rPr>
        <w:t xml:space="preserve">supported the </w:t>
      </w:r>
      <w:r w:rsidR="00C41232" w:rsidRPr="00966D5E">
        <w:rPr>
          <w:rFonts w:cs="Arial"/>
          <w:lang w:val="en-AU"/>
        </w:rPr>
        <w:t xml:space="preserve">operation of the </w:t>
      </w:r>
      <w:r w:rsidR="00607D7F" w:rsidRPr="00966D5E">
        <w:rPr>
          <w:rFonts w:cs="Arial"/>
          <w:lang w:val="en-AU"/>
        </w:rPr>
        <w:t xml:space="preserve">Victorian Water Register, critical to enabling effective management of Victoria’s </w:t>
      </w:r>
      <w:r w:rsidR="00C41232" w:rsidRPr="00966D5E">
        <w:rPr>
          <w:rFonts w:cs="Arial"/>
          <w:lang w:val="en-AU"/>
        </w:rPr>
        <w:t>wa</w:t>
      </w:r>
      <w:r w:rsidR="00121BA2" w:rsidRPr="00966D5E">
        <w:rPr>
          <w:rFonts w:cs="Arial"/>
          <w:lang w:val="en-AU"/>
        </w:rPr>
        <w:t>ter</w:t>
      </w:r>
      <w:r w:rsidR="00C41232" w:rsidRPr="00966D5E">
        <w:rPr>
          <w:rFonts w:cs="Arial"/>
          <w:lang w:val="en-AU"/>
        </w:rPr>
        <w:t xml:space="preserve"> </w:t>
      </w:r>
      <w:r w:rsidR="00607D7F" w:rsidRPr="00966D5E">
        <w:rPr>
          <w:rFonts w:cs="Arial"/>
          <w:lang w:val="en-AU"/>
        </w:rPr>
        <w:t xml:space="preserve">entitlement </w:t>
      </w:r>
      <w:r w:rsidR="00C41232" w:rsidRPr="00966D5E">
        <w:rPr>
          <w:rFonts w:cs="Arial"/>
          <w:lang w:val="en-AU"/>
        </w:rPr>
        <w:t>f</w:t>
      </w:r>
      <w:r w:rsidR="00607D7F" w:rsidRPr="00966D5E">
        <w:rPr>
          <w:rFonts w:cs="Arial"/>
          <w:lang w:val="en-AU"/>
        </w:rPr>
        <w:t xml:space="preserve">ramework. It also made </w:t>
      </w:r>
      <w:r w:rsidR="00B80D66" w:rsidRPr="00966D5E">
        <w:rPr>
          <w:rFonts w:cs="Arial"/>
          <w:lang w:val="en-AU"/>
        </w:rPr>
        <w:t xml:space="preserve">efforts </w:t>
      </w:r>
      <w:r w:rsidR="005D3D04" w:rsidRPr="00966D5E">
        <w:rPr>
          <w:rFonts w:cs="Arial"/>
          <w:lang w:val="en-AU"/>
        </w:rPr>
        <w:t>to</w:t>
      </w:r>
      <w:r w:rsidR="00607D7F" w:rsidRPr="00966D5E">
        <w:rPr>
          <w:rFonts w:cs="Arial"/>
          <w:lang w:val="en-AU"/>
        </w:rPr>
        <w:t xml:space="preserve"> transition the </w:t>
      </w:r>
      <w:r w:rsidR="00392F5B" w:rsidRPr="00966D5E">
        <w:rPr>
          <w:rFonts w:cs="Arial"/>
          <w:lang w:val="en-AU"/>
        </w:rPr>
        <w:t>Victorian Water Register</w:t>
      </w:r>
      <w:r w:rsidR="00392F5B" w:rsidRPr="00966D5E" w:rsidDel="00392F5B">
        <w:rPr>
          <w:rFonts w:cs="Arial"/>
          <w:lang w:val="en-AU"/>
        </w:rPr>
        <w:t xml:space="preserve"> </w:t>
      </w:r>
      <w:r w:rsidR="00607D7F" w:rsidRPr="00966D5E">
        <w:rPr>
          <w:rFonts w:cs="Arial"/>
          <w:lang w:val="en-AU"/>
        </w:rPr>
        <w:t xml:space="preserve">to a new technology platform </w:t>
      </w:r>
      <w:r w:rsidR="00C41232" w:rsidRPr="00966D5E">
        <w:rPr>
          <w:rFonts w:cs="Arial"/>
          <w:lang w:val="en-AU"/>
        </w:rPr>
        <w:t xml:space="preserve">that </w:t>
      </w:r>
      <w:r w:rsidR="00607D7F" w:rsidRPr="00966D5E">
        <w:rPr>
          <w:rFonts w:cs="Arial"/>
          <w:lang w:val="en-AU"/>
        </w:rPr>
        <w:t>provide</w:t>
      </w:r>
      <w:r w:rsidR="00C41232" w:rsidRPr="00966D5E">
        <w:rPr>
          <w:rFonts w:cs="Arial"/>
          <w:lang w:val="en-AU"/>
        </w:rPr>
        <w:t>s</w:t>
      </w:r>
      <w:r w:rsidR="00607D7F" w:rsidRPr="00966D5E">
        <w:rPr>
          <w:rFonts w:cs="Arial"/>
          <w:lang w:val="en-AU"/>
        </w:rPr>
        <w:t xml:space="preserve"> efficient application process</w:t>
      </w:r>
      <w:r w:rsidR="00C41232" w:rsidRPr="00966D5E">
        <w:rPr>
          <w:rFonts w:cs="Arial"/>
          <w:lang w:val="en-AU"/>
        </w:rPr>
        <w:t>ing</w:t>
      </w:r>
      <w:r w:rsidR="00607D7F" w:rsidRPr="00966D5E">
        <w:rPr>
          <w:rFonts w:cs="Arial"/>
          <w:lang w:val="en-AU"/>
        </w:rPr>
        <w:t>, new online services, security and reliability, improved communications, real-time data, and improve</w:t>
      </w:r>
      <w:r w:rsidR="00C41232" w:rsidRPr="00966D5E">
        <w:rPr>
          <w:rFonts w:cs="Arial"/>
          <w:lang w:val="en-AU"/>
        </w:rPr>
        <w:t>d</w:t>
      </w:r>
      <w:r w:rsidR="00607D7F" w:rsidRPr="00966D5E">
        <w:rPr>
          <w:rFonts w:cs="Arial"/>
          <w:lang w:val="en-AU"/>
        </w:rPr>
        <w:t xml:space="preserve"> analytics and visualisation. </w:t>
      </w:r>
      <w:r w:rsidR="00213185" w:rsidRPr="00966D5E">
        <w:rPr>
          <w:rFonts w:cs="Arial"/>
          <w:lang w:val="en-AU"/>
        </w:rPr>
        <w:t xml:space="preserve">However, </w:t>
      </w:r>
      <w:r w:rsidR="00C41232" w:rsidRPr="00966D5E">
        <w:rPr>
          <w:rFonts w:cs="Arial"/>
          <w:lang w:val="en-AU"/>
        </w:rPr>
        <w:t xml:space="preserve">delays </w:t>
      </w:r>
      <w:r w:rsidR="000C033F" w:rsidRPr="00966D5E">
        <w:rPr>
          <w:rFonts w:cs="Arial"/>
          <w:lang w:val="en-AU"/>
        </w:rPr>
        <w:t>in project delivery</w:t>
      </w:r>
      <w:r w:rsidR="007D29AE" w:rsidRPr="00966D5E">
        <w:rPr>
          <w:rFonts w:cs="Arial"/>
          <w:lang w:val="en-AU"/>
        </w:rPr>
        <w:t xml:space="preserve"> coupled with higher than planned use of project resources</w:t>
      </w:r>
      <w:r w:rsidR="00445C5A" w:rsidRPr="00966D5E">
        <w:rPr>
          <w:rFonts w:cs="Arial"/>
          <w:lang w:val="en-AU"/>
        </w:rPr>
        <w:t xml:space="preserve"> led to a review of the approach </w:t>
      </w:r>
      <w:r w:rsidR="009D7A9E" w:rsidRPr="00966D5E">
        <w:rPr>
          <w:rFonts w:cs="Arial"/>
          <w:lang w:val="en-AU"/>
        </w:rPr>
        <w:t xml:space="preserve">which found it to be infeasible based on forecast costs to complete </w:t>
      </w:r>
      <w:r w:rsidR="00566B07" w:rsidRPr="00966D5E">
        <w:rPr>
          <w:rFonts w:cs="Arial"/>
          <w:lang w:val="en-AU"/>
        </w:rPr>
        <w:t xml:space="preserve">the project and for ongoing operations. </w:t>
      </w:r>
      <w:r w:rsidR="00FA01F4" w:rsidRPr="00D90AD4">
        <w:rPr>
          <w:rFonts w:cs="Arial"/>
          <w:lang w:val="en-AU"/>
        </w:rPr>
        <w:t>Following termination of the original project, a</w:t>
      </w:r>
      <w:r w:rsidR="00A61738" w:rsidRPr="00D90AD4">
        <w:rPr>
          <w:rFonts w:cs="Arial"/>
          <w:lang w:val="en-AU"/>
        </w:rPr>
        <w:t xml:space="preserve"> </w:t>
      </w:r>
      <w:r w:rsidR="00E427AA" w:rsidRPr="00D90AD4">
        <w:rPr>
          <w:rFonts w:cs="Arial"/>
          <w:lang w:val="en-AU"/>
        </w:rPr>
        <w:t xml:space="preserve">new project </w:t>
      </w:r>
      <w:r w:rsidR="00DF10EC" w:rsidRPr="00D90AD4">
        <w:rPr>
          <w:rFonts w:cs="Arial"/>
          <w:lang w:val="en-AU"/>
        </w:rPr>
        <w:t xml:space="preserve">was established to develop an alternative approach to delivering a </w:t>
      </w:r>
      <w:r w:rsidR="00A61738" w:rsidRPr="00966D5E">
        <w:rPr>
          <w:rFonts w:cs="Arial"/>
          <w:lang w:val="en-AU"/>
        </w:rPr>
        <w:t>Victorian Water Register</w:t>
      </w:r>
      <w:r w:rsidR="00A61738" w:rsidRPr="00D90AD4">
        <w:rPr>
          <w:rFonts w:cs="Arial"/>
          <w:lang w:val="en-AU"/>
        </w:rPr>
        <w:t xml:space="preserve"> </w:t>
      </w:r>
      <w:r w:rsidR="00F72322" w:rsidRPr="00D90AD4">
        <w:rPr>
          <w:rFonts w:cs="Arial"/>
          <w:lang w:val="en-AU"/>
        </w:rPr>
        <w:t xml:space="preserve">platform </w:t>
      </w:r>
      <w:r w:rsidR="00DF10EC" w:rsidRPr="00D90AD4">
        <w:rPr>
          <w:rFonts w:cs="Arial"/>
          <w:lang w:val="en-AU"/>
        </w:rPr>
        <w:t>that maximises reuse of the investment made to date</w:t>
      </w:r>
      <w:r w:rsidR="003E12B7" w:rsidRPr="00D90AD4">
        <w:rPr>
          <w:rFonts w:cs="Arial"/>
          <w:lang w:val="en-AU"/>
        </w:rPr>
        <w:t>, while delivering a value for money outcome</w:t>
      </w:r>
      <w:r w:rsidR="00DF10EC" w:rsidRPr="00D90AD4">
        <w:rPr>
          <w:rFonts w:cs="Arial"/>
          <w:lang w:val="en-AU"/>
        </w:rPr>
        <w:t>.</w:t>
      </w:r>
    </w:p>
    <w:p w14:paraId="0FD60650" w14:textId="77777777" w:rsidR="002E331D" w:rsidRPr="00966D5E" w:rsidRDefault="0082276C" w:rsidP="005A7571">
      <w:pPr>
        <w:pStyle w:val="BulletLevel1"/>
        <w:rPr>
          <w:rFonts w:cs="Arial"/>
          <w:lang w:val="en-AU"/>
        </w:rPr>
      </w:pPr>
      <w:r w:rsidRPr="00966D5E">
        <w:rPr>
          <w:rFonts w:cs="Arial"/>
          <w:b/>
          <w:bCs/>
          <w:lang w:val="en-AU"/>
        </w:rPr>
        <w:t xml:space="preserve">WRS15: </w:t>
      </w:r>
      <w:r w:rsidR="00607D7F" w:rsidRPr="00966D5E">
        <w:rPr>
          <w:rFonts w:cs="Arial"/>
          <w:b/>
          <w:bCs/>
          <w:lang w:val="en-AU"/>
        </w:rPr>
        <w:t xml:space="preserve">Water Accounting and Reporting: </w:t>
      </w:r>
      <w:r w:rsidR="00607D7F" w:rsidRPr="00966D5E">
        <w:rPr>
          <w:rFonts w:cs="Arial"/>
          <w:lang w:val="en-AU"/>
        </w:rPr>
        <w:t xml:space="preserve">This </w:t>
      </w:r>
      <w:r w:rsidR="000C033F" w:rsidRPr="00966D5E">
        <w:rPr>
          <w:rFonts w:cs="Arial"/>
          <w:lang w:val="en-AU"/>
        </w:rPr>
        <w:t xml:space="preserve">project </w:t>
      </w:r>
      <w:r w:rsidR="00607D7F" w:rsidRPr="00966D5E">
        <w:rPr>
          <w:rFonts w:cs="Arial"/>
          <w:lang w:val="en-AU"/>
        </w:rPr>
        <w:t xml:space="preserve">delivered critical </w:t>
      </w:r>
      <w:r w:rsidR="00F457C2" w:rsidRPr="00966D5E">
        <w:rPr>
          <w:rFonts w:cs="Arial"/>
          <w:lang w:val="en-AU"/>
        </w:rPr>
        <w:t>business</w:t>
      </w:r>
      <w:r w:rsidR="00D77518" w:rsidRPr="00966D5E">
        <w:rPr>
          <w:rFonts w:cs="Arial"/>
          <w:lang w:val="en-AU"/>
        </w:rPr>
        <w:t>-</w:t>
      </w:r>
      <w:r w:rsidR="00F457C2" w:rsidRPr="00966D5E">
        <w:rPr>
          <w:rFonts w:cs="Arial"/>
          <w:lang w:val="en-AU"/>
        </w:rPr>
        <w:t>as</w:t>
      </w:r>
      <w:r w:rsidR="00D77518" w:rsidRPr="00966D5E">
        <w:rPr>
          <w:rFonts w:cs="Arial"/>
          <w:lang w:val="en-AU"/>
        </w:rPr>
        <w:t>-</w:t>
      </w:r>
      <w:r w:rsidR="00F457C2" w:rsidRPr="00966D5E">
        <w:rPr>
          <w:rFonts w:cs="Arial"/>
          <w:lang w:val="en-AU"/>
        </w:rPr>
        <w:t xml:space="preserve">usual </w:t>
      </w:r>
      <w:r w:rsidR="00607D7F" w:rsidRPr="00966D5E">
        <w:rPr>
          <w:rFonts w:cs="Arial"/>
          <w:lang w:val="en-AU"/>
        </w:rPr>
        <w:t>functions</w:t>
      </w:r>
      <w:r w:rsidR="000C033F" w:rsidRPr="00966D5E">
        <w:rPr>
          <w:rFonts w:cs="Arial"/>
          <w:lang w:val="en-AU"/>
        </w:rPr>
        <w:t>,</w:t>
      </w:r>
      <w:r w:rsidR="00607D7F" w:rsidRPr="00966D5E">
        <w:rPr>
          <w:rFonts w:cs="Arial"/>
          <w:lang w:val="en-AU"/>
        </w:rPr>
        <w:t xml:space="preserve"> including accounting for operation of the </w:t>
      </w:r>
      <w:r w:rsidR="000F2504" w:rsidRPr="00966D5E">
        <w:rPr>
          <w:rFonts w:cs="Arial"/>
          <w:lang w:val="en-AU"/>
        </w:rPr>
        <w:t>Victorian Water Register</w:t>
      </w:r>
      <w:r w:rsidR="00607D7F" w:rsidRPr="00966D5E">
        <w:rPr>
          <w:rFonts w:cs="Arial"/>
          <w:lang w:val="en-AU"/>
        </w:rPr>
        <w:t xml:space="preserve">, support for </w:t>
      </w:r>
      <w:r w:rsidR="000F2504" w:rsidRPr="00966D5E">
        <w:rPr>
          <w:rFonts w:cs="Arial"/>
          <w:lang w:val="en-AU"/>
        </w:rPr>
        <w:t>Victorian Water Register</w:t>
      </w:r>
      <w:r w:rsidR="000F2504" w:rsidRPr="00966D5E" w:rsidDel="000F2504">
        <w:rPr>
          <w:rFonts w:cs="Arial"/>
          <w:lang w:val="en-AU"/>
        </w:rPr>
        <w:t xml:space="preserve"> </w:t>
      </w:r>
      <w:r w:rsidR="00607D7F" w:rsidRPr="00966D5E">
        <w:rPr>
          <w:rFonts w:cs="Arial"/>
          <w:lang w:val="en-AU"/>
        </w:rPr>
        <w:t>users, publishing the annual Victorian Water Accounts, regular reporting on water resource condition and water quantity data. It also delivered an upgrade of the Victorian Water Accounts platform, building a new interactive website to improve the ability of users to engage with the water accounts and download the data for use.</w:t>
      </w:r>
    </w:p>
    <w:p w14:paraId="5D384BE3" w14:textId="556E9EFC" w:rsidR="00607D7F" w:rsidRPr="00966D5E" w:rsidRDefault="00607D7F" w:rsidP="005F146E">
      <w:pPr>
        <w:pStyle w:val="BulletLevel1"/>
        <w:numPr>
          <w:ilvl w:val="0"/>
          <w:numId w:val="0"/>
        </w:numPr>
        <w:ind w:left="357"/>
        <w:rPr>
          <w:rFonts w:cs="Arial"/>
          <w:lang w:val="en-AU"/>
        </w:rPr>
      </w:pPr>
      <w:r w:rsidRPr="00966D5E">
        <w:rPr>
          <w:rFonts w:cs="Arial"/>
          <w:lang w:val="en-AU"/>
        </w:rPr>
        <w:lastRenderedPageBreak/>
        <w:t>The Victorian Auditor-General’s Office, in its 2021 audit of recycled water use in Victoria, stated that “DELWP</w:t>
      </w:r>
      <w:r w:rsidR="000C033F" w:rsidRPr="00966D5E">
        <w:rPr>
          <w:rFonts w:cs="Arial"/>
          <w:lang w:val="en-AU"/>
        </w:rPr>
        <w:t xml:space="preserve"> (</w:t>
      </w:r>
      <w:r w:rsidR="00127597" w:rsidRPr="00966D5E">
        <w:rPr>
          <w:rFonts w:cs="Arial"/>
          <w:lang w:val="en-AU"/>
        </w:rPr>
        <w:t>then Department of Environment, Land, Water and Planning, now Department of Energy, Environment and Climate Action</w:t>
      </w:r>
      <w:r w:rsidR="00C64590" w:rsidRPr="00966D5E">
        <w:rPr>
          <w:rFonts w:cs="Arial"/>
          <w:lang w:val="en-AU"/>
        </w:rPr>
        <w:t xml:space="preserve"> (</w:t>
      </w:r>
      <w:r w:rsidR="000C033F" w:rsidRPr="00966D5E">
        <w:rPr>
          <w:rFonts w:cs="Arial"/>
          <w:lang w:val="en-AU"/>
        </w:rPr>
        <w:t>DEECA)</w:t>
      </w:r>
      <w:r w:rsidR="00C64590" w:rsidRPr="00966D5E">
        <w:rPr>
          <w:rFonts w:cs="Arial"/>
          <w:lang w:val="en-AU"/>
        </w:rPr>
        <w:t>)</w:t>
      </w:r>
      <w:r w:rsidRPr="00966D5E">
        <w:rPr>
          <w:rFonts w:cs="Arial"/>
          <w:lang w:val="en-AU"/>
        </w:rPr>
        <w:t xml:space="preserve"> is also working to improve publicly available water data. For example, DELWP</w:t>
      </w:r>
      <w:r w:rsidR="000C033F" w:rsidRPr="00966D5E">
        <w:rPr>
          <w:rFonts w:cs="Arial"/>
          <w:lang w:val="en-AU"/>
        </w:rPr>
        <w:t xml:space="preserve"> (DEECA)</w:t>
      </w:r>
      <w:r w:rsidRPr="00966D5E">
        <w:rPr>
          <w:rFonts w:cs="Arial"/>
          <w:lang w:val="en-AU"/>
        </w:rPr>
        <w:t xml:space="preserve"> developed the Victorian Water Accounts, which is an online, </w:t>
      </w:r>
      <w:proofErr w:type="gramStart"/>
      <w:r w:rsidRPr="00966D5E">
        <w:rPr>
          <w:rFonts w:cs="Arial"/>
          <w:lang w:val="en-AU"/>
        </w:rPr>
        <w:t>user-friendly</w:t>
      </w:r>
      <w:proofErr w:type="gramEnd"/>
      <w:r w:rsidRPr="00966D5E">
        <w:rPr>
          <w:rFonts w:cs="Arial"/>
          <w:lang w:val="en-AU"/>
        </w:rPr>
        <w:t xml:space="preserve"> and engaging overview of water use and availability across the</w:t>
      </w:r>
      <w:r w:rsidR="005F146E" w:rsidRPr="00966D5E">
        <w:rPr>
          <w:rFonts w:cs="Arial"/>
          <w:lang w:val="en-AU"/>
        </w:rPr>
        <w:t> </w:t>
      </w:r>
      <w:r w:rsidRPr="00966D5E">
        <w:rPr>
          <w:rFonts w:cs="Arial"/>
          <w:lang w:val="en-AU"/>
        </w:rPr>
        <w:t>state.”</w:t>
      </w:r>
    </w:p>
    <w:p w14:paraId="12AED077" w14:textId="77777777" w:rsidR="00D2072F" w:rsidRPr="00966D5E" w:rsidRDefault="00D2072F" w:rsidP="00CC7B09">
      <w:pPr>
        <w:pStyle w:val="Heading3"/>
        <w:rPr>
          <w:rFonts w:cs="Arial"/>
          <w:lang w:val="en-AU"/>
        </w:rPr>
      </w:pPr>
      <w:r w:rsidRPr="00966D5E">
        <w:rPr>
          <w:rFonts w:cs="Arial"/>
          <w:lang w:val="en-AU"/>
        </w:rPr>
        <w:t>More robust water entitlement system</w:t>
      </w:r>
    </w:p>
    <w:p w14:paraId="11CAB6EA" w14:textId="77777777" w:rsidR="002E331D" w:rsidRPr="00966D5E" w:rsidRDefault="00D2072F" w:rsidP="00D2072F">
      <w:pPr>
        <w:pStyle w:val="BodyText"/>
        <w:rPr>
          <w:rFonts w:cs="Arial"/>
          <w:lang w:val="en-AU"/>
        </w:rPr>
      </w:pPr>
      <w:r w:rsidRPr="00966D5E">
        <w:rPr>
          <w:rFonts w:cs="Arial"/>
          <w:lang w:val="en-AU"/>
        </w:rPr>
        <w:t xml:space="preserve">Examples of ways in which the EC5 projects have </w:t>
      </w:r>
      <w:r w:rsidR="005124AE" w:rsidRPr="00966D5E">
        <w:rPr>
          <w:rFonts w:cs="Arial"/>
          <w:lang w:val="en-AU"/>
        </w:rPr>
        <w:t>contrib</w:t>
      </w:r>
      <w:r w:rsidR="004B0ADF" w:rsidRPr="00966D5E">
        <w:rPr>
          <w:rFonts w:cs="Arial"/>
          <w:lang w:val="en-AU"/>
        </w:rPr>
        <w:t>u</w:t>
      </w:r>
      <w:r w:rsidR="005124AE" w:rsidRPr="00966D5E">
        <w:rPr>
          <w:rFonts w:cs="Arial"/>
          <w:lang w:val="en-AU"/>
        </w:rPr>
        <w:t>ted</w:t>
      </w:r>
      <w:r w:rsidRPr="00966D5E">
        <w:rPr>
          <w:rFonts w:cs="Arial"/>
          <w:lang w:val="en-AU"/>
        </w:rPr>
        <w:t xml:space="preserve"> to this outcome include:</w:t>
      </w:r>
    </w:p>
    <w:p w14:paraId="57106FCD" w14:textId="77777777" w:rsidR="002E331D" w:rsidRPr="00D90AD4" w:rsidRDefault="002E5ADD" w:rsidP="002C3E57">
      <w:pPr>
        <w:pStyle w:val="BulletLevel1"/>
        <w:rPr>
          <w:rFonts w:cs="Arial"/>
          <w:lang w:val="en-AU"/>
        </w:rPr>
      </w:pPr>
      <w:r w:rsidRPr="00D90AD4">
        <w:rPr>
          <w:rFonts w:cs="Arial"/>
          <w:b/>
          <w:bCs/>
          <w:lang w:val="en-AU"/>
        </w:rPr>
        <w:t xml:space="preserve">WRS5: </w:t>
      </w:r>
      <w:r w:rsidR="00D2072F" w:rsidRPr="00D90AD4">
        <w:rPr>
          <w:rFonts w:cs="Arial"/>
          <w:b/>
          <w:bCs/>
          <w:lang w:val="en-AU"/>
        </w:rPr>
        <w:t>Managing Victoria’s Water Sharing Framework:</w:t>
      </w:r>
      <w:r w:rsidR="00D2072F" w:rsidRPr="00D90AD4">
        <w:rPr>
          <w:rFonts w:cs="Arial"/>
          <w:lang w:val="en-AU"/>
        </w:rPr>
        <w:t xml:space="preserve"> This </w:t>
      </w:r>
      <w:r w:rsidR="00E87CEF" w:rsidRPr="00D90AD4">
        <w:rPr>
          <w:rFonts w:cs="Arial"/>
          <w:lang w:val="en-AU"/>
        </w:rPr>
        <w:t xml:space="preserve">project </w:t>
      </w:r>
      <w:r w:rsidR="00D2072F" w:rsidRPr="00D90AD4">
        <w:rPr>
          <w:rFonts w:cs="Arial"/>
          <w:lang w:val="en-AU"/>
        </w:rPr>
        <w:t xml:space="preserve">reviewed and enhanced the bulk entitlement and environmental entitlement framework to improve certainty of rights and obligations and increase flexibility for entitlement holders to better manage their water risks. </w:t>
      </w:r>
      <w:r w:rsidR="00CD0F93" w:rsidRPr="00D90AD4">
        <w:rPr>
          <w:rFonts w:cs="Arial"/>
          <w:lang w:val="en-AU"/>
        </w:rPr>
        <w:t>In</w:t>
      </w:r>
      <w:r w:rsidR="00D2072F" w:rsidRPr="00D90AD4">
        <w:rPr>
          <w:rFonts w:cs="Arial"/>
          <w:lang w:val="en-AU"/>
        </w:rPr>
        <w:t xml:space="preserve"> EC5, </w:t>
      </w:r>
      <w:r w:rsidR="00CD0F93" w:rsidRPr="00D90AD4">
        <w:rPr>
          <w:rFonts w:cs="Arial"/>
          <w:lang w:val="en-AU"/>
        </w:rPr>
        <w:t xml:space="preserve">96 </w:t>
      </w:r>
      <w:r w:rsidR="00D2072F" w:rsidRPr="00D90AD4">
        <w:rPr>
          <w:rFonts w:cs="Arial"/>
          <w:lang w:val="en-AU"/>
        </w:rPr>
        <w:t>changes (consisting of minor and major amendments, revocations, and granting of new entitlements) were made to bulk and environmental entitlements</w:t>
      </w:r>
      <w:r w:rsidR="00F00041" w:rsidRPr="00D90AD4">
        <w:rPr>
          <w:rFonts w:cs="Arial"/>
          <w:lang w:val="en-AU"/>
        </w:rPr>
        <w:t xml:space="preserve">, with 36 </w:t>
      </w:r>
      <w:r w:rsidR="00D2072F" w:rsidRPr="00D90AD4">
        <w:rPr>
          <w:rFonts w:cs="Arial"/>
          <w:lang w:val="en-AU"/>
        </w:rPr>
        <w:t xml:space="preserve">of the changes made to </w:t>
      </w:r>
      <w:r w:rsidR="00CB170A" w:rsidRPr="00D90AD4">
        <w:rPr>
          <w:rFonts w:cs="Arial"/>
          <w:lang w:val="en-AU"/>
        </w:rPr>
        <w:t xml:space="preserve">realise </w:t>
      </w:r>
      <w:r w:rsidR="00D2072F" w:rsidRPr="00D90AD4">
        <w:rPr>
          <w:rFonts w:cs="Arial"/>
          <w:lang w:val="en-AU"/>
        </w:rPr>
        <w:t xml:space="preserve">water recovery </w:t>
      </w:r>
      <w:r w:rsidR="001A108F" w:rsidRPr="00D90AD4">
        <w:rPr>
          <w:rFonts w:cs="Arial"/>
          <w:lang w:val="en-AU"/>
        </w:rPr>
        <w:t xml:space="preserve">from irrigation modernisation </w:t>
      </w:r>
      <w:r w:rsidR="00D2072F" w:rsidRPr="00D90AD4">
        <w:rPr>
          <w:rFonts w:cs="Arial"/>
          <w:lang w:val="en-AU"/>
        </w:rPr>
        <w:t>projects in northern</w:t>
      </w:r>
      <w:r w:rsidR="005F146E" w:rsidRPr="00D90AD4">
        <w:rPr>
          <w:rFonts w:cs="Arial"/>
          <w:lang w:val="en-AU"/>
        </w:rPr>
        <w:t> </w:t>
      </w:r>
      <w:r w:rsidR="00D2072F" w:rsidRPr="00D90AD4">
        <w:rPr>
          <w:rFonts w:cs="Arial"/>
          <w:lang w:val="en-AU"/>
        </w:rPr>
        <w:t>Victoria.</w:t>
      </w:r>
    </w:p>
    <w:p w14:paraId="299C706E" w14:textId="77777777" w:rsidR="002E331D" w:rsidRPr="00D90AD4" w:rsidRDefault="002E5ADD" w:rsidP="002C3E57">
      <w:pPr>
        <w:pStyle w:val="BulletLevel1"/>
        <w:rPr>
          <w:rFonts w:cs="Arial"/>
          <w:lang w:val="en-AU"/>
        </w:rPr>
      </w:pPr>
      <w:r w:rsidRPr="00D90AD4">
        <w:rPr>
          <w:rFonts w:cs="Arial"/>
          <w:b/>
          <w:bCs/>
          <w:lang w:val="en-AU"/>
        </w:rPr>
        <w:t xml:space="preserve">WRS6: </w:t>
      </w:r>
      <w:r w:rsidR="00D2072F" w:rsidRPr="00D90AD4">
        <w:rPr>
          <w:rFonts w:cs="Arial"/>
          <w:b/>
          <w:bCs/>
          <w:lang w:val="en-AU"/>
        </w:rPr>
        <w:t>Licencing Framework Groundwater and Unregulated Systems:</w:t>
      </w:r>
      <w:r w:rsidR="00D2072F" w:rsidRPr="00D90AD4">
        <w:rPr>
          <w:rFonts w:cs="Arial"/>
          <w:lang w:val="en-AU"/>
        </w:rPr>
        <w:t xml:space="preserve"> This </w:t>
      </w:r>
      <w:r w:rsidR="000C08D6" w:rsidRPr="00D90AD4">
        <w:rPr>
          <w:rFonts w:cs="Arial"/>
          <w:lang w:val="en-AU"/>
        </w:rPr>
        <w:t xml:space="preserve">project </w:t>
      </w:r>
      <w:r w:rsidR="00D2072F" w:rsidRPr="00D90AD4">
        <w:rPr>
          <w:rFonts w:cs="Arial"/>
          <w:lang w:val="en-AU"/>
        </w:rPr>
        <w:t>performed the core business function of maintaining the management and licensing framework for groundwater and unregulated systems. It also developed Groundwater Management 2030</w:t>
      </w:r>
      <w:r w:rsidR="0078197F" w:rsidRPr="00D90AD4">
        <w:rPr>
          <w:rFonts w:cs="Arial"/>
          <w:lang w:val="en-AU"/>
        </w:rPr>
        <w:t xml:space="preserve"> (GM203</w:t>
      </w:r>
      <w:r w:rsidR="008B0575" w:rsidRPr="00D90AD4">
        <w:rPr>
          <w:rFonts w:cs="Arial"/>
          <w:lang w:val="en-AU"/>
        </w:rPr>
        <w:t>0</w:t>
      </w:r>
      <w:r w:rsidR="0078197F" w:rsidRPr="00D90AD4">
        <w:rPr>
          <w:rFonts w:cs="Arial"/>
          <w:lang w:val="en-AU"/>
        </w:rPr>
        <w:t>)</w:t>
      </w:r>
      <w:r w:rsidR="00D2072F" w:rsidRPr="00D90AD4">
        <w:rPr>
          <w:rFonts w:cs="Arial"/>
          <w:lang w:val="en-AU"/>
        </w:rPr>
        <w:t xml:space="preserve">, which sets clear </w:t>
      </w:r>
      <w:r w:rsidR="00E00101" w:rsidRPr="00D90AD4">
        <w:rPr>
          <w:rFonts w:cs="Arial"/>
          <w:lang w:val="en-AU"/>
        </w:rPr>
        <w:t xml:space="preserve">priorities </w:t>
      </w:r>
      <w:r w:rsidR="00D2072F" w:rsidRPr="00D90AD4">
        <w:rPr>
          <w:rFonts w:cs="Arial"/>
          <w:lang w:val="en-AU"/>
        </w:rPr>
        <w:t>to</w:t>
      </w:r>
      <w:r w:rsidR="00E00101" w:rsidRPr="00D90AD4">
        <w:rPr>
          <w:rFonts w:cs="Arial"/>
          <w:lang w:val="en-AU"/>
        </w:rPr>
        <w:t xml:space="preserve"> enable better</w:t>
      </w:r>
      <w:r w:rsidR="00D2072F" w:rsidRPr="00D90AD4">
        <w:rPr>
          <w:rFonts w:cs="Arial"/>
          <w:lang w:val="en-AU"/>
        </w:rPr>
        <w:t xml:space="preserve"> management and licencing of groundwater</w:t>
      </w:r>
      <w:r w:rsidR="00E00101" w:rsidRPr="00D90AD4">
        <w:rPr>
          <w:rFonts w:cs="Arial"/>
          <w:lang w:val="en-AU"/>
        </w:rPr>
        <w:t xml:space="preserve"> by 2030</w:t>
      </w:r>
      <w:r w:rsidR="00D2072F" w:rsidRPr="00D90AD4">
        <w:rPr>
          <w:rFonts w:cs="Arial"/>
          <w:lang w:val="en-AU"/>
        </w:rPr>
        <w:t xml:space="preserve">. The release of GM2030 </w:t>
      </w:r>
      <w:r w:rsidR="002A3143" w:rsidRPr="00D90AD4">
        <w:rPr>
          <w:rFonts w:cs="Arial"/>
          <w:lang w:val="en-AU"/>
        </w:rPr>
        <w:t xml:space="preserve">contributes to </w:t>
      </w:r>
      <w:r w:rsidR="00D3725C" w:rsidRPr="00D90AD4">
        <w:rPr>
          <w:rFonts w:cs="Arial"/>
          <w:lang w:val="en-AU"/>
        </w:rPr>
        <w:t xml:space="preserve">improved </w:t>
      </w:r>
      <w:r w:rsidR="00D2072F" w:rsidRPr="00D90AD4">
        <w:rPr>
          <w:rFonts w:cs="Arial"/>
          <w:lang w:val="en-AU"/>
        </w:rPr>
        <w:t xml:space="preserve">confidence in the </w:t>
      </w:r>
      <w:r w:rsidR="00D3725C" w:rsidRPr="00D90AD4">
        <w:rPr>
          <w:rFonts w:cs="Arial"/>
          <w:lang w:val="en-AU"/>
        </w:rPr>
        <w:t xml:space="preserve">water </w:t>
      </w:r>
      <w:r w:rsidR="00D2072F" w:rsidRPr="00D90AD4">
        <w:rPr>
          <w:rFonts w:cs="Arial"/>
          <w:lang w:val="en-AU"/>
        </w:rPr>
        <w:t>entitlement framework and water management plans</w:t>
      </w:r>
      <w:r w:rsidR="0011250A" w:rsidRPr="00D90AD4">
        <w:rPr>
          <w:rFonts w:cs="Arial"/>
          <w:lang w:val="en-AU"/>
        </w:rPr>
        <w:t xml:space="preserve">. </w:t>
      </w:r>
      <w:r w:rsidR="001021A0" w:rsidRPr="00D90AD4">
        <w:rPr>
          <w:rFonts w:cs="Arial"/>
          <w:lang w:val="en-AU"/>
        </w:rPr>
        <w:t xml:space="preserve">The GM2030 implementation phase has started under several </w:t>
      </w:r>
      <w:r w:rsidR="00C404F7" w:rsidRPr="00D90AD4">
        <w:rPr>
          <w:rFonts w:cs="Arial"/>
          <w:lang w:val="en-AU"/>
        </w:rPr>
        <w:t>p</w:t>
      </w:r>
      <w:r w:rsidR="001021A0" w:rsidRPr="00D90AD4">
        <w:rPr>
          <w:rFonts w:cs="Arial"/>
          <w:lang w:val="en-AU"/>
        </w:rPr>
        <w:t xml:space="preserve">riority </w:t>
      </w:r>
      <w:r w:rsidR="00C404F7" w:rsidRPr="00D90AD4">
        <w:rPr>
          <w:rFonts w:cs="Arial"/>
          <w:lang w:val="en-AU"/>
        </w:rPr>
        <w:t>a</w:t>
      </w:r>
      <w:r w:rsidR="001021A0" w:rsidRPr="00D90AD4">
        <w:rPr>
          <w:rFonts w:cs="Arial"/>
          <w:lang w:val="en-AU"/>
        </w:rPr>
        <w:t xml:space="preserve">reas to review, </w:t>
      </w:r>
      <w:proofErr w:type="gramStart"/>
      <w:r w:rsidR="001021A0" w:rsidRPr="00D90AD4">
        <w:rPr>
          <w:rFonts w:cs="Arial"/>
          <w:lang w:val="en-AU"/>
        </w:rPr>
        <w:t>streamline</w:t>
      </w:r>
      <w:proofErr w:type="gramEnd"/>
      <w:r w:rsidR="001021A0" w:rsidRPr="00D90AD4">
        <w:rPr>
          <w:rFonts w:cs="Arial"/>
          <w:lang w:val="en-AU"/>
        </w:rPr>
        <w:t xml:space="preserve"> and identify any gaps within the entitlement and management framework, essential tools that underpin decision-making for water </w:t>
      </w:r>
      <w:r w:rsidR="003829C6" w:rsidRPr="00D90AD4">
        <w:rPr>
          <w:rFonts w:cs="Arial"/>
          <w:lang w:val="en-AU"/>
        </w:rPr>
        <w:t>corporations. This</w:t>
      </w:r>
      <w:r w:rsidR="00D85B09" w:rsidRPr="00D90AD4">
        <w:rPr>
          <w:rFonts w:cs="Arial"/>
          <w:lang w:val="en-AU"/>
        </w:rPr>
        <w:t xml:space="preserve"> will lay the foundation for</w:t>
      </w:r>
      <w:r w:rsidR="00D2072F" w:rsidRPr="00D90AD4">
        <w:rPr>
          <w:rFonts w:cs="Arial"/>
          <w:lang w:val="en-AU"/>
        </w:rPr>
        <w:t xml:space="preserve"> new and amended licensing</w:t>
      </w:r>
      <w:r w:rsidR="005F146E" w:rsidRPr="00D90AD4">
        <w:rPr>
          <w:rFonts w:cs="Arial"/>
          <w:lang w:val="en-AU"/>
        </w:rPr>
        <w:t xml:space="preserve"> </w:t>
      </w:r>
      <w:r w:rsidR="00D2072F" w:rsidRPr="00D90AD4">
        <w:rPr>
          <w:rFonts w:cs="Arial"/>
          <w:lang w:val="en-AU"/>
        </w:rPr>
        <w:t>/</w:t>
      </w:r>
      <w:r w:rsidR="005F146E" w:rsidRPr="00D90AD4">
        <w:rPr>
          <w:rFonts w:cs="Arial"/>
          <w:lang w:val="en-AU"/>
        </w:rPr>
        <w:t xml:space="preserve"> </w:t>
      </w:r>
      <w:r w:rsidR="00D2072F" w:rsidRPr="00D90AD4">
        <w:rPr>
          <w:rFonts w:cs="Arial"/>
          <w:lang w:val="en-AU"/>
        </w:rPr>
        <w:t>management</w:t>
      </w:r>
      <w:r w:rsidR="005F146E" w:rsidRPr="00D90AD4">
        <w:rPr>
          <w:rFonts w:cs="Arial"/>
          <w:lang w:val="en-AU"/>
        </w:rPr>
        <w:t> </w:t>
      </w:r>
      <w:r w:rsidR="00D2072F" w:rsidRPr="00D90AD4">
        <w:rPr>
          <w:rFonts w:cs="Arial"/>
          <w:lang w:val="en-AU"/>
        </w:rPr>
        <w:t>policies.</w:t>
      </w:r>
    </w:p>
    <w:p w14:paraId="3A61855C" w14:textId="77777777" w:rsidR="002E331D" w:rsidRPr="00D90AD4" w:rsidRDefault="002E5ADD" w:rsidP="000C6FCE">
      <w:pPr>
        <w:pStyle w:val="BulletLevel1"/>
        <w:rPr>
          <w:rFonts w:cs="Arial"/>
          <w:lang w:val="en-AU"/>
        </w:rPr>
      </w:pPr>
      <w:r w:rsidRPr="00966D5E">
        <w:rPr>
          <w:rFonts w:cs="Arial"/>
          <w:b/>
          <w:bCs/>
          <w:lang w:val="en-AU"/>
        </w:rPr>
        <w:t xml:space="preserve">WRS1: </w:t>
      </w:r>
      <w:r w:rsidR="00D2072F" w:rsidRPr="00966D5E">
        <w:rPr>
          <w:rFonts w:cs="Arial"/>
          <w:b/>
          <w:bCs/>
          <w:lang w:val="en-AU"/>
        </w:rPr>
        <w:t xml:space="preserve">Retail Entitlements and Markets: </w:t>
      </w:r>
      <w:r w:rsidR="00D2072F" w:rsidRPr="00966D5E">
        <w:rPr>
          <w:rFonts w:cs="Arial"/>
          <w:lang w:val="en-AU"/>
        </w:rPr>
        <w:t xml:space="preserve">This </w:t>
      </w:r>
      <w:r w:rsidR="00E62A96" w:rsidRPr="00966D5E">
        <w:rPr>
          <w:rFonts w:cs="Arial"/>
          <w:lang w:val="en-AU"/>
        </w:rPr>
        <w:t xml:space="preserve">project </w:t>
      </w:r>
      <w:r w:rsidR="00841D0D" w:rsidRPr="00966D5E">
        <w:rPr>
          <w:rFonts w:cs="Arial"/>
          <w:lang w:val="en-AU"/>
        </w:rPr>
        <w:t>contributed to</w:t>
      </w:r>
      <w:r w:rsidR="00D2072F" w:rsidRPr="00966D5E">
        <w:rPr>
          <w:rFonts w:cs="Arial"/>
          <w:lang w:val="en-AU"/>
        </w:rPr>
        <w:t xml:space="preserve"> </w:t>
      </w:r>
      <w:r w:rsidR="00616C71" w:rsidRPr="00966D5E">
        <w:rPr>
          <w:rFonts w:cs="Arial"/>
          <w:lang w:val="en-AU"/>
        </w:rPr>
        <w:t>protect</w:t>
      </w:r>
      <w:r w:rsidR="00841D0D" w:rsidRPr="00966D5E">
        <w:rPr>
          <w:rFonts w:cs="Arial"/>
          <w:lang w:val="en-AU"/>
        </w:rPr>
        <w:t>ing</w:t>
      </w:r>
      <w:r w:rsidR="00616C71" w:rsidRPr="00966D5E">
        <w:rPr>
          <w:rFonts w:cs="Arial"/>
          <w:lang w:val="en-AU"/>
        </w:rPr>
        <w:t xml:space="preserve"> the integrity of the retail entitlement and market framework and increased fairness and equity in water markets by providing transparent trade information and monitoring market behaviour to ensure equitable access to trade opportunities. </w:t>
      </w:r>
      <w:r w:rsidR="000C6FCE" w:rsidRPr="00D90AD4">
        <w:rPr>
          <w:rFonts w:cs="Arial"/>
          <w:lang w:val="en-AU"/>
        </w:rPr>
        <w:t xml:space="preserve">New water trading and operating rules mean that Victoria’s trading rules for the Goulburn system meet </w:t>
      </w:r>
      <w:r w:rsidR="00AD3D57" w:rsidRPr="00D90AD4">
        <w:rPr>
          <w:rFonts w:cs="Arial"/>
          <w:lang w:val="en-AU"/>
        </w:rPr>
        <w:t>legislative</w:t>
      </w:r>
      <w:r w:rsidR="000C6FCE" w:rsidRPr="00D90AD4">
        <w:rPr>
          <w:rFonts w:cs="Arial"/>
          <w:lang w:val="en-AU"/>
        </w:rPr>
        <w:t xml:space="preserve"> requirements and enable water to be traded within ecological and cultural limits of the </w:t>
      </w:r>
      <w:r w:rsidR="00AD3D57" w:rsidRPr="00D90AD4">
        <w:rPr>
          <w:rFonts w:cs="Arial"/>
          <w:lang w:val="en-AU"/>
        </w:rPr>
        <w:t>Goulburn</w:t>
      </w:r>
      <w:r w:rsidR="000C6FCE" w:rsidRPr="00D90AD4">
        <w:rPr>
          <w:rFonts w:cs="Arial"/>
          <w:lang w:val="en-AU"/>
        </w:rPr>
        <w:t xml:space="preserve"> River.</w:t>
      </w:r>
    </w:p>
    <w:p w14:paraId="04A6F2E8" w14:textId="77777777" w:rsidR="002E331D" w:rsidRPr="00966D5E" w:rsidRDefault="002E5ADD" w:rsidP="005A7571">
      <w:pPr>
        <w:pStyle w:val="BulletLevel1"/>
        <w:rPr>
          <w:rFonts w:cs="Arial"/>
          <w:lang w:val="en-AU"/>
        </w:rPr>
      </w:pPr>
      <w:r w:rsidRPr="00966D5E">
        <w:rPr>
          <w:rFonts w:cs="Arial"/>
          <w:b/>
          <w:bCs/>
          <w:lang w:val="en-AU"/>
        </w:rPr>
        <w:t xml:space="preserve">WRS8: </w:t>
      </w:r>
      <w:r w:rsidR="00D2072F" w:rsidRPr="00966D5E">
        <w:rPr>
          <w:rFonts w:cs="Arial"/>
          <w:b/>
          <w:bCs/>
          <w:lang w:val="en-AU"/>
        </w:rPr>
        <w:t xml:space="preserve">Accounting for Water Recovery: </w:t>
      </w:r>
      <w:r w:rsidR="00D2072F" w:rsidRPr="00966D5E">
        <w:rPr>
          <w:rFonts w:cs="Arial"/>
          <w:lang w:val="en-AU"/>
        </w:rPr>
        <w:t xml:space="preserve">This </w:t>
      </w:r>
      <w:r w:rsidR="000C08D6" w:rsidRPr="00966D5E">
        <w:rPr>
          <w:rFonts w:cs="Arial"/>
          <w:lang w:val="en-AU"/>
        </w:rPr>
        <w:t xml:space="preserve">project </w:t>
      </w:r>
      <w:r w:rsidR="00D2072F" w:rsidRPr="00966D5E">
        <w:rPr>
          <w:rFonts w:cs="Arial"/>
          <w:lang w:val="en-AU"/>
        </w:rPr>
        <w:t xml:space="preserve">enabled </w:t>
      </w:r>
      <w:r w:rsidR="006C36B3" w:rsidRPr="00966D5E">
        <w:rPr>
          <w:rFonts w:cs="Arial"/>
          <w:lang w:val="en-AU"/>
        </w:rPr>
        <w:t>the conversion</w:t>
      </w:r>
      <w:r w:rsidR="007D7E66" w:rsidRPr="00966D5E">
        <w:rPr>
          <w:rFonts w:cs="Arial"/>
          <w:lang w:val="en-AU"/>
        </w:rPr>
        <w:t xml:space="preserve"> of </w:t>
      </w:r>
      <w:r w:rsidR="006A252E" w:rsidRPr="00966D5E">
        <w:rPr>
          <w:rFonts w:cs="Arial"/>
          <w:lang w:val="en-AU"/>
        </w:rPr>
        <w:t>long-term</w:t>
      </w:r>
      <w:r w:rsidR="00D2072F" w:rsidRPr="00966D5E">
        <w:rPr>
          <w:rFonts w:cs="Arial"/>
          <w:lang w:val="en-AU"/>
        </w:rPr>
        <w:t xml:space="preserve"> water recovery from water savings projects into water entitlement volumes and reliabilities</w:t>
      </w:r>
      <w:r w:rsidR="007D7E66" w:rsidRPr="00966D5E">
        <w:rPr>
          <w:rFonts w:cs="Arial"/>
          <w:lang w:val="en-AU"/>
        </w:rPr>
        <w:t xml:space="preserve">. </w:t>
      </w:r>
      <w:r w:rsidR="007449EC" w:rsidRPr="00966D5E">
        <w:rPr>
          <w:rFonts w:cs="Arial"/>
          <w:lang w:val="en-AU"/>
        </w:rPr>
        <w:t>The project also delivered</w:t>
      </w:r>
      <w:r w:rsidR="00D2072F" w:rsidRPr="00966D5E">
        <w:rPr>
          <w:rFonts w:cs="Arial"/>
          <w:lang w:val="en-AU"/>
        </w:rPr>
        <w:t xml:space="preserve"> the legally necessary amendments to bulk entitlements to be </w:t>
      </w:r>
      <w:proofErr w:type="gramStart"/>
      <w:r w:rsidR="00D2072F" w:rsidRPr="00966D5E">
        <w:rPr>
          <w:rFonts w:cs="Arial"/>
          <w:lang w:val="en-AU"/>
        </w:rPr>
        <w:t>made</w:t>
      </w:r>
      <w:r w:rsidR="007449EC" w:rsidRPr="00966D5E">
        <w:rPr>
          <w:rFonts w:cs="Arial"/>
          <w:lang w:val="en-AU"/>
        </w:rPr>
        <w:t>, and</w:t>
      </w:r>
      <w:proofErr w:type="gramEnd"/>
      <w:r w:rsidR="007449EC" w:rsidRPr="00966D5E">
        <w:rPr>
          <w:rFonts w:cs="Arial"/>
          <w:lang w:val="en-AU"/>
        </w:rPr>
        <w:t xml:space="preserve"> funded the audit</w:t>
      </w:r>
      <w:r w:rsidR="00D2072F" w:rsidRPr="00966D5E">
        <w:rPr>
          <w:rFonts w:cs="Arial"/>
          <w:lang w:val="en-AU"/>
        </w:rPr>
        <w:t xml:space="preserve">. This enabled distribution of water recovery benefits, and for Victoria to demonstrate its progress </w:t>
      </w:r>
      <w:r w:rsidR="007449EC" w:rsidRPr="00966D5E">
        <w:rPr>
          <w:rFonts w:cs="Arial"/>
          <w:lang w:val="en-AU"/>
        </w:rPr>
        <w:t xml:space="preserve">with </w:t>
      </w:r>
      <w:r w:rsidR="00D2072F" w:rsidRPr="00966D5E">
        <w:rPr>
          <w:rFonts w:cs="Arial"/>
          <w:lang w:val="en-AU"/>
        </w:rPr>
        <w:t>meeting its water recovery target obligations under the Murray-Darling Basin Plan.</w:t>
      </w:r>
    </w:p>
    <w:p w14:paraId="25901692" w14:textId="6CD363C2" w:rsidR="00D565EF" w:rsidRPr="00966D5E" w:rsidRDefault="00D565EF">
      <w:pPr>
        <w:pStyle w:val="Heading2"/>
        <w:numPr>
          <w:ilvl w:val="1"/>
          <w:numId w:val="34"/>
        </w:numPr>
        <w:rPr>
          <w:rFonts w:cs="Arial"/>
          <w:lang w:val="en-AU"/>
        </w:rPr>
      </w:pPr>
      <w:bookmarkStart w:id="2" w:name="_Toc147002223"/>
      <w:r w:rsidRPr="00966D5E">
        <w:rPr>
          <w:rFonts w:cs="Arial"/>
          <w:lang w:val="en-AU"/>
        </w:rPr>
        <w:lastRenderedPageBreak/>
        <w:t>What progress has been made toward efficient water use?</w:t>
      </w:r>
      <w:bookmarkEnd w:id="2"/>
    </w:p>
    <w:p w14:paraId="46ADD8EE" w14:textId="77777777" w:rsidR="00D565EF" w:rsidRPr="00966D5E" w:rsidRDefault="00D565EF" w:rsidP="00CC7B09">
      <w:pPr>
        <w:pStyle w:val="Heading3"/>
        <w:rPr>
          <w:rFonts w:cs="Arial"/>
          <w:lang w:val="en-AU"/>
        </w:rPr>
      </w:pPr>
      <w:r w:rsidRPr="00966D5E">
        <w:rPr>
          <w:rFonts w:cs="Arial"/>
          <w:lang w:val="en-AU"/>
        </w:rPr>
        <w:t>Improved water awareness and water efficiency in schools and homes</w:t>
      </w:r>
    </w:p>
    <w:p w14:paraId="58646269" w14:textId="77777777" w:rsidR="002E331D" w:rsidRPr="00D90AD4" w:rsidRDefault="00D565EF" w:rsidP="005F146E">
      <w:pPr>
        <w:pStyle w:val="BodyText"/>
        <w:keepNext/>
        <w:keepLines/>
        <w:rPr>
          <w:rFonts w:cs="Arial"/>
          <w:lang w:val="en-AU"/>
        </w:rPr>
      </w:pPr>
      <w:r w:rsidRPr="00966D5E">
        <w:rPr>
          <w:rFonts w:cs="Arial"/>
          <w:lang w:val="en-AU"/>
        </w:rPr>
        <w:t>The Water Efficiency Program has delivered water awareness and efficiency measures in schools and homes through the Schools Water Efficiency Program (SWEP), the Community Rebate Program (CRP) and the Community Housing Retrofit Program (CHRP). Key achievements</w:t>
      </w:r>
      <w:r w:rsidR="003724AB" w:rsidRPr="00966D5E">
        <w:rPr>
          <w:rFonts w:cs="Arial"/>
          <w:lang w:val="en-AU"/>
        </w:rPr>
        <w:t xml:space="preserve"> for</w:t>
      </w:r>
      <w:r w:rsidRPr="00966D5E">
        <w:rPr>
          <w:rFonts w:cs="Arial"/>
          <w:lang w:val="en-AU"/>
        </w:rPr>
        <w:t xml:space="preserve"> </w:t>
      </w:r>
      <w:r w:rsidR="003724AB" w:rsidRPr="00966D5E">
        <w:rPr>
          <w:rFonts w:cs="Arial"/>
          <w:b/>
          <w:bCs/>
          <w:lang w:val="en-AU"/>
        </w:rPr>
        <w:t>CWCT05: Water Efficiency Program</w:t>
      </w:r>
      <w:r w:rsidR="003724AB" w:rsidRPr="00966D5E">
        <w:rPr>
          <w:rFonts w:cs="Arial"/>
          <w:lang w:val="en-AU"/>
        </w:rPr>
        <w:t xml:space="preserve"> </w:t>
      </w:r>
      <w:r w:rsidRPr="00966D5E">
        <w:rPr>
          <w:rFonts w:cs="Arial"/>
          <w:lang w:val="en-AU"/>
        </w:rPr>
        <w:t>include:</w:t>
      </w:r>
    </w:p>
    <w:p w14:paraId="5ADEB8FA" w14:textId="77777777" w:rsidR="002E331D" w:rsidRPr="00966D5E" w:rsidRDefault="00D565EF" w:rsidP="005F146E">
      <w:pPr>
        <w:pStyle w:val="BodyText"/>
        <w:keepNext/>
        <w:keepLines/>
        <w:rPr>
          <w:rFonts w:cs="Arial"/>
          <w:lang w:val="en-AU"/>
        </w:rPr>
      </w:pPr>
      <w:r w:rsidRPr="00966D5E">
        <w:rPr>
          <w:rFonts w:cs="Arial"/>
          <w:lang w:val="en-AU"/>
        </w:rPr>
        <w:t>For CRP and CHRP:</w:t>
      </w:r>
    </w:p>
    <w:p w14:paraId="3B7BDE39" w14:textId="069D47F8" w:rsidR="00D565EF" w:rsidRPr="00966D5E" w:rsidRDefault="00D565EF" w:rsidP="005F146E">
      <w:pPr>
        <w:pStyle w:val="BulletLevel1"/>
        <w:keepNext/>
        <w:keepLines/>
        <w:rPr>
          <w:rFonts w:cs="Arial"/>
          <w:lang w:val="en-AU"/>
        </w:rPr>
      </w:pPr>
      <w:r w:rsidRPr="00966D5E">
        <w:rPr>
          <w:rFonts w:cs="Arial"/>
          <w:lang w:val="en-AU"/>
        </w:rPr>
        <w:t xml:space="preserve">These programs undertook water audits, fixed </w:t>
      </w:r>
      <w:proofErr w:type="gramStart"/>
      <w:r w:rsidRPr="00966D5E">
        <w:rPr>
          <w:rFonts w:cs="Arial"/>
          <w:lang w:val="en-AU"/>
        </w:rPr>
        <w:t>leaks</w:t>
      </w:r>
      <w:proofErr w:type="gramEnd"/>
      <w:r w:rsidRPr="00966D5E">
        <w:rPr>
          <w:rFonts w:cs="Arial"/>
          <w:lang w:val="en-AU"/>
        </w:rPr>
        <w:t xml:space="preserve"> and upgraded water using appliances for </w:t>
      </w:r>
      <w:r w:rsidR="003C5B56" w:rsidRPr="00966D5E">
        <w:rPr>
          <w:rFonts w:cs="Arial"/>
          <w:lang w:val="en-AU"/>
        </w:rPr>
        <w:t>6,035</w:t>
      </w:r>
      <w:r w:rsidRPr="00966D5E">
        <w:rPr>
          <w:rFonts w:cs="Arial"/>
          <w:lang w:val="en-AU"/>
        </w:rPr>
        <w:t xml:space="preserve"> households and emergency community housing properties </w:t>
      </w:r>
      <w:r w:rsidR="00D247FB" w:rsidRPr="00D90AD4">
        <w:rPr>
          <w:rFonts w:cs="Arial"/>
          <w:lang w:val="en-AU"/>
        </w:rPr>
        <w:t>exceed</w:t>
      </w:r>
      <w:r w:rsidR="00124C63" w:rsidRPr="00D90AD4">
        <w:rPr>
          <w:rFonts w:cs="Arial"/>
          <w:lang w:val="en-AU"/>
        </w:rPr>
        <w:t>ing</w:t>
      </w:r>
      <w:r w:rsidR="00D247FB" w:rsidRPr="00D90AD4">
        <w:rPr>
          <w:rFonts w:cs="Arial"/>
          <w:lang w:val="en-AU"/>
        </w:rPr>
        <w:t xml:space="preserve"> the EC5 Making Victorians Waterwise target of 5,275</w:t>
      </w:r>
      <w:r w:rsidR="00D247FB" w:rsidRPr="00D90AD4">
        <w:rPr>
          <w:rFonts w:cs="Arial"/>
          <w:vertAlign w:val="superscript"/>
          <w:lang w:val="en-AU"/>
        </w:rPr>
        <w:footnoteReference w:id="2"/>
      </w:r>
      <w:r w:rsidR="00D247FB" w:rsidRPr="00D90AD4">
        <w:rPr>
          <w:rFonts w:cs="Arial"/>
          <w:lang w:val="en-AU"/>
        </w:rPr>
        <w:t xml:space="preserve"> rebates by 15%</w:t>
      </w:r>
      <w:r w:rsidR="00124C63" w:rsidRPr="00D90AD4">
        <w:rPr>
          <w:rFonts w:cs="Arial"/>
          <w:lang w:val="en-AU"/>
        </w:rPr>
        <w:t>.</w:t>
      </w:r>
      <w:r w:rsidR="00D247FB" w:rsidRPr="00D90AD4">
        <w:rPr>
          <w:rFonts w:cs="Arial"/>
          <w:lang w:val="en-AU"/>
        </w:rPr>
        <w:t xml:space="preserve"> </w:t>
      </w:r>
      <w:r w:rsidR="00124C63" w:rsidRPr="00D90AD4">
        <w:rPr>
          <w:rFonts w:cs="Arial"/>
          <w:lang w:val="en-AU"/>
        </w:rPr>
        <w:t>T</w:t>
      </w:r>
      <w:r w:rsidR="00D247FB" w:rsidRPr="00D90AD4">
        <w:rPr>
          <w:rFonts w:cs="Arial"/>
          <w:lang w:val="en-AU"/>
        </w:rPr>
        <w:t xml:space="preserve">he accumulated water savings resulted in 298 </w:t>
      </w:r>
      <w:r w:rsidR="00404752" w:rsidRPr="00D90AD4">
        <w:rPr>
          <w:rFonts w:cs="Arial"/>
          <w:lang w:val="en-AU"/>
        </w:rPr>
        <w:t>ML</w:t>
      </w:r>
      <w:r w:rsidR="00D247FB" w:rsidRPr="00D90AD4">
        <w:rPr>
          <w:rFonts w:cs="Arial"/>
          <w:lang w:val="en-AU"/>
        </w:rPr>
        <w:t xml:space="preserve"> of water saved </w:t>
      </w:r>
      <w:r w:rsidR="00404752" w:rsidRPr="00D90AD4">
        <w:rPr>
          <w:rFonts w:cs="Arial"/>
          <w:lang w:val="en-AU"/>
        </w:rPr>
        <w:t>during</w:t>
      </w:r>
      <w:r w:rsidR="00D247FB" w:rsidRPr="00D90AD4">
        <w:rPr>
          <w:rFonts w:cs="Arial"/>
          <w:lang w:val="en-AU"/>
        </w:rPr>
        <w:t xml:space="preserve"> EC5</w:t>
      </w:r>
      <w:r w:rsidR="00404752" w:rsidRPr="00D90AD4">
        <w:rPr>
          <w:rFonts w:cs="Arial"/>
          <w:lang w:val="en-AU"/>
        </w:rPr>
        <w:t>, equating</w:t>
      </w:r>
      <w:r w:rsidR="00D247FB" w:rsidRPr="00D90AD4">
        <w:rPr>
          <w:rFonts w:cs="Arial"/>
          <w:lang w:val="en-AU"/>
        </w:rPr>
        <w:t xml:space="preserve"> to $0.75 million</w:t>
      </w:r>
      <w:r w:rsidR="00D247FB" w:rsidRPr="00D90AD4">
        <w:rPr>
          <w:rFonts w:cs="Arial"/>
          <w:vertAlign w:val="superscript"/>
          <w:lang w:val="en-AU"/>
        </w:rPr>
        <w:footnoteReference w:id="3"/>
      </w:r>
      <w:r w:rsidR="00D247FB" w:rsidRPr="00D90AD4">
        <w:rPr>
          <w:rFonts w:cs="Arial"/>
          <w:lang w:val="en-AU"/>
        </w:rPr>
        <w:t xml:space="preserve"> in total bill savings from reduced water and wastewater charges or $124 average saving per customer assisted per year. Once water efficient products are installed, the water savings continue for the life of the</w:t>
      </w:r>
      <w:r w:rsidR="005F146E" w:rsidRPr="00D90AD4">
        <w:rPr>
          <w:rFonts w:cs="Arial"/>
          <w:lang w:val="en-AU"/>
        </w:rPr>
        <w:t> </w:t>
      </w:r>
      <w:r w:rsidR="00D247FB" w:rsidRPr="00D90AD4">
        <w:rPr>
          <w:rFonts w:cs="Arial"/>
          <w:lang w:val="en-AU"/>
        </w:rPr>
        <w:t>product</w:t>
      </w:r>
      <w:r w:rsidR="004238DE" w:rsidRPr="00D90AD4">
        <w:rPr>
          <w:rFonts w:cs="Arial"/>
          <w:lang w:val="en-AU"/>
        </w:rPr>
        <w:t>.</w:t>
      </w:r>
    </w:p>
    <w:p w14:paraId="1A09139D" w14:textId="567462CE" w:rsidR="00D565EF" w:rsidRPr="00966D5E" w:rsidRDefault="008B1746" w:rsidP="005A7571">
      <w:pPr>
        <w:pStyle w:val="BulletLevel1"/>
        <w:rPr>
          <w:rFonts w:cs="Arial"/>
          <w:lang w:val="en-AU"/>
        </w:rPr>
      </w:pPr>
      <w:r w:rsidRPr="00966D5E">
        <w:rPr>
          <w:rFonts w:cs="Arial"/>
          <w:lang w:val="en-AU"/>
        </w:rPr>
        <w:t xml:space="preserve">Around </w:t>
      </w:r>
      <w:r w:rsidR="00D565EF" w:rsidRPr="00966D5E">
        <w:rPr>
          <w:rFonts w:cs="Arial"/>
          <w:lang w:val="en-AU"/>
        </w:rPr>
        <w:t>5</w:t>
      </w:r>
      <w:r w:rsidRPr="00966D5E">
        <w:rPr>
          <w:rFonts w:cs="Arial"/>
          <w:lang w:val="en-AU"/>
        </w:rPr>
        <w:t>0</w:t>
      </w:r>
      <w:r w:rsidR="00D565EF" w:rsidRPr="00966D5E">
        <w:rPr>
          <w:rFonts w:cs="Arial"/>
          <w:lang w:val="en-AU"/>
        </w:rPr>
        <w:t xml:space="preserve">% of customers who responded to an independent evaluation survey stated they had changed their behaviour to save water after participating in the </w:t>
      </w:r>
      <w:r w:rsidR="004238DE" w:rsidRPr="00966D5E">
        <w:rPr>
          <w:rFonts w:cs="Arial"/>
          <w:lang w:val="en-AU"/>
        </w:rPr>
        <w:t>CRP or the CHRP</w:t>
      </w:r>
      <w:r w:rsidR="00D565EF" w:rsidRPr="00966D5E">
        <w:rPr>
          <w:rFonts w:cs="Arial"/>
          <w:lang w:val="en-AU"/>
        </w:rPr>
        <w:t>.</w:t>
      </w:r>
    </w:p>
    <w:p w14:paraId="60306E0D" w14:textId="77777777" w:rsidR="002E331D" w:rsidRPr="00966D5E" w:rsidRDefault="00D565EF" w:rsidP="005A7571">
      <w:pPr>
        <w:pStyle w:val="BulletLevel1"/>
        <w:rPr>
          <w:rFonts w:cs="Arial"/>
          <w:lang w:val="en-AU"/>
        </w:rPr>
      </w:pPr>
      <w:r w:rsidRPr="00966D5E">
        <w:rPr>
          <w:rFonts w:cs="Arial"/>
          <w:lang w:val="en-AU"/>
        </w:rPr>
        <w:t>An independent evaluation found that the programs were effective in reaching customers that are generally vulnerable or in hardship situations</w:t>
      </w:r>
      <w:r w:rsidR="004238DE" w:rsidRPr="00966D5E">
        <w:rPr>
          <w:rFonts w:cs="Arial"/>
          <w:lang w:val="en-AU"/>
        </w:rPr>
        <w:t>. F</w:t>
      </w:r>
      <w:r w:rsidRPr="00966D5E">
        <w:rPr>
          <w:rFonts w:cs="Arial"/>
          <w:lang w:val="en-AU"/>
        </w:rPr>
        <w:t>or CRP</w:t>
      </w:r>
      <w:r w:rsidR="004238DE" w:rsidRPr="00966D5E">
        <w:rPr>
          <w:rFonts w:cs="Arial"/>
          <w:lang w:val="en-AU"/>
        </w:rPr>
        <w:t>,</w:t>
      </w:r>
      <w:r w:rsidRPr="00966D5E">
        <w:rPr>
          <w:rFonts w:cs="Arial"/>
          <w:lang w:val="en-AU"/>
        </w:rPr>
        <w:t xml:space="preserve"> 81% were concession card holders and 29% had a disability</w:t>
      </w:r>
      <w:r w:rsidR="004238DE" w:rsidRPr="00966D5E">
        <w:rPr>
          <w:rFonts w:cs="Arial"/>
          <w:lang w:val="en-AU"/>
        </w:rPr>
        <w:t>. F</w:t>
      </w:r>
      <w:r w:rsidRPr="00966D5E">
        <w:rPr>
          <w:rFonts w:cs="Arial"/>
          <w:lang w:val="en-AU"/>
        </w:rPr>
        <w:t xml:space="preserve">or CHRP housing, </w:t>
      </w:r>
      <w:r w:rsidR="000B6B0F" w:rsidRPr="00966D5E">
        <w:rPr>
          <w:rFonts w:cs="Arial"/>
          <w:lang w:val="en-AU"/>
        </w:rPr>
        <w:t xml:space="preserve">34% of </w:t>
      </w:r>
      <w:r w:rsidRPr="00966D5E">
        <w:rPr>
          <w:rFonts w:cs="Arial"/>
          <w:lang w:val="en-AU"/>
        </w:rPr>
        <w:t xml:space="preserve">tenants identified as having a disability, </w:t>
      </w:r>
      <w:r w:rsidR="000B6B0F" w:rsidRPr="00966D5E">
        <w:rPr>
          <w:rFonts w:cs="Arial"/>
          <w:lang w:val="en-AU"/>
        </w:rPr>
        <w:t xml:space="preserve">31% </w:t>
      </w:r>
      <w:r w:rsidRPr="00966D5E">
        <w:rPr>
          <w:rFonts w:cs="Arial"/>
          <w:lang w:val="en-AU"/>
        </w:rPr>
        <w:t>spoke a language other than English, and</w:t>
      </w:r>
      <w:r w:rsidR="000B6B0F" w:rsidRPr="00966D5E">
        <w:rPr>
          <w:rFonts w:cs="Arial"/>
          <w:lang w:val="en-AU"/>
        </w:rPr>
        <w:t xml:space="preserve"> 31%</w:t>
      </w:r>
      <w:r w:rsidRPr="00966D5E">
        <w:rPr>
          <w:rFonts w:cs="Arial"/>
          <w:lang w:val="en-AU"/>
        </w:rPr>
        <w:t xml:space="preserve"> identified as Aboriginal or Torres Strait Islander. </w:t>
      </w:r>
      <w:r w:rsidR="00E1734B" w:rsidRPr="00966D5E">
        <w:rPr>
          <w:rFonts w:cs="Arial"/>
          <w:lang w:val="en-AU"/>
        </w:rPr>
        <w:t xml:space="preserve">Almost </w:t>
      </w:r>
      <w:r w:rsidRPr="00966D5E">
        <w:rPr>
          <w:rFonts w:cs="Arial"/>
          <w:lang w:val="en-AU"/>
        </w:rPr>
        <w:t xml:space="preserve">80% of customers would have not upgraded their appliances within the next 5 years without assistance from the </w:t>
      </w:r>
      <w:r w:rsidR="00EE110E" w:rsidRPr="00966D5E">
        <w:rPr>
          <w:rFonts w:cs="Arial"/>
          <w:lang w:val="en-AU"/>
        </w:rPr>
        <w:t>CRP</w:t>
      </w:r>
      <w:r w:rsidRPr="00966D5E">
        <w:rPr>
          <w:rFonts w:cs="Arial"/>
          <w:lang w:val="en-AU"/>
        </w:rPr>
        <w:t>.</w:t>
      </w:r>
    </w:p>
    <w:p w14:paraId="4B0DB43F" w14:textId="77777777" w:rsidR="002E331D" w:rsidRPr="00966D5E" w:rsidRDefault="00D565EF" w:rsidP="00D565EF">
      <w:pPr>
        <w:pStyle w:val="BodyText"/>
        <w:rPr>
          <w:rFonts w:cs="Arial"/>
          <w:lang w:val="en-AU"/>
        </w:rPr>
      </w:pPr>
      <w:r w:rsidRPr="00966D5E">
        <w:rPr>
          <w:rFonts w:cs="Arial"/>
          <w:lang w:val="en-AU"/>
        </w:rPr>
        <w:t>For SWEP:</w:t>
      </w:r>
    </w:p>
    <w:p w14:paraId="390DB8DF" w14:textId="4DBF9D98" w:rsidR="00D565EF" w:rsidRPr="00966D5E" w:rsidRDefault="7E23458C" w:rsidP="005A7571">
      <w:pPr>
        <w:pStyle w:val="BulletLevel1"/>
        <w:rPr>
          <w:rFonts w:cs="Arial"/>
          <w:lang w:val="en-AU"/>
        </w:rPr>
      </w:pPr>
      <w:r w:rsidRPr="00966D5E">
        <w:rPr>
          <w:rFonts w:cs="Arial"/>
          <w:lang w:val="en-AU"/>
        </w:rPr>
        <w:t xml:space="preserve">SWEP </w:t>
      </w:r>
      <w:r w:rsidR="4A13C79B" w:rsidRPr="00966D5E">
        <w:rPr>
          <w:rFonts w:cs="Arial"/>
          <w:lang w:val="en-AU"/>
        </w:rPr>
        <w:t>h</w:t>
      </w:r>
      <w:r w:rsidR="00D565EF" w:rsidRPr="00966D5E">
        <w:rPr>
          <w:rFonts w:cs="Arial"/>
          <w:lang w:val="en-AU"/>
        </w:rPr>
        <w:t>as delivered water use monitoring, leak alert service</w:t>
      </w:r>
      <w:r w:rsidR="00EE110E" w:rsidRPr="00966D5E">
        <w:rPr>
          <w:rFonts w:cs="Arial"/>
          <w:lang w:val="en-AU"/>
        </w:rPr>
        <w:t>s</w:t>
      </w:r>
      <w:r w:rsidR="00D565EF" w:rsidRPr="00966D5E">
        <w:rPr>
          <w:rFonts w:cs="Arial"/>
          <w:lang w:val="en-AU"/>
        </w:rPr>
        <w:t xml:space="preserve">, </w:t>
      </w:r>
      <w:r w:rsidR="15310522" w:rsidRPr="00966D5E">
        <w:rPr>
          <w:rFonts w:cs="Arial"/>
          <w:lang w:val="en-AU"/>
        </w:rPr>
        <w:t xml:space="preserve">and </w:t>
      </w:r>
      <w:r w:rsidR="00D565EF" w:rsidRPr="00966D5E">
        <w:rPr>
          <w:rFonts w:cs="Arial"/>
          <w:lang w:val="en-AU"/>
        </w:rPr>
        <w:t xml:space="preserve">data visualisation through the online portal and provided dedicated science and maths curriculum materials to </w:t>
      </w:r>
      <w:r w:rsidR="008F599A" w:rsidRPr="00966D5E">
        <w:rPr>
          <w:rFonts w:cs="Arial"/>
          <w:lang w:val="en-AU"/>
        </w:rPr>
        <w:t>1,452</w:t>
      </w:r>
      <w:r w:rsidR="00613282" w:rsidRPr="00D90AD4">
        <w:rPr>
          <w:rStyle w:val="FootnoteReference"/>
          <w:rFonts w:cs="Arial"/>
          <w:lang w:val="en-AU"/>
        </w:rPr>
        <w:footnoteReference w:id="4"/>
      </w:r>
      <w:r w:rsidR="00D565EF" w:rsidRPr="00966D5E">
        <w:rPr>
          <w:rFonts w:cs="Arial"/>
          <w:lang w:val="en-AU"/>
        </w:rPr>
        <w:t xml:space="preserve"> schools, with </w:t>
      </w:r>
      <w:r w:rsidR="00383770" w:rsidRPr="00966D5E">
        <w:rPr>
          <w:rFonts w:cs="Arial"/>
          <w:lang w:val="en-AU"/>
        </w:rPr>
        <w:t xml:space="preserve">212 </w:t>
      </w:r>
      <w:r w:rsidR="00D565EF" w:rsidRPr="00966D5E">
        <w:rPr>
          <w:rFonts w:cs="Arial"/>
          <w:lang w:val="en-AU"/>
        </w:rPr>
        <w:t xml:space="preserve">of these registered during EC5. </w:t>
      </w:r>
      <w:r w:rsidR="00735A98" w:rsidRPr="00D90AD4">
        <w:rPr>
          <w:rFonts w:cs="Arial"/>
          <w:lang w:val="en-AU"/>
        </w:rPr>
        <w:t>A total of $5 million was invested in SWEP over 4 years.</w:t>
      </w:r>
    </w:p>
    <w:p w14:paraId="5E7A0AA4" w14:textId="3246CAA5" w:rsidR="00D565EF" w:rsidRPr="00966D5E" w:rsidRDefault="00D565EF">
      <w:pPr>
        <w:pStyle w:val="BulletLevel1"/>
        <w:rPr>
          <w:rFonts w:cs="Arial"/>
          <w:lang w:val="en-AU"/>
        </w:rPr>
      </w:pPr>
      <w:r w:rsidRPr="00966D5E">
        <w:rPr>
          <w:rFonts w:cs="Arial"/>
          <w:lang w:val="en-AU"/>
        </w:rPr>
        <w:t xml:space="preserve">SWEP data monitoring identified a total of </w:t>
      </w:r>
      <w:r w:rsidR="00EC4E13" w:rsidRPr="00966D5E">
        <w:rPr>
          <w:rFonts w:cs="Arial"/>
          <w:lang w:val="en-AU"/>
        </w:rPr>
        <w:t>3,010 leak events</w:t>
      </w:r>
      <w:r w:rsidR="00C11285" w:rsidRPr="00D90AD4">
        <w:rPr>
          <w:rStyle w:val="FootnoteReference"/>
          <w:rFonts w:cs="Arial"/>
          <w:lang w:val="en-AU"/>
        </w:rPr>
        <w:footnoteReference w:id="5"/>
      </w:r>
      <w:r w:rsidR="00EC4E13" w:rsidRPr="00966D5E">
        <w:rPr>
          <w:rFonts w:cs="Arial"/>
          <w:lang w:val="en-AU"/>
        </w:rPr>
        <w:t xml:space="preserve"> in 905 schools (60% of registered schools) and saved 1.9 </w:t>
      </w:r>
      <w:r w:rsidR="00A0587F" w:rsidRPr="00966D5E">
        <w:rPr>
          <w:rFonts w:cs="Arial"/>
          <w:lang w:val="en-AU"/>
        </w:rPr>
        <w:t>GL</w:t>
      </w:r>
      <w:r w:rsidR="00EC4E13" w:rsidRPr="00966D5E">
        <w:rPr>
          <w:rFonts w:cs="Arial"/>
          <w:lang w:val="en-AU"/>
        </w:rPr>
        <w:t xml:space="preserve"> of potable water equating to $8.46 million in avoided water and wastewater costs to schools. This represents a payback period of 2.3 years.</w:t>
      </w:r>
    </w:p>
    <w:p w14:paraId="1CBA9821" w14:textId="77777777" w:rsidR="002E331D" w:rsidRPr="00D90AD4" w:rsidRDefault="00D565EF" w:rsidP="502DBC70">
      <w:pPr>
        <w:pStyle w:val="BodyText"/>
        <w:rPr>
          <w:rFonts w:cs="Arial"/>
          <w:sz w:val="19"/>
          <w:szCs w:val="19"/>
          <w:lang w:val="en-AU"/>
        </w:rPr>
      </w:pPr>
      <w:r w:rsidRPr="00966D5E">
        <w:rPr>
          <w:rFonts w:cs="Arial"/>
          <w:lang w:val="en-AU"/>
        </w:rPr>
        <w:t xml:space="preserve">The </w:t>
      </w:r>
      <w:r w:rsidR="000C08D6" w:rsidRPr="00966D5E">
        <w:rPr>
          <w:rFonts w:cs="Arial"/>
          <w:lang w:val="en-AU"/>
        </w:rPr>
        <w:t xml:space="preserve">project </w:t>
      </w:r>
      <w:r w:rsidRPr="00966D5E">
        <w:rPr>
          <w:rFonts w:cs="Arial"/>
          <w:lang w:val="en-AU"/>
        </w:rPr>
        <w:t>also provided Victoria’s contribution to the</w:t>
      </w:r>
      <w:r w:rsidR="001F477C" w:rsidRPr="00966D5E">
        <w:rPr>
          <w:rFonts w:cs="Arial"/>
          <w:lang w:val="en-AU"/>
        </w:rPr>
        <w:t xml:space="preserve"> Australian Government’s</w:t>
      </w:r>
      <w:r w:rsidRPr="00966D5E">
        <w:rPr>
          <w:rFonts w:cs="Arial"/>
          <w:lang w:val="en-AU"/>
        </w:rPr>
        <w:t xml:space="preserve"> </w:t>
      </w:r>
      <w:r w:rsidR="3062D329" w:rsidRPr="00966D5E">
        <w:rPr>
          <w:rFonts w:cs="Arial"/>
          <w:lang w:val="en-AU"/>
        </w:rPr>
        <w:t>Water Efficiency Labelling and Standards (</w:t>
      </w:r>
      <w:r w:rsidRPr="00966D5E">
        <w:rPr>
          <w:rFonts w:cs="Arial"/>
          <w:lang w:val="en-AU"/>
        </w:rPr>
        <w:t>WELS</w:t>
      </w:r>
      <w:r w:rsidR="79FF9B6D" w:rsidRPr="00966D5E">
        <w:rPr>
          <w:rFonts w:cs="Arial"/>
          <w:lang w:val="en-AU"/>
        </w:rPr>
        <w:t>)</w:t>
      </w:r>
      <w:r w:rsidRPr="00966D5E">
        <w:rPr>
          <w:rFonts w:cs="Arial"/>
          <w:lang w:val="en-AU"/>
        </w:rPr>
        <w:t xml:space="preserve"> scheme, which regulates and provides consumer advice on water using products at the point of sale</w:t>
      </w:r>
      <w:r w:rsidR="0034759B" w:rsidRPr="00966D5E">
        <w:rPr>
          <w:rFonts w:cs="Arial"/>
          <w:lang w:val="en-AU"/>
        </w:rPr>
        <w:t>. This</w:t>
      </w:r>
      <w:r w:rsidRPr="00966D5E">
        <w:rPr>
          <w:rFonts w:cs="Arial"/>
          <w:lang w:val="en-AU"/>
        </w:rPr>
        <w:t xml:space="preserve"> resulted in 4</w:t>
      </w:r>
      <w:r w:rsidR="00FE04FE" w:rsidRPr="00966D5E">
        <w:rPr>
          <w:rFonts w:cs="Arial"/>
          <w:lang w:val="en-AU"/>
        </w:rPr>
        <w:t xml:space="preserve"> </w:t>
      </w:r>
      <w:r w:rsidRPr="00966D5E">
        <w:rPr>
          <w:rFonts w:cs="Arial"/>
          <w:lang w:val="en-AU"/>
        </w:rPr>
        <w:t>GL of water savings and national economic return of $587,416.</w:t>
      </w:r>
      <w:r w:rsidRPr="00966D5E">
        <w:rPr>
          <w:rFonts w:cs="Arial"/>
          <w:vertAlign w:val="superscript"/>
          <w:lang w:val="en-AU"/>
        </w:rPr>
        <w:footnoteReference w:id="6"/>
      </w:r>
    </w:p>
    <w:p w14:paraId="7055B539" w14:textId="1934E179" w:rsidR="00CC2DAC" w:rsidRPr="00966D5E" w:rsidRDefault="006E0DFC" w:rsidP="005F146E">
      <w:pPr>
        <w:pStyle w:val="BodyText"/>
        <w:keepNext/>
        <w:keepLines/>
        <w:rPr>
          <w:rFonts w:cs="Arial"/>
          <w:lang w:val="en-AU"/>
        </w:rPr>
      </w:pPr>
      <w:r w:rsidRPr="00D90AD4">
        <w:rPr>
          <w:rFonts w:cs="Arial"/>
          <w:lang w:val="en-AU"/>
        </w:rPr>
        <w:lastRenderedPageBreak/>
        <w:t xml:space="preserve">During the EC5, Melbourne’s per capita water use remained relatively stable; from 160 litres per person per day in 2020-21, 163 litres in </w:t>
      </w:r>
      <w:r w:rsidR="00816EDB" w:rsidRPr="00D90AD4">
        <w:rPr>
          <w:rFonts w:cs="Arial"/>
          <w:lang w:val="en-AU"/>
        </w:rPr>
        <w:t>20</w:t>
      </w:r>
      <w:r w:rsidRPr="00D90AD4">
        <w:rPr>
          <w:rFonts w:cs="Arial"/>
          <w:lang w:val="en-AU"/>
        </w:rPr>
        <w:t>21-22, reducing to 161 litres per person per day in 202</w:t>
      </w:r>
      <w:r w:rsidR="001D246A" w:rsidRPr="00D90AD4">
        <w:rPr>
          <w:rFonts w:cs="Arial"/>
          <w:lang w:val="en-AU"/>
        </w:rPr>
        <w:t>2</w:t>
      </w:r>
      <w:r w:rsidRPr="00D90AD4">
        <w:rPr>
          <w:rFonts w:cs="Arial"/>
          <w:lang w:val="en-AU"/>
        </w:rPr>
        <w:t>-23.</w:t>
      </w:r>
      <w:r w:rsidRPr="00D90AD4">
        <w:rPr>
          <w:rFonts w:cs="Arial"/>
          <w:vertAlign w:val="superscript"/>
          <w:lang w:val="en-AU"/>
        </w:rPr>
        <w:footnoteReference w:id="7"/>
      </w:r>
      <w:r w:rsidRPr="00D90AD4">
        <w:rPr>
          <w:rFonts w:cs="Arial"/>
          <w:lang w:val="en-AU"/>
        </w:rPr>
        <w:t xml:space="preserve"> Since August 2021, Melbourne storages remained above 80% full and water restrictions were not required.</w:t>
      </w:r>
      <w:r w:rsidRPr="00D90AD4">
        <w:rPr>
          <w:rStyle w:val="FootnoteReference"/>
          <w:rFonts w:cs="Arial"/>
          <w:lang w:val="en-AU"/>
        </w:rPr>
        <w:footnoteReference w:id="8"/>
      </w:r>
      <w:r w:rsidRPr="00D90AD4">
        <w:rPr>
          <w:rFonts w:cs="Arial"/>
          <w:lang w:val="en-AU"/>
        </w:rPr>
        <w:t xml:space="preserve"> The Melbourne 2022-23 per capita water use needs to reduce by 11 litres to meet the current voluntary target of 150 </w:t>
      </w:r>
      <w:r w:rsidR="00D071CF" w:rsidRPr="00D90AD4">
        <w:rPr>
          <w:rFonts w:cs="Arial"/>
          <w:lang w:val="en-AU"/>
        </w:rPr>
        <w:t>litres per person per day</w:t>
      </w:r>
      <w:r w:rsidR="00CC2DAC" w:rsidRPr="00D90AD4">
        <w:rPr>
          <w:rFonts w:cs="Arial"/>
          <w:lang w:val="en-AU"/>
        </w:rPr>
        <w:t>.</w:t>
      </w:r>
    </w:p>
    <w:p w14:paraId="0AB0745E" w14:textId="77777777" w:rsidR="002E331D" w:rsidRPr="00966D5E" w:rsidRDefault="00993EBB" w:rsidP="00CC2DAC">
      <w:pPr>
        <w:pStyle w:val="BodyText"/>
        <w:rPr>
          <w:rFonts w:cs="Arial"/>
          <w:lang w:val="en-AU"/>
        </w:rPr>
      </w:pPr>
      <w:r w:rsidRPr="00966D5E">
        <w:rPr>
          <w:rFonts w:cs="Arial"/>
          <w:lang w:val="en-AU"/>
        </w:rPr>
        <w:t xml:space="preserve">The </w:t>
      </w:r>
      <w:r w:rsidR="00F018A6" w:rsidRPr="00966D5E">
        <w:rPr>
          <w:rFonts w:cs="Arial"/>
          <w:b/>
          <w:bCs/>
          <w:lang w:val="en-AU"/>
        </w:rPr>
        <w:t>CWCT07: CGRSWS Funding Stream 2 Diversify Water Sources and Increase Water Efficiency</w:t>
      </w:r>
      <w:r w:rsidRPr="00966D5E">
        <w:rPr>
          <w:rFonts w:cs="Arial"/>
          <w:b/>
          <w:bCs/>
          <w:lang w:val="en-AU"/>
        </w:rPr>
        <w:t xml:space="preserve"> </w:t>
      </w:r>
      <w:r w:rsidR="004654BF" w:rsidRPr="00966D5E">
        <w:rPr>
          <w:rFonts w:cs="Arial"/>
          <w:lang w:val="en-AU"/>
        </w:rPr>
        <w:t>program</w:t>
      </w:r>
      <w:r w:rsidRPr="00966D5E">
        <w:rPr>
          <w:rFonts w:cs="Arial"/>
          <w:lang w:val="en-AU"/>
        </w:rPr>
        <w:t xml:space="preserve"> also </w:t>
      </w:r>
      <w:r w:rsidR="00D565EF" w:rsidRPr="00966D5E">
        <w:rPr>
          <w:rFonts w:cs="Arial"/>
          <w:lang w:val="en-AU"/>
        </w:rPr>
        <w:t>deliver</w:t>
      </w:r>
      <w:r w:rsidR="0025037B" w:rsidRPr="00966D5E">
        <w:rPr>
          <w:rFonts w:cs="Arial"/>
          <w:lang w:val="en-AU"/>
        </w:rPr>
        <w:t>ed</w:t>
      </w:r>
      <w:r w:rsidR="00D565EF" w:rsidRPr="00966D5E">
        <w:rPr>
          <w:rFonts w:cs="Arial"/>
          <w:lang w:val="en-AU"/>
        </w:rPr>
        <w:t xml:space="preserve"> water efficiency outcomes through </w:t>
      </w:r>
      <w:r w:rsidR="009D0379" w:rsidRPr="00966D5E">
        <w:rPr>
          <w:rFonts w:cs="Arial"/>
          <w:lang w:val="en-AU"/>
        </w:rPr>
        <w:t>d</w:t>
      </w:r>
      <w:r w:rsidR="00D565EF" w:rsidRPr="00966D5E">
        <w:rPr>
          <w:rFonts w:cs="Arial"/>
          <w:lang w:val="en-AU"/>
        </w:rPr>
        <w:t>elivery of WaterSmart across all 10 CGRSWS urban water corporations, assisting</w:t>
      </w:r>
      <w:r w:rsidR="009D0379" w:rsidRPr="00966D5E">
        <w:rPr>
          <w:rFonts w:cs="Arial"/>
          <w:lang w:val="en-AU"/>
        </w:rPr>
        <w:t xml:space="preserve"> a minimum of</w:t>
      </w:r>
      <w:r w:rsidR="00D565EF" w:rsidRPr="00966D5E">
        <w:rPr>
          <w:rFonts w:cs="Arial"/>
          <w:lang w:val="en-AU"/>
        </w:rPr>
        <w:t xml:space="preserve"> 370 large and medium non-residential customers to implement</w:t>
      </w:r>
      <w:r w:rsidR="009D0379" w:rsidRPr="00966D5E">
        <w:rPr>
          <w:rFonts w:cs="Arial"/>
          <w:lang w:val="en-AU"/>
        </w:rPr>
        <w:t xml:space="preserve"> on-site</w:t>
      </w:r>
      <w:r w:rsidR="00D565EF" w:rsidRPr="00966D5E">
        <w:rPr>
          <w:rFonts w:cs="Arial"/>
          <w:lang w:val="en-AU"/>
        </w:rPr>
        <w:t xml:space="preserve"> water use monitoring and/or undertake water efficiency audits</w:t>
      </w:r>
      <w:r w:rsidR="00D02B1A" w:rsidRPr="00966D5E">
        <w:rPr>
          <w:rFonts w:cs="Arial"/>
          <w:lang w:val="en-AU"/>
        </w:rPr>
        <w:t xml:space="preserve"> </w:t>
      </w:r>
      <w:r w:rsidR="00D02B1A" w:rsidRPr="00D90AD4">
        <w:rPr>
          <w:rFonts w:cs="Arial"/>
          <w:lang w:val="en-AU"/>
        </w:rPr>
        <w:t xml:space="preserve">(two-year delivery period from September 2023 to September 2025). </w:t>
      </w:r>
      <w:proofErr w:type="gramStart"/>
      <w:r w:rsidR="00D02B1A" w:rsidRPr="00D90AD4">
        <w:rPr>
          <w:rFonts w:cs="Arial"/>
          <w:lang w:val="en-AU"/>
        </w:rPr>
        <w:t>At</w:t>
      </w:r>
      <w:proofErr w:type="gramEnd"/>
      <w:r w:rsidR="00D02B1A" w:rsidRPr="00D90AD4">
        <w:rPr>
          <w:rFonts w:cs="Arial"/>
          <w:lang w:val="en-AU"/>
        </w:rPr>
        <w:t xml:space="preserve"> 30 June 2024, the program had assisted 408 customer sites, exceeding the minimum target of 370</w:t>
      </w:r>
      <w:r w:rsidR="00165540" w:rsidRPr="00D90AD4">
        <w:rPr>
          <w:rFonts w:cs="Arial"/>
          <w:lang w:val="en-AU"/>
        </w:rPr>
        <w:t>.</w:t>
      </w:r>
      <w:r w:rsidR="00312DA9" w:rsidRPr="00966D5E">
        <w:rPr>
          <w:rFonts w:cs="Arial"/>
          <w:lang w:val="en-AU"/>
        </w:rPr>
        <w:t xml:space="preserve"> This also included a </w:t>
      </w:r>
      <w:r w:rsidR="00312DA9" w:rsidRPr="00D90AD4">
        <w:rPr>
          <w:rFonts w:cs="Arial"/>
          <w:lang w:val="en-AU"/>
        </w:rPr>
        <w:t xml:space="preserve">synthesis of existing and planned water efficiency behaviour change </w:t>
      </w:r>
      <w:r w:rsidR="004A2235" w:rsidRPr="00D90AD4">
        <w:rPr>
          <w:rFonts w:cs="Arial"/>
          <w:lang w:val="en-AU"/>
        </w:rPr>
        <w:t>activitie</w:t>
      </w:r>
      <w:r w:rsidR="00312DA9" w:rsidRPr="00D90AD4">
        <w:rPr>
          <w:rFonts w:cs="Arial"/>
          <w:lang w:val="en-AU"/>
        </w:rPr>
        <w:t>s in Victoria and other jurisdictions to identify gaps and opportunities for collaboration</w:t>
      </w:r>
      <w:r w:rsidR="00D565EF" w:rsidRPr="00966D5E">
        <w:rPr>
          <w:rFonts w:cs="Arial"/>
          <w:lang w:val="en-AU"/>
        </w:rPr>
        <w:t>.</w:t>
      </w:r>
    </w:p>
    <w:p w14:paraId="52D7853D" w14:textId="085D9F2F" w:rsidR="00D565EF" w:rsidRPr="00966D5E" w:rsidRDefault="00D565EF" w:rsidP="00CC7B09">
      <w:pPr>
        <w:pStyle w:val="Heading3"/>
        <w:rPr>
          <w:rFonts w:cs="Arial"/>
          <w:lang w:val="en-AU"/>
        </w:rPr>
      </w:pPr>
      <w:r w:rsidRPr="00966D5E">
        <w:rPr>
          <w:rFonts w:cs="Arial"/>
          <w:lang w:val="en-AU"/>
        </w:rPr>
        <w:t>Improved water awareness and water efficiency in irrigation communities</w:t>
      </w:r>
    </w:p>
    <w:p w14:paraId="21DEC13B" w14:textId="29664AF5" w:rsidR="009467FA" w:rsidRPr="00966D5E" w:rsidRDefault="00B6777A">
      <w:pPr>
        <w:pStyle w:val="BulletLevel1"/>
        <w:numPr>
          <w:ilvl w:val="0"/>
          <w:numId w:val="0"/>
        </w:numPr>
        <w:rPr>
          <w:rFonts w:cs="Arial"/>
          <w:lang w:val="en-AU"/>
        </w:rPr>
      </w:pPr>
      <w:r w:rsidRPr="00966D5E">
        <w:rPr>
          <w:rFonts w:cs="Arial"/>
          <w:lang w:val="en-AU"/>
        </w:rPr>
        <w:t>EC5 projects delivered of a range of</w:t>
      </w:r>
      <w:r w:rsidR="00277F81" w:rsidRPr="00966D5E">
        <w:rPr>
          <w:rFonts w:cs="Arial"/>
          <w:lang w:val="en-AU"/>
        </w:rPr>
        <w:t xml:space="preserve"> infrastructure and modernisation</w:t>
      </w:r>
      <w:r w:rsidR="00E92798" w:rsidRPr="00966D5E">
        <w:rPr>
          <w:rFonts w:cs="Arial"/>
          <w:lang w:val="en-AU"/>
        </w:rPr>
        <w:t xml:space="preserve"> projects</w:t>
      </w:r>
      <w:r w:rsidR="00277F81" w:rsidRPr="00966D5E">
        <w:rPr>
          <w:rFonts w:cs="Arial"/>
          <w:lang w:val="en-AU"/>
        </w:rPr>
        <w:t xml:space="preserve"> to improve water efficiency i</w:t>
      </w:r>
      <w:r w:rsidR="00FF2440" w:rsidRPr="00966D5E">
        <w:rPr>
          <w:rFonts w:cs="Arial"/>
          <w:lang w:val="en-AU"/>
        </w:rPr>
        <w:t>n irrigation communities and</w:t>
      </w:r>
      <w:r w:rsidR="00B24C0B" w:rsidRPr="00966D5E">
        <w:rPr>
          <w:rFonts w:cs="Arial"/>
          <w:lang w:val="en-AU"/>
        </w:rPr>
        <w:t xml:space="preserve"> provid</w:t>
      </w:r>
      <w:r w:rsidR="00E92798" w:rsidRPr="00966D5E">
        <w:rPr>
          <w:rFonts w:cs="Arial"/>
          <w:lang w:val="en-AU"/>
        </w:rPr>
        <w:t>ed</w:t>
      </w:r>
      <w:r w:rsidR="00B24C0B" w:rsidRPr="00966D5E">
        <w:rPr>
          <w:rFonts w:cs="Arial"/>
          <w:lang w:val="en-AU"/>
        </w:rPr>
        <w:t xml:space="preserve"> educational tools and knowledge to irrigators to improve water awareness</w:t>
      </w:r>
      <w:r w:rsidR="00E92798" w:rsidRPr="00966D5E">
        <w:rPr>
          <w:rFonts w:cs="Arial"/>
          <w:lang w:val="en-AU"/>
        </w:rPr>
        <w:t>. The major projects supporting this outcome</w:t>
      </w:r>
      <w:r w:rsidR="00C20113" w:rsidRPr="00966D5E">
        <w:rPr>
          <w:rFonts w:cs="Arial"/>
          <w:lang w:val="en-AU"/>
        </w:rPr>
        <w:t xml:space="preserve"> were:</w:t>
      </w:r>
    </w:p>
    <w:p w14:paraId="147677B6" w14:textId="7C028375" w:rsidR="00D565EF" w:rsidRPr="00966D5E" w:rsidRDefault="009C56CA" w:rsidP="005A7571">
      <w:pPr>
        <w:pStyle w:val="BulletLevel1"/>
        <w:rPr>
          <w:rFonts w:cs="Arial"/>
          <w:lang w:val="en-AU"/>
        </w:rPr>
      </w:pPr>
      <w:r w:rsidRPr="00966D5E">
        <w:rPr>
          <w:rFonts w:cs="Arial"/>
          <w:b/>
          <w:bCs/>
          <w:lang w:val="en-AU"/>
        </w:rPr>
        <w:t xml:space="preserve">SIRS1: </w:t>
      </w:r>
      <w:r w:rsidR="00D565EF" w:rsidRPr="00966D5E">
        <w:rPr>
          <w:rFonts w:cs="Arial"/>
          <w:b/>
          <w:bCs/>
          <w:lang w:val="en-AU"/>
        </w:rPr>
        <w:t xml:space="preserve">Rural </w:t>
      </w:r>
      <w:r w:rsidR="0081778B" w:rsidRPr="00966D5E">
        <w:rPr>
          <w:rFonts w:cs="Arial"/>
          <w:b/>
          <w:bCs/>
          <w:lang w:val="en-AU"/>
        </w:rPr>
        <w:t>W</w:t>
      </w:r>
      <w:r w:rsidR="00D565EF" w:rsidRPr="00966D5E">
        <w:rPr>
          <w:rFonts w:cs="Arial"/>
          <w:b/>
          <w:bCs/>
          <w:lang w:val="en-AU"/>
        </w:rPr>
        <w:t xml:space="preserve">ater </w:t>
      </w:r>
      <w:r w:rsidR="0081778B" w:rsidRPr="00966D5E">
        <w:rPr>
          <w:rFonts w:cs="Arial"/>
          <w:b/>
          <w:bCs/>
          <w:lang w:val="en-AU"/>
        </w:rPr>
        <w:t>I</w:t>
      </w:r>
      <w:r w:rsidR="00D565EF" w:rsidRPr="00966D5E">
        <w:rPr>
          <w:rFonts w:cs="Arial"/>
          <w:b/>
          <w:bCs/>
          <w:lang w:val="en-AU"/>
        </w:rPr>
        <w:t xml:space="preserve">nfrastructure </w:t>
      </w:r>
      <w:r w:rsidR="0081778B" w:rsidRPr="00966D5E">
        <w:rPr>
          <w:rFonts w:cs="Arial"/>
          <w:b/>
          <w:bCs/>
          <w:lang w:val="en-AU"/>
        </w:rPr>
        <w:t>P</w:t>
      </w:r>
      <w:r w:rsidR="00D565EF" w:rsidRPr="00966D5E">
        <w:rPr>
          <w:rFonts w:cs="Arial"/>
          <w:b/>
          <w:bCs/>
          <w:lang w:val="en-AU"/>
        </w:rPr>
        <w:t xml:space="preserve">roject </w:t>
      </w:r>
      <w:r w:rsidR="0081778B" w:rsidRPr="00966D5E">
        <w:rPr>
          <w:rFonts w:cs="Arial"/>
          <w:b/>
          <w:bCs/>
          <w:lang w:val="en-AU"/>
        </w:rPr>
        <w:t>O</w:t>
      </w:r>
      <w:r w:rsidR="00D565EF" w:rsidRPr="00966D5E">
        <w:rPr>
          <w:rFonts w:cs="Arial"/>
          <w:b/>
          <w:bCs/>
          <w:lang w:val="en-AU"/>
        </w:rPr>
        <w:t xml:space="preserve">versight and </w:t>
      </w:r>
      <w:r w:rsidR="0081778B" w:rsidRPr="00966D5E">
        <w:rPr>
          <w:rFonts w:cs="Arial"/>
          <w:b/>
          <w:bCs/>
          <w:lang w:val="en-AU"/>
        </w:rPr>
        <w:t>G</w:t>
      </w:r>
      <w:r w:rsidR="00D565EF" w:rsidRPr="00966D5E">
        <w:rPr>
          <w:rFonts w:cs="Arial"/>
          <w:b/>
          <w:bCs/>
          <w:lang w:val="en-AU"/>
        </w:rPr>
        <w:t>overnance:</w:t>
      </w:r>
      <w:r w:rsidR="00D565EF" w:rsidRPr="00966D5E">
        <w:rPr>
          <w:rFonts w:cs="Arial"/>
          <w:lang w:val="en-AU"/>
        </w:rPr>
        <w:t xml:space="preserve"> EC5 investment supported </w:t>
      </w:r>
      <w:r w:rsidR="001103F6" w:rsidRPr="00966D5E">
        <w:rPr>
          <w:rFonts w:cs="Arial"/>
          <w:lang w:val="en-AU"/>
        </w:rPr>
        <w:t>DEECA in providing</w:t>
      </w:r>
      <w:r w:rsidR="00D565EF" w:rsidRPr="00966D5E">
        <w:rPr>
          <w:rFonts w:cs="Arial"/>
          <w:lang w:val="en-AU"/>
        </w:rPr>
        <w:t xml:space="preserve"> governance and oversight of major water infrastructure projects focused on water efficiency in irrigation communities such as the Macalister Irrigation District Phase 2 Modernisation and the G</w:t>
      </w:r>
      <w:r w:rsidR="000C0D87" w:rsidRPr="00966D5E">
        <w:rPr>
          <w:rFonts w:cs="Arial"/>
          <w:lang w:val="en-AU"/>
        </w:rPr>
        <w:t>oulburn</w:t>
      </w:r>
      <w:r w:rsidR="002C48F7" w:rsidRPr="00966D5E">
        <w:rPr>
          <w:rFonts w:cs="Arial"/>
          <w:lang w:val="en-AU"/>
        </w:rPr>
        <w:t>-Murray</w:t>
      </w:r>
      <w:r w:rsidR="001F477C" w:rsidRPr="00966D5E">
        <w:rPr>
          <w:rFonts w:cs="Arial"/>
          <w:lang w:val="en-AU"/>
        </w:rPr>
        <w:t xml:space="preserve"> </w:t>
      </w:r>
      <w:r w:rsidR="00D565EF" w:rsidRPr="00966D5E">
        <w:rPr>
          <w:rFonts w:cs="Arial"/>
          <w:lang w:val="en-AU"/>
        </w:rPr>
        <w:t>W</w:t>
      </w:r>
      <w:r w:rsidR="001F477C" w:rsidRPr="00966D5E">
        <w:rPr>
          <w:rFonts w:cs="Arial"/>
          <w:lang w:val="en-AU"/>
        </w:rPr>
        <w:t>ater</w:t>
      </w:r>
      <w:r w:rsidR="00D565EF" w:rsidRPr="00966D5E">
        <w:rPr>
          <w:rFonts w:cs="Arial"/>
          <w:lang w:val="en-AU"/>
        </w:rPr>
        <w:t xml:space="preserve"> Connections project. </w:t>
      </w:r>
      <w:r w:rsidR="00F5058B" w:rsidRPr="00966D5E">
        <w:rPr>
          <w:rFonts w:cs="Arial"/>
          <w:lang w:val="en-AU"/>
        </w:rPr>
        <w:t>DEE</w:t>
      </w:r>
      <w:r w:rsidR="00C0506E" w:rsidRPr="00966D5E">
        <w:rPr>
          <w:rFonts w:cs="Arial"/>
          <w:lang w:val="en-AU"/>
        </w:rPr>
        <w:t>CA</w:t>
      </w:r>
      <w:r w:rsidR="00D565EF" w:rsidRPr="00966D5E">
        <w:rPr>
          <w:rFonts w:cs="Arial"/>
          <w:lang w:val="en-AU"/>
        </w:rPr>
        <w:t xml:space="preserve"> also engaged with stakeholders and the community to improve project outcomes and raise awareness of water efficiency, and secured funding for new strategic water efficiency infrastructure projects</w:t>
      </w:r>
      <w:r w:rsidR="003B3562" w:rsidRPr="00966D5E">
        <w:rPr>
          <w:rFonts w:cs="Arial"/>
          <w:lang w:val="en-AU"/>
        </w:rPr>
        <w:t>. As of June 202</w:t>
      </w:r>
      <w:r w:rsidR="004F133A" w:rsidRPr="00966D5E">
        <w:rPr>
          <w:rFonts w:cs="Arial"/>
          <w:lang w:val="en-AU"/>
        </w:rPr>
        <w:t xml:space="preserve">3, </w:t>
      </w:r>
      <w:r w:rsidR="00562745" w:rsidRPr="00966D5E">
        <w:rPr>
          <w:rFonts w:cs="Arial"/>
          <w:lang w:val="en-AU"/>
        </w:rPr>
        <w:t xml:space="preserve">approximately </w:t>
      </w:r>
      <w:r w:rsidR="0081778B" w:rsidRPr="00966D5E">
        <w:rPr>
          <w:rFonts w:cs="Arial"/>
          <w:lang w:val="en-AU"/>
        </w:rPr>
        <w:t xml:space="preserve">$839 million of </w:t>
      </w:r>
      <w:r w:rsidR="00BC37C0" w:rsidRPr="00D90AD4">
        <w:rPr>
          <w:rFonts w:cs="Arial"/>
          <w:lang w:val="en-AU"/>
        </w:rPr>
        <w:t xml:space="preserve">funding </w:t>
      </w:r>
      <w:r w:rsidR="0081778B" w:rsidRPr="00D90AD4">
        <w:rPr>
          <w:rFonts w:cs="Arial"/>
          <w:lang w:val="en-AU"/>
        </w:rPr>
        <w:t xml:space="preserve">had been secured </w:t>
      </w:r>
      <w:r w:rsidR="00BC37C0" w:rsidRPr="00D90AD4">
        <w:rPr>
          <w:rFonts w:cs="Arial"/>
          <w:lang w:val="en-AU"/>
        </w:rPr>
        <w:t>for strategic rural water infrastructure projects across</w:t>
      </w:r>
      <w:r w:rsidR="00FD01CE" w:rsidRPr="00D90AD4">
        <w:rPr>
          <w:rFonts w:cs="Arial"/>
          <w:lang w:val="en-AU"/>
        </w:rPr>
        <w:t xml:space="preserve"> </w:t>
      </w:r>
      <w:r w:rsidR="00D565EF" w:rsidRPr="00966D5E">
        <w:rPr>
          <w:rFonts w:cs="Arial"/>
          <w:lang w:val="en-AU"/>
        </w:rPr>
        <w:t>25 projects totalling $839 million</w:t>
      </w:r>
      <w:r w:rsidR="00052631" w:rsidRPr="00966D5E">
        <w:rPr>
          <w:rFonts w:cs="Arial"/>
          <w:lang w:val="en-AU"/>
        </w:rPr>
        <w:t>. S</w:t>
      </w:r>
      <w:r w:rsidR="00BC37C0" w:rsidRPr="00966D5E">
        <w:rPr>
          <w:rFonts w:cs="Arial"/>
          <w:lang w:val="en-AU"/>
        </w:rPr>
        <w:t xml:space="preserve">ince </w:t>
      </w:r>
      <w:r w:rsidR="0085107A" w:rsidRPr="00D90AD4">
        <w:rPr>
          <w:rFonts w:cs="Arial"/>
          <w:lang w:val="en-AU"/>
        </w:rPr>
        <w:t xml:space="preserve">July 2023, </w:t>
      </w:r>
      <w:r w:rsidR="00F5058B" w:rsidRPr="00966D5E">
        <w:rPr>
          <w:rFonts w:cs="Arial"/>
          <w:lang w:val="en-AU"/>
        </w:rPr>
        <w:t>DEECA</w:t>
      </w:r>
      <w:r w:rsidR="00F543B2" w:rsidRPr="00966D5E">
        <w:rPr>
          <w:rFonts w:cs="Arial"/>
          <w:lang w:val="en-AU"/>
        </w:rPr>
        <w:t xml:space="preserve"> </w:t>
      </w:r>
      <w:r w:rsidR="0085107A" w:rsidRPr="00D90AD4">
        <w:rPr>
          <w:rFonts w:cs="Arial"/>
          <w:lang w:val="en-AU"/>
        </w:rPr>
        <w:t xml:space="preserve">has secured an additional 8 projects </w:t>
      </w:r>
      <w:proofErr w:type="spellStart"/>
      <w:r w:rsidR="00052631" w:rsidRPr="00D90AD4">
        <w:rPr>
          <w:rFonts w:cs="Arial"/>
          <w:lang w:val="en-AU"/>
        </w:rPr>
        <w:t>totaling</w:t>
      </w:r>
      <w:proofErr w:type="spellEnd"/>
      <w:r w:rsidR="0085107A" w:rsidRPr="00D90AD4">
        <w:rPr>
          <w:rFonts w:cs="Arial"/>
          <w:lang w:val="en-AU"/>
        </w:rPr>
        <w:t xml:space="preserve"> approximately $157</w:t>
      </w:r>
      <w:r w:rsidR="005F146E" w:rsidRPr="00D90AD4">
        <w:rPr>
          <w:rFonts w:cs="Arial"/>
          <w:lang w:val="en-AU"/>
        </w:rPr>
        <w:t> </w:t>
      </w:r>
      <w:r w:rsidR="0085107A" w:rsidRPr="00D90AD4">
        <w:rPr>
          <w:rFonts w:cs="Arial"/>
          <w:lang w:val="en-AU"/>
        </w:rPr>
        <w:t>million.</w:t>
      </w:r>
    </w:p>
    <w:p w14:paraId="36836825" w14:textId="1F930A1B" w:rsidR="00D565EF" w:rsidRPr="00966D5E" w:rsidRDefault="009C56CA">
      <w:pPr>
        <w:pStyle w:val="BulletLevel1"/>
        <w:rPr>
          <w:rFonts w:cs="Arial"/>
          <w:lang w:val="en-AU"/>
        </w:rPr>
      </w:pPr>
      <w:r w:rsidRPr="00966D5E">
        <w:rPr>
          <w:rFonts w:cs="Arial"/>
          <w:b/>
          <w:bCs/>
          <w:lang w:val="en-AU"/>
        </w:rPr>
        <w:t xml:space="preserve">SIRS2: </w:t>
      </w:r>
      <w:r w:rsidR="00D565EF" w:rsidRPr="00966D5E">
        <w:rPr>
          <w:rFonts w:cs="Arial"/>
          <w:b/>
          <w:bCs/>
          <w:lang w:val="en-AU"/>
        </w:rPr>
        <w:t xml:space="preserve">Sustainable Irrigation Program Implementation: </w:t>
      </w:r>
      <w:r w:rsidR="00D565EF" w:rsidRPr="00966D5E">
        <w:rPr>
          <w:rFonts w:cs="Arial"/>
          <w:lang w:val="en-AU"/>
        </w:rPr>
        <w:t xml:space="preserve">This </w:t>
      </w:r>
      <w:r w:rsidR="008E044D" w:rsidRPr="00966D5E">
        <w:rPr>
          <w:rFonts w:cs="Arial"/>
          <w:lang w:val="en-AU"/>
        </w:rPr>
        <w:t>project</w:t>
      </w:r>
      <w:r w:rsidR="002A7304" w:rsidRPr="00966D5E">
        <w:rPr>
          <w:rFonts w:cs="Arial"/>
          <w:lang w:val="en-AU"/>
        </w:rPr>
        <w:t xml:space="preserve"> </w:t>
      </w:r>
      <w:r w:rsidR="00D565EF" w:rsidRPr="00966D5E">
        <w:rPr>
          <w:rFonts w:cs="Arial"/>
          <w:lang w:val="en-AU"/>
        </w:rPr>
        <w:t xml:space="preserve">improved water awareness and water efficiency </w:t>
      </w:r>
      <w:r w:rsidR="00052631" w:rsidRPr="00966D5E">
        <w:rPr>
          <w:rFonts w:cs="Arial"/>
          <w:lang w:val="en-AU"/>
        </w:rPr>
        <w:t xml:space="preserve">by </w:t>
      </w:r>
      <w:r w:rsidR="00D565EF" w:rsidRPr="00966D5E">
        <w:rPr>
          <w:rFonts w:cs="Arial"/>
          <w:lang w:val="en-AU"/>
        </w:rPr>
        <w:t xml:space="preserve">providing educational tools and knowledge to irrigators to assist them with decision making, </w:t>
      </w:r>
      <w:r w:rsidR="00052631" w:rsidRPr="00966D5E">
        <w:rPr>
          <w:rFonts w:cs="Arial"/>
          <w:lang w:val="en-AU"/>
        </w:rPr>
        <w:t xml:space="preserve">and </w:t>
      </w:r>
      <w:r w:rsidR="00D565EF" w:rsidRPr="00966D5E">
        <w:rPr>
          <w:rFonts w:cs="Arial"/>
          <w:lang w:val="en-AU"/>
        </w:rPr>
        <w:t xml:space="preserve">future planning on farm. </w:t>
      </w:r>
      <w:r w:rsidR="004A5574" w:rsidRPr="00966D5E">
        <w:rPr>
          <w:rFonts w:cs="Arial"/>
          <w:lang w:val="en-AU"/>
        </w:rPr>
        <w:t xml:space="preserve">This </w:t>
      </w:r>
      <w:r w:rsidR="008E4D2E" w:rsidRPr="00966D5E">
        <w:rPr>
          <w:rFonts w:cs="Arial"/>
          <w:lang w:val="en-AU"/>
        </w:rPr>
        <w:t xml:space="preserve">included </w:t>
      </w:r>
      <w:r w:rsidR="00432246" w:rsidRPr="00966D5E">
        <w:rPr>
          <w:rFonts w:cs="Arial"/>
          <w:lang w:val="en-AU"/>
        </w:rPr>
        <w:t>engag</w:t>
      </w:r>
      <w:r w:rsidR="008E4D2E" w:rsidRPr="00966D5E">
        <w:rPr>
          <w:rFonts w:cs="Arial"/>
          <w:lang w:val="en-AU"/>
        </w:rPr>
        <w:t>ing</w:t>
      </w:r>
      <w:r w:rsidR="00432246" w:rsidRPr="00966D5E">
        <w:rPr>
          <w:rFonts w:cs="Arial"/>
          <w:lang w:val="en-AU"/>
        </w:rPr>
        <w:t xml:space="preserve"> with over 3000 participants</w:t>
      </w:r>
      <w:r w:rsidR="002A7304" w:rsidRPr="00966D5E">
        <w:rPr>
          <w:rFonts w:cs="Arial"/>
          <w:lang w:val="en-AU"/>
        </w:rPr>
        <w:t xml:space="preserve">, including field days aimed at improving knowledge and skills relating to irrigation. </w:t>
      </w:r>
      <w:r w:rsidR="008C69B9" w:rsidRPr="00966D5E">
        <w:rPr>
          <w:rFonts w:cs="Arial"/>
          <w:lang w:val="en-AU"/>
        </w:rPr>
        <w:t xml:space="preserve">This project also included </w:t>
      </w:r>
      <w:r w:rsidR="0053407B" w:rsidRPr="00966D5E">
        <w:rPr>
          <w:rFonts w:cs="Arial"/>
          <w:lang w:val="en-AU"/>
        </w:rPr>
        <w:t>an i</w:t>
      </w:r>
      <w:r w:rsidR="00D565EF" w:rsidRPr="00966D5E">
        <w:rPr>
          <w:rFonts w:cs="Arial"/>
          <w:lang w:val="en-AU"/>
        </w:rPr>
        <w:t xml:space="preserve">rrigation </w:t>
      </w:r>
      <w:r w:rsidR="0053407B" w:rsidRPr="00966D5E">
        <w:rPr>
          <w:rFonts w:cs="Arial"/>
          <w:lang w:val="en-AU"/>
        </w:rPr>
        <w:t>e</w:t>
      </w:r>
      <w:r w:rsidR="00D565EF" w:rsidRPr="00966D5E">
        <w:rPr>
          <w:rFonts w:cs="Arial"/>
          <w:lang w:val="en-AU"/>
        </w:rPr>
        <w:t xml:space="preserve">xtension </w:t>
      </w:r>
      <w:r w:rsidR="0053407B" w:rsidRPr="00966D5E">
        <w:rPr>
          <w:rFonts w:cs="Arial"/>
          <w:lang w:val="en-AU"/>
        </w:rPr>
        <w:t>p</w:t>
      </w:r>
      <w:r w:rsidR="00D565EF" w:rsidRPr="00966D5E">
        <w:rPr>
          <w:rFonts w:cs="Arial"/>
          <w:lang w:val="en-AU"/>
        </w:rPr>
        <w:t>rogram</w:t>
      </w:r>
      <w:r w:rsidR="0053407B" w:rsidRPr="00966D5E">
        <w:rPr>
          <w:rFonts w:cs="Arial"/>
          <w:lang w:val="en-AU"/>
        </w:rPr>
        <w:t xml:space="preserve"> which </w:t>
      </w:r>
      <w:r w:rsidR="00D565EF" w:rsidRPr="00966D5E">
        <w:rPr>
          <w:rFonts w:cs="Arial"/>
          <w:lang w:val="en-AU"/>
        </w:rPr>
        <w:t>provide</w:t>
      </w:r>
      <w:r w:rsidR="00FB1572" w:rsidRPr="00966D5E">
        <w:rPr>
          <w:rFonts w:cs="Arial"/>
          <w:lang w:val="en-AU"/>
        </w:rPr>
        <w:t>d</w:t>
      </w:r>
      <w:r w:rsidR="00D565EF" w:rsidRPr="00966D5E">
        <w:rPr>
          <w:rFonts w:cs="Arial"/>
          <w:lang w:val="en-AU"/>
        </w:rPr>
        <w:t xml:space="preserve"> incentives to irrigators to drive productive and sustainable irrigation practices, including irrigation system upgrades, whole farm plans, scheduling equipment, re-use systems, soil surveys </w:t>
      </w:r>
      <w:r w:rsidR="106F2600" w:rsidRPr="00966D5E">
        <w:rPr>
          <w:rFonts w:cs="Arial"/>
          <w:lang w:val="en-AU"/>
        </w:rPr>
        <w:t xml:space="preserve">and </w:t>
      </w:r>
      <w:r w:rsidR="00D565EF" w:rsidRPr="00966D5E">
        <w:rPr>
          <w:rFonts w:cs="Arial"/>
          <w:lang w:val="en-AU"/>
        </w:rPr>
        <w:t xml:space="preserve">system checks. There </w:t>
      </w:r>
      <w:r w:rsidR="00FB1572" w:rsidRPr="00966D5E">
        <w:rPr>
          <w:rFonts w:cs="Arial"/>
          <w:lang w:val="en-AU"/>
        </w:rPr>
        <w:t>was</w:t>
      </w:r>
      <w:r w:rsidR="00D565EF" w:rsidRPr="00966D5E">
        <w:rPr>
          <w:rFonts w:cs="Arial"/>
          <w:lang w:val="en-AU"/>
        </w:rPr>
        <w:t xml:space="preserve"> high uptake of the incentives during EC5, including 86 </w:t>
      </w:r>
      <w:r w:rsidR="00A714D9" w:rsidRPr="00966D5E">
        <w:rPr>
          <w:rFonts w:cs="Arial"/>
          <w:lang w:val="en-AU"/>
        </w:rPr>
        <w:t>whole f</w:t>
      </w:r>
      <w:r w:rsidR="00D565EF" w:rsidRPr="00966D5E">
        <w:rPr>
          <w:rFonts w:cs="Arial"/>
          <w:lang w:val="en-AU"/>
        </w:rPr>
        <w:t xml:space="preserve">arm </w:t>
      </w:r>
      <w:r w:rsidR="00A714D9" w:rsidRPr="00966D5E">
        <w:rPr>
          <w:rFonts w:cs="Arial"/>
          <w:lang w:val="en-AU"/>
        </w:rPr>
        <w:t>p</w:t>
      </w:r>
      <w:r w:rsidR="00D565EF" w:rsidRPr="00966D5E">
        <w:rPr>
          <w:rFonts w:cs="Arial"/>
          <w:lang w:val="en-AU"/>
        </w:rPr>
        <w:t xml:space="preserve">lans, which aim to maximise all aspects of on-farm operational capacity and efficiency, and prepare irrigators for a future with reduced water availability. The </w:t>
      </w:r>
      <w:r w:rsidR="69E16809" w:rsidRPr="00966D5E">
        <w:rPr>
          <w:rFonts w:cs="Arial"/>
          <w:lang w:val="en-AU"/>
        </w:rPr>
        <w:t>p</w:t>
      </w:r>
      <w:r w:rsidR="001F477C" w:rsidRPr="00966D5E">
        <w:rPr>
          <w:rFonts w:cs="Arial"/>
          <w:lang w:val="en-AU"/>
        </w:rPr>
        <w:t>r</w:t>
      </w:r>
      <w:r w:rsidR="006416FC" w:rsidRPr="00966D5E">
        <w:rPr>
          <w:rFonts w:cs="Arial"/>
          <w:lang w:val="en-AU"/>
        </w:rPr>
        <w:t>oject</w:t>
      </w:r>
      <w:r w:rsidR="00D565EF" w:rsidRPr="00966D5E">
        <w:rPr>
          <w:rFonts w:cs="Arial"/>
          <w:lang w:val="en-AU"/>
        </w:rPr>
        <w:t xml:space="preserve"> tracked the implementation of </w:t>
      </w:r>
      <w:r w:rsidR="00A714D9" w:rsidRPr="00966D5E">
        <w:rPr>
          <w:rFonts w:cs="Arial"/>
          <w:lang w:val="en-AU"/>
        </w:rPr>
        <w:t>w</w:t>
      </w:r>
      <w:r w:rsidR="0019272E" w:rsidRPr="00966D5E">
        <w:rPr>
          <w:rFonts w:cs="Arial"/>
          <w:lang w:val="en-AU"/>
        </w:rPr>
        <w:t xml:space="preserve">hole </w:t>
      </w:r>
      <w:r w:rsidR="00A714D9" w:rsidRPr="00966D5E">
        <w:rPr>
          <w:rFonts w:cs="Arial"/>
          <w:lang w:val="en-AU"/>
        </w:rPr>
        <w:t>f</w:t>
      </w:r>
      <w:r w:rsidR="0019272E" w:rsidRPr="00966D5E">
        <w:rPr>
          <w:rFonts w:cs="Arial"/>
          <w:lang w:val="en-AU"/>
        </w:rPr>
        <w:t xml:space="preserve">arm </w:t>
      </w:r>
      <w:r w:rsidR="00A714D9" w:rsidRPr="00966D5E">
        <w:rPr>
          <w:rFonts w:cs="Arial"/>
          <w:lang w:val="en-AU"/>
        </w:rPr>
        <w:t>p</w:t>
      </w:r>
      <w:r w:rsidR="0019272E" w:rsidRPr="00966D5E">
        <w:rPr>
          <w:rFonts w:cs="Arial"/>
          <w:lang w:val="en-AU"/>
        </w:rPr>
        <w:t>lans</w:t>
      </w:r>
      <w:r w:rsidR="00D565EF" w:rsidRPr="00966D5E">
        <w:rPr>
          <w:rFonts w:cs="Arial"/>
          <w:lang w:val="en-AU"/>
        </w:rPr>
        <w:t xml:space="preserve">, showing that physical works are being undertaken and are achieving improved practices and outcomes (72% of farms </w:t>
      </w:r>
      <w:r w:rsidR="00FB1572" w:rsidRPr="00966D5E">
        <w:rPr>
          <w:rFonts w:cs="Arial"/>
          <w:lang w:val="en-AU"/>
        </w:rPr>
        <w:t xml:space="preserve">with a </w:t>
      </w:r>
      <w:r w:rsidR="00A714D9" w:rsidRPr="00966D5E">
        <w:rPr>
          <w:rFonts w:cs="Arial"/>
          <w:lang w:val="en-AU"/>
        </w:rPr>
        <w:t xml:space="preserve">whole farm plan </w:t>
      </w:r>
      <w:r w:rsidR="00D565EF" w:rsidRPr="00966D5E">
        <w:rPr>
          <w:rFonts w:cs="Arial"/>
          <w:lang w:val="en-AU"/>
        </w:rPr>
        <w:t>have completed over 50% of their</w:t>
      </w:r>
      <w:r w:rsidR="00FB1572" w:rsidRPr="00966D5E">
        <w:rPr>
          <w:rFonts w:cs="Arial"/>
          <w:lang w:val="en-AU"/>
        </w:rPr>
        <w:t xml:space="preserve"> planned</w:t>
      </w:r>
      <w:r w:rsidR="00D565EF" w:rsidRPr="00966D5E">
        <w:rPr>
          <w:rFonts w:cs="Arial"/>
          <w:lang w:val="en-AU"/>
        </w:rPr>
        <w:t xml:space="preserve"> infrastructure </w:t>
      </w:r>
      <w:r w:rsidR="00FB1572" w:rsidRPr="00966D5E">
        <w:rPr>
          <w:rFonts w:cs="Arial"/>
          <w:lang w:val="en-AU"/>
        </w:rPr>
        <w:t>improvements</w:t>
      </w:r>
      <w:r w:rsidR="00D565EF" w:rsidRPr="00966D5E">
        <w:rPr>
          <w:rFonts w:cs="Arial"/>
          <w:lang w:val="en-AU"/>
        </w:rPr>
        <w:t>).</w:t>
      </w:r>
    </w:p>
    <w:p w14:paraId="0019BCDF" w14:textId="77777777" w:rsidR="002E331D" w:rsidRPr="00D90AD4" w:rsidRDefault="009C56CA" w:rsidP="005F146E">
      <w:pPr>
        <w:pStyle w:val="BulletLevel1"/>
        <w:keepNext/>
        <w:keepLines/>
        <w:ind w:left="360" w:hanging="360"/>
        <w:rPr>
          <w:rFonts w:cs="Arial"/>
          <w:sz w:val="19"/>
          <w:szCs w:val="19"/>
          <w:lang w:val="en-AU"/>
        </w:rPr>
      </w:pPr>
      <w:r w:rsidRPr="00966D5E">
        <w:rPr>
          <w:rFonts w:cs="Arial"/>
          <w:b/>
          <w:bCs/>
          <w:lang w:val="en-AU"/>
        </w:rPr>
        <w:lastRenderedPageBreak/>
        <w:t xml:space="preserve">SIRS5: </w:t>
      </w:r>
      <w:r w:rsidR="00D565EF" w:rsidRPr="00966D5E">
        <w:rPr>
          <w:rFonts w:cs="Arial"/>
          <w:b/>
          <w:bCs/>
          <w:lang w:val="en-AU"/>
        </w:rPr>
        <w:t>Macalister Irrigation District Modernisation Project – Phase 2:</w:t>
      </w:r>
      <w:r w:rsidR="00D565EF" w:rsidRPr="00966D5E">
        <w:rPr>
          <w:rFonts w:cs="Arial"/>
          <w:lang w:val="en-AU"/>
        </w:rPr>
        <w:t xml:space="preserve"> This project modernis</w:t>
      </w:r>
      <w:r w:rsidR="00684DD0" w:rsidRPr="00966D5E">
        <w:rPr>
          <w:rFonts w:cs="Arial"/>
          <w:lang w:val="en-AU"/>
        </w:rPr>
        <w:t>ed</w:t>
      </w:r>
      <w:r w:rsidR="00D565EF" w:rsidRPr="00966D5E">
        <w:rPr>
          <w:rFonts w:cs="Arial"/>
          <w:lang w:val="en-AU"/>
        </w:rPr>
        <w:t xml:space="preserve"> just over 80</w:t>
      </w:r>
      <w:r w:rsidR="00F11331" w:rsidRPr="00966D5E">
        <w:rPr>
          <w:rFonts w:cs="Arial"/>
          <w:lang w:val="en-AU"/>
        </w:rPr>
        <w:t xml:space="preserve"> </w:t>
      </w:r>
      <w:r w:rsidR="00D565EF" w:rsidRPr="00966D5E">
        <w:rPr>
          <w:rFonts w:cs="Arial"/>
          <w:lang w:val="en-AU"/>
        </w:rPr>
        <w:t>km of irrigation network</w:t>
      </w:r>
      <w:r w:rsidR="000C5A97" w:rsidRPr="00966D5E">
        <w:rPr>
          <w:rFonts w:cs="Arial"/>
          <w:lang w:val="en-AU"/>
        </w:rPr>
        <w:t xml:space="preserve"> </w:t>
      </w:r>
      <w:r w:rsidR="00D565EF" w:rsidRPr="00966D5E">
        <w:rPr>
          <w:rFonts w:cs="Arial"/>
          <w:lang w:val="en-AU"/>
        </w:rPr>
        <w:t xml:space="preserve">which </w:t>
      </w:r>
      <w:r w:rsidR="00F921B5" w:rsidRPr="00966D5E">
        <w:rPr>
          <w:rFonts w:cs="Arial"/>
          <w:lang w:val="en-AU"/>
        </w:rPr>
        <w:t xml:space="preserve">supports </w:t>
      </w:r>
      <w:r w:rsidR="00A23683" w:rsidRPr="00966D5E">
        <w:rPr>
          <w:rFonts w:cs="Arial"/>
          <w:lang w:val="en-AU"/>
        </w:rPr>
        <w:t>improved</w:t>
      </w:r>
      <w:r w:rsidR="00D565EF" w:rsidRPr="00966D5E">
        <w:rPr>
          <w:rFonts w:cs="Arial"/>
          <w:lang w:val="en-AU"/>
        </w:rPr>
        <w:t xml:space="preserve"> delivery efficiency as irrigated properties are connected to the modernised system. So far, </w:t>
      </w:r>
      <w:r w:rsidR="00174D60" w:rsidRPr="00966D5E">
        <w:rPr>
          <w:rFonts w:cs="Arial"/>
          <w:lang w:val="en-AU"/>
        </w:rPr>
        <w:t>over 250</w:t>
      </w:r>
      <w:r w:rsidR="00D565EF" w:rsidRPr="00966D5E">
        <w:rPr>
          <w:rFonts w:cs="Arial"/>
          <w:lang w:val="en-AU"/>
        </w:rPr>
        <w:t xml:space="preserve"> properties are connected to the modernised system</w:t>
      </w:r>
      <w:r w:rsidR="00011318" w:rsidRPr="00966D5E">
        <w:rPr>
          <w:rFonts w:cs="Arial"/>
          <w:lang w:val="en-AU"/>
        </w:rPr>
        <w:t xml:space="preserve">. The final </w:t>
      </w:r>
      <w:r w:rsidR="00CE4E2F" w:rsidRPr="00966D5E">
        <w:rPr>
          <w:rFonts w:cs="Arial"/>
          <w:lang w:val="en-AU"/>
        </w:rPr>
        <w:t xml:space="preserve">project achievements and audited water savings </w:t>
      </w:r>
      <w:r w:rsidR="00565235" w:rsidRPr="00966D5E">
        <w:rPr>
          <w:rFonts w:cs="Arial"/>
          <w:lang w:val="en-AU"/>
        </w:rPr>
        <w:t xml:space="preserve">of up to 10.3 GL </w:t>
      </w:r>
      <w:r w:rsidR="00CE4E2F" w:rsidRPr="00966D5E">
        <w:rPr>
          <w:rFonts w:cs="Arial"/>
          <w:lang w:val="en-AU"/>
        </w:rPr>
        <w:t>will be reported following</w:t>
      </w:r>
      <w:r w:rsidR="00011318" w:rsidRPr="00966D5E">
        <w:rPr>
          <w:rFonts w:cs="Arial"/>
          <w:lang w:val="en-AU"/>
        </w:rPr>
        <w:t xml:space="preserve"> practical completion in late </w:t>
      </w:r>
      <w:proofErr w:type="gramStart"/>
      <w:r w:rsidR="00011318" w:rsidRPr="00966D5E">
        <w:rPr>
          <w:rFonts w:cs="Arial"/>
          <w:lang w:val="en-AU"/>
        </w:rPr>
        <w:t>2024, and</w:t>
      </w:r>
      <w:proofErr w:type="gramEnd"/>
      <w:r w:rsidR="00011318" w:rsidRPr="00966D5E">
        <w:rPr>
          <w:rFonts w:cs="Arial"/>
          <w:lang w:val="en-AU"/>
        </w:rPr>
        <w:t xml:space="preserve"> will be reported in the next reporting period</w:t>
      </w:r>
      <w:r w:rsidR="00D565EF" w:rsidRPr="00966D5E">
        <w:rPr>
          <w:rFonts w:cs="Arial"/>
          <w:lang w:val="en-AU"/>
        </w:rPr>
        <w:t xml:space="preserve">. The infrastructure works </w:t>
      </w:r>
      <w:r w:rsidR="00F921B5" w:rsidRPr="00966D5E">
        <w:rPr>
          <w:rFonts w:cs="Arial"/>
          <w:lang w:val="en-AU"/>
        </w:rPr>
        <w:t>were</w:t>
      </w:r>
      <w:r w:rsidR="00D565EF" w:rsidRPr="00966D5E">
        <w:rPr>
          <w:rFonts w:cs="Arial"/>
          <w:lang w:val="en-AU"/>
        </w:rPr>
        <w:t xml:space="preserve"> complemented by whole farm planning and on-farm efficiency incentives to landholders to maximise the benefits of both modernisation and on-farm programs, delivering 25 on farm plans.</w:t>
      </w:r>
    </w:p>
    <w:p w14:paraId="6EC7BEE6" w14:textId="0F95C7AC" w:rsidR="00FB17EA" w:rsidRPr="00966D5E" w:rsidRDefault="00FB17EA" w:rsidP="00CC7B09">
      <w:pPr>
        <w:pStyle w:val="Heading3"/>
        <w:rPr>
          <w:rFonts w:cs="Arial"/>
          <w:lang w:val="en-AU"/>
        </w:rPr>
      </w:pPr>
      <w:r w:rsidRPr="00966D5E">
        <w:rPr>
          <w:rFonts w:cs="Arial"/>
          <w:lang w:val="en-AU"/>
        </w:rPr>
        <w:t>Improved responsiveness of rural water policy to water wise use and climate change</w:t>
      </w:r>
    </w:p>
    <w:p w14:paraId="1C3D7807" w14:textId="4573A96D" w:rsidR="009467FA" w:rsidRPr="00966D5E" w:rsidRDefault="00D11FE4">
      <w:pPr>
        <w:pStyle w:val="BulletLevel1"/>
        <w:numPr>
          <w:ilvl w:val="0"/>
          <w:numId w:val="0"/>
        </w:numPr>
        <w:rPr>
          <w:rFonts w:cs="Arial"/>
          <w:lang w:val="en-AU"/>
        </w:rPr>
      </w:pPr>
      <w:r w:rsidRPr="00966D5E">
        <w:rPr>
          <w:rFonts w:cs="Arial"/>
          <w:lang w:val="en-AU"/>
        </w:rPr>
        <w:t>Examples of ways in which the EC5 projects have contributed to this outcome include:</w:t>
      </w:r>
    </w:p>
    <w:p w14:paraId="7FF372AA" w14:textId="3DCD43E5" w:rsidR="00FB17EA" w:rsidRPr="00966D5E" w:rsidRDefault="1D4B3989" w:rsidP="005A7571">
      <w:pPr>
        <w:pStyle w:val="BulletLevel1"/>
        <w:rPr>
          <w:rFonts w:cs="Arial"/>
          <w:lang w:val="en-AU"/>
        </w:rPr>
      </w:pPr>
      <w:r w:rsidRPr="00966D5E">
        <w:rPr>
          <w:rFonts w:cs="Arial"/>
          <w:b/>
          <w:bCs/>
          <w:lang w:val="en-AU"/>
        </w:rPr>
        <w:t xml:space="preserve">SIRS2: </w:t>
      </w:r>
      <w:r w:rsidR="13EA5F05" w:rsidRPr="00966D5E">
        <w:rPr>
          <w:rFonts w:cs="Arial"/>
          <w:b/>
          <w:bCs/>
          <w:lang w:val="en-AU"/>
        </w:rPr>
        <w:t>Sustainable Irrigation Program Implementation</w:t>
      </w:r>
      <w:r w:rsidR="00B11B9F" w:rsidRPr="00966D5E">
        <w:rPr>
          <w:rFonts w:cs="Arial"/>
          <w:lang w:val="en-AU"/>
        </w:rPr>
        <w:t>: This</w:t>
      </w:r>
      <w:r w:rsidR="13EA5F05" w:rsidRPr="00966D5E">
        <w:rPr>
          <w:rFonts w:cs="Arial"/>
          <w:lang w:val="en-AU"/>
        </w:rPr>
        <w:t xml:space="preserve"> </w:t>
      </w:r>
      <w:r w:rsidR="004F7DFD" w:rsidRPr="00966D5E">
        <w:rPr>
          <w:rFonts w:cs="Arial"/>
          <w:lang w:val="en-AU"/>
        </w:rPr>
        <w:t xml:space="preserve">project </w:t>
      </w:r>
      <w:r w:rsidR="13EA5F05" w:rsidRPr="00966D5E">
        <w:rPr>
          <w:rFonts w:cs="Arial"/>
          <w:lang w:val="en-AU"/>
        </w:rPr>
        <w:t xml:space="preserve">contributed to this outcome through publication of </w:t>
      </w:r>
      <w:r w:rsidR="13EA5F05" w:rsidRPr="00966D5E">
        <w:rPr>
          <w:rFonts w:cs="Arial"/>
          <w:i/>
          <w:lang w:val="en-AU"/>
        </w:rPr>
        <w:t>Social and economic impacts of Basin Plan water recovery in Victoria</w:t>
      </w:r>
      <w:r w:rsidR="13EA5F05" w:rsidRPr="00966D5E">
        <w:rPr>
          <w:rFonts w:cs="Arial"/>
          <w:lang w:val="en-AU"/>
        </w:rPr>
        <w:t xml:space="preserve">, and </w:t>
      </w:r>
      <w:r w:rsidR="13EA5F05" w:rsidRPr="00966D5E">
        <w:rPr>
          <w:rFonts w:cs="Arial"/>
          <w:i/>
          <w:lang w:val="en-AU"/>
        </w:rPr>
        <w:t>Water supply and horticultural demand in the southern Murray-Darling Basin</w:t>
      </w:r>
      <w:r w:rsidR="4D612D71" w:rsidRPr="00966D5E">
        <w:rPr>
          <w:rFonts w:cs="Arial"/>
          <w:lang w:val="en-AU"/>
        </w:rPr>
        <w:t>,</w:t>
      </w:r>
      <w:r w:rsidR="13EA5F05" w:rsidRPr="00966D5E">
        <w:rPr>
          <w:rFonts w:cs="Arial"/>
          <w:lang w:val="en-AU"/>
        </w:rPr>
        <w:t xml:space="preserve"> which </w:t>
      </w:r>
      <w:r w:rsidR="009D1552" w:rsidRPr="00966D5E">
        <w:rPr>
          <w:rFonts w:cs="Arial"/>
          <w:lang w:val="en-AU"/>
        </w:rPr>
        <w:t xml:space="preserve">examined </w:t>
      </w:r>
      <w:r w:rsidR="13EA5F05" w:rsidRPr="00966D5E">
        <w:rPr>
          <w:rFonts w:cs="Arial"/>
          <w:lang w:val="en-AU"/>
        </w:rPr>
        <w:t xml:space="preserve">future </w:t>
      </w:r>
      <w:r w:rsidR="004A677D" w:rsidRPr="00966D5E">
        <w:rPr>
          <w:rFonts w:cs="Arial"/>
          <w:lang w:val="en-AU"/>
        </w:rPr>
        <w:t xml:space="preserve">scenarios </w:t>
      </w:r>
      <w:r w:rsidR="13EA5F05" w:rsidRPr="00966D5E">
        <w:rPr>
          <w:rFonts w:cs="Arial"/>
          <w:lang w:val="en-AU"/>
        </w:rPr>
        <w:t xml:space="preserve">and implications for the </w:t>
      </w:r>
      <w:r w:rsidR="00CE3D1D" w:rsidRPr="00966D5E">
        <w:rPr>
          <w:rFonts w:cs="Arial"/>
          <w:lang w:val="en-AU"/>
        </w:rPr>
        <w:t>irrigated agriculturalists and their communities</w:t>
      </w:r>
      <w:r w:rsidR="13EA5F05" w:rsidRPr="00966D5E">
        <w:rPr>
          <w:rFonts w:cs="Arial"/>
          <w:lang w:val="en-AU"/>
        </w:rPr>
        <w:t xml:space="preserve"> under a changing climate. Extensive land use mapping was also undertaken </w:t>
      </w:r>
      <w:r w:rsidR="009151A1" w:rsidRPr="00966D5E">
        <w:rPr>
          <w:rFonts w:cs="Arial"/>
          <w:lang w:val="en-AU"/>
        </w:rPr>
        <w:t xml:space="preserve">in </w:t>
      </w:r>
      <w:r w:rsidR="009151A1" w:rsidRPr="00D90AD4">
        <w:rPr>
          <w:rFonts w:cs="Arial"/>
          <w:lang w:val="en-AU"/>
        </w:rPr>
        <w:t xml:space="preserve">Victoria through the Regional Integrated Land and Water Use Mapping Program (RILWUM) which has shown significant land use change over time. Valuable data collection and information sharing achieved through RILWUM </w:t>
      </w:r>
      <w:r w:rsidR="00CE3D1D" w:rsidRPr="00D90AD4">
        <w:rPr>
          <w:rFonts w:cs="Arial"/>
          <w:lang w:val="en-AU"/>
        </w:rPr>
        <w:t>will support ongoing analysis to</w:t>
      </w:r>
      <w:r w:rsidR="009151A1" w:rsidRPr="00D90AD4">
        <w:rPr>
          <w:rFonts w:cs="Arial"/>
          <w:lang w:val="en-AU"/>
        </w:rPr>
        <w:t xml:space="preserve"> identify trends and emerging risks </w:t>
      </w:r>
      <w:r w:rsidR="00001A87" w:rsidRPr="00D90AD4">
        <w:rPr>
          <w:rFonts w:cs="Arial"/>
          <w:lang w:val="en-AU"/>
        </w:rPr>
        <w:t>that support improved design of management frameworks and decision</w:t>
      </w:r>
      <w:r w:rsidR="005F146E" w:rsidRPr="00D90AD4">
        <w:rPr>
          <w:rFonts w:cs="Arial"/>
          <w:lang w:val="en-AU"/>
        </w:rPr>
        <w:t> </w:t>
      </w:r>
      <w:r w:rsidR="00001A87" w:rsidRPr="00D90AD4">
        <w:rPr>
          <w:rFonts w:cs="Arial"/>
          <w:lang w:val="en-AU"/>
        </w:rPr>
        <w:t>making</w:t>
      </w:r>
      <w:r w:rsidR="009151A1" w:rsidRPr="00D90AD4">
        <w:rPr>
          <w:rFonts w:cs="Arial"/>
          <w:lang w:val="en-AU"/>
        </w:rPr>
        <w:t>.</w:t>
      </w:r>
    </w:p>
    <w:p w14:paraId="73904203" w14:textId="77777777" w:rsidR="002E331D" w:rsidRPr="00966D5E" w:rsidRDefault="00211882" w:rsidP="005A7571">
      <w:pPr>
        <w:pStyle w:val="BulletLevel1"/>
        <w:rPr>
          <w:rFonts w:cs="Arial"/>
          <w:lang w:val="en-AU"/>
        </w:rPr>
      </w:pPr>
      <w:r w:rsidRPr="00966D5E">
        <w:rPr>
          <w:rFonts w:cs="Arial"/>
          <w:b/>
          <w:bCs/>
          <w:lang w:val="en-AU"/>
        </w:rPr>
        <w:t>PSP2: Sustainable Water Strategies:</w:t>
      </w:r>
      <w:r w:rsidRPr="00966D5E">
        <w:rPr>
          <w:rFonts w:cs="Arial"/>
          <w:lang w:val="en-AU"/>
        </w:rPr>
        <w:t xml:space="preserve"> </w:t>
      </w:r>
      <w:r w:rsidR="13EA5F05" w:rsidRPr="00966D5E">
        <w:rPr>
          <w:rFonts w:cs="Arial"/>
          <w:lang w:val="en-AU"/>
        </w:rPr>
        <w:t>The</w:t>
      </w:r>
      <w:r w:rsidR="13EA5F05" w:rsidRPr="00966D5E">
        <w:rPr>
          <w:rFonts w:cs="Arial"/>
          <w:b/>
          <w:bCs/>
          <w:lang w:val="en-AU"/>
        </w:rPr>
        <w:t xml:space="preserve"> </w:t>
      </w:r>
      <w:r w:rsidRPr="00966D5E">
        <w:rPr>
          <w:rFonts w:cs="Arial"/>
          <w:lang w:val="en-AU"/>
        </w:rPr>
        <w:t>CGRSWS</w:t>
      </w:r>
      <w:r w:rsidR="13EA5F05" w:rsidRPr="00966D5E">
        <w:rPr>
          <w:rFonts w:cs="Arial"/>
          <w:lang w:val="en-AU"/>
        </w:rPr>
        <w:t xml:space="preserve"> includes a chapter outlining ways to support farmers </w:t>
      </w:r>
      <w:r w:rsidR="00001A87" w:rsidRPr="00966D5E">
        <w:rPr>
          <w:rFonts w:cs="Arial"/>
          <w:lang w:val="en-AU"/>
        </w:rPr>
        <w:t xml:space="preserve">to </w:t>
      </w:r>
      <w:r w:rsidR="13EA5F05" w:rsidRPr="00966D5E">
        <w:rPr>
          <w:rFonts w:cs="Arial"/>
          <w:lang w:val="en-AU"/>
        </w:rPr>
        <w:t xml:space="preserve">adapt and expand in a drying climate by using water more efficiently and through greater use of recycled water and treated stormwater (Chapter 7 - Water for agriculture). The </w:t>
      </w:r>
      <w:r w:rsidR="004B459A" w:rsidRPr="00966D5E">
        <w:rPr>
          <w:rFonts w:cs="Arial"/>
          <w:lang w:val="en-AU"/>
        </w:rPr>
        <w:t>CGRSWS</w:t>
      </w:r>
      <w:r w:rsidR="13EA5F05" w:rsidRPr="00966D5E">
        <w:rPr>
          <w:rFonts w:cs="Arial"/>
          <w:lang w:val="en-AU"/>
        </w:rPr>
        <w:t xml:space="preserve"> commits to actions that work with farmers to encourage more efficient use of water and best-practice irrigation through advice and incentives via the Sustainable Irrigation Program and help farmers to reduce the effects of irrigation on the environment, including salinity, nutrient </w:t>
      </w:r>
      <w:proofErr w:type="gramStart"/>
      <w:r w:rsidR="13EA5F05" w:rsidRPr="00966D5E">
        <w:rPr>
          <w:rFonts w:cs="Arial"/>
          <w:lang w:val="en-AU"/>
        </w:rPr>
        <w:t>runoff</w:t>
      </w:r>
      <w:proofErr w:type="gramEnd"/>
      <w:r w:rsidR="13EA5F05" w:rsidRPr="00966D5E">
        <w:rPr>
          <w:rFonts w:cs="Arial"/>
          <w:lang w:val="en-AU"/>
        </w:rPr>
        <w:t xml:space="preserve"> and waterlogging, to support a sustainable and productive industry. This is evidenced by the Policy 7-1 which commits to maximising water efficiency in agriculture, which provides resources and industry commitment to continue to upgrade inefficient water supply infrastructure.</w:t>
      </w:r>
    </w:p>
    <w:p w14:paraId="6CE62C52" w14:textId="731E7C37" w:rsidR="00FB17EA" w:rsidRPr="00966D5E" w:rsidRDefault="00FB17EA" w:rsidP="00CC7B09">
      <w:pPr>
        <w:pStyle w:val="Heading3"/>
        <w:rPr>
          <w:rFonts w:cs="Arial"/>
          <w:lang w:val="en-AU"/>
        </w:rPr>
      </w:pPr>
      <w:r w:rsidRPr="00966D5E">
        <w:rPr>
          <w:rFonts w:cs="Arial"/>
          <w:lang w:val="en-AU"/>
        </w:rPr>
        <w:t>Reduction in irrigation losses</w:t>
      </w:r>
    </w:p>
    <w:p w14:paraId="6DB7EEAD" w14:textId="228254E3" w:rsidR="00955257" w:rsidRPr="00966D5E" w:rsidRDefault="00955257" w:rsidP="00955257">
      <w:pPr>
        <w:pStyle w:val="BodyText"/>
        <w:rPr>
          <w:rFonts w:cs="Arial"/>
          <w:lang w:val="en-AU"/>
        </w:rPr>
      </w:pPr>
      <w:r w:rsidRPr="00966D5E">
        <w:rPr>
          <w:rFonts w:cs="Arial"/>
          <w:lang w:val="en-AU"/>
        </w:rPr>
        <w:t>The key project that contributed to this outcome was:</w:t>
      </w:r>
    </w:p>
    <w:p w14:paraId="553F2C24" w14:textId="38ECD026" w:rsidR="00FB17EA" w:rsidRPr="00966D5E" w:rsidRDefault="009C56CA" w:rsidP="005A7571">
      <w:pPr>
        <w:pStyle w:val="BulletLevel1"/>
        <w:rPr>
          <w:rFonts w:cs="Arial"/>
          <w:lang w:val="en-AU"/>
        </w:rPr>
      </w:pPr>
      <w:r w:rsidRPr="00966D5E">
        <w:rPr>
          <w:rFonts w:cs="Arial"/>
          <w:b/>
          <w:bCs/>
          <w:lang w:val="en-AU"/>
        </w:rPr>
        <w:t xml:space="preserve">SIRS5: </w:t>
      </w:r>
      <w:r w:rsidR="00FB17EA" w:rsidRPr="00966D5E">
        <w:rPr>
          <w:rFonts w:cs="Arial"/>
          <w:b/>
          <w:bCs/>
          <w:lang w:val="en-AU"/>
        </w:rPr>
        <w:t>Macalister Irrigation District Modernisation Project – Phase 2:</w:t>
      </w:r>
      <w:r w:rsidR="00FB17EA" w:rsidRPr="00966D5E">
        <w:rPr>
          <w:rFonts w:cs="Arial"/>
          <w:lang w:val="en-AU"/>
        </w:rPr>
        <w:t xml:space="preserve"> This project is on track to deliver </w:t>
      </w:r>
      <w:r w:rsidR="00EB0A1D" w:rsidRPr="00966D5E">
        <w:rPr>
          <w:rFonts w:cs="Arial"/>
          <w:lang w:val="en-AU"/>
        </w:rPr>
        <w:t xml:space="preserve">up to </w:t>
      </w:r>
      <w:r w:rsidR="00FB17EA" w:rsidRPr="00966D5E">
        <w:rPr>
          <w:rFonts w:cs="Arial"/>
          <w:lang w:val="en-AU"/>
        </w:rPr>
        <w:t>10.3</w:t>
      </w:r>
      <w:r w:rsidR="00DD4BA5" w:rsidRPr="00966D5E">
        <w:rPr>
          <w:rFonts w:cs="Arial"/>
          <w:lang w:val="en-AU"/>
        </w:rPr>
        <w:t xml:space="preserve"> </w:t>
      </w:r>
      <w:r w:rsidR="00FB17EA" w:rsidRPr="00966D5E">
        <w:rPr>
          <w:rFonts w:cs="Arial"/>
          <w:lang w:val="en-AU"/>
        </w:rPr>
        <w:t xml:space="preserve">GL of Water Recovery </w:t>
      </w:r>
      <w:r w:rsidR="00F73188" w:rsidRPr="00966D5E">
        <w:rPr>
          <w:rFonts w:cs="Arial"/>
          <w:lang w:val="en-AU"/>
        </w:rPr>
        <w:t xml:space="preserve">and has </w:t>
      </w:r>
      <w:r w:rsidR="00FB17EA" w:rsidRPr="00966D5E">
        <w:rPr>
          <w:rFonts w:cs="Arial"/>
          <w:lang w:val="en-AU"/>
        </w:rPr>
        <w:t>modernis</w:t>
      </w:r>
      <w:r w:rsidR="00E236A1" w:rsidRPr="00966D5E">
        <w:rPr>
          <w:rFonts w:cs="Arial"/>
          <w:lang w:val="en-AU"/>
        </w:rPr>
        <w:t>ed</w:t>
      </w:r>
      <w:r w:rsidR="00FB17EA" w:rsidRPr="00966D5E">
        <w:rPr>
          <w:rFonts w:cs="Arial"/>
          <w:lang w:val="en-AU"/>
        </w:rPr>
        <w:t xml:space="preserve"> just over 80</w:t>
      </w:r>
      <w:r w:rsidR="00F11331" w:rsidRPr="00966D5E">
        <w:rPr>
          <w:rFonts w:cs="Arial"/>
          <w:lang w:val="en-AU"/>
        </w:rPr>
        <w:t xml:space="preserve"> </w:t>
      </w:r>
      <w:r w:rsidR="00FB17EA" w:rsidRPr="00966D5E">
        <w:rPr>
          <w:rFonts w:cs="Arial"/>
          <w:lang w:val="en-AU"/>
        </w:rPr>
        <w:t>km of irrigation network</w:t>
      </w:r>
      <w:r w:rsidR="003C06A8" w:rsidRPr="00966D5E">
        <w:rPr>
          <w:rFonts w:cs="Arial"/>
          <w:lang w:val="en-AU"/>
        </w:rPr>
        <w:t>.</w:t>
      </w:r>
      <w:r w:rsidR="00FB17EA" w:rsidRPr="00966D5E">
        <w:rPr>
          <w:rFonts w:cs="Arial"/>
          <w:lang w:val="en-AU"/>
        </w:rPr>
        <w:t xml:space="preserve"> </w:t>
      </w:r>
      <w:r w:rsidR="005B16C4" w:rsidRPr="00966D5E">
        <w:rPr>
          <w:rFonts w:cs="Arial"/>
          <w:lang w:val="en-AU"/>
        </w:rPr>
        <w:t xml:space="preserve">The final project achievements and audited water savings will be reported following practical completion in late </w:t>
      </w:r>
      <w:proofErr w:type="gramStart"/>
      <w:r w:rsidR="005B16C4" w:rsidRPr="00966D5E">
        <w:rPr>
          <w:rFonts w:cs="Arial"/>
          <w:lang w:val="en-AU"/>
        </w:rPr>
        <w:t>2024, and</w:t>
      </w:r>
      <w:proofErr w:type="gramEnd"/>
      <w:r w:rsidR="005B16C4" w:rsidRPr="00966D5E">
        <w:rPr>
          <w:rFonts w:cs="Arial"/>
          <w:lang w:val="en-AU"/>
        </w:rPr>
        <w:t xml:space="preserve"> will be reported in the next reporting period.</w:t>
      </w:r>
    </w:p>
    <w:p w14:paraId="738D3FB6" w14:textId="77777777" w:rsidR="00FB17EA" w:rsidRPr="00966D5E" w:rsidRDefault="00FB17EA" w:rsidP="00CC7B09">
      <w:pPr>
        <w:pStyle w:val="Heading3"/>
        <w:rPr>
          <w:rFonts w:cs="Arial"/>
          <w:lang w:val="en-AU"/>
        </w:rPr>
      </w:pPr>
      <w:r w:rsidRPr="00966D5E">
        <w:rPr>
          <w:rFonts w:cs="Arial"/>
          <w:lang w:val="en-AU"/>
        </w:rPr>
        <w:t>Improved regulation of water user compliance</w:t>
      </w:r>
    </w:p>
    <w:p w14:paraId="7838B1FC" w14:textId="77777777" w:rsidR="00D1555D" w:rsidRPr="00966D5E" w:rsidRDefault="00D1555D" w:rsidP="00D1555D">
      <w:pPr>
        <w:pStyle w:val="BodyText"/>
        <w:rPr>
          <w:rFonts w:cs="Arial"/>
          <w:lang w:val="en-AU"/>
        </w:rPr>
      </w:pPr>
      <w:r w:rsidRPr="00966D5E">
        <w:rPr>
          <w:rFonts w:cs="Arial"/>
          <w:lang w:val="en-AU"/>
        </w:rPr>
        <w:t>The key project that contributed to this outcome was:</w:t>
      </w:r>
    </w:p>
    <w:p w14:paraId="32D91675" w14:textId="351E6077" w:rsidR="00607D7F" w:rsidRPr="00D90AD4" w:rsidRDefault="00962F44" w:rsidP="002C3E57">
      <w:pPr>
        <w:pStyle w:val="BulletLevel1"/>
        <w:rPr>
          <w:rFonts w:cs="Arial"/>
          <w:lang w:val="en-AU"/>
        </w:rPr>
      </w:pPr>
      <w:r w:rsidRPr="00D90AD4">
        <w:rPr>
          <w:rFonts w:cs="Arial"/>
          <w:b/>
          <w:bCs/>
          <w:lang w:val="en-AU"/>
        </w:rPr>
        <w:t xml:space="preserve">WRS7: </w:t>
      </w:r>
      <w:r w:rsidR="00FB17EA" w:rsidRPr="00D90AD4">
        <w:rPr>
          <w:rFonts w:cs="Arial"/>
          <w:b/>
          <w:bCs/>
          <w:lang w:val="en-AU"/>
        </w:rPr>
        <w:t>Water Compliance Oversight and Reform</w:t>
      </w:r>
      <w:r w:rsidR="00D1555D" w:rsidRPr="00D90AD4">
        <w:rPr>
          <w:rFonts w:cs="Arial"/>
          <w:b/>
          <w:bCs/>
          <w:lang w:val="en-AU"/>
        </w:rPr>
        <w:t>:</w:t>
      </w:r>
      <w:r w:rsidR="00FB17EA" w:rsidRPr="00D90AD4">
        <w:rPr>
          <w:rFonts w:cs="Arial"/>
          <w:lang w:val="en-AU"/>
        </w:rPr>
        <w:t xml:space="preserve"> </w:t>
      </w:r>
      <w:r w:rsidR="00D1555D" w:rsidRPr="00D90AD4">
        <w:rPr>
          <w:rFonts w:cs="Arial"/>
          <w:lang w:val="en-AU"/>
        </w:rPr>
        <w:t>This</w:t>
      </w:r>
      <w:r w:rsidR="00FB17EA" w:rsidRPr="00D90AD4">
        <w:rPr>
          <w:rFonts w:cs="Arial"/>
          <w:lang w:val="en-AU"/>
        </w:rPr>
        <w:t xml:space="preserve"> </w:t>
      </w:r>
      <w:r w:rsidR="004F7DFD" w:rsidRPr="00D90AD4">
        <w:rPr>
          <w:rFonts w:cs="Arial"/>
          <w:lang w:val="en-AU"/>
        </w:rPr>
        <w:t>project</w:t>
      </w:r>
      <w:r w:rsidR="00FB17EA" w:rsidRPr="00D90AD4">
        <w:rPr>
          <w:rFonts w:cs="Arial"/>
          <w:lang w:val="en-AU"/>
        </w:rPr>
        <w:t xml:space="preserve"> implemented a modern regulatory regime for compliance and enforcement for unauthorised take</w:t>
      </w:r>
      <w:r w:rsidR="00955257" w:rsidRPr="00D90AD4">
        <w:rPr>
          <w:rFonts w:cs="Arial"/>
          <w:lang w:val="en-AU"/>
        </w:rPr>
        <w:t xml:space="preserve"> of water</w:t>
      </w:r>
      <w:r w:rsidR="00FB17EA" w:rsidRPr="00D90AD4">
        <w:rPr>
          <w:rFonts w:cs="Arial"/>
          <w:lang w:val="en-AU"/>
        </w:rPr>
        <w:t xml:space="preserve">. </w:t>
      </w:r>
      <w:r w:rsidR="00F05E5A" w:rsidRPr="00D90AD4">
        <w:rPr>
          <w:rFonts w:cs="Arial"/>
          <w:lang w:val="en-AU"/>
        </w:rPr>
        <w:t xml:space="preserve">Victoria’s </w:t>
      </w:r>
      <w:r w:rsidR="00ED18D6" w:rsidRPr="00D90AD4">
        <w:rPr>
          <w:rFonts w:cs="Arial"/>
          <w:lang w:val="en-AU"/>
        </w:rPr>
        <w:t xml:space="preserve">demonstration of </w:t>
      </w:r>
      <w:r w:rsidR="00F05E5A" w:rsidRPr="00D90AD4">
        <w:rPr>
          <w:rFonts w:cs="Arial"/>
          <w:lang w:val="en-AU"/>
        </w:rPr>
        <w:t xml:space="preserve">strong compliance standards </w:t>
      </w:r>
      <w:r w:rsidR="00395D25" w:rsidRPr="00D90AD4">
        <w:rPr>
          <w:rFonts w:cs="Arial"/>
          <w:lang w:val="en-AU"/>
        </w:rPr>
        <w:t xml:space="preserve">supports its position and advocacy </w:t>
      </w:r>
      <w:r w:rsidR="00F05E5A" w:rsidRPr="00D90AD4">
        <w:rPr>
          <w:rFonts w:cs="Arial"/>
          <w:lang w:val="en-AU"/>
        </w:rPr>
        <w:t>for greater compliance in other states, protect</w:t>
      </w:r>
      <w:r w:rsidR="00417664" w:rsidRPr="00D90AD4">
        <w:rPr>
          <w:rFonts w:cs="Arial"/>
          <w:lang w:val="en-AU"/>
        </w:rPr>
        <w:t>s</w:t>
      </w:r>
      <w:r w:rsidR="00F05E5A" w:rsidRPr="00D90AD4">
        <w:rPr>
          <w:rFonts w:cs="Arial"/>
          <w:lang w:val="en-AU"/>
        </w:rPr>
        <w:t>, encourag</w:t>
      </w:r>
      <w:r w:rsidR="00417664" w:rsidRPr="00D90AD4">
        <w:rPr>
          <w:rFonts w:cs="Arial"/>
          <w:lang w:val="en-AU"/>
        </w:rPr>
        <w:t>es</w:t>
      </w:r>
      <w:r w:rsidR="00F05E5A" w:rsidRPr="00D90AD4">
        <w:rPr>
          <w:rFonts w:cs="Arial"/>
          <w:lang w:val="en-AU"/>
        </w:rPr>
        <w:t xml:space="preserve"> a level playing field for water take and support</w:t>
      </w:r>
      <w:r w:rsidR="00417664" w:rsidRPr="00D90AD4">
        <w:rPr>
          <w:rFonts w:cs="Arial"/>
          <w:lang w:val="en-AU"/>
        </w:rPr>
        <w:t>s</w:t>
      </w:r>
      <w:r w:rsidR="00F05E5A" w:rsidRPr="00D90AD4">
        <w:rPr>
          <w:rFonts w:cs="Arial"/>
          <w:lang w:val="en-AU"/>
        </w:rPr>
        <w:t xml:space="preserve"> greater water security</w:t>
      </w:r>
      <w:r w:rsidR="00417664" w:rsidRPr="00D90AD4">
        <w:rPr>
          <w:rFonts w:cs="Arial"/>
          <w:lang w:val="en-AU"/>
        </w:rPr>
        <w:t xml:space="preserve"> for all water uses (including the environment)</w:t>
      </w:r>
      <w:r w:rsidR="00F05E5A" w:rsidRPr="00D90AD4">
        <w:rPr>
          <w:rFonts w:cs="Arial"/>
          <w:lang w:val="en-AU"/>
        </w:rPr>
        <w:t xml:space="preserve">. </w:t>
      </w:r>
      <w:r w:rsidR="00E638A0" w:rsidRPr="00D90AD4">
        <w:rPr>
          <w:rFonts w:cs="Arial"/>
          <w:lang w:val="en-AU"/>
        </w:rPr>
        <w:t xml:space="preserve">The project successfully reduced unauthorised levels of take, with an independent review by former </w:t>
      </w:r>
      <w:r w:rsidR="00E638A0" w:rsidRPr="00D90AD4">
        <w:rPr>
          <w:rFonts w:cs="Arial"/>
          <w:lang w:val="en-AU"/>
        </w:rPr>
        <w:lastRenderedPageBreak/>
        <w:t>Victorian Auditor-General, Mr Des Pearson AO, finding there had been very good progress and significant reductions in unauthorised take</w:t>
      </w:r>
      <w:r w:rsidR="00417664" w:rsidRPr="00D90AD4">
        <w:rPr>
          <w:rFonts w:cs="Arial"/>
          <w:lang w:val="en-AU"/>
        </w:rPr>
        <w:t xml:space="preserve"> since the reforms were introduced</w:t>
      </w:r>
      <w:r w:rsidR="00E638A0" w:rsidRPr="00D90AD4">
        <w:rPr>
          <w:rFonts w:cs="Arial"/>
          <w:lang w:val="en-AU"/>
        </w:rPr>
        <w:t>.</w:t>
      </w:r>
    </w:p>
    <w:p w14:paraId="4D71C25B" w14:textId="77777777" w:rsidR="00854F39" w:rsidRPr="00966D5E" w:rsidRDefault="00854F39">
      <w:pPr>
        <w:pStyle w:val="Heading2"/>
        <w:numPr>
          <w:ilvl w:val="1"/>
          <w:numId w:val="34"/>
        </w:numPr>
        <w:rPr>
          <w:rFonts w:cs="Arial"/>
          <w:lang w:val="en-AU"/>
        </w:rPr>
      </w:pPr>
      <w:bookmarkStart w:id="3" w:name="_Toc147002224"/>
      <w:r w:rsidRPr="00966D5E">
        <w:rPr>
          <w:rFonts w:cs="Arial"/>
          <w:lang w:val="en-AU"/>
        </w:rPr>
        <w:t>How have risks to priority waterways and catchment health been reduced?</w:t>
      </w:r>
      <w:bookmarkEnd w:id="3"/>
    </w:p>
    <w:p w14:paraId="3F585DD6" w14:textId="77777777" w:rsidR="00854F39" w:rsidRPr="00966D5E" w:rsidRDefault="00854F39" w:rsidP="00CC7B09">
      <w:pPr>
        <w:pStyle w:val="Heading3"/>
        <w:rPr>
          <w:rFonts w:cs="Arial"/>
          <w:lang w:val="en-AU"/>
        </w:rPr>
      </w:pPr>
      <w:r w:rsidRPr="00966D5E">
        <w:rPr>
          <w:rFonts w:cs="Arial"/>
          <w:lang w:val="en-AU"/>
        </w:rPr>
        <w:t>Reduced risks from stormwater runoff into priority urban waterways</w:t>
      </w:r>
    </w:p>
    <w:p w14:paraId="51E3187F" w14:textId="776AE686" w:rsidR="00BE44CC" w:rsidRPr="00966D5E" w:rsidRDefault="008F0A8E">
      <w:pPr>
        <w:pStyle w:val="BulletLevel1"/>
        <w:numPr>
          <w:ilvl w:val="0"/>
          <w:numId w:val="0"/>
        </w:numPr>
        <w:rPr>
          <w:rFonts w:cs="Arial"/>
          <w:lang w:val="en-AU"/>
        </w:rPr>
      </w:pPr>
      <w:r w:rsidRPr="00966D5E">
        <w:rPr>
          <w:rFonts w:cs="Arial"/>
          <w:lang w:val="en-AU"/>
        </w:rPr>
        <w:t>Improving stormwater manage</w:t>
      </w:r>
      <w:r w:rsidR="002B3C19" w:rsidRPr="00966D5E">
        <w:rPr>
          <w:rFonts w:cs="Arial"/>
          <w:lang w:val="en-AU"/>
        </w:rPr>
        <w:t>ment can reduce the adverse impacts of stormwater to waterways</w:t>
      </w:r>
      <w:r w:rsidR="007C3CE9" w:rsidRPr="00966D5E">
        <w:rPr>
          <w:rFonts w:cs="Arial"/>
          <w:lang w:val="en-AU"/>
        </w:rPr>
        <w:t xml:space="preserve"> and support their ecological health.</w:t>
      </w:r>
      <w:r w:rsidR="006C0D6A" w:rsidRPr="00966D5E">
        <w:rPr>
          <w:rFonts w:cs="Arial"/>
          <w:lang w:val="en-AU"/>
        </w:rPr>
        <w:t xml:space="preserve"> Throughout EC5, significant progress toward this outcome has been achieved through:</w:t>
      </w:r>
    </w:p>
    <w:p w14:paraId="6EBD2D87" w14:textId="77777777" w:rsidR="002E331D" w:rsidRPr="00966D5E" w:rsidRDefault="00726F74">
      <w:pPr>
        <w:pStyle w:val="BulletLevel1"/>
        <w:rPr>
          <w:rFonts w:cs="Arial"/>
          <w:lang w:val="en-AU"/>
        </w:rPr>
      </w:pPr>
      <w:r w:rsidRPr="00966D5E">
        <w:rPr>
          <w:rFonts w:cs="Arial"/>
          <w:b/>
          <w:bCs/>
          <w:lang w:val="en-AU"/>
        </w:rPr>
        <w:t>CWCT01</w:t>
      </w:r>
      <w:r w:rsidR="00962F44" w:rsidRPr="00966D5E">
        <w:rPr>
          <w:rFonts w:cs="Arial"/>
          <w:b/>
          <w:bCs/>
          <w:lang w:val="en-AU"/>
        </w:rPr>
        <w:t xml:space="preserve">: </w:t>
      </w:r>
      <w:r w:rsidR="00854F39" w:rsidRPr="00966D5E">
        <w:rPr>
          <w:rFonts w:cs="Arial"/>
          <w:b/>
          <w:bCs/>
          <w:lang w:val="en-AU"/>
        </w:rPr>
        <w:t>Integrated Water Management:</w:t>
      </w:r>
      <w:r w:rsidR="00854F39" w:rsidRPr="00966D5E">
        <w:rPr>
          <w:rFonts w:cs="Arial"/>
          <w:lang w:val="en-AU"/>
        </w:rPr>
        <w:t xml:space="preserve"> The IWM </w:t>
      </w:r>
      <w:r w:rsidR="006D5E69" w:rsidRPr="00966D5E">
        <w:rPr>
          <w:rFonts w:cs="Arial"/>
          <w:lang w:val="en-AU"/>
        </w:rPr>
        <w:t xml:space="preserve">project </w:t>
      </w:r>
      <w:r w:rsidR="00854F39" w:rsidRPr="00966D5E">
        <w:rPr>
          <w:rFonts w:cs="Arial"/>
          <w:lang w:val="en-AU"/>
        </w:rPr>
        <w:t xml:space="preserve">co-invested in a grants program supporting </w:t>
      </w:r>
      <w:r w:rsidRPr="00966D5E">
        <w:rPr>
          <w:rFonts w:cs="Arial"/>
          <w:lang w:val="en-AU"/>
        </w:rPr>
        <w:t xml:space="preserve">52 </w:t>
      </w:r>
      <w:r w:rsidR="00854F39" w:rsidRPr="00966D5E">
        <w:rPr>
          <w:rFonts w:cs="Arial"/>
          <w:lang w:val="en-AU"/>
        </w:rPr>
        <w:t xml:space="preserve">IWM projects including capital works for 3 stormwater harvesting systems, </w:t>
      </w:r>
      <w:r w:rsidRPr="00966D5E">
        <w:rPr>
          <w:rFonts w:cs="Arial"/>
          <w:lang w:val="en-AU"/>
        </w:rPr>
        <w:t xml:space="preserve">4 </w:t>
      </w:r>
      <w:r w:rsidR="00854F39" w:rsidRPr="00966D5E">
        <w:rPr>
          <w:rFonts w:cs="Arial"/>
          <w:lang w:val="en-AU"/>
        </w:rPr>
        <w:t>recycled water schemes</w:t>
      </w:r>
      <w:r w:rsidR="00080050" w:rsidRPr="00966D5E">
        <w:rPr>
          <w:rFonts w:cs="Arial"/>
          <w:lang w:val="en-AU"/>
        </w:rPr>
        <w:t>,</w:t>
      </w:r>
      <w:r w:rsidR="00854F39" w:rsidRPr="00966D5E">
        <w:rPr>
          <w:rFonts w:cs="Arial"/>
          <w:lang w:val="en-AU"/>
        </w:rPr>
        <w:t xml:space="preserve"> 2 rainwater harvesting systems</w:t>
      </w:r>
      <w:r w:rsidR="00080050" w:rsidRPr="00966D5E">
        <w:rPr>
          <w:rFonts w:cs="Arial"/>
          <w:lang w:val="en-AU"/>
        </w:rPr>
        <w:t>, construction of 1 wetland and improvement works to 4 wetlands to capture and treat stormwater to support ecological health of waterways</w:t>
      </w:r>
      <w:r w:rsidR="00854F39" w:rsidRPr="00966D5E">
        <w:rPr>
          <w:rFonts w:cs="Arial"/>
          <w:lang w:val="en-AU"/>
        </w:rPr>
        <w:t xml:space="preserve"> and </w:t>
      </w:r>
      <w:r w:rsidRPr="00966D5E">
        <w:rPr>
          <w:rFonts w:cs="Arial"/>
          <w:lang w:val="en-AU"/>
        </w:rPr>
        <w:t xml:space="preserve">8 </w:t>
      </w:r>
      <w:r w:rsidR="00854F39" w:rsidRPr="00966D5E">
        <w:rPr>
          <w:rFonts w:cs="Arial"/>
          <w:lang w:val="en-AU"/>
        </w:rPr>
        <w:t xml:space="preserve">detailed designs for alternative water projects. Once complete, the projects are expected to result in the </w:t>
      </w:r>
      <w:r w:rsidR="00C32524" w:rsidRPr="00966D5E">
        <w:rPr>
          <w:rFonts w:cs="Arial"/>
          <w:lang w:val="en-AU"/>
        </w:rPr>
        <w:t xml:space="preserve">prevention </w:t>
      </w:r>
      <w:r w:rsidR="00854F39" w:rsidRPr="00966D5E">
        <w:rPr>
          <w:rFonts w:cs="Arial"/>
          <w:lang w:val="en-AU"/>
        </w:rPr>
        <w:t xml:space="preserve">of </w:t>
      </w:r>
      <w:r w:rsidR="00A40DB5" w:rsidRPr="00966D5E">
        <w:rPr>
          <w:rFonts w:cs="Arial"/>
          <w:lang w:val="en-AU"/>
        </w:rPr>
        <w:t>8,407</w:t>
      </w:r>
      <w:r w:rsidR="00854F39" w:rsidRPr="00966D5E">
        <w:rPr>
          <w:rFonts w:cs="Arial"/>
          <w:lang w:val="en-AU"/>
        </w:rPr>
        <w:t xml:space="preserve"> kgs of nitrogen, </w:t>
      </w:r>
      <w:r w:rsidR="00A40DB5" w:rsidRPr="00966D5E">
        <w:rPr>
          <w:rFonts w:cs="Arial"/>
          <w:lang w:val="en-AU"/>
        </w:rPr>
        <w:t xml:space="preserve">2,299 </w:t>
      </w:r>
      <w:r w:rsidR="00854F39" w:rsidRPr="00966D5E">
        <w:rPr>
          <w:rFonts w:cs="Arial"/>
          <w:lang w:val="en-AU"/>
        </w:rPr>
        <w:t xml:space="preserve">kgs of phosphorus and </w:t>
      </w:r>
      <w:r w:rsidR="00A40DB5" w:rsidRPr="00966D5E">
        <w:rPr>
          <w:rFonts w:cs="Arial"/>
          <w:lang w:val="en-AU"/>
        </w:rPr>
        <w:t xml:space="preserve">258 </w:t>
      </w:r>
      <w:r w:rsidR="00854F39" w:rsidRPr="00966D5E">
        <w:rPr>
          <w:rFonts w:cs="Arial"/>
          <w:lang w:val="en-AU"/>
        </w:rPr>
        <w:t>tonnes of total suspended solids from</w:t>
      </w:r>
      <w:r w:rsidR="00C32524" w:rsidRPr="00966D5E">
        <w:rPr>
          <w:rFonts w:cs="Arial"/>
          <w:lang w:val="en-AU"/>
        </w:rPr>
        <w:t xml:space="preserve"> entering</w:t>
      </w:r>
      <w:r w:rsidR="00854F39" w:rsidRPr="00966D5E">
        <w:rPr>
          <w:rFonts w:cs="Arial"/>
          <w:lang w:val="en-AU"/>
        </w:rPr>
        <w:t xml:space="preserve"> our waterways every year.</w:t>
      </w:r>
    </w:p>
    <w:p w14:paraId="05169026" w14:textId="1FC1F413" w:rsidR="005C72E9" w:rsidRPr="00966D5E" w:rsidRDefault="00726F74" w:rsidP="00997E07">
      <w:pPr>
        <w:pStyle w:val="BulletLevel1"/>
        <w:spacing w:before="0"/>
        <w:ind w:left="360" w:hanging="360"/>
        <w:rPr>
          <w:rFonts w:cs="Arial"/>
          <w:lang w:val="en-AU"/>
        </w:rPr>
      </w:pPr>
      <w:r w:rsidRPr="00966D5E">
        <w:rPr>
          <w:rFonts w:cs="Arial"/>
          <w:b/>
          <w:bCs/>
          <w:lang w:val="en-AU"/>
        </w:rPr>
        <w:t>CWCT04</w:t>
      </w:r>
      <w:r w:rsidR="00962F44" w:rsidRPr="00966D5E">
        <w:rPr>
          <w:rFonts w:cs="Arial"/>
          <w:b/>
          <w:bCs/>
          <w:lang w:val="en-AU"/>
        </w:rPr>
        <w:t xml:space="preserve">: </w:t>
      </w:r>
      <w:r w:rsidR="00854F39" w:rsidRPr="00966D5E">
        <w:rPr>
          <w:rFonts w:cs="Arial"/>
          <w:b/>
          <w:bCs/>
          <w:lang w:val="en-AU"/>
        </w:rPr>
        <w:t xml:space="preserve">Recycled </w:t>
      </w:r>
      <w:r w:rsidR="008B671E" w:rsidRPr="00966D5E">
        <w:rPr>
          <w:rFonts w:cs="Arial"/>
          <w:b/>
          <w:bCs/>
          <w:lang w:val="en-AU"/>
        </w:rPr>
        <w:t>W</w:t>
      </w:r>
      <w:r w:rsidR="00854F39" w:rsidRPr="00966D5E">
        <w:rPr>
          <w:rFonts w:cs="Arial"/>
          <w:b/>
          <w:bCs/>
          <w:lang w:val="en-AU"/>
        </w:rPr>
        <w:t xml:space="preserve">ater, </w:t>
      </w:r>
      <w:r w:rsidR="008B671E" w:rsidRPr="00966D5E">
        <w:rPr>
          <w:rFonts w:cs="Arial"/>
          <w:b/>
          <w:bCs/>
          <w:lang w:val="en-AU"/>
        </w:rPr>
        <w:t>S</w:t>
      </w:r>
      <w:r w:rsidR="00854F39" w:rsidRPr="00966D5E">
        <w:rPr>
          <w:rFonts w:cs="Arial"/>
          <w:b/>
          <w:bCs/>
          <w:lang w:val="en-AU"/>
        </w:rPr>
        <w:t xml:space="preserve">tormwater and </w:t>
      </w:r>
      <w:r w:rsidR="008B671E" w:rsidRPr="00966D5E">
        <w:rPr>
          <w:rFonts w:cs="Arial"/>
          <w:b/>
          <w:bCs/>
          <w:lang w:val="en-AU"/>
        </w:rPr>
        <w:t>O</w:t>
      </w:r>
      <w:r w:rsidR="00854F39" w:rsidRPr="00966D5E">
        <w:rPr>
          <w:rFonts w:cs="Arial"/>
          <w:b/>
          <w:bCs/>
          <w:lang w:val="en-AU"/>
        </w:rPr>
        <w:t xml:space="preserve">nsite </w:t>
      </w:r>
      <w:r w:rsidR="008B671E" w:rsidRPr="00966D5E">
        <w:rPr>
          <w:rFonts w:cs="Arial"/>
          <w:b/>
          <w:bCs/>
          <w:lang w:val="en-AU"/>
        </w:rPr>
        <w:t>W</w:t>
      </w:r>
      <w:r w:rsidR="00854F39" w:rsidRPr="00966D5E">
        <w:rPr>
          <w:rFonts w:cs="Arial"/>
          <w:b/>
          <w:bCs/>
          <w:lang w:val="en-AU"/>
        </w:rPr>
        <w:t xml:space="preserve">astewater </w:t>
      </w:r>
      <w:r w:rsidR="008B671E" w:rsidRPr="00966D5E">
        <w:rPr>
          <w:rFonts w:cs="Arial"/>
          <w:b/>
          <w:bCs/>
          <w:lang w:val="en-AU"/>
        </w:rPr>
        <w:t>P</w:t>
      </w:r>
      <w:r w:rsidR="00854F39" w:rsidRPr="00966D5E">
        <w:rPr>
          <w:rFonts w:cs="Arial"/>
          <w:b/>
          <w:bCs/>
          <w:lang w:val="en-AU"/>
        </w:rPr>
        <w:t>olicy:</w:t>
      </w:r>
      <w:r w:rsidR="00854F39" w:rsidRPr="00966D5E">
        <w:rPr>
          <w:rFonts w:cs="Arial"/>
          <w:lang w:val="en-AU"/>
        </w:rPr>
        <w:t xml:space="preserve"> </w:t>
      </w:r>
      <w:r w:rsidR="00783C87" w:rsidRPr="00966D5E">
        <w:rPr>
          <w:rFonts w:cs="Arial"/>
          <w:lang w:val="en-AU"/>
        </w:rPr>
        <w:t>This</w:t>
      </w:r>
      <w:r w:rsidR="00854F39" w:rsidRPr="00966D5E">
        <w:rPr>
          <w:rFonts w:cs="Arial"/>
          <w:lang w:val="en-AU"/>
        </w:rPr>
        <w:t xml:space="preserve"> </w:t>
      </w:r>
      <w:r w:rsidR="007A5871" w:rsidRPr="00966D5E">
        <w:rPr>
          <w:rFonts w:cs="Arial"/>
          <w:lang w:val="en-AU"/>
        </w:rPr>
        <w:t>project</w:t>
      </w:r>
      <w:r w:rsidR="00C40A55" w:rsidRPr="00966D5E">
        <w:rPr>
          <w:rFonts w:cs="Arial"/>
          <w:lang w:val="en-AU"/>
        </w:rPr>
        <w:t xml:space="preserve"> </w:t>
      </w:r>
      <w:r w:rsidR="00854F39" w:rsidRPr="00966D5E">
        <w:rPr>
          <w:rFonts w:cs="Arial"/>
          <w:lang w:val="en-AU"/>
        </w:rPr>
        <w:t>provided guidance to counc</w:t>
      </w:r>
      <w:r w:rsidR="00CF7721" w:rsidRPr="00966D5E">
        <w:rPr>
          <w:rFonts w:cs="Arial"/>
          <w:lang w:val="en-AU"/>
        </w:rPr>
        <w:t>i</w:t>
      </w:r>
      <w:r w:rsidR="00854F39" w:rsidRPr="00966D5E">
        <w:rPr>
          <w:rFonts w:cs="Arial"/>
          <w:lang w:val="en-AU"/>
        </w:rPr>
        <w:t>ls on stormwater offset schemes, with four local government councils implementing new stormwater offset schemes (City of Kingston, Mornington Peninsula</w:t>
      </w:r>
      <w:r w:rsidR="00FF62C7" w:rsidRPr="00966D5E">
        <w:rPr>
          <w:rFonts w:cs="Arial"/>
          <w:lang w:val="en-AU"/>
        </w:rPr>
        <w:t xml:space="preserve"> Shire</w:t>
      </w:r>
      <w:r w:rsidR="00854F39" w:rsidRPr="00966D5E">
        <w:rPr>
          <w:rFonts w:cs="Arial"/>
          <w:lang w:val="en-AU"/>
        </w:rPr>
        <w:t xml:space="preserve">, Mooney </w:t>
      </w:r>
      <w:proofErr w:type="gramStart"/>
      <w:r w:rsidR="00854F39" w:rsidRPr="00966D5E">
        <w:rPr>
          <w:rFonts w:cs="Arial"/>
          <w:lang w:val="en-AU"/>
        </w:rPr>
        <w:t>Valley</w:t>
      </w:r>
      <w:proofErr w:type="gramEnd"/>
      <w:r w:rsidR="00854F39" w:rsidRPr="00966D5E">
        <w:rPr>
          <w:rFonts w:cs="Arial"/>
          <w:lang w:val="en-AU"/>
        </w:rPr>
        <w:t xml:space="preserve"> and </w:t>
      </w:r>
      <w:r w:rsidR="00FF62C7" w:rsidRPr="00966D5E">
        <w:rPr>
          <w:rFonts w:cs="Arial"/>
          <w:lang w:val="en-AU"/>
        </w:rPr>
        <w:t xml:space="preserve">City of </w:t>
      </w:r>
      <w:r w:rsidR="00854F39" w:rsidRPr="00966D5E">
        <w:rPr>
          <w:rFonts w:cs="Arial"/>
          <w:lang w:val="en-AU"/>
        </w:rPr>
        <w:t>Darebin), and several more are investigating options for setting up schemes</w:t>
      </w:r>
      <w:r w:rsidR="00725820" w:rsidRPr="00966D5E">
        <w:rPr>
          <w:rFonts w:cs="Arial"/>
          <w:lang w:val="en-AU"/>
        </w:rPr>
        <w:t xml:space="preserve"> within their municipalities</w:t>
      </w:r>
      <w:r w:rsidR="00854F39" w:rsidRPr="00966D5E">
        <w:rPr>
          <w:rFonts w:cs="Arial"/>
          <w:lang w:val="en-AU"/>
        </w:rPr>
        <w:t xml:space="preserve">. </w:t>
      </w:r>
      <w:r w:rsidR="007A5871" w:rsidRPr="00966D5E">
        <w:rPr>
          <w:rFonts w:cs="Arial"/>
          <w:lang w:val="en-AU"/>
        </w:rPr>
        <w:t>A</w:t>
      </w:r>
      <w:r w:rsidR="00D863EC" w:rsidRPr="00966D5E">
        <w:rPr>
          <w:rFonts w:cs="Arial"/>
          <w:lang w:val="en-AU"/>
        </w:rPr>
        <w:t xml:space="preserve"> new tool </w:t>
      </w:r>
      <w:r w:rsidR="007A5871" w:rsidRPr="00966D5E">
        <w:rPr>
          <w:rFonts w:cs="Arial"/>
          <w:lang w:val="en-AU"/>
        </w:rPr>
        <w:t>was</w:t>
      </w:r>
      <w:r w:rsidR="005C59E5" w:rsidRPr="00966D5E">
        <w:rPr>
          <w:rFonts w:cs="Arial"/>
          <w:lang w:val="en-AU"/>
        </w:rPr>
        <w:t xml:space="preserve"> also</w:t>
      </w:r>
      <w:r w:rsidR="007A5871" w:rsidRPr="00966D5E">
        <w:rPr>
          <w:rFonts w:cs="Arial"/>
          <w:lang w:val="en-AU"/>
        </w:rPr>
        <w:t xml:space="preserve"> developed </w:t>
      </w:r>
      <w:r w:rsidR="00D863EC" w:rsidRPr="00966D5E">
        <w:rPr>
          <w:rFonts w:cs="Arial"/>
          <w:lang w:val="en-AU"/>
        </w:rPr>
        <w:t xml:space="preserve">to help planning system users (developers, engineers, councils) demonstrate compliance with their stormwater obligations under the </w:t>
      </w:r>
      <w:r w:rsidR="00367169" w:rsidRPr="00966D5E">
        <w:rPr>
          <w:rFonts w:cs="Arial"/>
          <w:lang w:val="en-AU"/>
        </w:rPr>
        <w:t>Victorian Planning Provisions</w:t>
      </w:r>
      <w:r w:rsidR="00D863EC" w:rsidRPr="00966D5E">
        <w:rPr>
          <w:rFonts w:cs="Arial"/>
          <w:lang w:val="en-AU"/>
        </w:rPr>
        <w:t xml:space="preserve"> (due for launch early </w:t>
      </w:r>
      <w:r w:rsidR="005C59E5" w:rsidRPr="00966D5E">
        <w:rPr>
          <w:rFonts w:cs="Arial"/>
          <w:lang w:val="en-AU"/>
        </w:rPr>
        <w:t>20</w:t>
      </w:r>
      <w:r w:rsidR="00D863EC" w:rsidRPr="00966D5E">
        <w:rPr>
          <w:rFonts w:cs="Arial"/>
          <w:lang w:val="en-AU"/>
        </w:rPr>
        <w:t>24</w:t>
      </w:r>
      <w:r w:rsidR="005C59E5" w:rsidRPr="00966D5E">
        <w:rPr>
          <w:rFonts w:cs="Arial"/>
          <w:lang w:val="en-AU"/>
        </w:rPr>
        <w:t>-</w:t>
      </w:r>
      <w:r w:rsidR="00D863EC" w:rsidRPr="00966D5E">
        <w:rPr>
          <w:rFonts w:cs="Arial"/>
          <w:lang w:val="en-AU"/>
        </w:rPr>
        <w:t>25)</w:t>
      </w:r>
      <w:r w:rsidR="007A5871" w:rsidRPr="00966D5E">
        <w:rPr>
          <w:rFonts w:cs="Arial"/>
          <w:lang w:val="en-AU"/>
        </w:rPr>
        <w:t xml:space="preserve">. </w:t>
      </w:r>
      <w:r w:rsidR="00854F39" w:rsidRPr="00966D5E">
        <w:rPr>
          <w:rFonts w:cs="Arial"/>
          <w:lang w:val="en-AU"/>
        </w:rPr>
        <w:t xml:space="preserve">The </w:t>
      </w:r>
      <w:r w:rsidR="007A5871" w:rsidRPr="00966D5E">
        <w:rPr>
          <w:rFonts w:cs="Arial"/>
          <w:lang w:val="en-AU"/>
        </w:rPr>
        <w:t xml:space="preserve">project </w:t>
      </w:r>
      <w:r w:rsidR="00854F39" w:rsidRPr="00966D5E">
        <w:rPr>
          <w:rFonts w:cs="Arial"/>
          <w:lang w:val="en-AU"/>
        </w:rPr>
        <w:t xml:space="preserve">also supported implementation of stormwater management requirements under the planning scheme, delivering information sessions to over 900 participants. </w:t>
      </w:r>
      <w:r w:rsidR="00152024" w:rsidRPr="00966D5E">
        <w:rPr>
          <w:rFonts w:cs="Arial"/>
          <w:lang w:val="en-AU"/>
        </w:rPr>
        <w:t xml:space="preserve">The project also provided 58 of 65 eligible councils with grants to focus on data improvements, updating Onsite Wastewater Management Projects or to undertake risk reducing activities, with 89% of </w:t>
      </w:r>
      <w:r w:rsidR="00997E07" w:rsidRPr="00966D5E">
        <w:rPr>
          <w:rFonts w:cs="Arial"/>
          <w:lang w:val="en-AU"/>
        </w:rPr>
        <w:t>councils</w:t>
      </w:r>
      <w:r w:rsidR="00152024" w:rsidRPr="00966D5E">
        <w:rPr>
          <w:rFonts w:cs="Arial"/>
          <w:lang w:val="en-AU"/>
        </w:rPr>
        <w:t xml:space="preserve"> having improved their management and planning processes.</w:t>
      </w:r>
    </w:p>
    <w:p w14:paraId="39FECA5A" w14:textId="09478AD0" w:rsidR="005C72E9" w:rsidRPr="00D90AD4" w:rsidRDefault="0033071E" w:rsidP="00387A8C">
      <w:pPr>
        <w:pStyle w:val="BulletLevel1"/>
        <w:spacing w:before="0"/>
        <w:ind w:left="360" w:hanging="360"/>
        <w:rPr>
          <w:rFonts w:cs="Arial"/>
          <w:lang w:val="en-AU"/>
        </w:rPr>
      </w:pPr>
      <w:r w:rsidRPr="00966D5E">
        <w:rPr>
          <w:rFonts w:cs="Arial"/>
          <w:b/>
          <w:bCs/>
          <w:lang w:val="en-AU"/>
        </w:rPr>
        <w:t>CWCT07</w:t>
      </w:r>
      <w:r w:rsidR="00962F44" w:rsidRPr="00966D5E">
        <w:rPr>
          <w:rFonts w:cs="Arial"/>
          <w:b/>
          <w:bCs/>
          <w:lang w:val="en-AU"/>
        </w:rPr>
        <w:t xml:space="preserve">: </w:t>
      </w:r>
      <w:r w:rsidR="00854F39" w:rsidRPr="00966D5E">
        <w:rPr>
          <w:rFonts w:cs="Arial"/>
          <w:b/>
          <w:bCs/>
          <w:lang w:val="en-AU"/>
        </w:rPr>
        <w:t xml:space="preserve">CGRSWS Funding Stream 2 Diversify Water Sources and </w:t>
      </w:r>
      <w:r w:rsidR="002F1656" w:rsidRPr="00966D5E">
        <w:rPr>
          <w:rFonts w:cs="Arial"/>
          <w:b/>
          <w:bCs/>
          <w:lang w:val="en-AU"/>
        </w:rPr>
        <w:t>I</w:t>
      </w:r>
      <w:r w:rsidR="00854F39" w:rsidRPr="00966D5E">
        <w:rPr>
          <w:rFonts w:cs="Arial"/>
          <w:b/>
          <w:bCs/>
          <w:lang w:val="en-AU"/>
        </w:rPr>
        <w:t xml:space="preserve">ncrease </w:t>
      </w:r>
      <w:r w:rsidR="002F1656" w:rsidRPr="00966D5E">
        <w:rPr>
          <w:rFonts w:cs="Arial"/>
          <w:b/>
          <w:bCs/>
          <w:lang w:val="en-AU"/>
        </w:rPr>
        <w:t>W</w:t>
      </w:r>
      <w:r w:rsidR="00854F39" w:rsidRPr="00966D5E">
        <w:rPr>
          <w:rFonts w:cs="Arial"/>
          <w:b/>
          <w:bCs/>
          <w:lang w:val="en-AU"/>
        </w:rPr>
        <w:t xml:space="preserve">ater </w:t>
      </w:r>
      <w:r w:rsidR="002F1656" w:rsidRPr="00966D5E">
        <w:rPr>
          <w:rFonts w:cs="Arial"/>
          <w:b/>
          <w:bCs/>
          <w:lang w:val="en-AU"/>
        </w:rPr>
        <w:t>E</w:t>
      </w:r>
      <w:r w:rsidR="00854F39" w:rsidRPr="00966D5E">
        <w:rPr>
          <w:rFonts w:cs="Arial"/>
          <w:b/>
          <w:bCs/>
          <w:lang w:val="en-AU"/>
        </w:rPr>
        <w:t>fficiency:</w:t>
      </w:r>
      <w:r w:rsidR="00854F39" w:rsidRPr="00966D5E">
        <w:rPr>
          <w:rFonts w:cs="Arial"/>
          <w:lang w:val="en-AU"/>
        </w:rPr>
        <w:t xml:space="preserve"> </w:t>
      </w:r>
      <w:r w:rsidR="005C72E9" w:rsidRPr="00966D5E">
        <w:rPr>
          <w:rFonts w:cs="Arial"/>
          <w:lang w:val="en-AU"/>
        </w:rPr>
        <w:t>This project</w:t>
      </w:r>
      <w:r w:rsidR="00854F39" w:rsidRPr="00966D5E">
        <w:rPr>
          <w:rFonts w:cs="Arial"/>
          <w:lang w:val="en-AU"/>
        </w:rPr>
        <w:t xml:space="preserve"> funded capital works and feasibility / design works for several stormwater projects which will reduce adverse impacts of stormwater to waterways. </w:t>
      </w:r>
      <w:r w:rsidR="00DA259C" w:rsidRPr="00966D5E">
        <w:rPr>
          <w:rFonts w:cs="Arial"/>
          <w:lang w:val="en-AU"/>
        </w:rPr>
        <w:t>These</w:t>
      </w:r>
      <w:r w:rsidR="00854F39" w:rsidRPr="00966D5E">
        <w:rPr>
          <w:rFonts w:cs="Arial"/>
          <w:lang w:val="en-AU"/>
        </w:rPr>
        <w:t xml:space="preserve"> include the </w:t>
      </w:r>
      <w:r w:rsidR="00457DD2" w:rsidRPr="00D90AD4">
        <w:rPr>
          <w:rFonts w:cs="Arial"/>
          <w:lang w:val="en-AU"/>
        </w:rPr>
        <w:t>Jan Juc daylighting project,</w:t>
      </w:r>
      <w:r w:rsidR="00400314" w:rsidRPr="00D90AD4">
        <w:rPr>
          <w:rFonts w:cs="Arial"/>
          <w:lang w:val="en-AU"/>
        </w:rPr>
        <w:t xml:space="preserve"> the stormwater harvesting concept design for the Northern and Western Geelong Growth Areas and the </w:t>
      </w:r>
      <w:r w:rsidR="007D4475" w:rsidRPr="00D90AD4">
        <w:rPr>
          <w:rFonts w:cs="Arial"/>
          <w:lang w:val="en-AU"/>
        </w:rPr>
        <w:t>Werribee Reconfiguration project.</w:t>
      </w:r>
    </w:p>
    <w:p w14:paraId="75FD3254" w14:textId="77777777" w:rsidR="00854F39" w:rsidRPr="00966D5E" w:rsidRDefault="00854F39" w:rsidP="00CC7B09">
      <w:pPr>
        <w:pStyle w:val="Heading3"/>
        <w:rPr>
          <w:rFonts w:cs="Arial"/>
          <w:lang w:val="en-AU"/>
        </w:rPr>
      </w:pPr>
      <w:r w:rsidRPr="00966D5E">
        <w:rPr>
          <w:rFonts w:cs="Arial"/>
          <w:lang w:val="en-AU"/>
        </w:rPr>
        <w:t>Improved stewardship in catchments &amp; waterways</w:t>
      </w:r>
    </w:p>
    <w:p w14:paraId="2ED1B339" w14:textId="1896B735" w:rsidR="00146264" w:rsidRPr="00966D5E" w:rsidRDefault="008846FB" w:rsidP="00655E5E">
      <w:pPr>
        <w:pStyle w:val="BulletLevel1"/>
        <w:numPr>
          <w:ilvl w:val="0"/>
          <w:numId w:val="0"/>
        </w:numPr>
        <w:tabs>
          <w:tab w:val="left" w:pos="6312"/>
        </w:tabs>
        <w:rPr>
          <w:rFonts w:cs="Arial"/>
          <w:lang w:val="en-AU"/>
        </w:rPr>
      </w:pPr>
      <w:r w:rsidRPr="00966D5E">
        <w:rPr>
          <w:rFonts w:cs="Arial"/>
          <w:lang w:val="en-AU"/>
        </w:rPr>
        <w:t>EC5 projects delivered of a range of projects to improve stewardship in catchments and waterways</w:t>
      </w:r>
      <w:r w:rsidR="00EB670F" w:rsidRPr="00966D5E">
        <w:rPr>
          <w:rFonts w:cs="Arial"/>
          <w:lang w:val="en-AU"/>
        </w:rPr>
        <w:t>. The major projects supporting this outcome were:</w:t>
      </w:r>
    </w:p>
    <w:p w14:paraId="0D80B987" w14:textId="686DF135" w:rsidR="00854F39" w:rsidRPr="00966D5E" w:rsidRDefault="00A40DB5" w:rsidP="005A7571">
      <w:pPr>
        <w:pStyle w:val="BulletLevel1"/>
        <w:rPr>
          <w:rFonts w:cs="Arial"/>
          <w:lang w:val="en-AU"/>
        </w:rPr>
      </w:pPr>
      <w:r w:rsidRPr="00966D5E">
        <w:rPr>
          <w:rFonts w:cs="Arial"/>
          <w:b/>
          <w:bCs/>
          <w:lang w:val="en-AU"/>
        </w:rPr>
        <w:t>CWCT08</w:t>
      </w:r>
      <w:r w:rsidR="00FE4B78" w:rsidRPr="00966D5E">
        <w:rPr>
          <w:rFonts w:cs="Arial"/>
          <w:b/>
          <w:bCs/>
          <w:lang w:val="en-AU"/>
        </w:rPr>
        <w:t xml:space="preserve">: </w:t>
      </w:r>
      <w:r w:rsidR="00854F39" w:rsidRPr="00966D5E">
        <w:rPr>
          <w:rFonts w:cs="Arial"/>
          <w:b/>
          <w:bCs/>
          <w:lang w:val="en-AU"/>
        </w:rPr>
        <w:t xml:space="preserve">CGRSWS </w:t>
      </w:r>
      <w:r w:rsidR="00A25C3C" w:rsidRPr="00966D5E">
        <w:rPr>
          <w:rFonts w:cs="Arial"/>
          <w:b/>
          <w:bCs/>
          <w:lang w:val="en-AU"/>
        </w:rPr>
        <w:t xml:space="preserve">Funding </w:t>
      </w:r>
      <w:r w:rsidR="00854F39" w:rsidRPr="00966D5E">
        <w:rPr>
          <w:rFonts w:cs="Arial"/>
          <w:b/>
          <w:bCs/>
          <w:lang w:val="en-AU"/>
        </w:rPr>
        <w:t xml:space="preserve">Stream 3 Waterway Health </w:t>
      </w:r>
      <w:r w:rsidR="00D04B4A" w:rsidRPr="00966D5E">
        <w:rPr>
          <w:rFonts w:cs="Arial"/>
          <w:b/>
          <w:bCs/>
          <w:lang w:val="en-AU"/>
        </w:rPr>
        <w:t>C</w:t>
      </w:r>
      <w:r w:rsidR="00854F39" w:rsidRPr="00966D5E">
        <w:rPr>
          <w:rFonts w:cs="Arial"/>
          <w:b/>
          <w:bCs/>
          <w:lang w:val="en-AU"/>
        </w:rPr>
        <w:t xml:space="preserve">omplementary </w:t>
      </w:r>
      <w:r w:rsidR="00D04B4A" w:rsidRPr="00966D5E">
        <w:rPr>
          <w:rFonts w:cs="Arial"/>
          <w:b/>
          <w:bCs/>
          <w:lang w:val="en-AU"/>
        </w:rPr>
        <w:t>M</w:t>
      </w:r>
      <w:r w:rsidR="00854F39" w:rsidRPr="00966D5E">
        <w:rPr>
          <w:rFonts w:cs="Arial"/>
          <w:b/>
          <w:bCs/>
          <w:lang w:val="en-AU"/>
        </w:rPr>
        <w:t xml:space="preserve">easures and </w:t>
      </w:r>
      <w:r w:rsidR="00D04B4A" w:rsidRPr="00966D5E">
        <w:rPr>
          <w:rFonts w:cs="Arial"/>
          <w:b/>
          <w:bCs/>
          <w:lang w:val="en-AU"/>
        </w:rPr>
        <w:t>C</w:t>
      </w:r>
      <w:r w:rsidR="00854F39" w:rsidRPr="00966D5E">
        <w:rPr>
          <w:rFonts w:cs="Arial"/>
          <w:b/>
          <w:bCs/>
          <w:lang w:val="en-AU"/>
        </w:rPr>
        <w:t xml:space="preserve">atchment </w:t>
      </w:r>
      <w:r w:rsidR="00D04B4A" w:rsidRPr="00966D5E">
        <w:rPr>
          <w:rFonts w:cs="Arial"/>
          <w:b/>
          <w:bCs/>
          <w:lang w:val="en-AU"/>
        </w:rPr>
        <w:t>M</w:t>
      </w:r>
      <w:r w:rsidR="00854F39" w:rsidRPr="00966D5E">
        <w:rPr>
          <w:rFonts w:cs="Arial"/>
          <w:b/>
          <w:bCs/>
          <w:lang w:val="en-AU"/>
        </w:rPr>
        <w:t xml:space="preserve">anagement </w:t>
      </w:r>
      <w:r w:rsidR="00D04B4A" w:rsidRPr="00966D5E">
        <w:rPr>
          <w:rFonts w:cs="Arial"/>
          <w:b/>
          <w:bCs/>
          <w:lang w:val="en-AU"/>
        </w:rPr>
        <w:t>I</w:t>
      </w:r>
      <w:r w:rsidR="00854F39" w:rsidRPr="00966D5E">
        <w:rPr>
          <w:rFonts w:cs="Arial"/>
          <w:b/>
          <w:bCs/>
          <w:lang w:val="en-AU"/>
        </w:rPr>
        <w:t>mprovement</w:t>
      </w:r>
      <w:r w:rsidR="00D04B4A" w:rsidRPr="00966D5E">
        <w:rPr>
          <w:rFonts w:cs="Arial"/>
          <w:b/>
          <w:bCs/>
          <w:lang w:val="en-AU"/>
        </w:rPr>
        <w:t>:</w:t>
      </w:r>
      <w:r w:rsidR="00854F39" w:rsidRPr="00966D5E">
        <w:rPr>
          <w:rFonts w:cs="Arial"/>
          <w:lang w:val="en-AU"/>
        </w:rPr>
        <w:t xml:space="preserve"> </w:t>
      </w:r>
      <w:r w:rsidR="00D04B4A" w:rsidRPr="00966D5E">
        <w:rPr>
          <w:rFonts w:cs="Arial"/>
          <w:lang w:val="en-AU"/>
        </w:rPr>
        <w:t>This project</w:t>
      </w:r>
      <w:r w:rsidR="00854F39" w:rsidRPr="00966D5E">
        <w:rPr>
          <w:rFonts w:cs="Arial"/>
          <w:lang w:val="en-AU"/>
        </w:rPr>
        <w:t xml:space="preserve"> </w:t>
      </w:r>
      <w:r w:rsidR="00856413" w:rsidRPr="00D90AD4">
        <w:rPr>
          <w:rFonts w:cs="Arial"/>
          <w:lang w:val="en-AU"/>
        </w:rPr>
        <w:t>increased inclusive management by incorporating social and community values in waterway management</w:t>
      </w:r>
      <w:r w:rsidR="00854F39" w:rsidRPr="00966D5E">
        <w:rPr>
          <w:rFonts w:cs="Arial"/>
          <w:lang w:val="en-AU"/>
        </w:rPr>
        <w:t xml:space="preserve">. </w:t>
      </w:r>
      <w:r w:rsidR="00AA3B40" w:rsidRPr="00966D5E">
        <w:rPr>
          <w:rFonts w:cs="Arial"/>
          <w:lang w:val="en-AU"/>
        </w:rPr>
        <w:t>Examples of this include</w:t>
      </w:r>
      <w:r w:rsidR="00146264" w:rsidRPr="00966D5E">
        <w:rPr>
          <w:rFonts w:cs="Arial"/>
          <w:lang w:val="en-AU"/>
        </w:rPr>
        <w:t xml:space="preserve"> t</w:t>
      </w:r>
      <w:r w:rsidR="00854F39" w:rsidRPr="00966D5E">
        <w:rPr>
          <w:rFonts w:cs="Arial"/>
          <w:lang w:val="en-AU"/>
        </w:rPr>
        <w:t>he Yering Gorge to Yarra Junction I</w:t>
      </w:r>
      <w:r w:rsidR="00717BA0" w:rsidRPr="00966D5E">
        <w:rPr>
          <w:rFonts w:cs="Arial"/>
          <w:lang w:val="en-AU"/>
        </w:rPr>
        <w:t xml:space="preserve">ntegrated </w:t>
      </w:r>
      <w:r w:rsidR="00854F39" w:rsidRPr="00966D5E">
        <w:rPr>
          <w:rFonts w:cs="Arial"/>
          <w:lang w:val="en-AU"/>
        </w:rPr>
        <w:t>C</w:t>
      </w:r>
      <w:r w:rsidR="00717BA0" w:rsidRPr="00966D5E">
        <w:rPr>
          <w:rFonts w:cs="Arial"/>
          <w:lang w:val="en-AU"/>
        </w:rPr>
        <w:t xml:space="preserve">atchment </w:t>
      </w:r>
      <w:r w:rsidR="00854F39" w:rsidRPr="00966D5E">
        <w:rPr>
          <w:rFonts w:cs="Arial"/>
          <w:lang w:val="en-AU"/>
        </w:rPr>
        <w:t>M</w:t>
      </w:r>
      <w:r w:rsidR="00717BA0" w:rsidRPr="00966D5E">
        <w:rPr>
          <w:rFonts w:cs="Arial"/>
          <w:lang w:val="en-AU"/>
        </w:rPr>
        <w:t>anageme</w:t>
      </w:r>
      <w:r w:rsidR="009A3197" w:rsidRPr="00966D5E">
        <w:rPr>
          <w:rFonts w:cs="Arial"/>
          <w:lang w:val="en-AU"/>
        </w:rPr>
        <w:t>nt</w:t>
      </w:r>
      <w:r w:rsidR="00854F39" w:rsidRPr="00966D5E">
        <w:rPr>
          <w:rFonts w:cs="Arial"/>
          <w:lang w:val="en-AU"/>
        </w:rPr>
        <w:t xml:space="preserve"> </w:t>
      </w:r>
      <w:r w:rsidR="0005553C" w:rsidRPr="00966D5E">
        <w:rPr>
          <w:rFonts w:cs="Arial"/>
          <w:lang w:val="en-AU"/>
        </w:rPr>
        <w:t>(ICM)</w:t>
      </w:r>
      <w:r w:rsidR="0077508C" w:rsidRPr="00966D5E">
        <w:rPr>
          <w:rFonts w:cs="Arial"/>
          <w:lang w:val="en-AU"/>
        </w:rPr>
        <w:t xml:space="preserve"> </w:t>
      </w:r>
      <w:r w:rsidR="00854F39" w:rsidRPr="00966D5E">
        <w:rPr>
          <w:rFonts w:cs="Arial"/>
          <w:lang w:val="en-AU"/>
        </w:rPr>
        <w:t xml:space="preserve">project </w:t>
      </w:r>
      <w:r w:rsidR="0054757C" w:rsidRPr="00966D5E">
        <w:rPr>
          <w:rFonts w:cs="Arial"/>
          <w:lang w:val="en-AU"/>
        </w:rPr>
        <w:t>which</w:t>
      </w:r>
      <w:r w:rsidR="00854F39" w:rsidRPr="00966D5E">
        <w:rPr>
          <w:rFonts w:cs="Arial"/>
          <w:lang w:val="en-AU"/>
        </w:rPr>
        <w:t xml:space="preserve"> </w:t>
      </w:r>
      <w:r w:rsidR="00146264" w:rsidRPr="00966D5E">
        <w:rPr>
          <w:rFonts w:cs="Arial"/>
          <w:lang w:val="en-AU"/>
        </w:rPr>
        <w:t>engaged and worked</w:t>
      </w:r>
      <w:r w:rsidR="00854F39" w:rsidRPr="00966D5E">
        <w:rPr>
          <w:rFonts w:cs="Arial"/>
          <w:lang w:val="en-AU"/>
        </w:rPr>
        <w:t xml:space="preserve"> with the </w:t>
      </w:r>
      <w:r w:rsidR="006D32C8" w:rsidRPr="00966D5E">
        <w:rPr>
          <w:rFonts w:cs="Arial"/>
          <w:lang w:val="en-AU"/>
        </w:rPr>
        <w:t xml:space="preserve">Wurundjeri </w:t>
      </w:r>
      <w:proofErr w:type="spellStart"/>
      <w:r w:rsidR="006D32C8" w:rsidRPr="00966D5E">
        <w:rPr>
          <w:rFonts w:cs="Arial"/>
          <w:lang w:val="en-AU"/>
        </w:rPr>
        <w:t>Woi</w:t>
      </w:r>
      <w:proofErr w:type="spellEnd"/>
      <w:r w:rsidR="006D32C8" w:rsidRPr="00966D5E">
        <w:rPr>
          <w:rFonts w:cs="Arial"/>
          <w:lang w:val="en-AU"/>
        </w:rPr>
        <w:t xml:space="preserve"> Wurrung Cultural Heritage Aboriginal Corporation</w:t>
      </w:r>
      <w:r w:rsidR="00854F39" w:rsidRPr="00966D5E">
        <w:rPr>
          <w:rFonts w:cs="Arial"/>
          <w:lang w:val="en-AU"/>
        </w:rPr>
        <w:t xml:space="preserve"> to plan and deliver on-ground habitat restoration works at </w:t>
      </w:r>
      <w:proofErr w:type="spellStart"/>
      <w:r w:rsidR="00854F39" w:rsidRPr="00966D5E">
        <w:rPr>
          <w:rFonts w:cs="Arial"/>
          <w:lang w:val="en-AU"/>
        </w:rPr>
        <w:t>Nunganala</w:t>
      </w:r>
      <w:proofErr w:type="spellEnd"/>
      <w:r w:rsidR="00854F39" w:rsidRPr="00966D5E">
        <w:rPr>
          <w:rFonts w:cs="Arial"/>
          <w:lang w:val="en-AU"/>
        </w:rPr>
        <w:t xml:space="preserve"> Habitat </w:t>
      </w:r>
      <w:proofErr w:type="gramStart"/>
      <w:r w:rsidR="00854F39" w:rsidRPr="00966D5E">
        <w:rPr>
          <w:rFonts w:cs="Arial"/>
          <w:lang w:val="en-AU"/>
        </w:rPr>
        <w:t>Hub</w:t>
      </w:r>
      <w:r w:rsidR="64C11107" w:rsidRPr="00966D5E">
        <w:rPr>
          <w:rFonts w:cs="Arial"/>
          <w:lang w:val="en-AU"/>
        </w:rPr>
        <w:t>,</w:t>
      </w:r>
      <w:r w:rsidR="00854F39" w:rsidRPr="00966D5E">
        <w:rPr>
          <w:rFonts w:cs="Arial"/>
          <w:lang w:val="en-AU"/>
        </w:rPr>
        <w:t xml:space="preserve"> </w:t>
      </w:r>
      <w:r w:rsidR="0054757C" w:rsidRPr="00966D5E">
        <w:rPr>
          <w:rFonts w:cs="Arial"/>
          <w:lang w:val="en-AU"/>
        </w:rPr>
        <w:t>and</w:t>
      </w:r>
      <w:proofErr w:type="gramEnd"/>
      <w:r w:rsidR="00854F39" w:rsidRPr="00966D5E">
        <w:rPr>
          <w:rFonts w:cs="Arial"/>
          <w:lang w:val="en-AU"/>
        </w:rPr>
        <w:t xml:space="preserve"> included the delivery of one habitat plan and 45</w:t>
      </w:r>
      <w:r w:rsidR="00665FA1" w:rsidRPr="00966D5E">
        <w:rPr>
          <w:rFonts w:cs="Arial"/>
          <w:lang w:val="en-AU"/>
        </w:rPr>
        <w:t xml:space="preserve"> </w:t>
      </w:r>
      <w:r w:rsidR="00854F39" w:rsidRPr="00966D5E">
        <w:rPr>
          <w:rFonts w:cs="Arial"/>
          <w:lang w:val="en-AU"/>
        </w:rPr>
        <w:t>ha weed control. The I 'heart' Mornington Peninsula project also developed a template land management plan and started engaging landowners in the project area</w:t>
      </w:r>
      <w:r w:rsidR="3877B204" w:rsidRPr="00966D5E">
        <w:rPr>
          <w:rFonts w:cs="Arial"/>
          <w:lang w:val="en-AU"/>
        </w:rPr>
        <w:t>.</w:t>
      </w:r>
      <w:r w:rsidR="1303F313" w:rsidRPr="00966D5E">
        <w:rPr>
          <w:rFonts w:cs="Arial"/>
          <w:lang w:val="en-AU"/>
        </w:rPr>
        <w:t xml:space="preserve"> I</w:t>
      </w:r>
      <w:r w:rsidR="00854F39" w:rsidRPr="00966D5E">
        <w:rPr>
          <w:rFonts w:cs="Arial"/>
          <w:lang w:val="en-AU"/>
        </w:rPr>
        <w:t>n addition</w:t>
      </w:r>
      <w:r w:rsidR="797F91F5" w:rsidRPr="00966D5E">
        <w:rPr>
          <w:rFonts w:cs="Arial"/>
          <w:lang w:val="en-AU"/>
        </w:rPr>
        <w:t>,</w:t>
      </w:r>
      <w:r w:rsidR="00854F39" w:rsidRPr="00966D5E">
        <w:rPr>
          <w:rFonts w:cs="Arial"/>
          <w:lang w:val="en-AU"/>
        </w:rPr>
        <w:t xml:space="preserve"> leveraged investment through Melbourne Water is enabling the Bunurong Land Council's Environment Team to deliver complimentary </w:t>
      </w:r>
      <w:r w:rsidR="004A4086" w:rsidRPr="00966D5E">
        <w:rPr>
          <w:rFonts w:cs="Arial"/>
          <w:lang w:val="en-AU"/>
        </w:rPr>
        <w:t xml:space="preserve">natural resources management </w:t>
      </w:r>
      <w:r w:rsidR="00854F39" w:rsidRPr="00966D5E">
        <w:rPr>
          <w:rFonts w:cs="Arial"/>
          <w:lang w:val="en-AU"/>
        </w:rPr>
        <w:t xml:space="preserve">works in the project area. The Living Links Urban Forest Project </w:t>
      </w:r>
      <w:r w:rsidR="00DA3ED7" w:rsidRPr="00966D5E">
        <w:rPr>
          <w:rFonts w:cs="Arial"/>
          <w:lang w:val="en-AU"/>
        </w:rPr>
        <w:t>made</w:t>
      </w:r>
      <w:r w:rsidR="00854F39" w:rsidRPr="00966D5E">
        <w:rPr>
          <w:rFonts w:cs="Arial"/>
          <w:lang w:val="en-AU"/>
        </w:rPr>
        <w:t xml:space="preserve"> </w:t>
      </w:r>
      <w:r w:rsidR="00854F39" w:rsidRPr="00966D5E">
        <w:rPr>
          <w:rFonts w:cs="Arial"/>
          <w:lang w:val="en-AU"/>
        </w:rPr>
        <w:lastRenderedPageBreak/>
        <w:t>great progress in the establishment of Climate Ready Vegetation Plots</w:t>
      </w:r>
      <w:r w:rsidR="00DA3ED7" w:rsidRPr="00966D5E">
        <w:rPr>
          <w:rFonts w:cs="Arial"/>
          <w:lang w:val="en-AU"/>
        </w:rPr>
        <w:t>,</w:t>
      </w:r>
      <w:r w:rsidR="00854F39" w:rsidRPr="00966D5E">
        <w:rPr>
          <w:rFonts w:cs="Arial"/>
          <w:lang w:val="en-AU"/>
        </w:rPr>
        <w:t xml:space="preserve"> as well as setting up </w:t>
      </w:r>
      <w:r w:rsidR="004A4086" w:rsidRPr="00966D5E">
        <w:rPr>
          <w:rFonts w:cs="Arial"/>
          <w:lang w:val="en-AU"/>
        </w:rPr>
        <w:t>micro</w:t>
      </w:r>
      <w:r w:rsidR="00854F39" w:rsidRPr="00966D5E">
        <w:rPr>
          <w:rFonts w:cs="Arial"/>
          <w:lang w:val="en-AU"/>
        </w:rPr>
        <w:t>-forest demonstration sites.</w:t>
      </w:r>
    </w:p>
    <w:p w14:paraId="4B1C846F" w14:textId="1096826A" w:rsidR="005A7571" w:rsidRPr="00966D5E" w:rsidRDefault="00767D39" w:rsidP="005D3FA9">
      <w:pPr>
        <w:pStyle w:val="BulletLevel1"/>
        <w:keepNext/>
        <w:keepLines/>
        <w:ind w:left="360" w:hanging="360"/>
        <w:rPr>
          <w:rFonts w:cs="Arial"/>
          <w:lang w:val="en-AU"/>
        </w:rPr>
      </w:pPr>
      <w:r w:rsidRPr="00966D5E">
        <w:rPr>
          <w:rFonts w:cs="Arial"/>
          <w:b/>
          <w:bCs/>
          <w:lang w:val="en-AU"/>
        </w:rPr>
        <w:t xml:space="preserve">CWCT11: </w:t>
      </w:r>
      <w:r w:rsidR="00854F39" w:rsidRPr="00966D5E">
        <w:rPr>
          <w:rFonts w:cs="Arial"/>
          <w:b/>
          <w:bCs/>
          <w:lang w:val="en-AU"/>
        </w:rPr>
        <w:t xml:space="preserve">Our Catchments Our Communities (OCOC) Program: </w:t>
      </w:r>
      <w:r w:rsidR="00854F39" w:rsidRPr="00966D5E">
        <w:rPr>
          <w:rFonts w:cs="Arial"/>
          <w:lang w:val="en-AU"/>
        </w:rPr>
        <w:t xml:space="preserve">Throughout EC5, this </w:t>
      </w:r>
      <w:r w:rsidR="004F7DFD" w:rsidRPr="00966D5E">
        <w:rPr>
          <w:rFonts w:cs="Arial"/>
          <w:lang w:val="en-AU"/>
        </w:rPr>
        <w:t>project</w:t>
      </w:r>
      <w:r w:rsidR="00854F39" w:rsidRPr="00966D5E">
        <w:rPr>
          <w:rFonts w:cs="Arial"/>
          <w:lang w:val="en-AU"/>
        </w:rPr>
        <w:t xml:space="preserve"> made progress toward healthy, </w:t>
      </w:r>
      <w:proofErr w:type="gramStart"/>
      <w:r w:rsidR="00854F39" w:rsidRPr="00966D5E">
        <w:rPr>
          <w:rFonts w:cs="Arial"/>
          <w:lang w:val="en-AU"/>
        </w:rPr>
        <w:t>sustainable</w:t>
      </w:r>
      <w:proofErr w:type="gramEnd"/>
      <w:r w:rsidR="00854F39" w:rsidRPr="00966D5E">
        <w:rPr>
          <w:rFonts w:cs="Arial"/>
          <w:lang w:val="en-AU"/>
        </w:rPr>
        <w:t xml:space="preserve"> and productive land, water and biodiversity maintained through </w:t>
      </w:r>
      <w:r w:rsidR="00541780" w:rsidRPr="00966D5E">
        <w:rPr>
          <w:rFonts w:cs="Arial"/>
          <w:lang w:val="en-AU"/>
        </w:rPr>
        <w:t xml:space="preserve">ICM </w:t>
      </w:r>
      <w:r w:rsidR="00854F39" w:rsidRPr="00966D5E">
        <w:rPr>
          <w:rFonts w:cs="Arial"/>
          <w:lang w:val="en-AU"/>
        </w:rPr>
        <w:t xml:space="preserve">that is strongly community based, regionally focused and collaborative. OCOC delivered </w:t>
      </w:r>
      <w:r w:rsidR="0025127E" w:rsidRPr="00966D5E">
        <w:rPr>
          <w:rFonts w:cs="Arial"/>
          <w:lang w:val="en-AU"/>
        </w:rPr>
        <w:t>46,764</w:t>
      </w:r>
      <w:r w:rsidR="00854F39" w:rsidRPr="00966D5E">
        <w:rPr>
          <w:rFonts w:cs="Arial"/>
          <w:lang w:val="en-AU"/>
        </w:rPr>
        <w:t xml:space="preserve"> </w:t>
      </w:r>
      <w:r w:rsidR="00842D99" w:rsidRPr="00966D5E">
        <w:rPr>
          <w:rFonts w:cs="Arial"/>
          <w:lang w:val="en-AU"/>
        </w:rPr>
        <w:t xml:space="preserve">ha </w:t>
      </w:r>
      <w:r w:rsidR="00854F39" w:rsidRPr="00966D5E">
        <w:rPr>
          <w:rFonts w:cs="Arial"/>
          <w:lang w:val="en-AU"/>
        </w:rPr>
        <w:t>of place-based on-ground catchment stewardship projects</w:t>
      </w:r>
      <w:r w:rsidR="00185ECC" w:rsidRPr="00966D5E">
        <w:rPr>
          <w:rFonts w:cs="Arial"/>
          <w:lang w:val="en-AU"/>
        </w:rPr>
        <w:t>, resulting in wa</w:t>
      </w:r>
      <w:r w:rsidR="00854F39" w:rsidRPr="00966D5E">
        <w:rPr>
          <w:rFonts w:cs="Arial"/>
          <w:lang w:val="en-AU"/>
        </w:rPr>
        <w:t>ter, biodiversity, land health and productivity benefits for regional and local communities and Traditional Owners. C</w:t>
      </w:r>
      <w:r w:rsidR="00185ECC" w:rsidRPr="00966D5E">
        <w:rPr>
          <w:rFonts w:cs="Arial"/>
          <w:lang w:val="en-AU"/>
        </w:rPr>
        <w:t xml:space="preserve">atchment </w:t>
      </w:r>
      <w:r w:rsidR="00854F39" w:rsidRPr="00966D5E">
        <w:rPr>
          <w:rFonts w:cs="Arial"/>
          <w:lang w:val="en-AU"/>
        </w:rPr>
        <w:t>M</w:t>
      </w:r>
      <w:r w:rsidR="00185ECC" w:rsidRPr="00966D5E">
        <w:rPr>
          <w:rFonts w:cs="Arial"/>
          <w:lang w:val="en-AU"/>
        </w:rPr>
        <w:t xml:space="preserve">anagement </w:t>
      </w:r>
      <w:r w:rsidR="00854F39" w:rsidRPr="00966D5E">
        <w:rPr>
          <w:rFonts w:cs="Arial"/>
          <w:lang w:val="en-AU"/>
        </w:rPr>
        <w:t>A</w:t>
      </w:r>
      <w:r w:rsidR="00185ECC" w:rsidRPr="00966D5E">
        <w:rPr>
          <w:rFonts w:cs="Arial"/>
          <w:lang w:val="en-AU"/>
        </w:rPr>
        <w:t>uthorities</w:t>
      </w:r>
      <w:r w:rsidR="00854F39" w:rsidRPr="00966D5E">
        <w:rPr>
          <w:rFonts w:cs="Arial"/>
          <w:lang w:val="en-AU"/>
        </w:rPr>
        <w:t xml:space="preserve"> </w:t>
      </w:r>
      <w:r w:rsidR="00185ECC" w:rsidRPr="00966D5E">
        <w:rPr>
          <w:rFonts w:cs="Arial"/>
          <w:lang w:val="en-AU"/>
        </w:rPr>
        <w:t>(CMA</w:t>
      </w:r>
      <w:r w:rsidR="00180344" w:rsidRPr="00966D5E">
        <w:rPr>
          <w:rFonts w:cs="Arial"/>
          <w:lang w:val="en-AU"/>
        </w:rPr>
        <w:t>s</w:t>
      </w:r>
      <w:r w:rsidR="00185ECC" w:rsidRPr="00966D5E">
        <w:rPr>
          <w:rFonts w:cs="Arial"/>
          <w:lang w:val="en-AU"/>
        </w:rPr>
        <w:t>)</w:t>
      </w:r>
      <w:r w:rsidR="00E970CA" w:rsidRPr="00966D5E">
        <w:rPr>
          <w:rFonts w:cs="Arial"/>
          <w:lang w:val="en-AU"/>
        </w:rPr>
        <w:t xml:space="preserve"> </w:t>
      </w:r>
      <w:r w:rsidR="00854F39" w:rsidRPr="00966D5E">
        <w:rPr>
          <w:rFonts w:cs="Arial"/>
          <w:lang w:val="en-AU"/>
        </w:rPr>
        <w:t>also delivered engagement events (</w:t>
      </w:r>
      <w:r w:rsidR="00B821C3" w:rsidRPr="00966D5E">
        <w:rPr>
          <w:rFonts w:cs="Arial"/>
          <w:lang w:val="en-AU"/>
        </w:rPr>
        <w:t>15,344 participants</w:t>
      </w:r>
      <w:r w:rsidR="00854F39" w:rsidRPr="00966D5E">
        <w:rPr>
          <w:rFonts w:cs="Arial"/>
          <w:lang w:val="en-AU"/>
        </w:rPr>
        <w:t>), partnerships (</w:t>
      </w:r>
      <w:r w:rsidR="0083369B" w:rsidRPr="00966D5E">
        <w:rPr>
          <w:rFonts w:cs="Arial"/>
          <w:lang w:val="en-AU"/>
        </w:rPr>
        <w:t>433</w:t>
      </w:r>
      <w:r w:rsidR="00854F39" w:rsidRPr="00966D5E">
        <w:rPr>
          <w:rFonts w:cs="Arial"/>
          <w:lang w:val="en-AU"/>
        </w:rPr>
        <w:t>), assessments (</w:t>
      </w:r>
      <w:r w:rsidR="0083369B" w:rsidRPr="00966D5E">
        <w:rPr>
          <w:rFonts w:cs="Arial"/>
          <w:lang w:val="en-AU"/>
        </w:rPr>
        <w:t>1</w:t>
      </w:r>
      <w:r w:rsidR="001144CB" w:rsidRPr="00966D5E">
        <w:rPr>
          <w:rFonts w:cs="Arial"/>
          <w:lang w:val="en-AU"/>
        </w:rPr>
        <w:t>,</w:t>
      </w:r>
      <w:r w:rsidR="0083369B" w:rsidRPr="00966D5E">
        <w:rPr>
          <w:rFonts w:cs="Arial"/>
          <w:lang w:val="en-AU"/>
        </w:rPr>
        <w:t>028</w:t>
      </w:r>
      <w:r w:rsidR="00854F39" w:rsidRPr="00966D5E">
        <w:rPr>
          <w:rFonts w:cs="Arial"/>
          <w:lang w:val="en-AU"/>
        </w:rPr>
        <w:t>), publications (</w:t>
      </w:r>
      <w:r w:rsidR="0083369B" w:rsidRPr="00966D5E">
        <w:rPr>
          <w:rFonts w:cs="Arial"/>
          <w:lang w:val="en-AU"/>
        </w:rPr>
        <w:t>383</w:t>
      </w:r>
      <w:r w:rsidR="00854F39" w:rsidRPr="00966D5E">
        <w:rPr>
          <w:rFonts w:cs="Arial"/>
          <w:lang w:val="en-AU"/>
        </w:rPr>
        <w:t>), management agreements (</w:t>
      </w:r>
      <w:r w:rsidR="0083369B" w:rsidRPr="00966D5E">
        <w:rPr>
          <w:rFonts w:cs="Arial"/>
          <w:lang w:val="en-AU"/>
        </w:rPr>
        <w:t>128</w:t>
      </w:r>
      <w:r w:rsidR="00854F39" w:rsidRPr="00966D5E">
        <w:rPr>
          <w:rFonts w:cs="Arial"/>
          <w:lang w:val="en-AU"/>
        </w:rPr>
        <w:t>) and plans (</w:t>
      </w:r>
      <w:r w:rsidR="0083369B" w:rsidRPr="00966D5E">
        <w:rPr>
          <w:rFonts w:cs="Arial"/>
          <w:lang w:val="en-AU"/>
        </w:rPr>
        <w:t>203</w:t>
      </w:r>
      <w:r w:rsidR="00854F39" w:rsidRPr="00966D5E">
        <w:rPr>
          <w:rFonts w:cs="Arial"/>
          <w:lang w:val="en-AU"/>
        </w:rPr>
        <w:t>)</w:t>
      </w:r>
      <w:r w:rsidR="0083369B" w:rsidRPr="00966D5E">
        <w:rPr>
          <w:rFonts w:cs="Arial"/>
          <w:lang w:val="en-AU"/>
        </w:rPr>
        <w:t>.</w:t>
      </w:r>
    </w:p>
    <w:p w14:paraId="5991159E" w14:textId="00A730BC" w:rsidR="00854F39" w:rsidRPr="00966D5E" w:rsidRDefault="00FE4B78" w:rsidP="005A7571">
      <w:pPr>
        <w:pStyle w:val="BulletLevel1"/>
        <w:rPr>
          <w:rFonts w:cs="Arial"/>
          <w:lang w:val="en-AU"/>
        </w:rPr>
      </w:pPr>
      <w:r w:rsidRPr="00966D5E">
        <w:rPr>
          <w:rFonts w:cs="Arial"/>
          <w:b/>
          <w:bCs/>
          <w:lang w:val="en-AU"/>
        </w:rPr>
        <w:t xml:space="preserve">CWCT09: </w:t>
      </w:r>
      <w:r w:rsidR="00854F39" w:rsidRPr="00966D5E">
        <w:rPr>
          <w:rFonts w:cs="Arial"/>
          <w:b/>
          <w:bCs/>
          <w:lang w:val="en-AU"/>
        </w:rPr>
        <w:t>Waterway Health Program</w:t>
      </w:r>
      <w:r w:rsidR="00854F39" w:rsidRPr="00966D5E">
        <w:rPr>
          <w:rFonts w:cs="Arial"/>
          <w:lang w:val="en-AU"/>
        </w:rPr>
        <w:t xml:space="preserve">: </w:t>
      </w:r>
      <w:r w:rsidR="004C354C" w:rsidRPr="00966D5E">
        <w:rPr>
          <w:rFonts w:cs="Arial"/>
          <w:lang w:val="en-AU"/>
        </w:rPr>
        <w:t xml:space="preserve">In EC5, </w:t>
      </w:r>
      <w:r w:rsidR="00854F39" w:rsidRPr="00966D5E">
        <w:rPr>
          <w:rFonts w:cs="Arial"/>
          <w:lang w:val="en-AU"/>
        </w:rPr>
        <w:t xml:space="preserve">CMAs processed over </w:t>
      </w:r>
      <w:r w:rsidR="004C354C" w:rsidRPr="00966D5E">
        <w:rPr>
          <w:rFonts w:cs="Arial"/>
          <w:lang w:val="en-AU"/>
        </w:rPr>
        <w:t>30</w:t>
      </w:r>
      <w:r w:rsidR="00854F39" w:rsidRPr="00966D5E">
        <w:rPr>
          <w:rFonts w:cs="Arial"/>
          <w:lang w:val="en-AU"/>
        </w:rPr>
        <w:t xml:space="preserve">,000 waterway </w:t>
      </w:r>
      <w:r w:rsidR="00541780" w:rsidRPr="00966D5E">
        <w:rPr>
          <w:rFonts w:cs="Arial"/>
          <w:lang w:val="en-AU"/>
        </w:rPr>
        <w:t>licenses</w:t>
      </w:r>
      <w:r w:rsidR="00854F39" w:rsidRPr="00966D5E">
        <w:rPr>
          <w:rFonts w:cs="Arial"/>
          <w:lang w:val="en-AU"/>
        </w:rPr>
        <w:t xml:space="preserve"> and permits, floodplain and planning referrals and advice for local councils and the general community, over 90% of which were processed within statutory timeframes. This is a core statutory function that </w:t>
      </w:r>
      <w:r w:rsidR="00541780" w:rsidRPr="00966D5E">
        <w:rPr>
          <w:rFonts w:cs="Arial"/>
          <w:lang w:val="en-AU"/>
        </w:rPr>
        <w:t>CMAs</w:t>
      </w:r>
      <w:r w:rsidR="00854F39" w:rsidRPr="00966D5E">
        <w:rPr>
          <w:rFonts w:cs="Arial"/>
          <w:lang w:val="en-AU"/>
        </w:rPr>
        <w:t xml:space="preserve"> perform to facilitate appropriate use and development of Victoria’s public waterway</w:t>
      </w:r>
      <w:r w:rsidR="00B70B3E" w:rsidRPr="00966D5E">
        <w:rPr>
          <w:rFonts w:cs="Arial"/>
          <w:lang w:val="en-AU"/>
        </w:rPr>
        <w:t>s</w:t>
      </w:r>
      <w:r w:rsidR="00854F39" w:rsidRPr="00966D5E">
        <w:rPr>
          <w:rFonts w:cs="Arial"/>
          <w:lang w:val="en-AU"/>
        </w:rPr>
        <w:t xml:space="preserve">, protecting the health of our waterways. </w:t>
      </w:r>
      <w:r w:rsidR="0047012B" w:rsidRPr="00966D5E">
        <w:rPr>
          <w:rFonts w:cs="Arial"/>
          <w:lang w:val="en-AU"/>
        </w:rPr>
        <w:t xml:space="preserve">The </w:t>
      </w:r>
      <w:r w:rsidR="0091076C" w:rsidRPr="00966D5E">
        <w:rPr>
          <w:rFonts w:cs="Arial"/>
          <w:lang w:val="en-AU"/>
        </w:rPr>
        <w:t xml:space="preserve">project </w:t>
      </w:r>
      <w:r w:rsidR="0047012B" w:rsidRPr="00966D5E">
        <w:rPr>
          <w:rFonts w:cs="Arial"/>
          <w:lang w:val="en-AU"/>
        </w:rPr>
        <w:t xml:space="preserve">also funded a range of </w:t>
      </w:r>
      <w:r w:rsidR="00AA6444" w:rsidRPr="00966D5E">
        <w:rPr>
          <w:rFonts w:cs="Arial"/>
          <w:lang w:val="en-AU"/>
        </w:rPr>
        <w:t xml:space="preserve">activities </w:t>
      </w:r>
      <w:r w:rsidR="0047012B" w:rsidRPr="00966D5E">
        <w:rPr>
          <w:rFonts w:cs="Arial"/>
          <w:lang w:val="en-AU"/>
        </w:rPr>
        <w:t xml:space="preserve">focused on </w:t>
      </w:r>
      <w:r w:rsidR="00157860" w:rsidRPr="00966D5E">
        <w:rPr>
          <w:rFonts w:cs="Arial"/>
          <w:lang w:val="en-AU"/>
        </w:rPr>
        <w:t xml:space="preserve">increased community and landholder involvement in </w:t>
      </w:r>
      <w:r w:rsidR="00FA669F" w:rsidRPr="00966D5E">
        <w:rPr>
          <w:rFonts w:cs="Arial"/>
          <w:lang w:val="en-AU"/>
        </w:rPr>
        <w:t>stewardship activities</w:t>
      </w:r>
      <w:r w:rsidR="00B373A8" w:rsidRPr="00966D5E">
        <w:rPr>
          <w:rFonts w:cs="Arial"/>
          <w:lang w:val="en-AU"/>
        </w:rPr>
        <w:t xml:space="preserve">. One example of this is the Caring for the Campaspe project, which </w:t>
      </w:r>
      <w:r w:rsidR="00B309AB" w:rsidRPr="00966D5E">
        <w:rPr>
          <w:rFonts w:cs="Arial"/>
          <w:lang w:val="en-AU"/>
        </w:rPr>
        <w:t xml:space="preserve">supported landholders to fence and revegetate the river to </w:t>
      </w:r>
      <w:r w:rsidR="004C5EF4" w:rsidRPr="00966D5E">
        <w:rPr>
          <w:rFonts w:cs="Arial"/>
          <w:lang w:val="en-AU"/>
        </w:rPr>
        <w:t xml:space="preserve">protect its important environmental and community values, achieving </w:t>
      </w:r>
      <w:r w:rsidR="000534A7" w:rsidRPr="00966D5E">
        <w:rPr>
          <w:rFonts w:cs="Arial"/>
          <w:lang w:val="en-AU"/>
        </w:rPr>
        <w:t xml:space="preserve">90 km of fencing, over 270 </w:t>
      </w:r>
      <w:r w:rsidR="00134C7D" w:rsidRPr="00966D5E">
        <w:rPr>
          <w:rFonts w:cs="Arial"/>
          <w:lang w:val="en-AU"/>
        </w:rPr>
        <w:t xml:space="preserve">ha </w:t>
      </w:r>
      <w:r w:rsidR="000534A7" w:rsidRPr="00966D5E">
        <w:rPr>
          <w:rFonts w:cs="Arial"/>
          <w:lang w:val="en-AU"/>
        </w:rPr>
        <w:t xml:space="preserve">revegetated with native plants and over 400 ha where weed control was undertaken, involving 150 landholders. </w:t>
      </w:r>
      <w:r w:rsidR="00E00803" w:rsidRPr="00966D5E">
        <w:rPr>
          <w:rFonts w:cs="Arial"/>
          <w:lang w:val="en-AU"/>
        </w:rPr>
        <w:t>The project also undertook many community events and engagement activities, from school and community group tree planting to ‘Chicks in the Sticks’ gatherings. Overall, nearly 4</w:t>
      </w:r>
      <w:r w:rsidR="00D038EF" w:rsidRPr="00966D5E">
        <w:rPr>
          <w:rFonts w:cs="Arial"/>
          <w:lang w:val="en-AU"/>
        </w:rPr>
        <w:t>,</w:t>
      </w:r>
      <w:r w:rsidR="00E00803" w:rsidRPr="00966D5E">
        <w:rPr>
          <w:rFonts w:cs="Arial"/>
          <w:lang w:val="en-AU"/>
        </w:rPr>
        <w:t>000 people were involved in 45 community events.</w:t>
      </w:r>
    </w:p>
    <w:p w14:paraId="3FB3AC54" w14:textId="77777777" w:rsidR="00854F39" w:rsidRPr="00966D5E" w:rsidRDefault="00854F39" w:rsidP="00CC7B09">
      <w:pPr>
        <w:pStyle w:val="Heading3"/>
        <w:rPr>
          <w:rFonts w:cs="Arial"/>
          <w:lang w:val="en-AU"/>
        </w:rPr>
      </w:pPr>
      <w:r w:rsidRPr="00966D5E">
        <w:rPr>
          <w:rFonts w:cs="Arial"/>
          <w:lang w:val="en-AU"/>
        </w:rPr>
        <w:t>Improved condition of riparian land and habitat for key species</w:t>
      </w:r>
    </w:p>
    <w:p w14:paraId="0E8E53F0" w14:textId="657FBA18" w:rsidR="00D038EF" w:rsidRPr="00966D5E" w:rsidRDefault="00094EF5">
      <w:pPr>
        <w:pStyle w:val="BulletLevel1"/>
        <w:numPr>
          <w:ilvl w:val="0"/>
          <w:numId w:val="0"/>
        </w:numPr>
        <w:rPr>
          <w:rFonts w:cs="Arial"/>
          <w:lang w:val="en-AU"/>
        </w:rPr>
      </w:pPr>
      <w:r w:rsidRPr="00966D5E">
        <w:rPr>
          <w:rFonts w:cs="Arial"/>
          <w:lang w:val="en-AU"/>
        </w:rPr>
        <w:t>Improving the condition of riparian land and habitat</w:t>
      </w:r>
      <w:r w:rsidR="00777A79" w:rsidRPr="00966D5E">
        <w:rPr>
          <w:rFonts w:cs="Arial"/>
          <w:lang w:val="en-AU"/>
        </w:rPr>
        <w:t xml:space="preserve"> is critical to supporting key species</w:t>
      </w:r>
      <w:r w:rsidRPr="00966D5E">
        <w:rPr>
          <w:rFonts w:cs="Arial"/>
          <w:lang w:val="en-AU"/>
        </w:rPr>
        <w:t xml:space="preserve"> </w:t>
      </w:r>
      <w:r w:rsidR="00777A79" w:rsidRPr="00966D5E">
        <w:rPr>
          <w:rFonts w:cs="Arial"/>
          <w:lang w:val="en-AU"/>
        </w:rPr>
        <w:t xml:space="preserve">within waterways. </w:t>
      </w:r>
      <w:r w:rsidR="00517877" w:rsidRPr="00966D5E">
        <w:rPr>
          <w:rFonts w:cs="Arial"/>
          <w:lang w:val="en-AU"/>
        </w:rPr>
        <w:t>Throughout EC5, significant progress toward this outcome has been achieved</w:t>
      </w:r>
      <w:r w:rsidR="005D3FA9" w:rsidRPr="00966D5E">
        <w:rPr>
          <w:rFonts w:cs="Arial"/>
          <w:lang w:val="en-AU"/>
        </w:rPr>
        <w:t> </w:t>
      </w:r>
      <w:r w:rsidR="00517877" w:rsidRPr="00966D5E">
        <w:rPr>
          <w:rFonts w:cs="Arial"/>
          <w:lang w:val="en-AU"/>
        </w:rPr>
        <w:t>through:</w:t>
      </w:r>
    </w:p>
    <w:p w14:paraId="7BF52082" w14:textId="239FB4D9" w:rsidR="00C2680E" w:rsidRPr="00966D5E" w:rsidRDefault="15988C8D" w:rsidP="005A7571">
      <w:pPr>
        <w:pStyle w:val="BulletLevel1"/>
        <w:rPr>
          <w:rFonts w:cs="Arial"/>
          <w:lang w:val="en-AU"/>
        </w:rPr>
      </w:pPr>
      <w:r w:rsidRPr="00966D5E">
        <w:rPr>
          <w:rFonts w:cs="Arial"/>
          <w:b/>
          <w:bCs/>
          <w:lang w:val="en-AU"/>
        </w:rPr>
        <w:t xml:space="preserve">CWCT09: </w:t>
      </w:r>
      <w:r w:rsidR="2032BED8" w:rsidRPr="00966D5E">
        <w:rPr>
          <w:rFonts w:cs="Arial"/>
          <w:b/>
          <w:bCs/>
          <w:lang w:val="en-AU"/>
        </w:rPr>
        <w:t>Waterway Health Program:</w:t>
      </w:r>
      <w:r w:rsidR="2032BED8" w:rsidRPr="00966D5E">
        <w:rPr>
          <w:rFonts w:cs="Arial"/>
          <w:lang w:val="en-AU"/>
        </w:rPr>
        <w:t xml:space="preserve"> </w:t>
      </w:r>
      <w:r w:rsidR="000826AA" w:rsidRPr="00D90AD4">
        <w:rPr>
          <w:rFonts w:cs="Arial"/>
          <w:lang w:val="en-AU"/>
        </w:rPr>
        <w:t>In EC5</w:t>
      </w:r>
      <w:r w:rsidR="00D038EF" w:rsidRPr="00D90AD4">
        <w:rPr>
          <w:rFonts w:cs="Arial"/>
          <w:lang w:val="en-AU"/>
        </w:rPr>
        <w:t>,</w:t>
      </w:r>
      <w:r w:rsidR="000826AA" w:rsidRPr="00D90AD4">
        <w:rPr>
          <w:rFonts w:cs="Arial"/>
          <w:lang w:val="en-AU"/>
        </w:rPr>
        <w:t xml:space="preserve"> </w:t>
      </w:r>
      <w:r w:rsidR="00B03AD8" w:rsidRPr="00D90AD4">
        <w:rPr>
          <w:rFonts w:cs="Arial"/>
          <w:lang w:val="en-AU"/>
        </w:rPr>
        <w:t>this project delivered</w:t>
      </w:r>
      <w:r w:rsidR="000826AA" w:rsidRPr="00D90AD4">
        <w:rPr>
          <w:rFonts w:cs="Arial"/>
          <w:lang w:val="en-AU"/>
        </w:rPr>
        <w:t>:</w:t>
      </w:r>
    </w:p>
    <w:p w14:paraId="0B401D02" w14:textId="7320E2BD" w:rsidR="003A3098" w:rsidRPr="00966D5E" w:rsidRDefault="003A3098" w:rsidP="003A3098">
      <w:pPr>
        <w:pStyle w:val="BulletLevel2"/>
        <w:rPr>
          <w:rFonts w:cs="Arial"/>
          <w:lang w:val="en-AU"/>
        </w:rPr>
      </w:pPr>
      <w:r w:rsidRPr="00966D5E">
        <w:rPr>
          <w:rFonts w:cs="Arial"/>
          <w:lang w:val="en-AU"/>
        </w:rPr>
        <w:t>459 waterway structures</w:t>
      </w:r>
      <w:r w:rsidR="00D038EF" w:rsidRPr="00966D5E">
        <w:rPr>
          <w:rFonts w:cs="Arial"/>
          <w:lang w:val="en-AU"/>
        </w:rPr>
        <w:t>,</w:t>
      </w:r>
      <w:r w:rsidRPr="00966D5E">
        <w:rPr>
          <w:rFonts w:cs="Arial"/>
          <w:lang w:val="en-AU"/>
        </w:rPr>
        <w:t xml:space="preserve"> including rock chutes, fish “hotels”, large wood, erosion control structures, flow regulators, removal of fish barriers</w:t>
      </w:r>
      <w:r w:rsidR="00CA1DC4" w:rsidRPr="00966D5E">
        <w:rPr>
          <w:rFonts w:cs="Arial"/>
          <w:lang w:val="en-AU"/>
        </w:rPr>
        <w:t>.</w:t>
      </w:r>
    </w:p>
    <w:p w14:paraId="35A58AB4" w14:textId="6B699CDA" w:rsidR="003A3098" w:rsidRPr="00966D5E" w:rsidRDefault="003A3098" w:rsidP="003A3098">
      <w:pPr>
        <w:pStyle w:val="BulletLevel2"/>
        <w:rPr>
          <w:rFonts w:cs="Arial"/>
          <w:lang w:val="en-AU"/>
        </w:rPr>
      </w:pPr>
      <w:r w:rsidRPr="00966D5E">
        <w:rPr>
          <w:rFonts w:cs="Arial"/>
          <w:lang w:val="en-AU"/>
        </w:rPr>
        <w:t>331.5 km of fencing used to protect areas alongside waterways (especially from cattle grazing) so that local indigenous vegetation can be established</w:t>
      </w:r>
      <w:r w:rsidR="00CA1DC4" w:rsidRPr="00966D5E">
        <w:rPr>
          <w:rFonts w:cs="Arial"/>
          <w:lang w:val="en-AU"/>
        </w:rPr>
        <w:t>.</w:t>
      </w:r>
    </w:p>
    <w:p w14:paraId="2AC6ECA2" w14:textId="120174CC" w:rsidR="003A3098" w:rsidRPr="00966D5E" w:rsidRDefault="003A3098" w:rsidP="003A3098">
      <w:pPr>
        <w:pStyle w:val="BulletLevel2"/>
        <w:rPr>
          <w:rFonts w:cs="Arial"/>
          <w:lang w:val="en-AU"/>
        </w:rPr>
      </w:pPr>
      <w:r w:rsidRPr="00966D5E">
        <w:rPr>
          <w:rFonts w:cs="Arial"/>
          <w:lang w:val="en-AU"/>
        </w:rPr>
        <w:t xml:space="preserve">35,465 </w:t>
      </w:r>
      <w:r w:rsidR="00134C7D" w:rsidRPr="00966D5E">
        <w:rPr>
          <w:rFonts w:cs="Arial"/>
          <w:lang w:val="en-AU"/>
        </w:rPr>
        <w:t>h</w:t>
      </w:r>
      <w:r w:rsidRPr="00966D5E">
        <w:rPr>
          <w:rFonts w:cs="Arial"/>
          <w:lang w:val="en-AU"/>
        </w:rPr>
        <w:t xml:space="preserve">a of vegetation and weed control established along waterways to improve the riparian zone, reduce </w:t>
      </w:r>
      <w:proofErr w:type="gramStart"/>
      <w:r w:rsidRPr="00966D5E">
        <w:rPr>
          <w:rFonts w:cs="Arial"/>
          <w:lang w:val="en-AU"/>
        </w:rPr>
        <w:t>erosion</w:t>
      </w:r>
      <w:proofErr w:type="gramEnd"/>
      <w:r w:rsidRPr="00966D5E">
        <w:rPr>
          <w:rFonts w:cs="Arial"/>
          <w:lang w:val="en-AU"/>
        </w:rPr>
        <w:t xml:space="preserve"> and provide habitat</w:t>
      </w:r>
      <w:r w:rsidR="00CA1DC4" w:rsidRPr="00966D5E">
        <w:rPr>
          <w:rFonts w:cs="Arial"/>
          <w:lang w:val="en-AU"/>
        </w:rPr>
        <w:t>.</w:t>
      </w:r>
    </w:p>
    <w:p w14:paraId="7FFFDCDD" w14:textId="77777777" w:rsidR="002E331D" w:rsidRPr="00966D5E" w:rsidRDefault="003A3098" w:rsidP="003A3098">
      <w:pPr>
        <w:pStyle w:val="BulletLevel2"/>
        <w:rPr>
          <w:rFonts w:cs="Arial"/>
          <w:lang w:val="en-AU"/>
        </w:rPr>
      </w:pPr>
      <w:r w:rsidRPr="00966D5E">
        <w:rPr>
          <w:rFonts w:cs="Arial"/>
          <w:lang w:val="en-AU"/>
        </w:rPr>
        <w:t xml:space="preserve">482 </w:t>
      </w:r>
      <w:r w:rsidR="00180344" w:rsidRPr="00966D5E">
        <w:rPr>
          <w:rFonts w:cs="Arial"/>
          <w:lang w:val="en-AU"/>
        </w:rPr>
        <w:t>m</w:t>
      </w:r>
      <w:r w:rsidRPr="00966D5E">
        <w:rPr>
          <w:rFonts w:cs="Arial"/>
          <w:lang w:val="en-AU"/>
        </w:rPr>
        <w:t>anagement agreements between CMAs and landholders, to ensure works areas are maintained in good quality for at least ten years, allowing vegetation to properly establish.</w:t>
      </w:r>
    </w:p>
    <w:p w14:paraId="26C6ED1D" w14:textId="77777777" w:rsidR="002E331D" w:rsidRPr="00966D5E" w:rsidRDefault="003A3098" w:rsidP="00083194">
      <w:pPr>
        <w:pStyle w:val="BulletLevel2"/>
        <w:rPr>
          <w:rFonts w:cs="Arial"/>
          <w:lang w:val="en-AU"/>
        </w:rPr>
      </w:pPr>
      <w:r w:rsidRPr="00966D5E">
        <w:rPr>
          <w:rFonts w:cs="Arial"/>
          <w:lang w:val="en-AU"/>
        </w:rPr>
        <w:t>7</w:t>
      </w:r>
      <w:r w:rsidR="00975A34" w:rsidRPr="00966D5E">
        <w:rPr>
          <w:rFonts w:cs="Arial"/>
          <w:lang w:val="en-AU"/>
        </w:rPr>
        <w:t>,</w:t>
      </w:r>
      <w:r w:rsidRPr="00966D5E">
        <w:rPr>
          <w:rFonts w:cs="Arial"/>
          <w:lang w:val="en-AU"/>
        </w:rPr>
        <w:t>273 cultural, ecological, property-based, social, flora and fauna, surface-water assessments</w:t>
      </w:r>
      <w:r w:rsidR="00F75341" w:rsidRPr="00966D5E">
        <w:rPr>
          <w:rFonts w:cs="Arial"/>
          <w:lang w:val="en-AU"/>
        </w:rPr>
        <w:t>.</w:t>
      </w:r>
    </w:p>
    <w:p w14:paraId="3976FE38" w14:textId="668F6948" w:rsidR="00C2680E" w:rsidRPr="00966D5E" w:rsidRDefault="002F02C2" w:rsidP="005D3FA9">
      <w:pPr>
        <w:pStyle w:val="BulletLevel2"/>
        <w:rPr>
          <w:rFonts w:cs="Arial"/>
          <w:lang w:val="en-AU"/>
        </w:rPr>
      </w:pPr>
      <w:r w:rsidRPr="00966D5E">
        <w:rPr>
          <w:rFonts w:cs="Arial"/>
          <w:lang w:val="en-AU"/>
        </w:rPr>
        <w:t>S</w:t>
      </w:r>
      <w:r w:rsidR="007E1FF6" w:rsidRPr="00966D5E">
        <w:rPr>
          <w:rFonts w:cs="Arial"/>
          <w:lang w:val="en-AU"/>
        </w:rPr>
        <w:t xml:space="preserve">everal activities were completed related to improving state policy and regional planning for wetland and catchment health improvements, including </w:t>
      </w:r>
      <w:r w:rsidR="007E1FF6" w:rsidRPr="00D90AD4">
        <w:rPr>
          <w:rFonts w:cs="Arial"/>
          <w:lang w:val="en-AU"/>
        </w:rPr>
        <w:t>characterising wetland hydrologic stress across Victoria, develop habitat distribution models for wetland-dependent species and analysis to understand current and likely flow alteration under a range of climate change scenarios for unregulated rivers.</w:t>
      </w:r>
    </w:p>
    <w:p w14:paraId="45B27FBD" w14:textId="77777777" w:rsidR="002E331D" w:rsidRPr="00966D5E" w:rsidRDefault="2032BED8" w:rsidP="008604E0">
      <w:pPr>
        <w:pStyle w:val="BodyText"/>
        <w:spacing w:before="0" w:after="0"/>
        <w:rPr>
          <w:rFonts w:cs="Arial"/>
          <w:lang w:val="en-AU"/>
        </w:rPr>
      </w:pPr>
      <w:r w:rsidRPr="00966D5E">
        <w:rPr>
          <w:rFonts w:cs="Arial"/>
          <w:lang w:val="en-AU"/>
        </w:rPr>
        <w:t xml:space="preserve">As a result of these works, over </w:t>
      </w:r>
      <w:r w:rsidR="004F05C1" w:rsidRPr="00966D5E">
        <w:rPr>
          <w:rFonts w:cs="Arial"/>
          <w:lang w:val="en-AU"/>
        </w:rPr>
        <w:t xml:space="preserve">386 </w:t>
      </w:r>
      <w:r w:rsidRPr="00966D5E">
        <w:rPr>
          <w:rFonts w:cs="Arial"/>
          <w:lang w:val="en-AU"/>
        </w:rPr>
        <w:t xml:space="preserve">river reaches and wetlands in Victoria are </w:t>
      </w:r>
      <w:r w:rsidR="00F75341" w:rsidRPr="00966D5E">
        <w:rPr>
          <w:rFonts w:cs="Arial"/>
          <w:lang w:val="en-AU"/>
        </w:rPr>
        <w:t xml:space="preserve">being actively </w:t>
      </w:r>
      <w:r w:rsidRPr="00966D5E">
        <w:rPr>
          <w:rFonts w:cs="Arial"/>
          <w:lang w:val="en-AU"/>
        </w:rPr>
        <w:t xml:space="preserve">maintained or improved every year. The Flagship Waterway projects also continued and expanded during EC5. An initial </w:t>
      </w:r>
      <w:r w:rsidR="002B5624" w:rsidRPr="00966D5E">
        <w:rPr>
          <w:rFonts w:cs="Arial"/>
          <w:lang w:val="en-AU"/>
        </w:rPr>
        <w:t xml:space="preserve">9 </w:t>
      </w:r>
      <w:r w:rsidRPr="00966D5E">
        <w:rPr>
          <w:rFonts w:cs="Arial"/>
          <w:lang w:val="en-AU"/>
        </w:rPr>
        <w:t xml:space="preserve">project sites (one per CMA) were started under EC4, and a further </w:t>
      </w:r>
      <w:r w:rsidR="002B5624" w:rsidRPr="00966D5E">
        <w:rPr>
          <w:rFonts w:cs="Arial"/>
          <w:lang w:val="en-AU"/>
        </w:rPr>
        <w:t xml:space="preserve">9 </w:t>
      </w:r>
      <w:r w:rsidRPr="00966D5E">
        <w:rPr>
          <w:rFonts w:cs="Arial"/>
          <w:lang w:val="en-AU"/>
        </w:rPr>
        <w:t xml:space="preserve">commenced during EC5. While the delivery of physical works programs at these sites (along with </w:t>
      </w:r>
      <w:r w:rsidRPr="00966D5E">
        <w:rPr>
          <w:rFonts w:cs="Arial"/>
          <w:lang w:val="en-AU"/>
        </w:rPr>
        <w:lastRenderedPageBreak/>
        <w:t xml:space="preserve">related </w:t>
      </w:r>
      <w:r w:rsidR="009241C5" w:rsidRPr="00966D5E">
        <w:rPr>
          <w:rFonts w:cs="Arial"/>
          <w:lang w:val="en-AU"/>
        </w:rPr>
        <w:t>ICM</w:t>
      </w:r>
      <w:r w:rsidRPr="00966D5E">
        <w:rPr>
          <w:rFonts w:cs="Arial"/>
          <w:lang w:val="en-AU"/>
        </w:rPr>
        <w:t xml:space="preserve"> activities) is a primary part of each project, community engagement is also considered a vital part.</w:t>
      </w:r>
    </w:p>
    <w:p w14:paraId="2B38DF39" w14:textId="77777777" w:rsidR="002E331D" w:rsidRPr="00966D5E" w:rsidRDefault="00313E01" w:rsidP="008604E0">
      <w:pPr>
        <w:pStyle w:val="BodyText"/>
        <w:spacing w:before="0" w:after="0"/>
        <w:rPr>
          <w:rFonts w:cs="Arial"/>
          <w:lang w:val="en-AU"/>
        </w:rPr>
      </w:pPr>
      <w:r w:rsidRPr="00966D5E">
        <w:rPr>
          <w:rFonts w:cs="Arial"/>
          <w:lang w:val="en-AU"/>
        </w:rPr>
        <w:t>An outstanding flagship project delivered in EC5 was the</w:t>
      </w:r>
      <w:r w:rsidR="00B77C02" w:rsidRPr="00966D5E">
        <w:rPr>
          <w:rFonts w:cs="Arial"/>
          <w:lang w:val="en-AU"/>
        </w:rPr>
        <w:t xml:space="preserve"> </w:t>
      </w:r>
      <w:r w:rsidR="002B5624" w:rsidRPr="00966D5E">
        <w:rPr>
          <w:rFonts w:cs="Arial"/>
          <w:lang w:val="en-AU"/>
        </w:rPr>
        <w:t>Agnes</w:t>
      </w:r>
      <w:r w:rsidR="00624C52" w:rsidRPr="00966D5E">
        <w:rPr>
          <w:rFonts w:cs="Arial"/>
          <w:lang w:val="en-AU"/>
        </w:rPr>
        <w:t xml:space="preserve"> River / Corner Inlet Flagship Project</w:t>
      </w:r>
      <w:r w:rsidR="00B77C02" w:rsidRPr="00966D5E">
        <w:rPr>
          <w:rFonts w:cs="Arial"/>
          <w:lang w:val="en-AU"/>
        </w:rPr>
        <w:t>.</w:t>
      </w:r>
      <w:r w:rsidR="00624C52" w:rsidRPr="00966D5E">
        <w:rPr>
          <w:rFonts w:cs="Arial"/>
          <w:lang w:val="en-AU"/>
        </w:rPr>
        <w:t xml:space="preserve"> After many years of hard work and consistent investment from EC tranches, a major outcome </w:t>
      </w:r>
      <w:r w:rsidR="0011213D" w:rsidRPr="00966D5E">
        <w:rPr>
          <w:rFonts w:cs="Arial"/>
          <w:lang w:val="en-AU"/>
        </w:rPr>
        <w:t>was</w:t>
      </w:r>
      <w:r w:rsidR="00624C52" w:rsidRPr="00966D5E">
        <w:rPr>
          <w:rFonts w:cs="Arial"/>
          <w:lang w:val="en-AU"/>
        </w:rPr>
        <w:t xml:space="preserve"> reached at the West Gippsland CMA Agnes River/Corner Inlet Flagship site </w:t>
      </w:r>
      <w:r w:rsidR="009350F0" w:rsidRPr="00966D5E">
        <w:rPr>
          <w:rFonts w:cs="Arial"/>
          <w:lang w:val="en-AU"/>
        </w:rPr>
        <w:t>with</w:t>
      </w:r>
      <w:r w:rsidR="00624C52" w:rsidRPr="00966D5E">
        <w:rPr>
          <w:rFonts w:cs="Arial"/>
          <w:lang w:val="en-AU"/>
        </w:rPr>
        <w:t xml:space="preserve"> the last remaining stand of willow trees removed from the Agnes River, making it completely free of this highly invasive and damaging species. There are very few waterways in Victoria where all willows have been successfully removed</w:t>
      </w:r>
      <w:r w:rsidR="0011213D" w:rsidRPr="00966D5E">
        <w:rPr>
          <w:rFonts w:cs="Arial"/>
          <w:lang w:val="en-AU"/>
        </w:rPr>
        <w:t>. T</w:t>
      </w:r>
      <w:r w:rsidR="00624C52" w:rsidRPr="00966D5E">
        <w:rPr>
          <w:rFonts w:cs="Arial"/>
          <w:lang w:val="en-AU"/>
        </w:rPr>
        <w:t xml:space="preserve">his is a first for </w:t>
      </w:r>
      <w:r w:rsidR="00E37A01" w:rsidRPr="00966D5E">
        <w:rPr>
          <w:rFonts w:cs="Arial"/>
          <w:lang w:val="en-AU"/>
        </w:rPr>
        <w:t xml:space="preserve">the </w:t>
      </w:r>
      <w:r w:rsidR="00624C52" w:rsidRPr="00966D5E">
        <w:rPr>
          <w:rFonts w:cs="Arial"/>
          <w:lang w:val="en-AU"/>
        </w:rPr>
        <w:t>CMA and a win for the environment.</w:t>
      </w:r>
    </w:p>
    <w:p w14:paraId="2C15AC94" w14:textId="77777777" w:rsidR="002E331D" w:rsidRPr="00D90AD4" w:rsidRDefault="00FE4B78" w:rsidP="00A168D2">
      <w:pPr>
        <w:pStyle w:val="BulletLevel1"/>
        <w:rPr>
          <w:rFonts w:cs="Arial"/>
          <w:lang w:val="en-AU"/>
        </w:rPr>
      </w:pPr>
      <w:r w:rsidRPr="00D90AD4">
        <w:rPr>
          <w:rFonts w:cs="Arial"/>
          <w:b/>
          <w:bCs/>
          <w:lang w:val="en-AU"/>
        </w:rPr>
        <w:t xml:space="preserve">CWCT07: </w:t>
      </w:r>
      <w:r w:rsidR="00854F39" w:rsidRPr="00D90AD4">
        <w:rPr>
          <w:rFonts w:cs="Arial"/>
          <w:b/>
          <w:bCs/>
          <w:lang w:val="en-AU"/>
        </w:rPr>
        <w:t xml:space="preserve">CGRSWS Funding Stream 2 Diversify Water Sources and </w:t>
      </w:r>
      <w:r w:rsidR="00C254B4" w:rsidRPr="00D90AD4">
        <w:rPr>
          <w:rFonts w:cs="Arial"/>
          <w:b/>
          <w:bCs/>
          <w:lang w:val="en-AU"/>
        </w:rPr>
        <w:t>I</w:t>
      </w:r>
      <w:r w:rsidR="00854F39" w:rsidRPr="00D90AD4">
        <w:rPr>
          <w:rFonts w:cs="Arial"/>
          <w:b/>
          <w:bCs/>
          <w:lang w:val="en-AU"/>
        </w:rPr>
        <w:t xml:space="preserve">ncrease </w:t>
      </w:r>
      <w:r w:rsidR="00C254B4" w:rsidRPr="00D90AD4">
        <w:rPr>
          <w:rFonts w:cs="Arial"/>
          <w:b/>
          <w:bCs/>
          <w:lang w:val="en-AU"/>
        </w:rPr>
        <w:t>W</w:t>
      </w:r>
      <w:r w:rsidR="00854F39" w:rsidRPr="00D90AD4">
        <w:rPr>
          <w:rFonts w:cs="Arial"/>
          <w:b/>
          <w:bCs/>
          <w:lang w:val="en-AU"/>
        </w:rPr>
        <w:t xml:space="preserve">ater </w:t>
      </w:r>
      <w:r w:rsidR="00C254B4" w:rsidRPr="00D90AD4">
        <w:rPr>
          <w:rFonts w:cs="Arial"/>
          <w:b/>
          <w:bCs/>
          <w:lang w:val="en-AU"/>
        </w:rPr>
        <w:t>E</w:t>
      </w:r>
      <w:r w:rsidR="00854F39" w:rsidRPr="00D90AD4">
        <w:rPr>
          <w:rFonts w:cs="Arial"/>
          <w:b/>
          <w:bCs/>
          <w:lang w:val="en-AU"/>
        </w:rPr>
        <w:t>fficiency:</w:t>
      </w:r>
      <w:r w:rsidR="00854F39" w:rsidRPr="00D90AD4">
        <w:rPr>
          <w:rFonts w:cs="Arial"/>
          <w:lang w:val="en-AU"/>
        </w:rPr>
        <w:t xml:space="preserve"> Th</w:t>
      </w:r>
      <w:r w:rsidR="00826847" w:rsidRPr="00D90AD4">
        <w:rPr>
          <w:rFonts w:cs="Arial"/>
          <w:lang w:val="en-AU"/>
        </w:rPr>
        <w:t xml:space="preserve">is project co-invested in the </w:t>
      </w:r>
      <w:r w:rsidR="00854F39" w:rsidRPr="00D90AD4">
        <w:rPr>
          <w:rFonts w:cs="Arial"/>
          <w:lang w:val="en-AU"/>
        </w:rPr>
        <w:t xml:space="preserve">Jan Juc daylighting project </w:t>
      </w:r>
      <w:r w:rsidR="00826847" w:rsidRPr="00D90AD4">
        <w:rPr>
          <w:rFonts w:cs="Arial"/>
          <w:lang w:val="en-AU"/>
        </w:rPr>
        <w:t>which seeks</w:t>
      </w:r>
      <w:r w:rsidR="002409EA" w:rsidRPr="00D90AD4">
        <w:rPr>
          <w:rFonts w:cs="Arial"/>
          <w:lang w:val="en-AU"/>
        </w:rPr>
        <w:t xml:space="preserve"> to</w:t>
      </w:r>
      <w:r w:rsidR="00854F39" w:rsidRPr="00D90AD4">
        <w:rPr>
          <w:rFonts w:cs="Arial"/>
          <w:lang w:val="en-AU"/>
        </w:rPr>
        <w:t xml:space="preserve"> return th</w:t>
      </w:r>
      <w:r w:rsidR="002409EA" w:rsidRPr="00D90AD4">
        <w:rPr>
          <w:rFonts w:cs="Arial"/>
          <w:lang w:val="en-AU"/>
        </w:rPr>
        <w:t>is</w:t>
      </w:r>
      <w:r w:rsidR="00854F39" w:rsidRPr="00D90AD4">
        <w:rPr>
          <w:rFonts w:cs="Arial"/>
          <w:lang w:val="en-AU"/>
        </w:rPr>
        <w:t xml:space="preserve"> highly disturbed urban waterway to a more natural state. This includes recreating habitat, </w:t>
      </w:r>
      <w:proofErr w:type="gramStart"/>
      <w:r w:rsidR="00854F39" w:rsidRPr="00D90AD4">
        <w:rPr>
          <w:rFonts w:cs="Arial"/>
          <w:lang w:val="en-AU"/>
        </w:rPr>
        <w:t>biodiversity</w:t>
      </w:r>
      <w:proofErr w:type="gramEnd"/>
      <w:r w:rsidR="00854F39" w:rsidRPr="00D90AD4">
        <w:rPr>
          <w:rFonts w:cs="Arial"/>
          <w:lang w:val="en-AU"/>
        </w:rPr>
        <w:t xml:space="preserve"> and amenity values</w:t>
      </w:r>
      <w:r w:rsidR="002409EA" w:rsidRPr="00D90AD4">
        <w:rPr>
          <w:rFonts w:cs="Arial"/>
          <w:lang w:val="en-AU"/>
        </w:rPr>
        <w:t>,</w:t>
      </w:r>
      <w:r w:rsidR="00854F39" w:rsidRPr="00D90AD4">
        <w:rPr>
          <w:rFonts w:cs="Arial"/>
          <w:lang w:val="en-AU"/>
        </w:rPr>
        <w:t xml:space="preserve"> as well as delivering significant stormwater quality objectives to an older urban catchment that drains to a popular beach location.</w:t>
      </w:r>
    </w:p>
    <w:p w14:paraId="010C860A" w14:textId="77777777" w:rsidR="002E331D" w:rsidRPr="00D90AD4" w:rsidRDefault="00FE4B78" w:rsidP="00A168D2">
      <w:pPr>
        <w:pStyle w:val="BulletLevel1"/>
        <w:rPr>
          <w:rFonts w:cs="Arial"/>
          <w:lang w:val="en-AU"/>
        </w:rPr>
      </w:pPr>
      <w:r w:rsidRPr="00D90AD4">
        <w:rPr>
          <w:rFonts w:cs="Arial"/>
          <w:b/>
          <w:bCs/>
          <w:lang w:val="en-AU"/>
        </w:rPr>
        <w:t>CWCT0</w:t>
      </w:r>
      <w:r w:rsidR="00343C30" w:rsidRPr="00D90AD4">
        <w:rPr>
          <w:rFonts w:cs="Arial"/>
          <w:b/>
          <w:bCs/>
          <w:lang w:val="en-AU"/>
        </w:rPr>
        <w:t>8</w:t>
      </w:r>
      <w:r w:rsidRPr="00D90AD4">
        <w:rPr>
          <w:rFonts w:cs="Arial"/>
          <w:b/>
          <w:bCs/>
          <w:lang w:val="en-AU"/>
        </w:rPr>
        <w:t xml:space="preserve">: </w:t>
      </w:r>
      <w:r w:rsidR="00854F39" w:rsidRPr="00D90AD4">
        <w:rPr>
          <w:rFonts w:cs="Arial"/>
          <w:b/>
          <w:bCs/>
          <w:lang w:val="en-AU"/>
        </w:rPr>
        <w:t xml:space="preserve">CGRSWS </w:t>
      </w:r>
      <w:r w:rsidR="003B28D7" w:rsidRPr="00D90AD4">
        <w:rPr>
          <w:rFonts w:cs="Arial"/>
          <w:b/>
          <w:bCs/>
          <w:lang w:val="en-AU"/>
        </w:rPr>
        <w:t xml:space="preserve">Funding </w:t>
      </w:r>
      <w:r w:rsidR="00854F39" w:rsidRPr="00D90AD4">
        <w:rPr>
          <w:rFonts w:cs="Arial"/>
          <w:b/>
          <w:bCs/>
          <w:lang w:val="en-AU"/>
        </w:rPr>
        <w:t xml:space="preserve">Stream 3 Waterway Health </w:t>
      </w:r>
      <w:r w:rsidR="003B28D7" w:rsidRPr="00D90AD4">
        <w:rPr>
          <w:rFonts w:cs="Arial"/>
          <w:b/>
          <w:bCs/>
          <w:lang w:val="en-AU"/>
        </w:rPr>
        <w:t xml:space="preserve">Complementary Measures </w:t>
      </w:r>
      <w:r w:rsidR="00854F39" w:rsidRPr="00D90AD4">
        <w:rPr>
          <w:rFonts w:cs="Arial"/>
          <w:b/>
          <w:bCs/>
          <w:lang w:val="en-AU"/>
        </w:rPr>
        <w:t xml:space="preserve">and </w:t>
      </w:r>
      <w:r w:rsidR="003B28D7" w:rsidRPr="00D90AD4">
        <w:rPr>
          <w:rFonts w:cs="Arial"/>
          <w:b/>
          <w:bCs/>
          <w:lang w:val="en-AU"/>
        </w:rPr>
        <w:t>Catchment Management I</w:t>
      </w:r>
      <w:r w:rsidR="00854F39" w:rsidRPr="00D90AD4">
        <w:rPr>
          <w:rFonts w:cs="Arial"/>
          <w:b/>
          <w:bCs/>
          <w:lang w:val="en-AU"/>
        </w:rPr>
        <w:t>mprovement:</w:t>
      </w:r>
      <w:r w:rsidR="00854F39" w:rsidRPr="00D90AD4">
        <w:rPr>
          <w:rFonts w:cs="Arial"/>
          <w:lang w:val="en-AU"/>
        </w:rPr>
        <w:t xml:space="preserve"> </w:t>
      </w:r>
      <w:r w:rsidR="56BC0BEE" w:rsidRPr="00D90AD4">
        <w:rPr>
          <w:rFonts w:cs="Arial"/>
          <w:lang w:val="en-AU"/>
        </w:rPr>
        <w:t xml:space="preserve">This project </w:t>
      </w:r>
      <w:r w:rsidR="00854F39" w:rsidRPr="00D90AD4">
        <w:rPr>
          <w:rFonts w:cs="Arial"/>
          <w:lang w:val="en-AU"/>
        </w:rPr>
        <w:t xml:space="preserve">made progress in the planning and design of measures that improve overall waterway health. Works on the Lower Latrobe Wetlands, Maffra Weir Fishway, </w:t>
      </w:r>
      <w:r w:rsidR="00D67B22" w:rsidRPr="00D90AD4">
        <w:rPr>
          <w:rFonts w:cs="Arial"/>
          <w:lang w:val="en-AU"/>
        </w:rPr>
        <w:t xml:space="preserve">Moorabool </w:t>
      </w:r>
      <w:proofErr w:type="spellStart"/>
      <w:r w:rsidR="00D67B22" w:rsidRPr="00D90AD4">
        <w:rPr>
          <w:rFonts w:cs="Arial"/>
          <w:lang w:val="en-AU"/>
        </w:rPr>
        <w:t>Yulluk</w:t>
      </w:r>
      <w:proofErr w:type="spellEnd"/>
      <w:r w:rsidR="00D67B22" w:rsidRPr="00D90AD4">
        <w:rPr>
          <w:rFonts w:cs="Arial"/>
          <w:lang w:val="en-AU"/>
        </w:rPr>
        <w:t xml:space="preserve"> (Moorabool River) </w:t>
      </w:r>
      <w:r w:rsidR="00854F39" w:rsidRPr="00D90AD4">
        <w:rPr>
          <w:rFonts w:cs="Arial"/>
          <w:lang w:val="en-AU"/>
        </w:rPr>
        <w:t>and Werribee diversion weir activities have so far focused on governance</w:t>
      </w:r>
      <w:r w:rsidR="00EB6E8B" w:rsidRPr="00D90AD4">
        <w:rPr>
          <w:rFonts w:cs="Arial"/>
          <w:lang w:val="en-AU"/>
        </w:rPr>
        <w:t xml:space="preserve">, </w:t>
      </w:r>
      <w:proofErr w:type="gramStart"/>
      <w:r w:rsidR="00EB6E8B" w:rsidRPr="00D90AD4">
        <w:rPr>
          <w:rFonts w:cs="Arial"/>
          <w:lang w:val="en-AU"/>
        </w:rPr>
        <w:t>in</w:t>
      </w:r>
      <w:r w:rsidR="0045682E" w:rsidRPr="00D90AD4">
        <w:rPr>
          <w:rFonts w:cs="Arial"/>
          <w:lang w:val="en-AU"/>
        </w:rPr>
        <w:t>vestigations</w:t>
      </w:r>
      <w:proofErr w:type="gramEnd"/>
      <w:r w:rsidR="00854F39" w:rsidRPr="00D90AD4">
        <w:rPr>
          <w:rFonts w:cs="Arial"/>
          <w:lang w:val="en-AU"/>
        </w:rPr>
        <w:t xml:space="preserve"> and infrastructure design, with construction works to follow.</w:t>
      </w:r>
    </w:p>
    <w:p w14:paraId="6A40F42E" w14:textId="77777777" w:rsidR="002E331D" w:rsidRPr="00966D5E" w:rsidRDefault="00FE4B78" w:rsidP="00A168D2">
      <w:pPr>
        <w:pStyle w:val="BulletLevel1"/>
        <w:rPr>
          <w:rFonts w:cs="Arial"/>
          <w:lang w:val="en-AU"/>
        </w:rPr>
      </w:pPr>
      <w:r w:rsidRPr="00D90AD4">
        <w:rPr>
          <w:rFonts w:cs="Arial"/>
          <w:b/>
          <w:bCs/>
          <w:lang w:val="en-AU"/>
        </w:rPr>
        <w:t xml:space="preserve">CWCT10: </w:t>
      </w:r>
      <w:r w:rsidR="00854F39" w:rsidRPr="00D90AD4">
        <w:rPr>
          <w:rFonts w:cs="Arial"/>
          <w:b/>
          <w:bCs/>
          <w:lang w:val="en-AU"/>
        </w:rPr>
        <w:t xml:space="preserve">Environmental Water: </w:t>
      </w:r>
      <w:r w:rsidR="00854F39" w:rsidRPr="00D90AD4">
        <w:rPr>
          <w:rFonts w:cs="Arial"/>
          <w:lang w:val="en-AU"/>
        </w:rPr>
        <w:t xml:space="preserve">This </w:t>
      </w:r>
      <w:r w:rsidR="00A12D1C" w:rsidRPr="00D90AD4">
        <w:rPr>
          <w:rFonts w:cs="Arial"/>
          <w:lang w:val="en-AU"/>
        </w:rPr>
        <w:t xml:space="preserve">project </w:t>
      </w:r>
      <w:r w:rsidR="00854F39" w:rsidRPr="00D90AD4">
        <w:rPr>
          <w:rFonts w:cs="Arial"/>
          <w:lang w:val="en-AU"/>
        </w:rPr>
        <w:t xml:space="preserve">delivered </w:t>
      </w:r>
      <w:r w:rsidR="00FC674D" w:rsidRPr="00D90AD4">
        <w:rPr>
          <w:rFonts w:cs="Arial"/>
          <w:lang w:val="en-AU"/>
        </w:rPr>
        <w:t xml:space="preserve">environmental water to </w:t>
      </w:r>
      <w:r w:rsidR="005B7036" w:rsidRPr="00D90AD4">
        <w:rPr>
          <w:rFonts w:cs="Arial"/>
          <w:lang w:val="en-AU"/>
        </w:rPr>
        <w:t xml:space="preserve">161 </w:t>
      </w:r>
      <w:r w:rsidR="007924D2" w:rsidRPr="00D90AD4">
        <w:rPr>
          <w:rFonts w:cs="Arial"/>
          <w:lang w:val="en-AU"/>
        </w:rPr>
        <w:t xml:space="preserve">rivers and wetlands sites throughout the state in </w:t>
      </w:r>
      <w:r w:rsidR="005B7036" w:rsidRPr="00D90AD4">
        <w:rPr>
          <w:rFonts w:cs="Arial"/>
          <w:lang w:val="en-AU"/>
        </w:rPr>
        <w:t>2023</w:t>
      </w:r>
      <w:r w:rsidR="002409EA" w:rsidRPr="00D90AD4">
        <w:rPr>
          <w:rFonts w:cs="Arial"/>
          <w:lang w:val="en-AU"/>
        </w:rPr>
        <w:t>-</w:t>
      </w:r>
      <w:r w:rsidR="005B7036" w:rsidRPr="00D90AD4">
        <w:rPr>
          <w:rFonts w:cs="Arial"/>
          <w:lang w:val="en-AU"/>
        </w:rPr>
        <w:t>24</w:t>
      </w:r>
      <w:r w:rsidR="007924D2" w:rsidRPr="00D90AD4">
        <w:rPr>
          <w:rFonts w:cs="Arial"/>
          <w:lang w:val="en-AU"/>
        </w:rPr>
        <w:t xml:space="preserve">, </w:t>
      </w:r>
      <w:r w:rsidR="007B5F56" w:rsidRPr="00D90AD4">
        <w:rPr>
          <w:rFonts w:cs="Arial"/>
          <w:lang w:val="en-AU"/>
        </w:rPr>
        <w:t>154 sites in 2022</w:t>
      </w:r>
      <w:r w:rsidR="002409EA" w:rsidRPr="00D90AD4">
        <w:rPr>
          <w:rFonts w:cs="Arial"/>
          <w:lang w:val="en-AU"/>
        </w:rPr>
        <w:t>-</w:t>
      </w:r>
      <w:r w:rsidR="007B5F56" w:rsidRPr="00D90AD4">
        <w:rPr>
          <w:rFonts w:cs="Arial"/>
          <w:lang w:val="en-AU"/>
        </w:rPr>
        <w:t xml:space="preserve">23, </w:t>
      </w:r>
      <w:r w:rsidR="007924D2" w:rsidRPr="00D90AD4">
        <w:rPr>
          <w:rFonts w:cs="Arial"/>
          <w:lang w:val="en-AU"/>
        </w:rPr>
        <w:t>170 sites in 2021</w:t>
      </w:r>
      <w:r w:rsidR="002409EA" w:rsidRPr="00D90AD4">
        <w:rPr>
          <w:rFonts w:cs="Arial"/>
          <w:lang w:val="en-AU"/>
        </w:rPr>
        <w:t>-</w:t>
      </w:r>
      <w:r w:rsidR="007924D2" w:rsidRPr="00D90AD4">
        <w:rPr>
          <w:rFonts w:cs="Arial"/>
          <w:lang w:val="en-AU"/>
        </w:rPr>
        <w:t>22, and 225 sites in 2020</w:t>
      </w:r>
      <w:r w:rsidR="002409EA" w:rsidRPr="00D90AD4">
        <w:rPr>
          <w:rFonts w:cs="Arial"/>
          <w:lang w:val="en-AU"/>
        </w:rPr>
        <w:t>-</w:t>
      </w:r>
      <w:r w:rsidR="007924D2" w:rsidRPr="00D90AD4">
        <w:rPr>
          <w:rFonts w:cs="Arial"/>
          <w:lang w:val="en-AU"/>
        </w:rPr>
        <w:t xml:space="preserve">21, fully or partially achieving a total of </w:t>
      </w:r>
      <w:r w:rsidR="001D1957" w:rsidRPr="00D90AD4">
        <w:rPr>
          <w:rFonts w:cs="Arial"/>
          <w:lang w:val="en-AU"/>
        </w:rPr>
        <w:t xml:space="preserve">934 </w:t>
      </w:r>
      <w:r w:rsidR="007924D2" w:rsidRPr="00D90AD4">
        <w:rPr>
          <w:rFonts w:cs="Arial"/>
          <w:lang w:val="en-AU"/>
        </w:rPr>
        <w:t xml:space="preserve">watering actions. </w:t>
      </w:r>
      <w:r w:rsidR="007A36B8" w:rsidRPr="00D90AD4">
        <w:rPr>
          <w:rFonts w:cs="Arial"/>
          <w:lang w:val="en-AU"/>
        </w:rPr>
        <w:t xml:space="preserve">Water delivery equated to over </w:t>
      </w:r>
      <w:r w:rsidR="00DE4F0D" w:rsidRPr="00D90AD4">
        <w:rPr>
          <w:rFonts w:cs="Arial"/>
          <w:lang w:val="en-AU"/>
        </w:rPr>
        <w:t>3,212</w:t>
      </w:r>
      <w:r w:rsidR="007A36B8" w:rsidRPr="00D90AD4">
        <w:rPr>
          <w:rFonts w:cs="Arial"/>
          <w:lang w:val="en-AU"/>
        </w:rPr>
        <w:t xml:space="preserve">,000 ML of water for the environment to rivers and wetlands throughout Victoria (including over </w:t>
      </w:r>
      <w:r w:rsidR="00DE4F0D" w:rsidRPr="00D90AD4">
        <w:rPr>
          <w:rFonts w:cs="Arial"/>
          <w:lang w:val="en-AU"/>
        </w:rPr>
        <w:t>846</w:t>
      </w:r>
      <w:r w:rsidR="007A36B8" w:rsidRPr="00D90AD4">
        <w:rPr>
          <w:rFonts w:cs="Arial"/>
          <w:lang w:val="en-AU"/>
        </w:rPr>
        <w:t>,000 ML from the Victorian Environmental Water Holder, 1,</w:t>
      </w:r>
      <w:r w:rsidR="00DE4F0D" w:rsidRPr="00D90AD4">
        <w:rPr>
          <w:rFonts w:cs="Arial"/>
          <w:lang w:val="en-AU"/>
        </w:rPr>
        <w:t>869</w:t>
      </w:r>
      <w:r w:rsidR="007A36B8" w:rsidRPr="00D90AD4">
        <w:rPr>
          <w:rFonts w:cs="Arial"/>
          <w:lang w:val="en-AU"/>
        </w:rPr>
        <w:t xml:space="preserve">,000 ML from the Commonwealth Environmental Water Holder, over </w:t>
      </w:r>
      <w:r w:rsidR="00DE4F0D" w:rsidRPr="00D90AD4">
        <w:rPr>
          <w:rFonts w:cs="Arial"/>
          <w:lang w:val="en-AU"/>
        </w:rPr>
        <w:t>497</w:t>
      </w:r>
      <w:r w:rsidR="007A36B8" w:rsidRPr="00D90AD4">
        <w:rPr>
          <w:rFonts w:cs="Arial"/>
          <w:lang w:val="en-AU"/>
        </w:rPr>
        <w:t>,000 ML from The Living Murray).</w:t>
      </w:r>
      <w:r w:rsidR="00C6573B" w:rsidRPr="00D90AD4">
        <w:rPr>
          <w:rFonts w:cs="Arial"/>
          <w:lang w:val="en-AU"/>
        </w:rPr>
        <w:t xml:space="preserve"> It also delivered </w:t>
      </w:r>
      <w:r w:rsidR="00854F39" w:rsidRPr="00D90AD4">
        <w:rPr>
          <w:rFonts w:cs="Arial"/>
          <w:lang w:val="en-AU"/>
        </w:rPr>
        <w:t>works to protect and restore Victoria’s waterways through providing grants to CMA delivery partners for employment of regional environmental water reserve officers, environmental water infrastructure works and measures projects, environmental water community engagement and shared benefit projects,</w:t>
      </w:r>
      <w:r w:rsidR="648CC16F" w:rsidRPr="00D90AD4">
        <w:rPr>
          <w:rFonts w:cs="Arial"/>
          <w:lang w:val="en-AU"/>
        </w:rPr>
        <w:t xml:space="preserve"> plus</w:t>
      </w:r>
      <w:r w:rsidR="00854F39" w:rsidRPr="00D90AD4">
        <w:rPr>
          <w:rFonts w:cs="Arial"/>
          <w:lang w:val="en-AU"/>
        </w:rPr>
        <w:t xml:space="preserve"> </w:t>
      </w:r>
      <w:r w:rsidR="770A0D97" w:rsidRPr="00D90AD4">
        <w:rPr>
          <w:rFonts w:cs="Arial"/>
          <w:lang w:val="en-AU"/>
        </w:rPr>
        <w:t>e</w:t>
      </w:r>
      <w:r w:rsidR="00854F39" w:rsidRPr="00D90AD4">
        <w:rPr>
          <w:rFonts w:cs="Arial"/>
          <w:lang w:val="en-AU"/>
        </w:rPr>
        <w:t>ngagement and involvement of Traditional Owners and Aboriginal communities in environmental water planning and management. It also fun</w:t>
      </w:r>
      <w:r w:rsidR="00EB3ADC" w:rsidRPr="00D90AD4">
        <w:rPr>
          <w:rFonts w:cs="Arial"/>
          <w:lang w:val="en-AU"/>
        </w:rPr>
        <w:t>d</w:t>
      </w:r>
      <w:r w:rsidR="00854F39" w:rsidRPr="00D90AD4">
        <w:rPr>
          <w:rFonts w:cs="Arial"/>
          <w:lang w:val="en-AU"/>
        </w:rPr>
        <w:t>s the management of environmental water entitlements, the Victorian Environmental Water Holder and provide</w:t>
      </w:r>
      <w:r w:rsidR="00EB3ADC" w:rsidRPr="00D90AD4">
        <w:rPr>
          <w:rFonts w:cs="Arial"/>
          <w:lang w:val="en-AU"/>
        </w:rPr>
        <w:t>d</w:t>
      </w:r>
      <w:r w:rsidR="00854F39" w:rsidRPr="00D90AD4">
        <w:rPr>
          <w:rFonts w:cs="Arial"/>
          <w:lang w:val="en-AU"/>
        </w:rPr>
        <w:t xml:space="preserve"> Murray-Darling Basin Plan program delivery</w:t>
      </w:r>
      <w:r w:rsidR="00EB3ADC" w:rsidRPr="00D90AD4">
        <w:rPr>
          <w:rFonts w:cs="Arial"/>
          <w:lang w:val="en-AU"/>
        </w:rPr>
        <w:t xml:space="preserve"> during the EC5</w:t>
      </w:r>
      <w:r w:rsidR="00854F39" w:rsidRPr="00966D5E">
        <w:rPr>
          <w:rFonts w:cs="Arial"/>
          <w:lang w:val="en-AU"/>
        </w:rPr>
        <w:t>.</w:t>
      </w:r>
    </w:p>
    <w:p w14:paraId="63A9C912" w14:textId="77777777" w:rsidR="002E331D" w:rsidRPr="00D90AD4" w:rsidRDefault="005364EF" w:rsidP="007F1A42">
      <w:pPr>
        <w:pStyle w:val="BulletLevel1"/>
        <w:rPr>
          <w:rFonts w:cs="Arial"/>
          <w:lang w:val="en-AU"/>
        </w:rPr>
      </w:pPr>
      <w:r w:rsidRPr="00D90AD4">
        <w:rPr>
          <w:rFonts w:cs="Arial"/>
          <w:b/>
          <w:bCs/>
          <w:lang w:val="en-AU"/>
        </w:rPr>
        <w:t xml:space="preserve">CWCT02: </w:t>
      </w:r>
      <w:r w:rsidR="00854F39" w:rsidRPr="00D90AD4">
        <w:rPr>
          <w:rFonts w:cs="Arial"/>
          <w:b/>
          <w:bCs/>
          <w:lang w:val="en-AU"/>
        </w:rPr>
        <w:t>Iconic Urban Waterways:</w:t>
      </w:r>
      <w:r w:rsidR="00854F39" w:rsidRPr="00D90AD4">
        <w:rPr>
          <w:rFonts w:cs="Arial"/>
          <w:lang w:val="en-AU"/>
        </w:rPr>
        <w:t xml:space="preserve"> This </w:t>
      </w:r>
      <w:r w:rsidR="009C4118" w:rsidRPr="00D90AD4">
        <w:rPr>
          <w:rFonts w:cs="Arial"/>
          <w:lang w:val="en-AU"/>
        </w:rPr>
        <w:t xml:space="preserve">project </w:t>
      </w:r>
      <w:r w:rsidR="00EB3ADC" w:rsidRPr="00D90AD4">
        <w:rPr>
          <w:rFonts w:cs="Arial"/>
          <w:lang w:val="en-AU"/>
        </w:rPr>
        <w:t>is focused on reducing</w:t>
      </w:r>
      <w:r w:rsidR="00854F39" w:rsidRPr="00D90AD4">
        <w:rPr>
          <w:rFonts w:cs="Arial"/>
          <w:lang w:val="en-AU"/>
        </w:rPr>
        <w:t xml:space="preserve"> the adverse economic, environmental, </w:t>
      </w:r>
      <w:proofErr w:type="gramStart"/>
      <w:r w:rsidR="00854F39" w:rsidRPr="00D90AD4">
        <w:rPr>
          <w:rFonts w:cs="Arial"/>
          <w:lang w:val="en-AU"/>
        </w:rPr>
        <w:t>social</w:t>
      </w:r>
      <w:proofErr w:type="gramEnd"/>
      <w:r w:rsidR="00854F39" w:rsidRPr="00D90AD4">
        <w:rPr>
          <w:rFonts w:cs="Arial"/>
          <w:lang w:val="en-AU"/>
        </w:rPr>
        <w:t xml:space="preserve"> and cultural impacts of urbanisation and population growth on iconic urban waterways </w:t>
      </w:r>
      <w:r w:rsidR="3B4C23E9" w:rsidRPr="00D90AD4">
        <w:rPr>
          <w:rFonts w:cs="Arial"/>
          <w:lang w:val="en-AU"/>
        </w:rPr>
        <w:t>–</w:t>
      </w:r>
      <w:r w:rsidR="003E7F8E" w:rsidRPr="00D90AD4">
        <w:rPr>
          <w:rFonts w:cs="Arial"/>
          <w:lang w:val="en-AU"/>
        </w:rPr>
        <w:t>including the Birrarung</w:t>
      </w:r>
      <w:r w:rsidR="004B376E" w:rsidRPr="00D90AD4">
        <w:rPr>
          <w:rFonts w:cs="Arial"/>
          <w:lang w:val="en-AU"/>
        </w:rPr>
        <w:t xml:space="preserve"> </w:t>
      </w:r>
      <w:r w:rsidR="003E7F8E" w:rsidRPr="00D90AD4">
        <w:rPr>
          <w:rFonts w:cs="Arial"/>
          <w:lang w:val="en-AU"/>
        </w:rPr>
        <w:t xml:space="preserve">/ </w:t>
      </w:r>
      <w:r w:rsidR="0005086E" w:rsidRPr="00D90AD4">
        <w:rPr>
          <w:rFonts w:cs="Arial"/>
          <w:lang w:val="en-AU"/>
        </w:rPr>
        <w:t>Yarra,</w:t>
      </w:r>
      <w:r w:rsidR="003E7F8E" w:rsidRPr="00D90AD4">
        <w:rPr>
          <w:rFonts w:cs="Arial"/>
          <w:lang w:val="en-AU"/>
        </w:rPr>
        <w:t xml:space="preserve"> </w:t>
      </w:r>
      <w:proofErr w:type="spellStart"/>
      <w:r w:rsidR="003E7F8E" w:rsidRPr="00D90AD4">
        <w:rPr>
          <w:rFonts w:cs="Arial"/>
          <w:lang w:val="en-AU"/>
        </w:rPr>
        <w:t>Mirrangbamurn</w:t>
      </w:r>
      <w:proofErr w:type="spellEnd"/>
      <w:r w:rsidR="004B376E" w:rsidRPr="00D90AD4">
        <w:rPr>
          <w:rFonts w:cs="Arial"/>
          <w:lang w:val="en-AU"/>
        </w:rPr>
        <w:t xml:space="preserve"> </w:t>
      </w:r>
      <w:r w:rsidR="003E7F8E" w:rsidRPr="00D90AD4">
        <w:rPr>
          <w:rFonts w:cs="Arial"/>
          <w:lang w:val="en-AU"/>
        </w:rPr>
        <w:t xml:space="preserve">/ </w:t>
      </w:r>
      <w:r w:rsidR="0005086E" w:rsidRPr="00D90AD4">
        <w:rPr>
          <w:rFonts w:cs="Arial"/>
          <w:lang w:val="en-AU"/>
        </w:rPr>
        <w:t>Maribyrnong,</w:t>
      </w:r>
      <w:r w:rsidR="003E7F8E" w:rsidRPr="00D90AD4">
        <w:rPr>
          <w:rFonts w:cs="Arial"/>
          <w:lang w:val="en-AU"/>
        </w:rPr>
        <w:t xml:space="preserve"> </w:t>
      </w:r>
      <w:proofErr w:type="spellStart"/>
      <w:r w:rsidR="003E7F8E" w:rsidRPr="00D90AD4">
        <w:rPr>
          <w:rFonts w:cs="Arial"/>
          <w:lang w:val="en-AU"/>
        </w:rPr>
        <w:t>Wirribi</w:t>
      </w:r>
      <w:proofErr w:type="spellEnd"/>
      <w:r w:rsidR="003E7F8E" w:rsidRPr="00D90AD4">
        <w:rPr>
          <w:rFonts w:cs="Arial"/>
          <w:lang w:val="en-AU"/>
        </w:rPr>
        <w:t xml:space="preserve"> </w:t>
      </w:r>
      <w:proofErr w:type="spellStart"/>
      <w:r w:rsidR="003E7F8E" w:rsidRPr="00D90AD4">
        <w:rPr>
          <w:rFonts w:cs="Arial"/>
          <w:lang w:val="en-AU"/>
        </w:rPr>
        <w:t>Yulluk</w:t>
      </w:r>
      <w:proofErr w:type="spellEnd"/>
      <w:r w:rsidR="004B376E" w:rsidRPr="00D90AD4">
        <w:rPr>
          <w:rFonts w:cs="Arial"/>
          <w:lang w:val="en-AU"/>
        </w:rPr>
        <w:t xml:space="preserve"> </w:t>
      </w:r>
      <w:r w:rsidR="003E7F8E" w:rsidRPr="00D90AD4">
        <w:rPr>
          <w:rFonts w:cs="Arial"/>
          <w:lang w:val="en-AU"/>
        </w:rPr>
        <w:t xml:space="preserve">/ </w:t>
      </w:r>
      <w:r w:rsidR="0005086E" w:rsidRPr="00D90AD4">
        <w:rPr>
          <w:rFonts w:cs="Arial"/>
          <w:lang w:val="en-AU"/>
        </w:rPr>
        <w:t>Werribee and</w:t>
      </w:r>
      <w:r w:rsidR="003E7F8E" w:rsidRPr="00D90AD4">
        <w:rPr>
          <w:rFonts w:cs="Arial"/>
          <w:lang w:val="en-AU"/>
        </w:rPr>
        <w:t xml:space="preserve"> Parwan</w:t>
      </w:r>
      <w:r w:rsidR="004B376E" w:rsidRPr="00D90AD4">
        <w:rPr>
          <w:rFonts w:cs="Arial"/>
          <w:lang w:val="en-AU"/>
        </w:rPr>
        <w:t xml:space="preserve"> </w:t>
      </w:r>
      <w:r w:rsidR="003E7F8E" w:rsidRPr="00D90AD4">
        <w:rPr>
          <w:rFonts w:cs="Arial"/>
          <w:lang w:val="en-AU"/>
        </w:rPr>
        <w:t xml:space="preserve">/ Barwon Rivers. </w:t>
      </w:r>
      <w:r w:rsidR="00854F39" w:rsidRPr="00D90AD4">
        <w:rPr>
          <w:rFonts w:cs="Arial"/>
          <w:lang w:val="en-AU"/>
        </w:rPr>
        <w:t xml:space="preserve">Following delivery of </w:t>
      </w:r>
      <w:proofErr w:type="spellStart"/>
      <w:r w:rsidR="00A15375" w:rsidRPr="00D90AD4">
        <w:rPr>
          <w:rFonts w:cs="Arial"/>
          <w:lang w:val="en-AU"/>
        </w:rPr>
        <w:t>Burndap</w:t>
      </w:r>
      <w:proofErr w:type="spellEnd"/>
      <w:r w:rsidR="00A15375" w:rsidRPr="00D90AD4">
        <w:rPr>
          <w:rFonts w:cs="Arial"/>
          <w:lang w:val="en-AU"/>
        </w:rPr>
        <w:t xml:space="preserve"> Birrarung </w:t>
      </w:r>
      <w:proofErr w:type="spellStart"/>
      <w:r w:rsidR="00A15375" w:rsidRPr="00D90AD4">
        <w:rPr>
          <w:rFonts w:cs="Arial"/>
          <w:lang w:val="en-AU"/>
        </w:rPr>
        <w:t>burndap</w:t>
      </w:r>
      <w:proofErr w:type="spellEnd"/>
      <w:r w:rsidR="00A15375" w:rsidRPr="00D90AD4">
        <w:rPr>
          <w:rFonts w:cs="Arial"/>
          <w:lang w:val="en-AU"/>
        </w:rPr>
        <w:t xml:space="preserve"> </w:t>
      </w:r>
      <w:proofErr w:type="spellStart"/>
      <w:r w:rsidR="00A15375" w:rsidRPr="00D90AD4">
        <w:rPr>
          <w:rFonts w:cs="Arial"/>
          <w:lang w:val="en-AU"/>
        </w:rPr>
        <w:t>umarkoo</w:t>
      </w:r>
      <w:proofErr w:type="spellEnd"/>
      <w:r w:rsidR="00A15375" w:rsidRPr="00D90AD4">
        <w:rPr>
          <w:rFonts w:cs="Arial"/>
          <w:lang w:val="en-AU"/>
        </w:rPr>
        <w:t>, the Yarra Strategic Plan</w:t>
      </w:r>
      <w:r w:rsidR="00F8402B" w:rsidRPr="00D90AD4">
        <w:rPr>
          <w:rFonts w:cs="Arial"/>
          <w:lang w:val="en-AU"/>
        </w:rPr>
        <w:t xml:space="preserve"> (YSP) </w:t>
      </w:r>
      <w:r w:rsidR="00854F39" w:rsidRPr="00D90AD4">
        <w:rPr>
          <w:rFonts w:cs="Arial"/>
          <w:lang w:val="en-AU"/>
        </w:rPr>
        <w:t xml:space="preserve">and Action Plans, implementation of the </w:t>
      </w:r>
      <w:r w:rsidR="00F8402B" w:rsidRPr="00D90AD4">
        <w:rPr>
          <w:rFonts w:cs="Arial"/>
          <w:lang w:val="en-AU"/>
        </w:rPr>
        <w:t xml:space="preserve">YSP </w:t>
      </w:r>
      <w:r w:rsidR="00854F39" w:rsidRPr="00D90AD4">
        <w:rPr>
          <w:rFonts w:cs="Arial"/>
          <w:lang w:val="en-AU"/>
        </w:rPr>
        <w:t xml:space="preserve">commenced </w:t>
      </w:r>
      <w:r w:rsidR="0025240F" w:rsidRPr="00D90AD4">
        <w:rPr>
          <w:rFonts w:cs="Arial"/>
          <w:lang w:val="en-AU"/>
        </w:rPr>
        <w:t xml:space="preserve">during </w:t>
      </w:r>
      <w:r w:rsidR="00854F39" w:rsidRPr="00D90AD4">
        <w:rPr>
          <w:rFonts w:cs="Arial"/>
          <w:lang w:val="en-AU"/>
        </w:rPr>
        <w:t xml:space="preserve">EC5, </w:t>
      </w:r>
      <w:r w:rsidR="0025240F" w:rsidRPr="00D90AD4">
        <w:rPr>
          <w:rFonts w:cs="Arial"/>
          <w:lang w:val="en-AU"/>
        </w:rPr>
        <w:t xml:space="preserve">which </w:t>
      </w:r>
      <w:r w:rsidR="00854F39" w:rsidRPr="00D90AD4">
        <w:rPr>
          <w:rFonts w:cs="Arial"/>
          <w:lang w:val="en-AU"/>
        </w:rPr>
        <w:t>includ</w:t>
      </w:r>
      <w:r w:rsidR="0025240F" w:rsidRPr="00D90AD4">
        <w:rPr>
          <w:rFonts w:cs="Arial"/>
          <w:lang w:val="en-AU"/>
        </w:rPr>
        <w:t>es</w:t>
      </w:r>
      <w:r w:rsidR="00854F39" w:rsidRPr="00D90AD4">
        <w:rPr>
          <w:rFonts w:cs="Arial"/>
          <w:lang w:val="en-AU"/>
        </w:rPr>
        <w:t xml:space="preserve"> delivery of 88 projects focused on protecting and enhancing the river and its parklands. The </w:t>
      </w:r>
      <w:r w:rsidR="00A12D1C" w:rsidRPr="00D90AD4">
        <w:rPr>
          <w:rFonts w:cs="Arial"/>
          <w:lang w:val="en-AU"/>
        </w:rPr>
        <w:t xml:space="preserve">project </w:t>
      </w:r>
      <w:r w:rsidR="00854F39" w:rsidRPr="00D90AD4">
        <w:rPr>
          <w:rFonts w:cs="Arial"/>
          <w:lang w:val="en-AU"/>
        </w:rPr>
        <w:t>also delivered the Waterways of the West and Rivers of the Barwon</w:t>
      </w:r>
      <w:r w:rsidR="00D6685E" w:rsidRPr="00D90AD4">
        <w:rPr>
          <w:rFonts w:cs="Arial"/>
          <w:lang w:val="en-AU"/>
        </w:rPr>
        <w:t xml:space="preserve"> (Barre Warre </w:t>
      </w:r>
      <w:proofErr w:type="spellStart"/>
      <w:r w:rsidR="00D6685E" w:rsidRPr="00D90AD4">
        <w:rPr>
          <w:rFonts w:cs="Arial"/>
          <w:lang w:val="en-AU"/>
        </w:rPr>
        <w:t>Yulluk</w:t>
      </w:r>
      <w:proofErr w:type="spellEnd"/>
      <w:r w:rsidR="00D6685E" w:rsidRPr="00D90AD4">
        <w:rPr>
          <w:rFonts w:cs="Arial"/>
          <w:lang w:val="en-AU"/>
        </w:rPr>
        <w:t xml:space="preserve">) </w:t>
      </w:r>
      <w:r w:rsidR="00854F39" w:rsidRPr="00D90AD4">
        <w:rPr>
          <w:rFonts w:cs="Arial"/>
          <w:lang w:val="en-AU"/>
        </w:rPr>
        <w:t>Action Plans and supported implementation through a grants program.</w:t>
      </w:r>
    </w:p>
    <w:p w14:paraId="1637D1AB" w14:textId="77777777" w:rsidR="002E331D" w:rsidRPr="00D90AD4" w:rsidRDefault="00343C30" w:rsidP="007F1A42">
      <w:pPr>
        <w:pStyle w:val="BulletLevel1"/>
        <w:rPr>
          <w:rFonts w:cs="Arial"/>
          <w:lang w:val="en-AU"/>
        </w:rPr>
      </w:pPr>
      <w:r w:rsidRPr="00D90AD4">
        <w:rPr>
          <w:rFonts w:cs="Arial"/>
          <w:b/>
          <w:bCs/>
          <w:lang w:val="en-AU"/>
        </w:rPr>
        <w:t>CWCT1</w:t>
      </w:r>
      <w:r w:rsidR="00EC21A6" w:rsidRPr="00D90AD4">
        <w:rPr>
          <w:rFonts w:cs="Arial"/>
          <w:b/>
          <w:bCs/>
          <w:lang w:val="en-AU"/>
        </w:rPr>
        <w:t>1</w:t>
      </w:r>
      <w:r w:rsidRPr="00D90AD4">
        <w:rPr>
          <w:rFonts w:cs="Arial"/>
          <w:b/>
          <w:bCs/>
          <w:lang w:val="en-AU"/>
        </w:rPr>
        <w:t>:</w:t>
      </w:r>
      <w:r w:rsidR="00F653BB" w:rsidRPr="00D90AD4">
        <w:rPr>
          <w:rFonts w:cs="Arial"/>
          <w:b/>
          <w:bCs/>
          <w:lang w:val="en-AU"/>
        </w:rPr>
        <w:t xml:space="preserve"> Our Catchments Our Communities:</w:t>
      </w:r>
      <w:r w:rsidR="00F653BB" w:rsidRPr="00D90AD4">
        <w:rPr>
          <w:rFonts w:cs="Arial"/>
          <w:lang w:val="en-AU"/>
        </w:rPr>
        <w:t xml:space="preserve"> </w:t>
      </w:r>
      <w:r w:rsidR="00484204" w:rsidRPr="00D90AD4">
        <w:rPr>
          <w:rFonts w:cs="Arial"/>
          <w:lang w:val="en-AU"/>
        </w:rPr>
        <w:t xml:space="preserve">CMAs delivered </w:t>
      </w:r>
      <w:r w:rsidR="00BE5237" w:rsidRPr="00D90AD4">
        <w:rPr>
          <w:rFonts w:cs="Arial"/>
          <w:lang w:val="en-AU"/>
        </w:rPr>
        <w:t xml:space="preserve">46,764 </w:t>
      </w:r>
      <w:r w:rsidR="00484204" w:rsidRPr="00D90AD4">
        <w:rPr>
          <w:rFonts w:cs="Arial"/>
          <w:lang w:val="en-AU"/>
        </w:rPr>
        <w:t>ha of land under active catchment stewardship in Victoria. Active stewardship include</w:t>
      </w:r>
      <w:r w:rsidR="0025240F" w:rsidRPr="00D90AD4">
        <w:rPr>
          <w:rFonts w:cs="Arial"/>
          <w:lang w:val="en-AU"/>
        </w:rPr>
        <w:t>s</w:t>
      </w:r>
      <w:r w:rsidR="00484204" w:rsidRPr="00D90AD4">
        <w:rPr>
          <w:rFonts w:cs="Arial"/>
          <w:lang w:val="en-AU"/>
        </w:rPr>
        <w:t xml:space="preserve"> environment works, management services, management agreement</w:t>
      </w:r>
      <w:r w:rsidR="00AE4614" w:rsidRPr="00D90AD4">
        <w:rPr>
          <w:rFonts w:cs="Arial"/>
          <w:lang w:val="en-AU"/>
        </w:rPr>
        <w:t>s</w:t>
      </w:r>
      <w:r w:rsidR="00484204" w:rsidRPr="00D90AD4">
        <w:rPr>
          <w:rFonts w:cs="Arial"/>
          <w:lang w:val="en-AU"/>
        </w:rPr>
        <w:t xml:space="preserve">, </w:t>
      </w:r>
      <w:proofErr w:type="gramStart"/>
      <w:r w:rsidR="00484204" w:rsidRPr="00D90AD4">
        <w:rPr>
          <w:rFonts w:cs="Arial"/>
          <w:lang w:val="en-AU"/>
        </w:rPr>
        <w:t>assessment</w:t>
      </w:r>
      <w:r w:rsidR="00AE4614" w:rsidRPr="00D90AD4">
        <w:rPr>
          <w:rFonts w:cs="Arial"/>
          <w:lang w:val="en-AU"/>
        </w:rPr>
        <w:t>s</w:t>
      </w:r>
      <w:proofErr w:type="gramEnd"/>
      <w:r w:rsidR="00484204" w:rsidRPr="00D90AD4">
        <w:rPr>
          <w:rFonts w:cs="Arial"/>
          <w:lang w:val="en-AU"/>
        </w:rPr>
        <w:t xml:space="preserve"> and plan</w:t>
      </w:r>
      <w:r w:rsidR="00AE4614" w:rsidRPr="00D90AD4">
        <w:rPr>
          <w:rFonts w:cs="Arial"/>
          <w:lang w:val="en-AU"/>
        </w:rPr>
        <w:t>s</w:t>
      </w:r>
      <w:r w:rsidR="00484204" w:rsidRPr="00D90AD4">
        <w:rPr>
          <w:rFonts w:cs="Arial"/>
          <w:lang w:val="en-AU"/>
        </w:rPr>
        <w:t>.</w:t>
      </w:r>
    </w:p>
    <w:p w14:paraId="189FFFAA" w14:textId="25F07EA9" w:rsidR="00854F39" w:rsidRPr="00966D5E" w:rsidRDefault="00854F39" w:rsidP="00597C3C">
      <w:pPr>
        <w:pStyle w:val="Heading3"/>
        <w:rPr>
          <w:rFonts w:cs="Arial"/>
          <w:lang w:val="en-AU"/>
        </w:rPr>
      </w:pPr>
      <w:r w:rsidRPr="00966D5E">
        <w:rPr>
          <w:rFonts w:cs="Arial"/>
          <w:lang w:val="en-AU"/>
        </w:rPr>
        <w:lastRenderedPageBreak/>
        <w:t>Increased evidence base on effectiveness of waterway management</w:t>
      </w:r>
    </w:p>
    <w:p w14:paraId="4CAE30F4" w14:textId="778B3EF4" w:rsidR="00EE43A7" w:rsidRPr="00966D5E" w:rsidRDefault="00A2286A" w:rsidP="005D3FA9">
      <w:pPr>
        <w:pStyle w:val="BulletLevel1"/>
        <w:keepNext/>
        <w:keepLines/>
        <w:numPr>
          <w:ilvl w:val="0"/>
          <w:numId w:val="0"/>
        </w:numPr>
        <w:rPr>
          <w:rFonts w:cs="Arial"/>
          <w:lang w:val="en-AU"/>
        </w:rPr>
      </w:pPr>
      <w:r w:rsidRPr="00966D5E">
        <w:rPr>
          <w:rFonts w:cs="Arial"/>
          <w:lang w:val="en-AU"/>
        </w:rPr>
        <w:t>EC5 i</w:t>
      </w:r>
      <w:r w:rsidR="00EE43A7" w:rsidRPr="00966D5E">
        <w:rPr>
          <w:rFonts w:cs="Arial"/>
          <w:lang w:val="en-AU"/>
        </w:rPr>
        <w:t>ncreased the evidence base on</w:t>
      </w:r>
      <w:r w:rsidR="006B435D" w:rsidRPr="00966D5E">
        <w:rPr>
          <w:rFonts w:cs="Arial"/>
          <w:lang w:val="en-AU"/>
        </w:rPr>
        <w:t xml:space="preserve"> the</w:t>
      </w:r>
      <w:r w:rsidR="00EE43A7" w:rsidRPr="00966D5E">
        <w:rPr>
          <w:rFonts w:cs="Arial"/>
          <w:lang w:val="en-AU"/>
        </w:rPr>
        <w:t xml:space="preserve"> effectiveness of waterway management</w:t>
      </w:r>
      <w:r w:rsidR="00D561D8" w:rsidRPr="00966D5E">
        <w:rPr>
          <w:rFonts w:cs="Arial"/>
          <w:lang w:val="en-AU"/>
        </w:rPr>
        <w:t xml:space="preserve"> with monitoring and evaluation of waterway and environmental water health</w:t>
      </w:r>
      <w:r w:rsidR="00446D55" w:rsidRPr="00966D5E">
        <w:rPr>
          <w:rFonts w:cs="Arial"/>
          <w:lang w:val="en-AU"/>
        </w:rPr>
        <w:t xml:space="preserve"> to inform future strategies and decisions. Throughout EC5, significant progress toward this outcome has been achieved through:</w:t>
      </w:r>
    </w:p>
    <w:p w14:paraId="52E9013E" w14:textId="08C20548" w:rsidR="002E331D" w:rsidRPr="00966D5E" w:rsidRDefault="005364EF" w:rsidP="005D3FA9">
      <w:pPr>
        <w:pStyle w:val="BulletLevel1"/>
        <w:keepNext/>
        <w:keepLines/>
        <w:rPr>
          <w:rFonts w:cs="Arial"/>
          <w:b/>
          <w:bCs/>
          <w:lang w:val="en-AU"/>
        </w:rPr>
      </w:pPr>
      <w:r w:rsidRPr="00966D5E">
        <w:rPr>
          <w:rFonts w:cs="Arial"/>
          <w:b/>
          <w:bCs/>
          <w:lang w:val="en-AU"/>
        </w:rPr>
        <w:t xml:space="preserve">CWCT09: </w:t>
      </w:r>
      <w:r w:rsidR="00854F39" w:rsidRPr="00966D5E">
        <w:rPr>
          <w:rFonts w:cs="Arial"/>
          <w:b/>
          <w:bCs/>
          <w:lang w:val="en-AU"/>
        </w:rPr>
        <w:t xml:space="preserve">Waterway Health Program: </w:t>
      </w:r>
      <w:r w:rsidR="00854F39" w:rsidRPr="00966D5E">
        <w:rPr>
          <w:rFonts w:cs="Arial"/>
          <w:lang w:val="en-AU"/>
        </w:rPr>
        <w:t xml:space="preserve">This </w:t>
      </w:r>
      <w:r w:rsidR="00A12D1C" w:rsidRPr="00966D5E">
        <w:rPr>
          <w:rFonts w:cs="Arial"/>
          <w:lang w:val="en-AU"/>
        </w:rPr>
        <w:t>project</w:t>
      </w:r>
      <w:r w:rsidR="00854F39" w:rsidRPr="00966D5E">
        <w:rPr>
          <w:rFonts w:cs="Arial"/>
          <w:lang w:val="en-AU"/>
        </w:rPr>
        <w:t xml:space="preserve"> collected important data that </w:t>
      </w:r>
      <w:r w:rsidR="0025240F" w:rsidRPr="00966D5E">
        <w:rPr>
          <w:rFonts w:cs="Arial"/>
          <w:lang w:val="en-AU"/>
        </w:rPr>
        <w:t xml:space="preserve">supports evaluation of </w:t>
      </w:r>
      <w:r w:rsidR="00854F39" w:rsidRPr="00966D5E">
        <w:rPr>
          <w:rFonts w:cs="Arial"/>
          <w:lang w:val="en-AU"/>
        </w:rPr>
        <w:t xml:space="preserve">waterway and environmental water health to guide improvements in waterway management practices, and to inform state and regional waterway planning, </w:t>
      </w:r>
      <w:proofErr w:type="gramStart"/>
      <w:r w:rsidR="00854F39" w:rsidRPr="00966D5E">
        <w:rPr>
          <w:rFonts w:cs="Arial"/>
          <w:lang w:val="en-AU"/>
        </w:rPr>
        <w:t>evaluation</w:t>
      </w:r>
      <w:proofErr w:type="gramEnd"/>
      <w:r w:rsidR="00854F39" w:rsidRPr="00966D5E">
        <w:rPr>
          <w:rFonts w:cs="Arial"/>
          <w:lang w:val="en-AU"/>
        </w:rPr>
        <w:t xml:space="preserve"> and reporting. </w:t>
      </w:r>
      <w:r w:rsidR="0025240F" w:rsidRPr="00966D5E">
        <w:rPr>
          <w:rFonts w:cs="Arial"/>
          <w:lang w:val="en-AU"/>
        </w:rPr>
        <w:t xml:space="preserve">It included </w:t>
      </w:r>
      <w:r w:rsidR="00854F39" w:rsidRPr="00966D5E">
        <w:rPr>
          <w:rFonts w:cs="Arial"/>
          <w:lang w:val="en-AU"/>
        </w:rPr>
        <w:t xml:space="preserve">the Stream Change </w:t>
      </w:r>
      <w:r w:rsidR="00D12A57" w:rsidRPr="00966D5E">
        <w:rPr>
          <w:rFonts w:cs="Arial"/>
          <w:lang w:val="en-AU"/>
        </w:rPr>
        <w:t>A</w:t>
      </w:r>
      <w:r w:rsidR="00854F39" w:rsidRPr="00966D5E">
        <w:rPr>
          <w:rFonts w:cs="Arial"/>
          <w:lang w:val="en-AU"/>
        </w:rPr>
        <w:t xml:space="preserve">ssessment: Riparian </w:t>
      </w:r>
      <w:r w:rsidR="00D12A57" w:rsidRPr="00966D5E">
        <w:rPr>
          <w:rFonts w:cs="Arial"/>
          <w:lang w:val="en-AU"/>
        </w:rPr>
        <w:t>W</w:t>
      </w:r>
      <w:r w:rsidR="00854F39" w:rsidRPr="00966D5E">
        <w:rPr>
          <w:rFonts w:cs="Arial"/>
          <w:lang w:val="en-AU"/>
        </w:rPr>
        <w:t xml:space="preserve">oody Vegetation, </w:t>
      </w:r>
      <w:hyperlink r:id="rId24" w:history="1">
        <w:r w:rsidR="00854F39" w:rsidRPr="00966D5E">
          <w:rPr>
            <w:rFonts w:cs="Arial"/>
            <w:lang w:val="en-AU"/>
          </w:rPr>
          <w:t>2021 Great Australian Platypus Search</w:t>
        </w:r>
      </w:hyperlink>
      <w:r w:rsidR="00854F39" w:rsidRPr="00966D5E">
        <w:rPr>
          <w:rFonts w:cs="Arial"/>
          <w:lang w:val="en-AU"/>
        </w:rPr>
        <w:t xml:space="preserve"> using eDNA, VEFMAP</w:t>
      </w:r>
      <w:r w:rsidR="005259A5" w:rsidRPr="00966D5E">
        <w:rPr>
          <w:rFonts w:cs="Arial"/>
          <w:lang w:val="en-AU"/>
        </w:rPr>
        <w:t xml:space="preserve"> (Victorian Environmental Flows Monitoring and Assessment Program)</w:t>
      </w:r>
      <w:r w:rsidR="00854F39" w:rsidRPr="00966D5E">
        <w:rPr>
          <w:rFonts w:cs="Arial"/>
          <w:lang w:val="en-AU"/>
        </w:rPr>
        <w:t xml:space="preserve"> and </w:t>
      </w:r>
      <w:proofErr w:type="spellStart"/>
      <w:r w:rsidR="00854F39" w:rsidRPr="00966D5E">
        <w:rPr>
          <w:rFonts w:cs="Arial"/>
          <w:lang w:val="en-AU"/>
        </w:rPr>
        <w:t>WetMAP</w:t>
      </w:r>
      <w:proofErr w:type="spellEnd"/>
      <w:r w:rsidR="005259A5" w:rsidRPr="00966D5E">
        <w:rPr>
          <w:rFonts w:cs="Arial"/>
          <w:lang w:val="en-AU"/>
        </w:rPr>
        <w:t xml:space="preserve"> (</w:t>
      </w:r>
      <w:r w:rsidR="005259A5" w:rsidRPr="00D90AD4">
        <w:rPr>
          <w:rFonts w:cs="Arial"/>
          <w:lang w:val="en-AU"/>
        </w:rPr>
        <w:t>Wetland Monitoring and Assessment Program)</w:t>
      </w:r>
      <w:r w:rsidR="00854F39" w:rsidRPr="00966D5E">
        <w:rPr>
          <w:rFonts w:cs="Arial"/>
          <w:lang w:val="en-AU"/>
        </w:rPr>
        <w:t xml:space="preserve"> to evaluate ecological responses to environmental water management, Riparian Intervention Monitoring Program, and Victoria’s first Index of Estuary Condition. </w:t>
      </w:r>
      <w:r w:rsidR="00D5789E" w:rsidRPr="00966D5E">
        <w:rPr>
          <w:rFonts w:cs="Arial"/>
          <w:lang w:val="en-AU"/>
        </w:rPr>
        <w:t>Some examples of findings from these projects includes:</w:t>
      </w:r>
    </w:p>
    <w:p w14:paraId="4AF4E5A5" w14:textId="77777777" w:rsidR="002E331D" w:rsidRPr="00966D5E" w:rsidRDefault="002C1258" w:rsidP="001A4A88">
      <w:pPr>
        <w:pStyle w:val="BulletLevel2"/>
        <w:rPr>
          <w:rFonts w:cs="Arial"/>
          <w:lang w:val="en-AU"/>
        </w:rPr>
      </w:pPr>
      <w:r w:rsidRPr="00966D5E">
        <w:rPr>
          <w:rFonts w:cs="Arial"/>
          <w:lang w:val="en-AU"/>
        </w:rPr>
        <w:t>The Stream Change Assessment Project compared the condition of woody riparian vegetation in 3,400</w:t>
      </w:r>
      <w:r w:rsidR="0025240F" w:rsidRPr="00966D5E">
        <w:rPr>
          <w:rFonts w:cs="Arial"/>
          <w:lang w:val="en-AU"/>
        </w:rPr>
        <w:t xml:space="preserve"> </w:t>
      </w:r>
      <w:r w:rsidRPr="00966D5E">
        <w:rPr>
          <w:rFonts w:cs="Arial"/>
          <w:lang w:val="en-AU"/>
        </w:rPr>
        <w:t xml:space="preserve">km of stream length between </w:t>
      </w:r>
      <w:r w:rsidR="002C1F18" w:rsidRPr="00966D5E">
        <w:rPr>
          <w:rFonts w:cs="Arial"/>
          <w:lang w:val="en-AU"/>
        </w:rPr>
        <w:t>2010 and</w:t>
      </w:r>
      <w:r w:rsidRPr="00966D5E">
        <w:rPr>
          <w:rFonts w:cs="Arial"/>
          <w:lang w:val="en-AU"/>
        </w:rPr>
        <w:t xml:space="preserve"> 2018-</w:t>
      </w:r>
      <w:r w:rsidR="00FD4627" w:rsidRPr="00966D5E">
        <w:rPr>
          <w:rFonts w:cs="Arial"/>
          <w:lang w:val="en-AU"/>
        </w:rPr>
        <w:t>20.</w:t>
      </w:r>
      <w:r w:rsidRPr="00966D5E">
        <w:rPr>
          <w:rFonts w:cs="Arial"/>
          <w:lang w:val="en-AU"/>
        </w:rPr>
        <w:t xml:space="preserve"> It found that at statewide and regional extents</w:t>
      </w:r>
      <w:r w:rsidR="00570BDA" w:rsidRPr="00966D5E">
        <w:rPr>
          <w:rFonts w:cs="Arial"/>
          <w:lang w:val="en-AU"/>
        </w:rPr>
        <w:t>,</w:t>
      </w:r>
      <w:r w:rsidRPr="00966D5E">
        <w:rPr>
          <w:rFonts w:cs="Arial"/>
          <w:lang w:val="en-AU"/>
        </w:rPr>
        <w:t xml:space="preserve"> changes were small, however the largest changes occurred where substantial or sustained riparian management had been undertaken.</w:t>
      </w:r>
    </w:p>
    <w:p w14:paraId="5651A48A" w14:textId="77777777" w:rsidR="002E331D" w:rsidRPr="00966D5E" w:rsidRDefault="005D60DB" w:rsidP="001A4A88">
      <w:pPr>
        <w:pStyle w:val="BulletLevel2"/>
        <w:rPr>
          <w:rFonts w:cs="Arial"/>
          <w:lang w:val="en-AU"/>
        </w:rPr>
      </w:pPr>
      <w:r w:rsidRPr="00966D5E">
        <w:rPr>
          <w:rFonts w:cs="Arial"/>
          <w:lang w:val="en-AU"/>
        </w:rPr>
        <w:t xml:space="preserve">More than 20 projects </w:t>
      </w:r>
      <w:r w:rsidR="00570BDA" w:rsidRPr="00966D5E">
        <w:rPr>
          <w:rFonts w:cs="Arial"/>
          <w:lang w:val="en-AU"/>
        </w:rPr>
        <w:t>were</w:t>
      </w:r>
      <w:r w:rsidRPr="00966D5E">
        <w:rPr>
          <w:rFonts w:cs="Arial"/>
          <w:lang w:val="en-AU"/>
        </w:rPr>
        <w:t xml:space="preserve"> funded through VEFMAP and </w:t>
      </w:r>
      <w:proofErr w:type="spellStart"/>
      <w:r w:rsidRPr="00966D5E">
        <w:rPr>
          <w:rFonts w:cs="Arial"/>
          <w:lang w:val="en-AU"/>
        </w:rPr>
        <w:t>WetMAP</w:t>
      </w:r>
      <w:proofErr w:type="spellEnd"/>
      <w:r w:rsidRPr="00966D5E">
        <w:rPr>
          <w:rFonts w:cs="Arial"/>
          <w:lang w:val="en-AU"/>
        </w:rPr>
        <w:t xml:space="preserve"> focusing on fish, vegetation, birds and frogs, and outputs have been used by managers to guide the development and refinement of environmental water management plans, and environmental water operational decisions.</w:t>
      </w:r>
    </w:p>
    <w:p w14:paraId="1C00C75B" w14:textId="77777777" w:rsidR="002E331D" w:rsidRPr="00966D5E" w:rsidRDefault="002C1258" w:rsidP="001A4A88">
      <w:pPr>
        <w:pStyle w:val="BulletLevel2"/>
        <w:rPr>
          <w:rFonts w:cs="Arial"/>
          <w:lang w:val="en-AU"/>
        </w:rPr>
      </w:pPr>
      <w:r w:rsidRPr="00966D5E">
        <w:rPr>
          <w:rFonts w:cs="Arial"/>
          <w:lang w:val="en-AU"/>
        </w:rPr>
        <w:t>Riparian Intervention Monitoring Program found that after 3 years of management interventions, such as weed control, revegetation and livestock exclusion, there is evidence of positive changes such as increased density of native woody recruits and the number of native taxa.</w:t>
      </w:r>
    </w:p>
    <w:p w14:paraId="3F6B4AE8" w14:textId="77777777" w:rsidR="002E331D" w:rsidRPr="00966D5E" w:rsidRDefault="00D5789E" w:rsidP="00C23916">
      <w:pPr>
        <w:pStyle w:val="BulletLevel1"/>
        <w:rPr>
          <w:rFonts w:cs="Arial"/>
          <w:lang w:val="en-AU"/>
        </w:rPr>
      </w:pPr>
      <w:r w:rsidRPr="00966D5E">
        <w:rPr>
          <w:rFonts w:cs="Arial"/>
          <w:b/>
          <w:bCs/>
          <w:lang w:val="en-AU"/>
        </w:rPr>
        <w:t xml:space="preserve">CWCT10: Environmental Water: </w:t>
      </w:r>
      <w:r w:rsidR="00C23916" w:rsidRPr="00966D5E">
        <w:rPr>
          <w:rFonts w:cs="Arial"/>
          <w:lang w:val="en-AU"/>
        </w:rPr>
        <w:t>In 2022-23, significant colonial waterbird breeding was recorded at sites that received water for the environment and natural flooding, including:</w:t>
      </w:r>
    </w:p>
    <w:p w14:paraId="1537052E" w14:textId="2C010D63" w:rsidR="00C23916" w:rsidRPr="00966D5E" w:rsidRDefault="002F02C2" w:rsidP="00C23916">
      <w:pPr>
        <w:pStyle w:val="BulletLevel2"/>
        <w:rPr>
          <w:rFonts w:cs="Arial"/>
          <w:lang w:val="en-AU"/>
        </w:rPr>
      </w:pPr>
      <w:r w:rsidRPr="00966D5E">
        <w:rPr>
          <w:rFonts w:cs="Arial"/>
          <w:lang w:val="en-AU"/>
        </w:rPr>
        <w:t xml:space="preserve">Approximately </w:t>
      </w:r>
      <w:r w:rsidR="00C23916" w:rsidRPr="00966D5E">
        <w:rPr>
          <w:rFonts w:cs="Arial"/>
          <w:lang w:val="en-AU"/>
        </w:rPr>
        <w:t>2,000 nests of Australian White Ibis and Straw-necked Ibis (and possibly Royal Spoonbill) in Barmah Forest</w:t>
      </w:r>
      <w:r w:rsidR="00CA1DC4" w:rsidRPr="00966D5E">
        <w:rPr>
          <w:rFonts w:cs="Arial"/>
          <w:lang w:val="en-AU"/>
        </w:rPr>
        <w:t>.</w:t>
      </w:r>
    </w:p>
    <w:p w14:paraId="7ACE8342" w14:textId="00571AF8" w:rsidR="00C23916" w:rsidRPr="00966D5E" w:rsidRDefault="00494AD2" w:rsidP="00C23916">
      <w:pPr>
        <w:pStyle w:val="BulletLevel2"/>
        <w:rPr>
          <w:rFonts w:cs="Arial"/>
          <w:lang w:val="en-AU"/>
        </w:rPr>
      </w:pPr>
      <w:r w:rsidRPr="00966D5E">
        <w:rPr>
          <w:rFonts w:cs="Arial"/>
          <w:lang w:val="en-AU"/>
        </w:rPr>
        <w:t xml:space="preserve">Ten </w:t>
      </w:r>
      <w:r w:rsidR="00C23916" w:rsidRPr="00966D5E">
        <w:rPr>
          <w:rFonts w:cs="Arial"/>
          <w:lang w:val="en-AU"/>
        </w:rPr>
        <w:t>species of colonial nesting waterbirds across the Hattah Lakes using 7,000 nests for over 25,500 chicks, with a further 18 waterbird species detected breeding with an additional 1,700 chicks recorded</w:t>
      </w:r>
      <w:r w:rsidR="00CA1DC4" w:rsidRPr="00966D5E">
        <w:rPr>
          <w:rFonts w:cs="Arial"/>
          <w:lang w:val="en-AU"/>
        </w:rPr>
        <w:t>.</w:t>
      </w:r>
    </w:p>
    <w:p w14:paraId="5F8E7B1A" w14:textId="3D66D783" w:rsidR="00C23916" w:rsidRPr="00966D5E" w:rsidRDefault="002F02C2" w:rsidP="00C23916">
      <w:pPr>
        <w:pStyle w:val="BulletLevel2"/>
        <w:rPr>
          <w:rFonts w:cs="Arial"/>
          <w:lang w:val="en-AU"/>
        </w:rPr>
      </w:pPr>
      <w:r w:rsidRPr="00966D5E">
        <w:rPr>
          <w:rFonts w:cs="Arial"/>
          <w:lang w:val="en-AU"/>
        </w:rPr>
        <w:t>Over</w:t>
      </w:r>
      <w:r w:rsidR="00C23916" w:rsidRPr="00966D5E">
        <w:rPr>
          <w:rFonts w:cs="Arial"/>
          <w:lang w:val="en-AU"/>
        </w:rPr>
        <w:t xml:space="preserve"> 15,000 birds from 21 species recorded at Gunbower Forest and the Kerang Ramsar wetlands during 69 surveys over spring 2022 and autumn 2023.</w:t>
      </w:r>
    </w:p>
    <w:p w14:paraId="1A4014A7" w14:textId="77777777" w:rsidR="002E331D" w:rsidRPr="00966D5E" w:rsidRDefault="00A17B7C">
      <w:pPr>
        <w:pStyle w:val="Heading2"/>
        <w:numPr>
          <w:ilvl w:val="1"/>
          <w:numId w:val="34"/>
        </w:numPr>
        <w:rPr>
          <w:rFonts w:cs="Arial"/>
          <w:lang w:val="en-AU"/>
        </w:rPr>
      </w:pPr>
      <w:bookmarkStart w:id="4" w:name="_Toc147002225"/>
      <w:r w:rsidRPr="00966D5E">
        <w:rPr>
          <w:rFonts w:cs="Arial"/>
          <w:lang w:val="en-AU"/>
        </w:rPr>
        <w:lastRenderedPageBreak/>
        <w:t>To what extent were Traditional Owner priorities furthered?</w:t>
      </w:r>
      <w:bookmarkEnd w:id="4"/>
    </w:p>
    <w:p w14:paraId="736D6B12" w14:textId="630036B8" w:rsidR="00A17B7C" w:rsidRPr="00966D5E" w:rsidRDefault="00A17B7C" w:rsidP="00597C3C">
      <w:pPr>
        <w:pStyle w:val="Heading3"/>
        <w:rPr>
          <w:rFonts w:cs="Arial"/>
          <w:lang w:val="en-AU"/>
        </w:rPr>
      </w:pPr>
      <w:r w:rsidRPr="00966D5E">
        <w:rPr>
          <w:rFonts w:cs="Arial"/>
          <w:lang w:val="en-AU"/>
        </w:rPr>
        <w:t>Increased involvement of Traditional Owners in water policy, management &amp; decision making</w:t>
      </w:r>
    </w:p>
    <w:p w14:paraId="6E1152EF" w14:textId="6707B5AB" w:rsidR="003A1224" w:rsidRPr="00966D5E" w:rsidRDefault="00752AFA" w:rsidP="005D3FA9">
      <w:pPr>
        <w:pStyle w:val="BulletLevel1"/>
        <w:keepNext/>
        <w:keepLines/>
        <w:numPr>
          <w:ilvl w:val="0"/>
          <w:numId w:val="0"/>
        </w:numPr>
        <w:rPr>
          <w:rFonts w:cs="Arial"/>
          <w:lang w:val="en-AU"/>
        </w:rPr>
      </w:pPr>
      <w:r w:rsidRPr="00966D5E">
        <w:rPr>
          <w:rFonts w:cs="Arial"/>
          <w:lang w:val="en-AU"/>
        </w:rPr>
        <w:t>Traditional Owners were a core focus of EC5 w</w:t>
      </w:r>
      <w:r w:rsidR="00A91FC2" w:rsidRPr="00966D5E">
        <w:rPr>
          <w:rFonts w:cs="Arial"/>
          <w:lang w:val="en-AU"/>
        </w:rPr>
        <w:t>ith increased involvement of Traditional Owners in water policy, management and decision making for the majority of project. Examples of ways in which the EC5 projects have contributed to this outcome include:</w:t>
      </w:r>
    </w:p>
    <w:p w14:paraId="47B18959" w14:textId="22E34247" w:rsidR="00A17B7C" w:rsidRPr="00D90AD4" w:rsidRDefault="69DA8D44" w:rsidP="005D3FA9">
      <w:pPr>
        <w:pStyle w:val="BulletLevel1"/>
        <w:keepNext/>
        <w:keepLines/>
        <w:rPr>
          <w:rFonts w:cs="Arial"/>
          <w:lang w:val="en-AU"/>
        </w:rPr>
      </w:pPr>
      <w:r w:rsidRPr="00966D5E">
        <w:rPr>
          <w:rFonts w:cs="Arial"/>
          <w:b/>
          <w:bCs/>
          <w:lang w:val="en-AU"/>
        </w:rPr>
        <w:t xml:space="preserve">CWCT06: </w:t>
      </w:r>
      <w:r w:rsidR="640BA814" w:rsidRPr="00966D5E">
        <w:rPr>
          <w:rFonts w:cs="Arial"/>
          <w:b/>
          <w:bCs/>
          <w:lang w:val="en-AU"/>
        </w:rPr>
        <w:t>Aboriginal Water Program:</w:t>
      </w:r>
      <w:r w:rsidR="640BA814" w:rsidRPr="00966D5E">
        <w:rPr>
          <w:rFonts w:cs="Arial"/>
          <w:lang w:val="en-AU"/>
        </w:rPr>
        <w:t xml:space="preserve"> </w:t>
      </w:r>
      <w:r w:rsidR="003A1224" w:rsidRPr="00966D5E">
        <w:rPr>
          <w:rFonts w:cs="Arial"/>
          <w:lang w:val="en-AU"/>
        </w:rPr>
        <w:t xml:space="preserve">This </w:t>
      </w:r>
      <w:r w:rsidR="002E22BB" w:rsidRPr="00966D5E">
        <w:rPr>
          <w:rFonts w:cs="Arial"/>
          <w:lang w:val="en-AU"/>
        </w:rPr>
        <w:t xml:space="preserve">project </w:t>
      </w:r>
      <w:r w:rsidR="003A1224" w:rsidRPr="00966D5E">
        <w:rPr>
          <w:rFonts w:cs="Arial"/>
          <w:lang w:val="en-AU"/>
        </w:rPr>
        <w:t>developed</w:t>
      </w:r>
      <w:r w:rsidR="640BA814" w:rsidRPr="00966D5E">
        <w:rPr>
          <w:rFonts w:cs="Arial"/>
          <w:lang w:val="en-AU"/>
        </w:rPr>
        <w:t xml:space="preserve">, </w:t>
      </w:r>
      <w:proofErr w:type="gramStart"/>
      <w:r w:rsidR="640BA814" w:rsidRPr="00966D5E">
        <w:rPr>
          <w:rFonts w:cs="Arial"/>
          <w:lang w:val="en-AU"/>
        </w:rPr>
        <w:t>releas</w:t>
      </w:r>
      <w:r w:rsidR="003A1224" w:rsidRPr="00966D5E">
        <w:rPr>
          <w:rFonts w:cs="Arial"/>
          <w:lang w:val="en-AU"/>
        </w:rPr>
        <w:t>ed</w:t>
      </w:r>
      <w:proofErr w:type="gramEnd"/>
      <w:r w:rsidR="640BA814" w:rsidRPr="00966D5E">
        <w:rPr>
          <w:rFonts w:cs="Arial"/>
          <w:lang w:val="en-AU"/>
        </w:rPr>
        <w:t xml:space="preserve"> and commenc</w:t>
      </w:r>
      <w:r w:rsidR="003A1224" w:rsidRPr="00966D5E">
        <w:rPr>
          <w:rFonts w:cs="Arial"/>
          <w:lang w:val="en-AU"/>
        </w:rPr>
        <w:t>ed</w:t>
      </w:r>
      <w:r w:rsidR="640BA814" w:rsidRPr="00966D5E">
        <w:rPr>
          <w:rFonts w:cs="Arial"/>
          <w:lang w:val="en-AU"/>
        </w:rPr>
        <w:t xml:space="preserve"> implementation of </w:t>
      </w:r>
      <w:r w:rsidR="640BA814" w:rsidRPr="00966D5E">
        <w:rPr>
          <w:rFonts w:cs="Arial"/>
          <w:i/>
          <w:lang w:val="en-AU"/>
        </w:rPr>
        <w:t>Water is Life: Traditional Owner Access to Water Roadmap.</w:t>
      </w:r>
      <w:r w:rsidR="640BA814" w:rsidRPr="00966D5E">
        <w:rPr>
          <w:rFonts w:cs="Arial"/>
          <w:lang w:val="en-AU"/>
        </w:rPr>
        <w:t xml:space="preserve"> This </w:t>
      </w:r>
      <w:r w:rsidR="783FC91E" w:rsidRPr="00966D5E">
        <w:rPr>
          <w:rFonts w:cs="Arial"/>
          <w:lang w:val="en-AU"/>
        </w:rPr>
        <w:t>n</w:t>
      </w:r>
      <w:r w:rsidR="640BA814" w:rsidRPr="00966D5E">
        <w:rPr>
          <w:rFonts w:cs="Arial"/>
          <w:lang w:val="en-AU"/>
        </w:rPr>
        <w:t xml:space="preserve">ation-leading multi-lingual policy places government’s policy position and </w:t>
      </w:r>
      <w:r w:rsidR="02743456" w:rsidRPr="00966D5E">
        <w:rPr>
          <w:rFonts w:cs="Arial"/>
          <w:lang w:val="en-AU"/>
        </w:rPr>
        <w:t xml:space="preserve">Traditional Owner </w:t>
      </w:r>
      <w:r w:rsidR="640BA814" w:rsidRPr="00966D5E">
        <w:rPr>
          <w:rFonts w:cs="Arial"/>
          <w:lang w:val="en-AU"/>
        </w:rPr>
        <w:t>voices side</w:t>
      </w:r>
      <w:r w:rsidR="003A1224" w:rsidRPr="00966D5E">
        <w:rPr>
          <w:rFonts w:cs="Arial"/>
          <w:lang w:val="en-AU"/>
        </w:rPr>
        <w:t>-</w:t>
      </w:r>
      <w:r w:rsidR="640BA814" w:rsidRPr="00966D5E">
        <w:rPr>
          <w:rFonts w:cs="Arial"/>
          <w:lang w:val="en-AU"/>
        </w:rPr>
        <w:t>by</w:t>
      </w:r>
      <w:r w:rsidR="003A1224" w:rsidRPr="00966D5E">
        <w:rPr>
          <w:rFonts w:cs="Arial"/>
          <w:lang w:val="en-AU"/>
        </w:rPr>
        <w:t>-</w:t>
      </w:r>
      <w:r w:rsidR="640BA814" w:rsidRPr="00966D5E">
        <w:rPr>
          <w:rFonts w:cs="Arial"/>
          <w:lang w:val="en-AU"/>
        </w:rPr>
        <w:t xml:space="preserve">side. The policy establishes pathways to increase Traditional Owner roles, </w:t>
      </w:r>
      <w:proofErr w:type="gramStart"/>
      <w:r w:rsidR="640BA814" w:rsidRPr="00966D5E">
        <w:rPr>
          <w:rFonts w:cs="Arial"/>
          <w:lang w:val="en-AU"/>
        </w:rPr>
        <w:t>responsibilities</w:t>
      </w:r>
      <w:proofErr w:type="gramEnd"/>
      <w:r w:rsidR="640BA814" w:rsidRPr="00966D5E">
        <w:rPr>
          <w:rFonts w:cs="Arial"/>
          <w:lang w:val="en-AU"/>
        </w:rPr>
        <w:t xml:space="preserve"> and resourcing in water management in Victoria and forms a key pillar of </w:t>
      </w:r>
      <w:r w:rsidR="003A1224" w:rsidRPr="00966D5E">
        <w:rPr>
          <w:rFonts w:cs="Arial"/>
          <w:lang w:val="en-AU"/>
        </w:rPr>
        <w:t>DEECA’s</w:t>
      </w:r>
      <w:r w:rsidR="640BA814" w:rsidRPr="00966D5E">
        <w:rPr>
          <w:rFonts w:cs="Arial"/>
          <w:lang w:val="en-AU"/>
        </w:rPr>
        <w:t xml:space="preserve"> Aboriginal Water Program and its commitment to enabling </w:t>
      </w:r>
      <w:r w:rsidR="009F04A9" w:rsidRPr="00966D5E">
        <w:rPr>
          <w:rFonts w:cs="Arial"/>
          <w:lang w:val="en-AU"/>
        </w:rPr>
        <w:t xml:space="preserve">Traditional Owner </w:t>
      </w:r>
      <w:r w:rsidR="640BA814" w:rsidRPr="00966D5E">
        <w:rPr>
          <w:rFonts w:cs="Arial"/>
          <w:lang w:val="en-AU"/>
        </w:rPr>
        <w:t xml:space="preserve">self-determination. Development of </w:t>
      </w:r>
      <w:r w:rsidR="640BA814" w:rsidRPr="00966D5E">
        <w:rPr>
          <w:rFonts w:cs="Arial"/>
          <w:i/>
          <w:lang w:val="en-AU"/>
        </w:rPr>
        <w:t>Water is Life</w:t>
      </w:r>
      <w:r w:rsidR="640BA814" w:rsidRPr="00966D5E">
        <w:rPr>
          <w:rFonts w:cs="Arial"/>
          <w:lang w:val="en-AU"/>
        </w:rPr>
        <w:t xml:space="preserve"> (2021-22) included a total of 61 </w:t>
      </w:r>
      <w:r w:rsidR="48402602" w:rsidRPr="00966D5E">
        <w:rPr>
          <w:rFonts w:cs="Arial"/>
          <w:lang w:val="en-AU"/>
        </w:rPr>
        <w:t xml:space="preserve">Traditional Owner </w:t>
      </w:r>
      <w:r w:rsidR="640BA814" w:rsidRPr="00966D5E">
        <w:rPr>
          <w:rFonts w:cs="Arial"/>
          <w:lang w:val="en-AU"/>
        </w:rPr>
        <w:t xml:space="preserve">Nation-level, regional and statewide workshops with </w:t>
      </w:r>
      <w:r w:rsidR="7BFDFC2A" w:rsidRPr="00966D5E">
        <w:rPr>
          <w:rFonts w:cs="Arial"/>
          <w:lang w:val="en-AU"/>
        </w:rPr>
        <w:t>Traditional Owners</w:t>
      </w:r>
      <w:r w:rsidR="640BA814" w:rsidRPr="00966D5E">
        <w:rPr>
          <w:rFonts w:cs="Arial"/>
          <w:lang w:val="en-AU"/>
        </w:rPr>
        <w:t xml:space="preserve">, as well as the publication of 27 </w:t>
      </w:r>
      <w:r w:rsidR="3959653F" w:rsidRPr="00966D5E">
        <w:rPr>
          <w:rFonts w:cs="Arial"/>
          <w:lang w:val="en-AU"/>
        </w:rPr>
        <w:t xml:space="preserve">Traditional Owners </w:t>
      </w:r>
      <w:r w:rsidR="001775D1" w:rsidRPr="00966D5E">
        <w:rPr>
          <w:rFonts w:cs="Arial"/>
          <w:lang w:val="en-AU"/>
        </w:rPr>
        <w:t>n</w:t>
      </w:r>
      <w:r w:rsidR="640BA814" w:rsidRPr="00966D5E">
        <w:rPr>
          <w:rFonts w:cs="Arial"/>
          <w:lang w:val="en-AU"/>
        </w:rPr>
        <w:t xml:space="preserve">ation </w:t>
      </w:r>
      <w:r w:rsidR="001775D1" w:rsidRPr="00966D5E">
        <w:rPr>
          <w:rFonts w:cs="Arial"/>
          <w:lang w:val="en-AU"/>
        </w:rPr>
        <w:t>s</w:t>
      </w:r>
      <w:r w:rsidR="640BA814" w:rsidRPr="00966D5E">
        <w:rPr>
          <w:rFonts w:cs="Arial"/>
          <w:lang w:val="en-AU"/>
        </w:rPr>
        <w:t xml:space="preserve">tatements alongside the government’s policy commitments in the final </w:t>
      </w:r>
      <w:r w:rsidR="640BA814" w:rsidRPr="00966D5E">
        <w:rPr>
          <w:rFonts w:cs="Arial"/>
          <w:i/>
          <w:lang w:val="en-AU"/>
        </w:rPr>
        <w:t>Water is Life</w:t>
      </w:r>
      <w:r w:rsidR="640BA814" w:rsidRPr="00966D5E">
        <w:rPr>
          <w:rFonts w:cs="Arial"/>
          <w:lang w:val="en-AU"/>
        </w:rPr>
        <w:t xml:space="preserve"> document. The launch of </w:t>
      </w:r>
      <w:r w:rsidR="640BA814" w:rsidRPr="00966D5E">
        <w:rPr>
          <w:rFonts w:cs="Arial"/>
          <w:i/>
          <w:lang w:val="en-AU"/>
        </w:rPr>
        <w:t>Water is Life</w:t>
      </w:r>
      <w:r w:rsidR="640BA814" w:rsidRPr="00966D5E">
        <w:rPr>
          <w:rFonts w:cs="Arial"/>
          <w:lang w:val="en-AU"/>
        </w:rPr>
        <w:t>, and the policy commitments within it, has changed how Government partners with Traditional Owners and has sharpened the focus on working towards Treaty.</w:t>
      </w:r>
      <w:r w:rsidR="777DF03B" w:rsidRPr="00966D5E">
        <w:rPr>
          <w:rFonts w:cs="Arial"/>
          <w:lang w:val="en-AU"/>
        </w:rPr>
        <w:t xml:space="preserve"> Continuation of the Aboriginal Water Program (established in 2016) throughout EC5 has </w:t>
      </w:r>
      <w:r w:rsidR="003A1224" w:rsidRPr="00966D5E">
        <w:rPr>
          <w:rFonts w:cs="Arial"/>
          <w:lang w:val="en-AU"/>
        </w:rPr>
        <w:t xml:space="preserve">supported </w:t>
      </w:r>
      <w:r w:rsidR="777DF03B" w:rsidRPr="00966D5E">
        <w:rPr>
          <w:rFonts w:cs="Arial"/>
          <w:lang w:val="en-AU"/>
        </w:rPr>
        <w:t xml:space="preserve">Traditional Owners through the Water, </w:t>
      </w:r>
      <w:proofErr w:type="gramStart"/>
      <w:r w:rsidR="777DF03B" w:rsidRPr="00966D5E">
        <w:rPr>
          <w:rFonts w:cs="Arial"/>
          <w:lang w:val="en-AU"/>
        </w:rPr>
        <w:t>Country</w:t>
      </w:r>
      <w:proofErr w:type="gramEnd"/>
      <w:r w:rsidR="777DF03B" w:rsidRPr="00966D5E">
        <w:rPr>
          <w:rFonts w:cs="Arial"/>
          <w:lang w:val="en-AU"/>
        </w:rPr>
        <w:t xml:space="preserve"> and Community Program grants (stages 1 and 2). This </w:t>
      </w:r>
      <w:r w:rsidR="0032781D" w:rsidRPr="00966D5E">
        <w:rPr>
          <w:rFonts w:cs="Arial"/>
          <w:lang w:val="en-AU"/>
        </w:rPr>
        <w:t>project</w:t>
      </w:r>
      <w:r w:rsidR="777DF03B" w:rsidRPr="00966D5E">
        <w:rPr>
          <w:rFonts w:cs="Arial"/>
          <w:lang w:val="en-AU"/>
        </w:rPr>
        <w:t xml:space="preserve"> </w:t>
      </w:r>
      <w:r w:rsidR="777DF03B" w:rsidRPr="00D90AD4">
        <w:rPr>
          <w:rFonts w:cs="Arial"/>
          <w:lang w:val="en-AU"/>
        </w:rPr>
        <w:t xml:space="preserve">supported </w:t>
      </w:r>
      <w:r w:rsidR="00910E63" w:rsidRPr="00D90AD4">
        <w:rPr>
          <w:rFonts w:cs="Arial"/>
          <w:lang w:val="en-AU"/>
        </w:rPr>
        <w:t xml:space="preserve">24 </w:t>
      </w:r>
      <w:r w:rsidR="00484A68" w:rsidRPr="00D90AD4">
        <w:rPr>
          <w:rFonts w:cs="Arial"/>
          <w:lang w:val="en-AU"/>
        </w:rPr>
        <w:t>full-time equivalent</w:t>
      </w:r>
      <w:r w:rsidR="00910E63" w:rsidRPr="00D90AD4">
        <w:rPr>
          <w:rFonts w:cs="Arial"/>
          <w:lang w:val="en-AU"/>
        </w:rPr>
        <w:t xml:space="preserve"> </w:t>
      </w:r>
      <w:r w:rsidR="777DF03B" w:rsidRPr="00D90AD4">
        <w:rPr>
          <w:rFonts w:cs="Arial"/>
          <w:lang w:val="en-AU"/>
        </w:rPr>
        <w:t xml:space="preserve">Aboriginal Water Officer roles and a range of Traditional Owner-led water-related projects across 18 Traditional Owner groups (including the 11 Registered Aboriginal Parties) and 4 </w:t>
      </w:r>
      <w:r w:rsidR="00484A68" w:rsidRPr="00D90AD4">
        <w:rPr>
          <w:rFonts w:cs="Arial"/>
          <w:lang w:val="en-AU"/>
        </w:rPr>
        <w:t>CMAs</w:t>
      </w:r>
      <w:r w:rsidR="777DF03B" w:rsidRPr="00D90AD4">
        <w:rPr>
          <w:rFonts w:cs="Arial"/>
          <w:lang w:val="en-AU"/>
        </w:rPr>
        <w:t>, that have strengthened Traditional Owner capacity and enabled greater involvement in the way water is managed and delivered in Victoria.</w:t>
      </w:r>
    </w:p>
    <w:p w14:paraId="00EF0642" w14:textId="14642000" w:rsidR="00A17B7C" w:rsidRPr="00966D5E" w:rsidRDefault="00102274">
      <w:pPr>
        <w:pStyle w:val="BulletLevel1"/>
        <w:rPr>
          <w:rFonts w:cs="Arial"/>
          <w:lang w:val="en-AU"/>
        </w:rPr>
      </w:pPr>
      <w:r w:rsidRPr="00966D5E">
        <w:rPr>
          <w:rFonts w:cs="Arial"/>
          <w:b/>
          <w:bCs/>
          <w:lang w:val="en-AU"/>
        </w:rPr>
        <w:t xml:space="preserve">CWCT01: </w:t>
      </w:r>
      <w:r w:rsidR="00A17B7C" w:rsidRPr="00966D5E">
        <w:rPr>
          <w:rFonts w:cs="Arial"/>
          <w:b/>
          <w:bCs/>
          <w:lang w:val="en-AU"/>
        </w:rPr>
        <w:t>Integrated Water Management:</w:t>
      </w:r>
      <w:r w:rsidR="00A17B7C" w:rsidRPr="00966D5E">
        <w:rPr>
          <w:rFonts w:cs="Arial"/>
          <w:lang w:val="en-AU"/>
        </w:rPr>
        <w:t xml:space="preserve"> </w:t>
      </w:r>
      <w:r w:rsidR="4637E847" w:rsidRPr="00966D5E">
        <w:rPr>
          <w:rFonts w:cs="Arial"/>
          <w:lang w:val="en-AU"/>
        </w:rPr>
        <w:t xml:space="preserve">This project </w:t>
      </w:r>
      <w:r w:rsidR="7024B174" w:rsidRPr="00966D5E">
        <w:rPr>
          <w:rFonts w:cs="Arial"/>
          <w:lang w:val="en-AU"/>
        </w:rPr>
        <w:t>c</w:t>
      </w:r>
      <w:r w:rsidR="00A17B7C" w:rsidRPr="00966D5E">
        <w:rPr>
          <w:rFonts w:cs="Arial"/>
          <w:lang w:val="en-AU"/>
        </w:rPr>
        <w:t xml:space="preserve">ontributed toward this </w:t>
      </w:r>
      <w:r w:rsidR="003A1224" w:rsidRPr="00966D5E">
        <w:rPr>
          <w:rFonts w:cs="Arial"/>
          <w:lang w:val="en-AU"/>
        </w:rPr>
        <w:t xml:space="preserve">outcome </w:t>
      </w:r>
      <w:r w:rsidR="00A17B7C" w:rsidRPr="00966D5E">
        <w:rPr>
          <w:rFonts w:cs="Arial"/>
          <w:lang w:val="en-AU"/>
        </w:rPr>
        <w:t xml:space="preserve">through a Traditional Owner stream of the grants program and the piloting of support for Traditional Owner IWM Officers. </w:t>
      </w:r>
      <w:r w:rsidR="00600214" w:rsidRPr="00966D5E">
        <w:rPr>
          <w:rFonts w:cs="Arial"/>
          <w:lang w:val="en-AU"/>
        </w:rPr>
        <w:t>Th</w:t>
      </w:r>
      <w:r w:rsidR="001752CF" w:rsidRPr="00966D5E">
        <w:rPr>
          <w:rFonts w:cs="Arial"/>
          <w:lang w:val="en-AU"/>
        </w:rPr>
        <w:t xml:space="preserve">is included co-investment </w:t>
      </w:r>
      <w:r w:rsidR="00600214" w:rsidRPr="00966D5E">
        <w:rPr>
          <w:rFonts w:cs="Arial"/>
          <w:lang w:val="en-AU"/>
        </w:rPr>
        <w:t>in a grants program</w:t>
      </w:r>
      <w:r w:rsidR="001752CF" w:rsidRPr="00966D5E">
        <w:rPr>
          <w:rFonts w:cs="Arial"/>
          <w:lang w:val="en-AU"/>
        </w:rPr>
        <w:t xml:space="preserve"> that</w:t>
      </w:r>
      <w:r w:rsidR="00600214" w:rsidRPr="00966D5E">
        <w:rPr>
          <w:rFonts w:cs="Arial"/>
          <w:lang w:val="en-AU"/>
        </w:rPr>
        <w:t xml:space="preserve"> support</w:t>
      </w:r>
      <w:r w:rsidR="001752CF" w:rsidRPr="00966D5E">
        <w:rPr>
          <w:rFonts w:cs="Arial"/>
          <w:lang w:val="en-AU"/>
        </w:rPr>
        <w:t>ed</w:t>
      </w:r>
      <w:r w:rsidR="00600214" w:rsidRPr="00966D5E">
        <w:rPr>
          <w:rFonts w:cs="Arial"/>
          <w:lang w:val="en-AU"/>
        </w:rPr>
        <w:t xml:space="preserve"> </w:t>
      </w:r>
      <w:r w:rsidR="001752CF" w:rsidRPr="00966D5E">
        <w:rPr>
          <w:rFonts w:cs="Arial"/>
          <w:lang w:val="en-AU"/>
        </w:rPr>
        <w:t xml:space="preserve">14 Traditional Owner led IWM projects. </w:t>
      </w:r>
      <w:r w:rsidR="00A17B7C" w:rsidRPr="00966D5E">
        <w:rPr>
          <w:rFonts w:cs="Arial"/>
          <w:lang w:val="en-AU"/>
        </w:rPr>
        <w:t xml:space="preserve">However, the Traditional Owner groups indicated that more funding support is needed to enable them to develop the skills and capacity to effectively participate in the </w:t>
      </w:r>
      <w:r w:rsidR="003A1224" w:rsidRPr="00966D5E">
        <w:rPr>
          <w:rFonts w:cs="Arial"/>
          <w:lang w:val="en-AU"/>
        </w:rPr>
        <w:t>IWM P</w:t>
      </w:r>
      <w:r w:rsidR="00A17B7C" w:rsidRPr="00966D5E">
        <w:rPr>
          <w:rFonts w:cs="Arial"/>
          <w:lang w:val="en-AU"/>
        </w:rPr>
        <w:t>rogram in a way that enables self-determination objectives and aspirations.</w:t>
      </w:r>
      <w:r w:rsidR="00CF7524" w:rsidRPr="00966D5E">
        <w:rPr>
          <w:rFonts w:cs="Arial"/>
          <w:lang w:val="en-AU"/>
        </w:rPr>
        <w:t xml:space="preserve"> This project </w:t>
      </w:r>
      <w:r w:rsidR="0054350E" w:rsidRPr="00966D5E">
        <w:rPr>
          <w:rFonts w:cs="Arial"/>
          <w:lang w:val="en-AU"/>
        </w:rPr>
        <w:t xml:space="preserve">also </w:t>
      </w:r>
      <w:r w:rsidR="00CF7524" w:rsidRPr="00966D5E">
        <w:rPr>
          <w:rFonts w:cs="Arial"/>
          <w:lang w:val="en-AU"/>
        </w:rPr>
        <w:t xml:space="preserve">often has an urban and peri-urban focus, which may not fully align with the priorities of some Traditional Owner groups, who place greater emphasis on rural and natural environments. </w:t>
      </w:r>
      <w:r w:rsidR="0054350E" w:rsidRPr="00966D5E">
        <w:rPr>
          <w:rFonts w:cs="Arial"/>
          <w:lang w:val="en-AU"/>
        </w:rPr>
        <w:t>T</w:t>
      </w:r>
      <w:r w:rsidR="00CF7524" w:rsidRPr="00966D5E">
        <w:rPr>
          <w:rFonts w:cs="Arial"/>
          <w:lang w:val="en-AU"/>
        </w:rPr>
        <w:t>he scope of</w:t>
      </w:r>
      <w:r w:rsidR="0054350E" w:rsidRPr="00966D5E">
        <w:rPr>
          <w:rFonts w:cs="Arial"/>
          <w:lang w:val="en-AU"/>
        </w:rPr>
        <w:t xml:space="preserve"> this</w:t>
      </w:r>
      <w:r w:rsidR="00CF7524" w:rsidRPr="00966D5E">
        <w:rPr>
          <w:rFonts w:cs="Arial"/>
          <w:lang w:val="en-AU"/>
        </w:rPr>
        <w:t xml:space="preserve"> project </w:t>
      </w:r>
      <w:r w:rsidR="0054350E" w:rsidRPr="00966D5E">
        <w:rPr>
          <w:rFonts w:cs="Arial"/>
          <w:lang w:val="en-AU"/>
        </w:rPr>
        <w:t xml:space="preserve">may need to be adjusted </w:t>
      </w:r>
      <w:r w:rsidR="00CF7524" w:rsidRPr="00966D5E">
        <w:rPr>
          <w:rFonts w:cs="Arial"/>
          <w:lang w:val="en-AU"/>
        </w:rPr>
        <w:t xml:space="preserve">to include rural and natural environment considerations </w:t>
      </w:r>
      <w:r w:rsidR="0054350E" w:rsidRPr="00966D5E">
        <w:rPr>
          <w:rFonts w:cs="Arial"/>
          <w:lang w:val="en-AU"/>
        </w:rPr>
        <w:t>to</w:t>
      </w:r>
      <w:r w:rsidR="00CF7524" w:rsidRPr="00966D5E">
        <w:rPr>
          <w:rFonts w:cs="Arial"/>
          <w:lang w:val="en-AU"/>
        </w:rPr>
        <w:t xml:space="preserve"> ensure that </w:t>
      </w:r>
      <w:r w:rsidR="0054350E" w:rsidRPr="00966D5E">
        <w:rPr>
          <w:rFonts w:cs="Arial"/>
          <w:lang w:val="en-AU"/>
        </w:rPr>
        <w:t xml:space="preserve">it </w:t>
      </w:r>
      <w:r w:rsidR="00CF7524" w:rsidRPr="00966D5E">
        <w:rPr>
          <w:rFonts w:cs="Arial"/>
          <w:lang w:val="en-AU"/>
        </w:rPr>
        <w:t>better reflects Traditional Owner values and priorities.</w:t>
      </w:r>
    </w:p>
    <w:p w14:paraId="6CCFCD2B" w14:textId="5F2CB472" w:rsidR="00A17B7C" w:rsidRPr="00D90AD4" w:rsidRDefault="00102274" w:rsidP="001A4A88">
      <w:pPr>
        <w:pStyle w:val="BulletLevel1"/>
        <w:rPr>
          <w:rFonts w:cs="Arial"/>
          <w:lang w:val="en-AU"/>
        </w:rPr>
      </w:pPr>
      <w:r w:rsidRPr="00966D5E">
        <w:rPr>
          <w:rFonts w:cs="Arial"/>
          <w:b/>
          <w:bCs/>
          <w:lang w:val="en-AU"/>
        </w:rPr>
        <w:t xml:space="preserve">CWCT02: </w:t>
      </w:r>
      <w:r w:rsidR="00A17B7C" w:rsidRPr="00966D5E">
        <w:rPr>
          <w:rFonts w:cs="Arial"/>
          <w:b/>
          <w:bCs/>
          <w:lang w:val="en-AU"/>
        </w:rPr>
        <w:t>Iconic Urban Waterways:</w:t>
      </w:r>
      <w:r w:rsidR="00A17B7C" w:rsidRPr="00966D5E">
        <w:rPr>
          <w:rFonts w:cs="Arial"/>
          <w:lang w:val="en-AU"/>
        </w:rPr>
        <w:t xml:space="preserve"> </w:t>
      </w:r>
      <w:r w:rsidR="003A1224" w:rsidRPr="00966D5E">
        <w:rPr>
          <w:rFonts w:cs="Arial"/>
          <w:lang w:val="en-AU"/>
        </w:rPr>
        <w:t>This project</w:t>
      </w:r>
      <w:r w:rsidR="00A17B7C" w:rsidRPr="00966D5E">
        <w:rPr>
          <w:rFonts w:cs="Arial"/>
          <w:lang w:val="en-AU"/>
        </w:rPr>
        <w:t xml:space="preserve"> worked closely with Traditional Owner partners </w:t>
      </w:r>
      <w:r w:rsidR="003A1224" w:rsidRPr="00966D5E">
        <w:rPr>
          <w:rFonts w:cs="Arial"/>
          <w:lang w:val="en-AU"/>
        </w:rPr>
        <w:t>to provide</w:t>
      </w:r>
      <w:r w:rsidR="00A17B7C" w:rsidRPr="00966D5E">
        <w:rPr>
          <w:rFonts w:cs="Arial"/>
          <w:lang w:val="en-AU"/>
        </w:rPr>
        <w:t xml:space="preserve"> funding to support their involvement in policy development, project-based work</w:t>
      </w:r>
      <w:r w:rsidR="003A1224" w:rsidRPr="00966D5E">
        <w:rPr>
          <w:rFonts w:cs="Arial"/>
          <w:lang w:val="en-AU"/>
        </w:rPr>
        <w:t>,</w:t>
      </w:r>
      <w:r w:rsidR="00A17B7C" w:rsidRPr="00966D5E">
        <w:rPr>
          <w:rFonts w:cs="Arial"/>
          <w:lang w:val="en-AU"/>
        </w:rPr>
        <w:t xml:space="preserve"> </w:t>
      </w:r>
      <w:proofErr w:type="gramStart"/>
      <w:r w:rsidR="00A17B7C" w:rsidRPr="00966D5E">
        <w:rPr>
          <w:rFonts w:cs="Arial"/>
          <w:lang w:val="en-AU"/>
        </w:rPr>
        <w:t>Elder</w:t>
      </w:r>
      <w:proofErr w:type="gramEnd"/>
      <w:r w:rsidR="00A17B7C" w:rsidRPr="00966D5E">
        <w:rPr>
          <w:rFonts w:cs="Arial"/>
          <w:lang w:val="en-AU"/>
        </w:rPr>
        <w:t xml:space="preserve"> time, </w:t>
      </w:r>
      <w:r w:rsidR="003A1224" w:rsidRPr="00966D5E">
        <w:rPr>
          <w:rFonts w:cs="Arial"/>
          <w:lang w:val="en-AU"/>
        </w:rPr>
        <w:t xml:space="preserve">and </w:t>
      </w:r>
      <w:r w:rsidR="00A17B7C" w:rsidRPr="00966D5E">
        <w:rPr>
          <w:rFonts w:cs="Arial"/>
          <w:lang w:val="en-AU"/>
        </w:rPr>
        <w:t>capacity building and training. This included building in flexibility such that Traditional Owners could exercise self-determination within the scope of involvement in the urban water policy space.</w:t>
      </w:r>
    </w:p>
    <w:p w14:paraId="59D954A5" w14:textId="77777777" w:rsidR="002E331D" w:rsidRPr="00D90AD4" w:rsidRDefault="00102274" w:rsidP="001A4A88">
      <w:pPr>
        <w:pStyle w:val="BulletLevel1"/>
        <w:rPr>
          <w:rFonts w:cs="Arial"/>
          <w:lang w:val="en-AU"/>
        </w:rPr>
      </w:pPr>
      <w:r w:rsidRPr="00966D5E">
        <w:rPr>
          <w:rFonts w:cs="Arial"/>
          <w:b/>
          <w:bCs/>
          <w:lang w:val="en-AU"/>
        </w:rPr>
        <w:t xml:space="preserve">CWCT03: </w:t>
      </w:r>
      <w:r w:rsidR="00A17B7C" w:rsidRPr="00966D5E">
        <w:rPr>
          <w:rFonts w:cs="Arial"/>
          <w:b/>
          <w:bCs/>
          <w:lang w:val="en-AU"/>
        </w:rPr>
        <w:t>Recreational Values Program:</w:t>
      </w:r>
      <w:r w:rsidR="00A17B7C" w:rsidRPr="00966D5E">
        <w:rPr>
          <w:rFonts w:cs="Arial"/>
          <w:lang w:val="en-AU"/>
        </w:rPr>
        <w:t xml:space="preserve"> Traditional Owner self-determination was supported through the development of the draft Greens Lake Action Plan, representing a new way of working collaboratively with water corporations, Traditional </w:t>
      </w:r>
      <w:proofErr w:type="gramStart"/>
      <w:r w:rsidR="00A17B7C" w:rsidRPr="00966D5E">
        <w:rPr>
          <w:rFonts w:cs="Arial"/>
          <w:lang w:val="en-AU"/>
        </w:rPr>
        <w:t>Owners</w:t>
      </w:r>
      <w:proofErr w:type="gramEnd"/>
      <w:r w:rsidR="00A17B7C" w:rsidRPr="00966D5E">
        <w:rPr>
          <w:rFonts w:cs="Arial"/>
          <w:lang w:val="en-AU"/>
        </w:rPr>
        <w:t xml:space="preserve"> and the recreation community to generate shared outcomes.</w:t>
      </w:r>
    </w:p>
    <w:p w14:paraId="1D9DDF4E" w14:textId="1AA8D3FD" w:rsidR="00A17B7C" w:rsidRPr="00D90AD4" w:rsidRDefault="00102274" w:rsidP="001A4A88">
      <w:pPr>
        <w:pStyle w:val="BulletLevel1"/>
        <w:rPr>
          <w:rFonts w:cs="Arial"/>
          <w:lang w:val="en-AU"/>
        </w:rPr>
      </w:pPr>
      <w:r w:rsidRPr="00966D5E">
        <w:rPr>
          <w:rFonts w:cs="Arial"/>
          <w:b/>
          <w:bCs/>
          <w:lang w:val="en-AU"/>
        </w:rPr>
        <w:t xml:space="preserve">WRS6: </w:t>
      </w:r>
      <w:r w:rsidR="00A17B7C" w:rsidRPr="00966D5E">
        <w:rPr>
          <w:rFonts w:cs="Arial"/>
          <w:b/>
          <w:bCs/>
          <w:lang w:val="en-AU"/>
        </w:rPr>
        <w:t>Licensing framework groundwater and unregulated systems:</w:t>
      </w:r>
      <w:r w:rsidR="00A17B7C" w:rsidRPr="00D90AD4">
        <w:rPr>
          <w:rFonts w:cs="Arial"/>
          <w:lang w:val="en-AU"/>
        </w:rPr>
        <w:t xml:space="preserve"> </w:t>
      </w:r>
      <w:r w:rsidR="00A17B7C" w:rsidRPr="00966D5E">
        <w:rPr>
          <w:rFonts w:cs="Arial"/>
          <w:lang w:val="en-AU"/>
        </w:rPr>
        <w:t xml:space="preserve">One </w:t>
      </w:r>
      <w:r w:rsidR="000E34E5" w:rsidRPr="00966D5E">
        <w:rPr>
          <w:rFonts w:cs="Arial"/>
          <w:lang w:val="en-AU"/>
        </w:rPr>
        <w:t xml:space="preserve">of the </w:t>
      </w:r>
      <w:r w:rsidR="00A17B7C" w:rsidRPr="00966D5E">
        <w:rPr>
          <w:rFonts w:cs="Arial"/>
          <w:lang w:val="en-AU"/>
        </w:rPr>
        <w:t>priorit</w:t>
      </w:r>
      <w:r w:rsidR="000E34E5" w:rsidRPr="00966D5E">
        <w:rPr>
          <w:rFonts w:cs="Arial"/>
          <w:lang w:val="en-AU"/>
        </w:rPr>
        <w:t>ies</w:t>
      </w:r>
      <w:r w:rsidR="00A17B7C" w:rsidRPr="00966D5E">
        <w:rPr>
          <w:rFonts w:cs="Arial"/>
          <w:lang w:val="en-AU"/>
        </w:rPr>
        <w:t xml:space="preserve"> included in GM2030</w:t>
      </w:r>
      <w:r w:rsidR="000E34E5" w:rsidRPr="00966D5E">
        <w:rPr>
          <w:rFonts w:cs="Arial"/>
          <w:lang w:val="en-AU"/>
        </w:rPr>
        <w:t xml:space="preserve"> that was delivered through this project</w:t>
      </w:r>
      <w:r w:rsidR="00A17B7C" w:rsidRPr="00966D5E">
        <w:rPr>
          <w:rFonts w:cs="Arial"/>
          <w:lang w:val="en-AU"/>
        </w:rPr>
        <w:t xml:space="preserve"> </w:t>
      </w:r>
      <w:r w:rsidR="00872AF5" w:rsidRPr="00966D5E">
        <w:rPr>
          <w:rFonts w:cs="Arial"/>
          <w:lang w:val="en-AU"/>
        </w:rPr>
        <w:t xml:space="preserve">was </w:t>
      </w:r>
      <w:r w:rsidR="00872AF5" w:rsidRPr="00D90AD4">
        <w:rPr>
          <w:rFonts w:cs="Arial"/>
          <w:lang w:val="en-AU"/>
        </w:rPr>
        <w:t>inviting Traditional Owners to participate in GM2030 and groundwater management</w:t>
      </w:r>
      <w:r w:rsidR="00872AF5" w:rsidRPr="00966D5E">
        <w:rPr>
          <w:rFonts w:cs="Arial"/>
          <w:lang w:val="en-AU"/>
        </w:rPr>
        <w:t>.</w:t>
      </w:r>
    </w:p>
    <w:p w14:paraId="4C8C87C8" w14:textId="2CD1B688" w:rsidR="00A17B7C" w:rsidRPr="00D90AD4" w:rsidRDefault="6F9CE6EE" w:rsidP="005D3FA9">
      <w:pPr>
        <w:pStyle w:val="BulletLevel1"/>
        <w:keepNext/>
        <w:keepLines/>
        <w:ind w:left="360" w:hanging="360"/>
        <w:rPr>
          <w:rFonts w:cs="Arial"/>
          <w:sz w:val="19"/>
          <w:szCs w:val="19"/>
          <w:lang w:val="en-AU"/>
        </w:rPr>
      </w:pPr>
      <w:r w:rsidRPr="00966D5E">
        <w:rPr>
          <w:rFonts w:cs="Arial"/>
          <w:b/>
          <w:bCs/>
          <w:lang w:val="en-AU"/>
        </w:rPr>
        <w:lastRenderedPageBreak/>
        <w:t xml:space="preserve">PSP1: </w:t>
      </w:r>
      <w:r w:rsidR="164D0AD2" w:rsidRPr="00966D5E">
        <w:rPr>
          <w:rFonts w:cs="Arial"/>
          <w:b/>
          <w:bCs/>
          <w:lang w:val="en-AU"/>
        </w:rPr>
        <w:t>Long-term</w:t>
      </w:r>
      <w:r w:rsidR="195692CE" w:rsidRPr="00966D5E">
        <w:rPr>
          <w:rFonts w:cs="Arial"/>
          <w:b/>
          <w:bCs/>
          <w:lang w:val="en-AU"/>
        </w:rPr>
        <w:t xml:space="preserve"> Water Security:</w:t>
      </w:r>
      <w:r w:rsidR="195692CE" w:rsidRPr="00D90AD4">
        <w:rPr>
          <w:rFonts w:cs="Arial"/>
          <w:sz w:val="19"/>
          <w:szCs w:val="19"/>
          <w:lang w:val="en-AU"/>
        </w:rPr>
        <w:t xml:space="preserve"> </w:t>
      </w:r>
      <w:r w:rsidR="195692CE" w:rsidRPr="00966D5E">
        <w:rPr>
          <w:rFonts w:cs="Arial"/>
          <w:lang w:val="en-AU"/>
        </w:rPr>
        <w:t xml:space="preserve">The updated </w:t>
      </w:r>
      <w:r w:rsidR="195692CE" w:rsidRPr="00966D5E">
        <w:rPr>
          <w:rFonts w:cs="Arial"/>
          <w:i/>
          <w:lang w:val="en-AU"/>
        </w:rPr>
        <w:t xml:space="preserve">Urban Water Strategy </w:t>
      </w:r>
      <w:r w:rsidR="004F6147" w:rsidRPr="00966D5E">
        <w:rPr>
          <w:rFonts w:cs="Arial"/>
          <w:i/>
          <w:iCs/>
          <w:lang w:val="en-AU"/>
        </w:rPr>
        <w:t>G</w:t>
      </w:r>
      <w:r w:rsidR="195692CE" w:rsidRPr="00966D5E">
        <w:rPr>
          <w:rFonts w:cs="Arial"/>
          <w:i/>
          <w:lang w:val="en-AU"/>
        </w:rPr>
        <w:t>uidelines</w:t>
      </w:r>
      <w:r w:rsidR="195692CE" w:rsidRPr="00966D5E">
        <w:rPr>
          <w:rFonts w:cs="Arial"/>
          <w:lang w:val="en-AU"/>
        </w:rPr>
        <w:t xml:space="preserve"> include specific core requirements </w:t>
      </w:r>
      <w:r w:rsidR="000E34E5" w:rsidRPr="00966D5E">
        <w:rPr>
          <w:rFonts w:cs="Arial"/>
          <w:lang w:val="en-AU"/>
        </w:rPr>
        <w:t>for</w:t>
      </w:r>
      <w:r w:rsidR="195692CE" w:rsidRPr="00966D5E">
        <w:rPr>
          <w:rFonts w:cs="Arial"/>
          <w:lang w:val="en-AU"/>
        </w:rPr>
        <w:t xml:space="preserve"> including Traditional Owner engagement </w:t>
      </w:r>
      <w:r w:rsidR="000E34E5" w:rsidRPr="00966D5E">
        <w:rPr>
          <w:rFonts w:cs="Arial"/>
          <w:lang w:val="en-AU"/>
        </w:rPr>
        <w:t xml:space="preserve">in </w:t>
      </w:r>
      <w:r w:rsidR="195692CE" w:rsidRPr="00966D5E">
        <w:rPr>
          <w:rFonts w:cs="Arial"/>
          <w:lang w:val="en-AU"/>
        </w:rPr>
        <w:t xml:space="preserve">urban water planning. On-going research as part of the Blue Community work program </w:t>
      </w:r>
      <w:r w:rsidR="00FC0D48" w:rsidRPr="00966D5E">
        <w:rPr>
          <w:rFonts w:cs="Arial"/>
          <w:lang w:val="en-AU"/>
        </w:rPr>
        <w:t>will build capability in water literacy with effective and targeted communication strategies and will include the incorporation of Traditional Owner knowledge, view</w:t>
      </w:r>
      <w:r w:rsidR="000E34E5" w:rsidRPr="00966D5E">
        <w:rPr>
          <w:rFonts w:cs="Arial"/>
          <w:lang w:val="en-AU"/>
        </w:rPr>
        <w:t>s</w:t>
      </w:r>
      <w:r w:rsidR="00FC0D48" w:rsidRPr="00966D5E">
        <w:rPr>
          <w:rFonts w:cs="Arial"/>
          <w:lang w:val="en-AU"/>
        </w:rPr>
        <w:t xml:space="preserve"> and values in a way that emphasises self-determination.</w:t>
      </w:r>
    </w:p>
    <w:p w14:paraId="4641D255" w14:textId="2516B653" w:rsidR="00A17B7C" w:rsidRPr="00D90AD4" w:rsidRDefault="006F0D81" w:rsidP="001A4A88">
      <w:pPr>
        <w:pStyle w:val="BulletLevel1"/>
        <w:rPr>
          <w:rFonts w:cs="Arial"/>
          <w:sz w:val="19"/>
          <w:szCs w:val="19"/>
          <w:lang w:val="en-AU"/>
        </w:rPr>
      </w:pPr>
      <w:r w:rsidRPr="00966D5E">
        <w:rPr>
          <w:rFonts w:cs="Arial"/>
          <w:b/>
          <w:bCs/>
          <w:lang w:val="en-AU"/>
        </w:rPr>
        <w:t xml:space="preserve">PSP2: </w:t>
      </w:r>
      <w:r w:rsidR="00A17B7C" w:rsidRPr="00966D5E">
        <w:rPr>
          <w:rFonts w:cs="Arial"/>
          <w:b/>
          <w:bCs/>
          <w:lang w:val="en-AU"/>
        </w:rPr>
        <w:t>Sustainable Water Strategies:</w:t>
      </w:r>
      <w:r w:rsidR="00A17B7C" w:rsidRPr="00966D5E">
        <w:rPr>
          <w:rFonts w:cs="Arial"/>
          <w:lang w:val="en-AU"/>
        </w:rPr>
        <w:t xml:space="preserve"> The CGRSWS developed the Traditional Owner Partnership to ensure </w:t>
      </w:r>
      <w:r w:rsidR="008C1855" w:rsidRPr="00966D5E">
        <w:rPr>
          <w:rFonts w:cs="Arial"/>
          <w:lang w:val="en-AU"/>
        </w:rPr>
        <w:t>s</w:t>
      </w:r>
      <w:r w:rsidR="00A17B7C" w:rsidRPr="00966D5E">
        <w:rPr>
          <w:rFonts w:cs="Arial"/>
          <w:lang w:val="en-AU"/>
        </w:rPr>
        <w:t>elf</w:t>
      </w:r>
      <w:r w:rsidR="008C1855" w:rsidRPr="00966D5E">
        <w:rPr>
          <w:rFonts w:cs="Arial"/>
          <w:lang w:val="en-AU"/>
        </w:rPr>
        <w:t>-</w:t>
      </w:r>
      <w:r w:rsidR="00A17B7C" w:rsidRPr="00966D5E">
        <w:rPr>
          <w:rFonts w:cs="Arial"/>
          <w:lang w:val="en-AU"/>
        </w:rPr>
        <w:t xml:space="preserve">determined outcomes for Traditional Owners in the region. Chapter 6 of the </w:t>
      </w:r>
      <w:r w:rsidR="00A505EA" w:rsidRPr="00966D5E">
        <w:rPr>
          <w:rFonts w:cs="Arial"/>
          <w:lang w:val="en-AU"/>
        </w:rPr>
        <w:t xml:space="preserve">CGRSWS </w:t>
      </w:r>
      <w:r w:rsidR="00A17B7C" w:rsidRPr="00966D5E">
        <w:rPr>
          <w:rFonts w:cs="Arial"/>
          <w:lang w:val="en-AU"/>
        </w:rPr>
        <w:t xml:space="preserve">commits the Victorian Government to addressing historical and ongoing exclusion from water planning. The </w:t>
      </w:r>
      <w:r w:rsidR="00A505EA" w:rsidRPr="00966D5E">
        <w:rPr>
          <w:rFonts w:cs="Arial"/>
          <w:lang w:val="en-AU"/>
        </w:rPr>
        <w:t>CGRSWS</w:t>
      </w:r>
      <w:r w:rsidR="00A17B7C" w:rsidRPr="00966D5E">
        <w:rPr>
          <w:rFonts w:cs="Arial"/>
          <w:lang w:val="en-AU"/>
        </w:rPr>
        <w:t xml:space="preserve"> will deliver shared benefits at a cultural landscape level by involving Traditional Owners in decision</w:t>
      </w:r>
      <w:r w:rsidR="000E34E5" w:rsidRPr="00966D5E">
        <w:rPr>
          <w:rFonts w:cs="Arial"/>
          <w:lang w:val="en-AU"/>
        </w:rPr>
        <w:t>s</w:t>
      </w:r>
      <w:r w:rsidR="00A17B7C" w:rsidRPr="00966D5E">
        <w:rPr>
          <w:rFonts w:cs="Arial"/>
          <w:lang w:val="en-AU"/>
        </w:rPr>
        <w:t xml:space="preserve"> for holding and using water that is culturally sensitive and uses the principles under </w:t>
      </w:r>
      <w:r w:rsidR="00964444" w:rsidRPr="00966D5E">
        <w:rPr>
          <w:rFonts w:cs="Arial"/>
          <w:lang w:val="en-AU"/>
        </w:rPr>
        <w:t>c</w:t>
      </w:r>
      <w:r w:rsidR="00A17B7C" w:rsidRPr="00966D5E">
        <w:rPr>
          <w:rFonts w:cs="Arial"/>
          <w:lang w:val="en-AU"/>
        </w:rPr>
        <w:t xml:space="preserve">aring for Country of the region’s waterways. The approach is evidenced by the development of the Cultural Benefits Framework. The </w:t>
      </w:r>
      <w:r w:rsidR="001C6F5D" w:rsidRPr="00966D5E">
        <w:rPr>
          <w:rFonts w:cs="Arial"/>
          <w:lang w:val="en-AU"/>
        </w:rPr>
        <w:t>Cultural Benefits Framework</w:t>
      </w:r>
      <w:r w:rsidR="00A17B7C" w:rsidRPr="00966D5E">
        <w:rPr>
          <w:rFonts w:cs="Arial"/>
          <w:lang w:val="en-AU"/>
        </w:rPr>
        <w:t xml:space="preserve"> uses </w:t>
      </w:r>
      <w:r w:rsidR="0F07F8B8" w:rsidRPr="00966D5E">
        <w:rPr>
          <w:rFonts w:cs="Arial"/>
          <w:lang w:val="en-AU"/>
        </w:rPr>
        <w:t>T</w:t>
      </w:r>
      <w:r w:rsidR="00A17B7C" w:rsidRPr="00966D5E">
        <w:rPr>
          <w:rFonts w:cs="Arial"/>
          <w:lang w:val="en-AU"/>
        </w:rPr>
        <w:t xml:space="preserve">raditional </w:t>
      </w:r>
      <w:r w:rsidR="1FDFCFDB" w:rsidRPr="00966D5E">
        <w:rPr>
          <w:rFonts w:cs="Arial"/>
          <w:lang w:val="en-AU"/>
        </w:rPr>
        <w:t>O</w:t>
      </w:r>
      <w:r w:rsidR="00A17B7C" w:rsidRPr="00966D5E">
        <w:rPr>
          <w:rFonts w:cs="Arial"/>
          <w:lang w:val="en-AU"/>
        </w:rPr>
        <w:t xml:space="preserve">wner ecological knowledge to identify the benefits of Traditional Owners managing and owning water. The Traditional Owner Partnership is considered a benchmark approach to collaboration and partnering with </w:t>
      </w:r>
      <w:r w:rsidR="008364C3" w:rsidRPr="00966D5E">
        <w:rPr>
          <w:rFonts w:cs="Arial"/>
          <w:lang w:val="en-AU"/>
        </w:rPr>
        <w:t>Registered Aboriginal Part</w:t>
      </w:r>
      <w:r w:rsidR="0046306C" w:rsidRPr="00966D5E">
        <w:rPr>
          <w:rFonts w:cs="Arial"/>
          <w:lang w:val="en-AU"/>
        </w:rPr>
        <w:t xml:space="preserve">ies </w:t>
      </w:r>
      <w:r w:rsidR="00A17B7C" w:rsidRPr="00966D5E">
        <w:rPr>
          <w:rFonts w:cs="Arial"/>
          <w:lang w:val="en-AU"/>
        </w:rPr>
        <w:t>in the regions. It has resulted in an allocation of funding to continue t</w:t>
      </w:r>
      <w:r w:rsidR="00A941BB" w:rsidRPr="00966D5E">
        <w:rPr>
          <w:rFonts w:cs="Arial"/>
          <w:lang w:val="en-AU"/>
        </w:rPr>
        <w:t>he</w:t>
      </w:r>
      <w:r w:rsidR="00A17B7C" w:rsidRPr="00966D5E">
        <w:rPr>
          <w:rFonts w:cs="Arial"/>
          <w:lang w:val="en-AU"/>
        </w:rPr>
        <w:t xml:space="preserve"> </w:t>
      </w:r>
      <w:r w:rsidR="00A941BB" w:rsidRPr="00966D5E">
        <w:rPr>
          <w:rFonts w:cs="Arial"/>
          <w:lang w:val="en-AU"/>
        </w:rPr>
        <w:t>p</w:t>
      </w:r>
      <w:r w:rsidR="00A17B7C" w:rsidRPr="00966D5E">
        <w:rPr>
          <w:rFonts w:cs="Arial"/>
          <w:lang w:val="en-AU"/>
        </w:rPr>
        <w:t xml:space="preserve">artnership as the </w:t>
      </w:r>
      <w:r w:rsidR="00F05561" w:rsidRPr="00966D5E">
        <w:rPr>
          <w:rFonts w:cs="Arial"/>
          <w:lang w:val="en-AU"/>
        </w:rPr>
        <w:t xml:space="preserve">CGRSWS </w:t>
      </w:r>
      <w:r w:rsidR="00A17B7C" w:rsidRPr="00966D5E">
        <w:rPr>
          <w:rFonts w:cs="Arial"/>
          <w:lang w:val="en-AU"/>
        </w:rPr>
        <w:t xml:space="preserve">is implemented. As a result, actions in the final </w:t>
      </w:r>
      <w:r w:rsidR="00F05561" w:rsidRPr="00966D5E">
        <w:rPr>
          <w:rFonts w:cs="Arial"/>
          <w:lang w:val="en-AU"/>
        </w:rPr>
        <w:t xml:space="preserve">CGRSWS </w:t>
      </w:r>
      <w:r w:rsidR="00A17B7C" w:rsidRPr="00966D5E">
        <w:rPr>
          <w:rFonts w:cs="Arial"/>
          <w:lang w:val="en-AU"/>
        </w:rPr>
        <w:t xml:space="preserve">identify ways to return water to Traditional Owners that is enduring. Feedback from Traditional Owners is that the </w:t>
      </w:r>
      <w:r w:rsidR="00310ED7" w:rsidRPr="00966D5E">
        <w:rPr>
          <w:rFonts w:cs="Arial"/>
          <w:lang w:val="en-AU"/>
        </w:rPr>
        <w:t xml:space="preserve">CGRSWS </w:t>
      </w:r>
      <w:r w:rsidR="00A17B7C" w:rsidRPr="00966D5E">
        <w:rPr>
          <w:rFonts w:cs="Arial"/>
          <w:lang w:val="en-AU"/>
        </w:rPr>
        <w:t>building process is to be used as an example for other strategy building processes across Government.</w:t>
      </w:r>
    </w:p>
    <w:p w14:paraId="662ED613" w14:textId="4BC3445F" w:rsidR="00A17B7C" w:rsidRPr="00966D5E" w:rsidRDefault="006F0D81" w:rsidP="001A4A88">
      <w:pPr>
        <w:pStyle w:val="BulletLevel1"/>
        <w:rPr>
          <w:rFonts w:cs="Arial"/>
          <w:lang w:val="en-AU"/>
        </w:rPr>
      </w:pPr>
      <w:r w:rsidRPr="00966D5E">
        <w:rPr>
          <w:rFonts w:cs="Arial"/>
          <w:b/>
          <w:bCs/>
          <w:lang w:val="en-AU"/>
        </w:rPr>
        <w:t xml:space="preserve">PSP4: </w:t>
      </w:r>
      <w:r w:rsidR="00A17B7C" w:rsidRPr="00966D5E">
        <w:rPr>
          <w:rFonts w:cs="Arial"/>
          <w:b/>
          <w:bCs/>
          <w:lang w:val="en-AU"/>
        </w:rPr>
        <w:t xml:space="preserve">CGRSWS </w:t>
      </w:r>
      <w:r w:rsidR="00A34F85" w:rsidRPr="00966D5E">
        <w:rPr>
          <w:rFonts w:cs="Arial"/>
          <w:b/>
          <w:bCs/>
          <w:lang w:val="en-AU"/>
        </w:rPr>
        <w:t>Funding</w:t>
      </w:r>
      <w:r w:rsidR="00A17B7C" w:rsidRPr="00966D5E">
        <w:rPr>
          <w:rFonts w:cs="Arial"/>
          <w:b/>
          <w:bCs/>
          <w:lang w:val="en-AU"/>
        </w:rPr>
        <w:t xml:space="preserve"> Stream 4 Enable </w:t>
      </w:r>
      <w:r w:rsidR="00A34F85" w:rsidRPr="00966D5E">
        <w:rPr>
          <w:rFonts w:cs="Arial"/>
          <w:b/>
          <w:bCs/>
          <w:lang w:val="en-AU"/>
        </w:rPr>
        <w:t>A</w:t>
      </w:r>
      <w:r w:rsidR="00A17B7C" w:rsidRPr="00966D5E">
        <w:rPr>
          <w:rFonts w:cs="Arial"/>
          <w:b/>
          <w:bCs/>
          <w:lang w:val="en-AU"/>
        </w:rPr>
        <w:t xml:space="preserve">daptation to a </w:t>
      </w:r>
      <w:r w:rsidR="00A34F85" w:rsidRPr="00966D5E">
        <w:rPr>
          <w:rFonts w:cs="Arial"/>
          <w:b/>
          <w:bCs/>
          <w:lang w:val="en-AU"/>
        </w:rPr>
        <w:t>V</w:t>
      </w:r>
      <w:r w:rsidR="00A17B7C" w:rsidRPr="00966D5E">
        <w:rPr>
          <w:rFonts w:cs="Arial"/>
          <w:b/>
          <w:bCs/>
          <w:lang w:val="en-AU"/>
        </w:rPr>
        <w:t xml:space="preserve">ariable </w:t>
      </w:r>
      <w:r w:rsidR="00A34F85" w:rsidRPr="00966D5E">
        <w:rPr>
          <w:rFonts w:cs="Arial"/>
          <w:b/>
          <w:bCs/>
          <w:lang w:val="en-AU"/>
        </w:rPr>
        <w:t>C</w:t>
      </w:r>
      <w:r w:rsidR="00A17B7C" w:rsidRPr="00966D5E">
        <w:rPr>
          <w:rFonts w:cs="Arial"/>
          <w:b/>
          <w:bCs/>
          <w:lang w:val="en-AU"/>
        </w:rPr>
        <w:t>limate:</w:t>
      </w:r>
      <w:r w:rsidR="00A17B7C" w:rsidRPr="00966D5E">
        <w:rPr>
          <w:rFonts w:cs="Arial"/>
          <w:lang w:val="en-AU"/>
        </w:rPr>
        <w:t xml:space="preserve"> </w:t>
      </w:r>
      <w:r w:rsidR="00C4527E" w:rsidRPr="00966D5E">
        <w:rPr>
          <w:rFonts w:cs="Arial"/>
          <w:lang w:val="en-AU"/>
        </w:rPr>
        <w:t xml:space="preserve">Grants </w:t>
      </w:r>
      <w:r w:rsidR="007D1C0A" w:rsidRPr="00966D5E">
        <w:rPr>
          <w:rFonts w:cs="Arial"/>
          <w:lang w:val="en-AU"/>
        </w:rPr>
        <w:t xml:space="preserve">were </w:t>
      </w:r>
      <w:r w:rsidR="00C4527E" w:rsidRPr="00966D5E">
        <w:rPr>
          <w:rFonts w:cs="Arial"/>
          <w:lang w:val="en-AU"/>
        </w:rPr>
        <w:t xml:space="preserve">provided to 15 Registered </w:t>
      </w:r>
      <w:r w:rsidR="003203A0" w:rsidRPr="00966D5E">
        <w:rPr>
          <w:rFonts w:cs="Arial"/>
          <w:lang w:val="en-AU"/>
        </w:rPr>
        <w:t xml:space="preserve">Aboriginal Parties </w:t>
      </w:r>
      <w:r w:rsidR="00C4527E" w:rsidRPr="00966D5E">
        <w:rPr>
          <w:rFonts w:cs="Arial"/>
          <w:lang w:val="en-AU"/>
        </w:rPr>
        <w:t>and non-</w:t>
      </w:r>
      <w:r w:rsidR="00DD48B2" w:rsidRPr="00966D5E">
        <w:rPr>
          <w:rFonts w:cs="Arial"/>
          <w:lang w:val="en-AU"/>
        </w:rPr>
        <w:t>R</w:t>
      </w:r>
      <w:r w:rsidR="00C4527E" w:rsidRPr="00966D5E">
        <w:rPr>
          <w:rFonts w:cs="Arial"/>
          <w:lang w:val="en-AU"/>
        </w:rPr>
        <w:t>egistered Aboriginal Part</w:t>
      </w:r>
      <w:r w:rsidR="003203A0" w:rsidRPr="00966D5E">
        <w:rPr>
          <w:rFonts w:cs="Arial"/>
          <w:lang w:val="en-AU"/>
        </w:rPr>
        <w:t>y groups</w:t>
      </w:r>
      <w:r w:rsidR="00C4527E" w:rsidRPr="00966D5E">
        <w:rPr>
          <w:rFonts w:cs="Arial"/>
          <w:lang w:val="en-AU"/>
        </w:rPr>
        <w:t xml:space="preserve"> to enable self-determined participation in the </w:t>
      </w:r>
      <w:r w:rsidR="00DB4997" w:rsidRPr="00D90AD4">
        <w:rPr>
          <w:rFonts w:cs="Arial"/>
          <w:lang w:val="en-AU"/>
        </w:rPr>
        <w:t>development of an updated</w:t>
      </w:r>
      <w:r w:rsidR="00DB4997" w:rsidRPr="00966D5E" w:rsidDel="00DB4997">
        <w:rPr>
          <w:rFonts w:cs="Arial"/>
          <w:lang w:val="en-AU"/>
        </w:rPr>
        <w:t xml:space="preserve"> </w:t>
      </w:r>
      <w:r w:rsidR="00C4527E" w:rsidRPr="00966D5E">
        <w:rPr>
          <w:rFonts w:cs="Arial"/>
          <w:i/>
          <w:lang w:val="en-AU"/>
        </w:rPr>
        <w:t>Victorian Waterway Management Strategy</w:t>
      </w:r>
      <w:r w:rsidR="007D1C0A" w:rsidRPr="00966D5E">
        <w:rPr>
          <w:rFonts w:cs="Arial"/>
          <w:lang w:val="en-AU"/>
        </w:rPr>
        <w:t xml:space="preserve"> that </w:t>
      </w:r>
      <w:r w:rsidR="00290548" w:rsidRPr="00D90AD4">
        <w:rPr>
          <w:rFonts w:cs="Arial"/>
          <w:lang w:val="en-AU"/>
        </w:rPr>
        <w:t xml:space="preserve">embeds climate adaptation into the management of rivers, </w:t>
      </w:r>
      <w:proofErr w:type="gramStart"/>
      <w:r w:rsidR="00290548" w:rsidRPr="00D90AD4">
        <w:rPr>
          <w:rFonts w:cs="Arial"/>
          <w:lang w:val="en-AU"/>
        </w:rPr>
        <w:t>estuaries</w:t>
      </w:r>
      <w:proofErr w:type="gramEnd"/>
      <w:r w:rsidR="00290548" w:rsidRPr="00D90AD4">
        <w:rPr>
          <w:rFonts w:cs="Arial"/>
          <w:lang w:val="en-AU"/>
        </w:rPr>
        <w:t xml:space="preserve"> and wetlands across the state</w:t>
      </w:r>
      <w:r w:rsidR="00C4527E" w:rsidRPr="00966D5E">
        <w:rPr>
          <w:rFonts w:cs="Arial"/>
          <w:lang w:val="en-AU"/>
        </w:rPr>
        <w:t xml:space="preserve">. </w:t>
      </w:r>
      <w:r w:rsidR="00A17B7C" w:rsidRPr="00966D5E">
        <w:rPr>
          <w:rFonts w:cs="Arial"/>
          <w:lang w:val="en-AU"/>
        </w:rPr>
        <w:t>This is a significant increase in involvement in</w:t>
      </w:r>
      <w:r w:rsidR="007D1C0A" w:rsidRPr="00966D5E">
        <w:rPr>
          <w:rFonts w:cs="Arial"/>
          <w:lang w:val="en-AU"/>
        </w:rPr>
        <w:t>,</w:t>
      </w:r>
      <w:r w:rsidR="00A17B7C" w:rsidRPr="00966D5E">
        <w:rPr>
          <w:rFonts w:cs="Arial"/>
          <w:lang w:val="en-AU"/>
        </w:rPr>
        <w:t xml:space="preserve"> and influence on</w:t>
      </w:r>
      <w:r w:rsidR="007D1C0A" w:rsidRPr="00966D5E">
        <w:rPr>
          <w:rFonts w:cs="Arial"/>
          <w:lang w:val="en-AU"/>
        </w:rPr>
        <w:t>,</w:t>
      </w:r>
      <w:r w:rsidR="00A17B7C" w:rsidRPr="00966D5E">
        <w:rPr>
          <w:rFonts w:cs="Arial"/>
          <w:lang w:val="en-AU"/>
        </w:rPr>
        <w:t xml:space="preserve"> water policy and management decision making processes by non-Registered Aboriginal Part</w:t>
      </w:r>
      <w:r w:rsidR="00676591" w:rsidRPr="00966D5E">
        <w:rPr>
          <w:rFonts w:cs="Arial"/>
          <w:lang w:val="en-AU"/>
        </w:rPr>
        <w:t>y groups</w:t>
      </w:r>
      <w:r w:rsidR="00A17B7C" w:rsidRPr="00966D5E">
        <w:rPr>
          <w:rFonts w:cs="Arial"/>
          <w:lang w:val="en-AU"/>
        </w:rPr>
        <w:t>.</w:t>
      </w:r>
    </w:p>
    <w:p w14:paraId="0EDD4C7D" w14:textId="1CF06AEA" w:rsidR="00F646BA" w:rsidRPr="00966D5E" w:rsidRDefault="006F0D81" w:rsidP="001A4A88">
      <w:pPr>
        <w:pStyle w:val="BulletLevel1"/>
        <w:rPr>
          <w:rFonts w:cs="Arial"/>
          <w:lang w:val="en-AU"/>
        </w:rPr>
      </w:pPr>
      <w:r w:rsidRPr="00966D5E">
        <w:rPr>
          <w:rFonts w:cs="Arial"/>
          <w:b/>
          <w:bCs/>
          <w:lang w:val="en-AU"/>
        </w:rPr>
        <w:t xml:space="preserve">CWCT09: </w:t>
      </w:r>
      <w:r w:rsidR="00A17B7C" w:rsidRPr="00966D5E">
        <w:rPr>
          <w:rFonts w:cs="Arial"/>
          <w:b/>
          <w:bCs/>
          <w:lang w:val="en-AU"/>
        </w:rPr>
        <w:t>Waterway Health:</w:t>
      </w:r>
      <w:r w:rsidR="00A17B7C" w:rsidRPr="00966D5E">
        <w:rPr>
          <w:rFonts w:cs="Arial"/>
          <w:lang w:val="en-AU"/>
        </w:rPr>
        <w:t xml:space="preserve"> Across the </w:t>
      </w:r>
      <w:r w:rsidR="00A12D1C" w:rsidRPr="00966D5E">
        <w:rPr>
          <w:rFonts w:cs="Arial"/>
          <w:lang w:val="en-AU"/>
        </w:rPr>
        <w:t>project</w:t>
      </w:r>
      <w:r w:rsidR="00A17B7C" w:rsidRPr="00966D5E">
        <w:rPr>
          <w:rFonts w:cs="Arial"/>
          <w:lang w:val="en-AU"/>
        </w:rPr>
        <w:t xml:space="preserve">, partnerships between CMAs and Traditional Owners </w:t>
      </w:r>
      <w:r w:rsidR="007D1C0A" w:rsidRPr="00966D5E">
        <w:rPr>
          <w:rFonts w:cs="Arial"/>
          <w:lang w:val="en-AU"/>
        </w:rPr>
        <w:t>were</w:t>
      </w:r>
      <w:r w:rsidR="00A17B7C" w:rsidRPr="00966D5E">
        <w:rPr>
          <w:rFonts w:cs="Arial"/>
          <w:lang w:val="en-AU"/>
        </w:rPr>
        <w:t xml:space="preserve"> facilitated through a variety of activities, such as:</w:t>
      </w:r>
    </w:p>
    <w:p w14:paraId="3B0BA185" w14:textId="5B23EDCF" w:rsidR="00F646BA" w:rsidRPr="00966D5E" w:rsidRDefault="002F02C2" w:rsidP="001A4A88">
      <w:pPr>
        <w:pStyle w:val="BulletLevel2"/>
        <w:rPr>
          <w:rFonts w:cs="Arial"/>
          <w:lang w:val="en-AU"/>
        </w:rPr>
      </w:pPr>
      <w:r w:rsidRPr="00966D5E">
        <w:rPr>
          <w:rFonts w:cs="Arial"/>
          <w:lang w:val="en-AU"/>
        </w:rPr>
        <w:t>Coordination</w:t>
      </w:r>
      <w:r w:rsidR="00A17B7C" w:rsidRPr="00966D5E">
        <w:rPr>
          <w:rFonts w:cs="Arial"/>
          <w:lang w:val="en-AU"/>
        </w:rPr>
        <w:t xml:space="preserve"> and advisory committees, evaluation workshops, consultation and advice in project design, planning, </w:t>
      </w:r>
      <w:proofErr w:type="gramStart"/>
      <w:r w:rsidR="00A17B7C" w:rsidRPr="00966D5E">
        <w:rPr>
          <w:rFonts w:cs="Arial"/>
          <w:lang w:val="en-AU"/>
        </w:rPr>
        <w:t>strategy</w:t>
      </w:r>
      <w:proofErr w:type="gramEnd"/>
      <w:r w:rsidR="00A17B7C" w:rsidRPr="00966D5E">
        <w:rPr>
          <w:rFonts w:cs="Arial"/>
          <w:lang w:val="en-AU"/>
        </w:rPr>
        <w:t xml:space="preserve"> and delivery</w:t>
      </w:r>
      <w:r w:rsidR="007B6FD0" w:rsidRPr="00966D5E">
        <w:rPr>
          <w:rFonts w:cs="Arial"/>
          <w:lang w:val="en-AU"/>
        </w:rPr>
        <w:t>.</w:t>
      </w:r>
    </w:p>
    <w:p w14:paraId="1C86598F" w14:textId="6812291A" w:rsidR="00F646BA" w:rsidRPr="00966D5E" w:rsidRDefault="002F02C2" w:rsidP="001A4A88">
      <w:pPr>
        <w:pStyle w:val="BulletLevel2"/>
        <w:rPr>
          <w:rFonts w:cs="Arial"/>
          <w:lang w:val="en-AU"/>
        </w:rPr>
      </w:pPr>
      <w:r w:rsidRPr="00966D5E">
        <w:rPr>
          <w:rFonts w:cs="Arial"/>
          <w:lang w:val="en-AU"/>
        </w:rPr>
        <w:t xml:space="preserve">Delivery </w:t>
      </w:r>
      <w:r w:rsidR="00A17B7C" w:rsidRPr="00966D5E">
        <w:rPr>
          <w:rFonts w:cs="Arial"/>
          <w:lang w:val="en-AU"/>
        </w:rPr>
        <w:t xml:space="preserve">of on-ground works on Country, monitoring, surveying, and recording </w:t>
      </w:r>
      <w:r w:rsidR="004A2235" w:rsidRPr="00966D5E">
        <w:rPr>
          <w:rFonts w:cs="Arial"/>
          <w:lang w:val="en-AU"/>
        </w:rPr>
        <w:t>activities</w:t>
      </w:r>
      <w:r w:rsidR="007B6FD0" w:rsidRPr="00966D5E">
        <w:rPr>
          <w:rFonts w:cs="Arial"/>
          <w:lang w:val="en-AU"/>
        </w:rPr>
        <w:t>.</w:t>
      </w:r>
    </w:p>
    <w:p w14:paraId="3B4FABB6" w14:textId="1BBFAD81" w:rsidR="00F646BA" w:rsidRPr="00966D5E" w:rsidRDefault="002F02C2" w:rsidP="001A4A88">
      <w:pPr>
        <w:pStyle w:val="BulletLevel2"/>
        <w:rPr>
          <w:rFonts w:cs="Arial"/>
          <w:lang w:val="en-AU"/>
        </w:rPr>
      </w:pPr>
      <w:r w:rsidRPr="00966D5E">
        <w:rPr>
          <w:rFonts w:cs="Arial"/>
          <w:lang w:val="en-AU"/>
        </w:rPr>
        <w:t xml:space="preserve">Review </w:t>
      </w:r>
      <w:r w:rsidR="00A17B7C" w:rsidRPr="00966D5E">
        <w:rPr>
          <w:rFonts w:cs="Arial"/>
          <w:lang w:val="en-AU"/>
        </w:rPr>
        <w:t>and development of key CMA policy &amp; strategy</w:t>
      </w:r>
      <w:r w:rsidR="007B6FD0" w:rsidRPr="00966D5E">
        <w:rPr>
          <w:rFonts w:cs="Arial"/>
          <w:lang w:val="en-AU"/>
        </w:rPr>
        <w:t>.</w:t>
      </w:r>
    </w:p>
    <w:p w14:paraId="005DE0D7" w14:textId="236FE649" w:rsidR="00F646BA" w:rsidRPr="00966D5E" w:rsidRDefault="002F02C2" w:rsidP="001A4A88">
      <w:pPr>
        <w:pStyle w:val="BulletLevel2"/>
        <w:rPr>
          <w:rFonts w:cs="Arial"/>
          <w:lang w:val="en-AU"/>
        </w:rPr>
      </w:pPr>
      <w:r w:rsidRPr="00966D5E">
        <w:rPr>
          <w:rFonts w:cs="Arial"/>
          <w:lang w:val="en-AU"/>
        </w:rPr>
        <w:t xml:space="preserve">Carrying </w:t>
      </w:r>
      <w:r w:rsidR="00A17B7C" w:rsidRPr="00966D5E">
        <w:rPr>
          <w:rFonts w:cs="Arial"/>
          <w:lang w:val="en-AU"/>
        </w:rPr>
        <w:t xml:space="preserve">out </w:t>
      </w:r>
      <w:r w:rsidR="00F646BA" w:rsidRPr="00966D5E">
        <w:rPr>
          <w:rFonts w:cs="Arial"/>
          <w:lang w:val="en-AU"/>
        </w:rPr>
        <w:t>w</w:t>
      </w:r>
      <w:r w:rsidR="00A17B7C" w:rsidRPr="00966D5E">
        <w:rPr>
          <w:rFonts w:cs="Arial"/>
          <w:lang w:val="en-AU"/>
        </w:rPr>
        <w:t xml:space="preserve">elcome to </w:t>
      </w:r>
      <w:r w:rsidR="00F646BA" w:rsidRPr="00966D5E">
        <w:rPr>
          <w:rFonts w:cs="Arial"/>
          <w:lang w:val="en-AU"/>
        </w:rPr>
        <w:t>c</w:t>
      </w:r>
      <w:r w:rsidR="00A17B7C" w:rsidRPr="00966D5E">
        <w:rPr>
          <w:rFonts w:cs="Arial"/>
          <w:lang w:val="en-AU"/>
        </w:rPr>
        <w:t xml:space="preserve">ountry &amp; </w:t>
      </w:r>
      <w:r w:rsidR="00F646BA" w:rsidRPr="00966D5E">
        <w:rPr>
          <w:rFonts w:cs="Arial"/>
          <w:lang w:val="en-AU"/>
        </w:rPr>
        <w:t>s</w:t>
      </w:r>
      <w:r w:rsidR="00A17B7C" w:rsidRPr="00966D5E">
        <w:rPr>
          <w:rFonts w:cs="Arial"/>
          <w:lang w:val="en-AU"/>
        </w:rPr>
        <w:t xml:space="preserve">moking </w:t>
      </w:r>
      <w:r w:rsidR="00F646BA" w:rsidRPr="00966D5E">
        <w:rPr>
          <w:rFonts w:cs="Arial"/>
          <w:lang w:val="en-AU"/>
        </w:rPr>
        <w:t>c</w:t>
      </w:r>
      <w:r w:rsidR="00A17B7C" w:rsidRPr="00966D5E">
        <w:rPr>
          <w:rFonts w:cs="Arial"/>
          <w:lang w:val="en-AU"/>
        </w:rPr>
        <w:t>eremonies</w:t>
      </w:r>
      <w:r w:rsidR="007B6FD0" w:rsidRPr="00966D5E">
        <w:rPr>
          <w:rFonts w:cs="Arial"/>
          <w:lang w:val="en-AU"/>
        </w:rPr>
        <w:t>.</w:t>
      </w:r>
    </w:p>
    <w:p w14:paraId="038922FA" w14:textId="16E24FBF" w:rsidR="00F646BA" w:rsidRPr="00966D5E" w:rsidRDefault="002F02C2" w:rsidP="001A4A88">
      <w:pPr>
        <w:pStyle w:val="BulletLevel2"/>
        <w:rPr>
          <w:rFonts w:cs="Arial"/>
          <w:lang w:val="en-AU"/>
        </w:rPr>
      </w:pPr>
      <w:r w:rsidRPr="00966D5E">
        <w:rPr>
          <w:rFonts w:cs="Arial"/>
          <w:lang w:val="en-AU"/>
        </w:rPr>
        <w:t xml:space="preserve">Incorporating </w:t>
      </w:r>
      <w:r w:rsidR="00A17B7C" w:rsidRPr="00966D5E">
        <w:rPr>
          <w:rFonts w:cs="Arial"/>
          <w:lang w:val="en-AU"/>
        </w:rPr>
        <w:t>traditional knowledge into existing activities</w:t>
      </w:r>
      <w:r w:rsidR="007B6FD0" w:rsidRPr="00966D5E">
        <w:rPr>
          <w:rFonts w:cs="Arial"/>
          <w:lang w:val="en-AU"/>
        </w:rPr>
        <w:t>.</w:t>
      </w:r>
    </w:p>
    <w:p w14:paraId="193F68A4" w14:textId="17CA47AF" w:rsidR="00F646BA" w:rsidRPr="00966D5E" w:rsidRDefault="002F02C2" w:rsidP="001A4A88">
      <w:pPr>
        <w:pStyle w:val="BulletLevel2"/>
        <w:rPr>
          <w:rFonts w:cs="Arial"/>
          <w:lang w:val="en-AU"/>
        </w:rPr>
      </w:pPr>
      <w:r w:rsidRPr="00966D5E">
        <w:rPr>
          <w:rFonts w:cs="Arial"/>
          <w:lang w:val="en-AU"/>
        </w:rPr>
        <w:t xml:space="preserve">Sharing </w:t>
      </w:r>
      <w:r w:rsidR="00A17B7C" w:rsidRPr="00966D5E">
        <w:rPr>
          <w:rFonts w:cs="Arial"/>
          <w:lang w:val="en-AU"/>
        </w:rPr>
        <w:t>of knowledge, research, and technology</w:t>
      </w:r>
      <w:r w:rsidR="007B6FD0" w:rsidRPr="00966D5E">
        <w:rPr>
          <w:rFonts w:cs="Arial"/>
          <w:lang w:val="en-AU"/>
        </w:rPr>
        <w:t>.</w:t>
      </w:r>
    </w:p>
    <w:p w14:paraId="55D2E6FA" w14:textId="3FEACD60" w:rsidR="00F646BA" w:rsidRPr="00966D5E" w:rsidRDefault="002F02C2" w:rsidP="001A4A88">
      <w:pPr>
        <w:pStyle w:val="BulletLevel2"/>
        <w:rPr>
          <w:rFonts w:cs="Arial"/>
          <w:lang w:val="en-AU"/>
        </w:rPr>
      </w:pPr>
      <w:r w:rsidRPr="00966D5E">
        <w:rPr>
          <w:rFonts w:cs="Arial"/>
          <w:lang w:val="en-AU"/>
        </w:rPr>
        <w:t xml:space="preserve">Training </w:t>
      </w:r>
      <w:r w:rsidR="00A17B7C" w:rsidRPr="00966D5E">
        <w:rPr>
          <w:rFonts w:cs="Arial"/>
          <w:lang w:val="en-AU"/>
        </w:rPr>
        <w:t>for Traditional Owner Corporation/s staff</w:t>
      </w:r>
      <w:r w:rsidR="007B6FD0" w:rsidRPr="00966D5E">
        <w:rPr>
          <w:rFonts w:cs="Arial"/>
          <w:lang w:val="en-AU"/>
        </w:rPr>
        <w:t>.</w:t>
      </w:r>
    </w:p>
    <w:p w14:paraId="2DD796E2" w14:textId="2DD5BC3C" w:rsidR="00A17B7C" w:rsidRPr="00966D5E" w:rsidRDefault="00A17B7C" w:rsidP="001A4A88">
      <w:pPr>
        <w:pStyle w:val="BulletLevel2"/>
        <w:rPr>
          <w:rFonts w:cs="Arial"/>
          <w:lang w:val="en-AU"/>
        </w:rPr>
      </w:pPr>
      <w:r w:rsidRPr="00966D5E">
        <w:rPr>
          <w:rFonts w:cs="Arial"/>
          <w:lang w:val="en-AU"/>
        </w:rPr>
        <w:t>Aboriginal Waterway Assessments.</w:t>
      </w:r>
    </w:p>
    <w:p w14:paraId="42C418DE" w14:textId="02C2C734" w:rsidR="00A17B7C" w:rsidRPr="00966D5E" w:rsidRDefault="006F0D81" w:rsidP="001A4A88">
      <w:pPr>
        <w:pStyle w:val="BulletLevel1"/>
        <w:rPr>
          <w:rFonts w:cs="Arial"/>
          <w:lang w:val="en-AU"/>
        </w:rPr>
      </w:pPr>
      <w:r w:rsidRPr="00966D5E">
        <w:rPr>
          <w:rFonts w:cs="Arial"/>
          <w:b/>
          <w:bCs/>
          <w:lang w:val="en-AU"/>
        </w:rPr>
        <w:t xml:space="preserve">CWCT10: </w:t>
      </w:r>
      <w:r w:rsidR="00A17B7C" w:rsidRPr="00966D5E">
        <w:rPr>
          <w:rFonts w:cs="Arial"/>
          <w:b/>
          <w:bCs/>
          <w:lang w:val="en-AU"/>
        </w:rPr>
        <w:t>Environmental Water:</w:t>
      </w:r>
      <w:r w:rsidR="00A17B7C" w:rsidRPr="00966D5E">
        <w:rPr>
          <w:rFonts w:cs="Arial"/>
          <w:lang w:val="en-AU"/>
        </w:rPr>
        <w:t xml:space="preserve"> </w:t>
      </w:r>
      <w:r w:rsidR="00320AF3" w:rsidRPr="00966D5E">
        <w:rPr>
          <w:rFonts w:cs="Arial"/>
          <w:lang w:val="en-AU"/>
        </w:rPr>
        <w:t>This project involved e</w:t>
      </w:r>
      <w:r w:rsidR="00A17B7C" w:rsidRPr="00966D5E">
        <w:rPr>
          <w:rFonts w:cs="Arial"/>
          <w:lang w:val="en-AU"/>
        </w:rPr>
        <w:t xml:space="preserve">ngagement </w:t>
      </w:r>
      <w:r w:rsidR="00320AF3" w:rsidRPr="00966D5E">
        <w:rPr>
          <w:rFonts w:cs="Arial"/>
          <w:lang w:val="en-AU"/>
        </w:rPr>
        <w:t xml:space="preserve">with </w:t>
      </w:r>
      <w:r w:rsidR="00A17B7C" w:rsidRPr="00966D5E">
        <w:rPr>
          <w:rFonts w:cs="Arial"/>
          <w:lang w:val="en-AU"/>
        </w:rPr>
        <w:t xml:space="preserve">and </w:t>
      </w:r>
      <w:r w:rsidR="00320AF3" w:rsidRPr="00966D5E">
        <w:rPr>
          <w:rFonts w:cs="Arial"/>
          <w:lang w:val="en-AU"/>
        </w:rPr>
        <w:t xml:space="preserve">participation </w:t>
      </w:r>
      <w:r w:rsidR="00A17B7C" w:rsidRPr="00966D5E">
        <w:rPr>
          <w:rFonts w:cs="Arial"/>
          <w:lang w:val="en-AU"/>
        </w:rPr>
        <w:t>of Traditional Owners and Aboriginal communities in environmental water planning and management</w:t>
      </w:r>
      <w:r w:rsidR="718DA548" w:rsidRPr="00966D5E">
        <w:rPr>
          <w:rFonts w:cs="Arial"/>
          <w:lang w:val="en-AU"/>
        </w:rPr>
        <w:t>.</w:t>
      </w:r>
    </w:p>
    <w:p w14:paraId="096F9310" w14:textId="77777777" w:rsidR="002E331D" w:rsidRPr="00966D5E" w:rsidRDefault="006F0D81" w:rsidP="001A4A88">
      <w:pPr>
        <w:pStyle w:val="BulletLevel1"/>
        <w:rPr>
          <w:rFonts w:cs="Arial"/>
          <w:lang w:val="en-AU"/>
        </w:rPr>
      </w:pPr>
      <w:r w:rsidRPr="00966D5E">
        <w:rPr>
          <w:rFonts w:cs="Arial"/>
          <w:b/>
          <w:bCs/>
          <w:lang w:val="en-AU"/>
        </w:rPr>
        <w:t xml:space="preserve">SIRS6: </w:t>
      </w:r>
      <w:r w:rsidR="00A17B7C" w:rsidRPr="00966D5E">
        <w:rPr>
          <w:rFonts w:cs="Arial"/>
          <w:b/>
          <w:bCs/>
          <w:lang w:val="en-AU"/>
        </w:rPr>
        <w:t>Murray Programs:</w:t>
      </w:r>
      <w:r w:rsidR="00A17B7C" w:rsidRPr="00966D5E">
        <w:rPr>
          <w:rFonts w:cs="Arial"/>
          <w:lang w:val="en-AU"/>
        </w:rPr>
        <w:t xml:space="preserve"> New partnerships </w:t>
      </w:r>
      <w:r w:rsidR="00320AF3" w:rsidRPr="00966D5E">
        <w:rPr>
          <w:rFonts w:cs="Arial"/>
          <w:lang w:val="en-AU"/>
        </w:rPr>
        <w:t>were</w:t>
      </w:r>
      <w:r w:rsidR="00A17B7C" w:rsidRPr="00966D5E">
        <w:rPr>
          <w:rFonts w:cs="Arial"/>
          <w:lang w:val="en-AU"/>
        </w:rPr>
        <w:t xml:space="preserve"> developed and/or existing partnerships expanded across the </w:t>
      </w:r>
      <w:r w:rsidR="007B6FD0" w:rsidRPr="00966D5E">
        <w:rPr>
          <w:rFonts w:cs="Arial"/>
          <w:lang w:val="en-AU"/>
        </w:rPr>
        <w:t>Victorian Murray Floodplain Restoration Project</w:t>
      </w:r>
      <w:r w:rsidR="00A17B7C" w:rsidRPr="00966D5E">
        <w:rPr>
          <w:rFonts w:cs="Arial"/>
          <w:lang w:val="en-AU"/>
        </w:rPr>
        <w:t xml:space="preserve"> area which includes 14 different Traditional Owner groups. Aboriginal Waterways Assessments have been a key aspect to inform land and water aspirations. </w:t>
      </w:r>
      <w:r w:rsidR="008854DF" w:rsidRPr="00966D5E">
        <w:rPr>
          <w:rFonts w:cs="Arial"/>
          <w:lang w:val="en-AU"/>
        </w:rPr>
        <w:t>In EC5</w:t>
      </w:r>
      <w:r w:rsidR="00A17B7C" w:rsidRPr="00966D5E">
        <w:rPr>
          <w:rFonts w:cs="Arial"/>
          <w:lang w:val="en-AU"/>
        </w:rPr>
        <w:t xml:space="preserve">, </w:t>
      </w:r>
      <w:r w:rsidR="008854DF" w:rsidRPr="00966D5E">
        <w:rPr>
          <w:rFonts w:cs="Arial"/>
          <w:lang w:val="en-AU"/>
        </w:rPr>
        <w:t xml:space="preserve">48 </w:t>
      </w:r>
      <w:r w:rsidR="00320AF3" w:rsidRPr="00966D5E">
        <w:rPr>
          <w:rFonts w:cs="Arial"/>
          <w:lang w:val="en-AU"/>
        </w:rPr>
        <w:t>were</w:t>
      </w:r>
      <w:r w:rsidR="00A17B7C" w:rsidRPr="00966D5E">
        <w:rPr>
          <w:rFonts w:cs="Arial"/>
          <w:lang w:val="en-AU"/>
        </w:rPr>
        <w:t xml:space="preserve"> completed through the Mallee </w:t>
      </w:r>
      <w:r w:rsidR="007B6FD0" w:rsidRPr="00966D5E">
        <w:rPr>
          <w:rFonts w:cs="Arial"/>
          <w:lang w:val="en-AU"/>
        </w:rPr>
        <w:t>CMA</w:t>
      </w:r>
      <w:r w:rsidR="00A17B7C" w:rsidRPr="00966D5E">
        <w:rPr>
          <w:rFonts w:cs="Arial"/>
          <w:lang w:val="en-AU"/>
        </w:rPr>
        <w:t xml:space="preserve">, with </w:t>
      </w:r>
      <w:r w:rsidR="00DD55C6" w:rsidRPr="00966D5E">
        <w:rPr>
          <w:rFonts w:cs="Arial"/>
          <w:lang w:val="en-AU"/>
        </w:rPr>
        <w:t xml:space="preserve">171 </w:t>
      </w:r>
      <w:r w:rsidR="00A17B7C" w:rsidRPr="00966D5E">
        <w:rPr>
          <w:rFonts w:cs="Arial"/>
          <w:lang w:val="en-AU"/>
        </w:rPr>
        <w:t xml:space="preserve">individual participants and </w:t>
      </w:r>
      <w:r w:rsidR="00DD55C6" w:rsidRPr="00966D5E">
        <w:rPr>
          <w:rFonts w:cs="Arial"/>
          <w:lang w:val="en-AU"/>
        </w:rPr>
        <w:t xml:space="preserve">10 </w:t>
      </w:r>
      <w:r w:rsidR="00A17B7C" w:rsidRPr="00966D5E">
        <w:rPr>
          <w:rFonts w:cs="Arial"/>
          <w:lang w:val="en-AU"/>
        </w:rPr>
        <w:t>groups.</w:t>
      </w:r>
    </w:p>
    <w:p w14:paraId="1EB098EE" w14:textId="2221E58A" w:rsidR="00406D57" w:rsidRPr="00966D5E" w:rsidRDefault="003068EC" w:rsidP="005D3FA9">
      <w:pPr>
        <w:pStyle w:val="BulletLevel1"/>
        <w:rPr>
          <w:rFonts w:cs="Arial"/>
          <w:lang w:val="en-AU"/>
        </w:rPr>
      </w:pPr>
      <w:r w:rsidRPr="00966D5E">
        <w:rPr>
          <w:rFonts w:cs="Arial"/>
          <w:b/>
          <w:bCs/>
          <w:lang w:val="en-AU"/>
        </w:rPr>
        <w:lastRenderedPageBreak/>
        <w:t xml:space="preserve">CWCT11: </w:t>
      </w:r>
      <w:r w:rsidR="00A17B7C" w:rsidRPr="00966D5E">
        <w:rPr>
          <w:rFonts w:cs="Arial"/>
          <w:b/>
          <w:bCs/>
          <w:lang w:val="en-AU"/>
        </w:rPr>
        <w:t>Our Catchments Our Communities:</w:t>
      </w:r>
      <w:r w:rsidR="00A17B7C" w:rsidRPr="00966D5E">
        <w:rPr>
          <w:rFonts w:cs="Arial"/>
          <w:lang w:val="en-AU"/>
        </w:rPr>
        <w:t xml:space="preserve"> Traditional Owner groups were </w:t>
      </w:r>
      <w:r w:rsidR="00320AF3" w:rsidRPr="00966D5E">
        <w:rPr>
          <w:rFonts w:cs="Arial"/>
          <w:lang w:val="en-AU"/>
        </w:rPr>
        <w:t>key participants in</w:t>
      </w:r>
      <w:r w:rsidR="00A17B7C" w:rsidRPr="00966D5E">
        <w:rPr>
          <w:rFonts w:cs="Arial"/>
          <w:lang w:val="en-AU"/>
        </w:rPr>
        <w:t xml:space="preserve"> the Catchment stewardship projects, with </w:t>
      </w:r>
      <w:r w:rsidR="00320AF3" w:rsidRPr="00D90AD4">
        <w:rPr>
          <w:rFonts w:cs="Arial"/>
          <w:lang w:val="en-AU"/>
        </w:rPr>
        <w:t>12</w:t>
      </w:r>
      <w:r w:rsidR="00155485" w:rsidRPr="00D90AD4">
        <w:rPr>
          <w:rFonts w:cs="Arial"/>
          <w:lang w:val="en-AU"/>
        </w:rPr>
        <w:t xml:space="preserve"> formal partnerships with Traditional Owner groups and 22 with Aboriginal Victorians</w:t>
      </w:r>
      <w:r w:rsidR="00335252" w:rsidRPr="00D90AD4">
        <w:rPr>
          <w:rFonts w:cs="Arial"/>
          <w:lang w:val="en-AU"/>
        </w:rPr>
        <w:t>.</w:t>
      </w:r>
      <w:r w:rsidR="00644CFA" w:rsidRPr="00D90AD4">
        <w:rPr>
          <w:rFonts w:cs="Arial"/>
          <w:lang w:val="en-AU"/>
        </w:rPr>
        <w:t xml:space="preserve"> Traditional Owner voices feature</w:t>
      </w:r>
      <w:r w:rsidR="00320AF3" w:rsidRPr="00D90AD4">
        <w:rPr>
          <w:rFonts w:cs="Arial"/>
          <w:lang w:val="en-AU"/>
        </w:rPr>
        <w:t>d</w:t>
      </w:r>
      <w:r w:rsidR="00644CFA" w:rsidRPr="00D90AD4">
        <w:rPr>
          <w:rFonts w:cs="Arial"/>
          <w:lang w:val="en-AU"/>
        </w:rPr>
        <w:t xml:space="preserve"> in planning (e.g. in </w:t>
      </w:r>
      <w:r w:rsidR="00E041A4" w:rsidRPr="00D90AD4">
        <w:rPr>
          <w:rFonts w:cs="Arial"/>
          <w:lang w:val="en-AU"/>
        </w:rPr>
        <w:t>the Regionals Catchment Strategies</w:t>
      </w:r>
      <w:r w:rsidR="00644CFA" w:rsidRPr="00D90AD4">
        <w:rPr>
          <w:rFonts w:cs="Arial"/>
          <w:lang w:val="en-AU"/>
        </w:rPr>
        <w:t>) and on-ground delivery and are supporting Aboriginal self-determination.</w:t>
      </w:r>
    </w:p>
    <w:p w14:paraId="21ACD046" w14:textId="77777777" w:rsidR="002E331D" w:rsidRPr="00966D5E" w:rsidRDefault="00406D57" w:rsidP="00406D57">
      <w:pPr>
        <w:pStyle w:val="Heading3"/>
        <w:rPr>
          <w:rFonts w:cs="Arial"/>
          <w:lang w:val="en-AU"/>
        </w:rPr>
      </w:pPr>
      <w:r w:rsidRPr="00966D5E">
        <w:rPr>
          <w:rFonts w:cs="Arial"/>
          <w:lang w:val="en-AU"/>
        </w:rPr>
        <w:t>Increased water availability for Traditional Owner groups</w:t>
      </w:r>
    </w:p>
    <w:p w14:paraId="02ED3401" w14:textId="6A42D9DD" w:rsidR="00406D57" w:rsidRPr="00966D5E" w:rsidRDefault="00CF17FB">
      <w:pPr>
        <w:pStyle w:val="BulletLevel1"/>
        <w:numPr>
          <w:ilvl w:val="0"/>
          <w:numId w:val="0"/>
        </w:numPr>
        <w:rPr>
          <w:rFonts w:cs="Arial"/>
          <w:lang w:val="en-AU"/>
        </w:rPr>
      </w:pPr>
      <w:r w:rsidRPr="00966D5E">
        <w:rPr>
          <w:rFonts w:cs="Arial"/>
          <w:lang w:val="en-AU"/>
        </w:rPr>
        <w:t>In</w:t>
      </w:r>
      <w:r w:rsidR="00667D7E" w:rsidRPr="00966D5E">
        <w:rPr>
          <w:rFonts w:cs="Arial"/>
          <w:lang w:val="en-AU"/>
        </w:rPr>
        <w:t xml:space="preserve"> EC5, the Victorian Government started returning water to Traditional Owners</w:t>
      </w:r>
      <w:r w:rsidR="00D273A2" w:rsidRPr="00966D5E">
        <w:rPr>
          <w:rFonts w:cs="Arial"/>
          <w:lang w:val="en-AU"/>
        </w:rPr>
        <w:t xml:space="preserve"> and has identified opportunities to increase water availability for Traditional Owner groups</w:t>
      </w:r>
      <w:r w:rsidR="00667D7E" w:rsidRPr="00966D5E">
        <w:rPr>
          <w:rFonts w:cs="Arial"/>
          <w:lang w:val="en-AU"/>
        </w:rPr>
        <w:t>.</w:t>
      </w:r>
      <w:r w:rsidR="004F52BC" w:rsidRPr="00966D5E">
        <w:rPr>
          <w:rFonts w:cs="Arial"/>
          <w:lang w:val="en-AU"/>
        </w:rPr>
        <w:t xml:space="preserve"> Examples of ways in which the EC5 projects have contributed to this outcome include:</w:t>
      </w:r>
    </w:p>
    <w:p w14:paraId="60F0AAF5" w14:textId="4051396D" w:rsidR="00406D57" w:rsidRPr="00966D5E" w:rsidRDefault="00406D57" w:rsidP="4F63DF17">
      <w:pPr>
        <w:pStyle w:val="BulletLevel1"/>
        <w:rPr>
          <w:rFonts w:cs="Arial"/>
          <w:b/>
          <w:bCs/>
          <w:lang w:val="en-AU"/>
        </w:rPr>
      </w:pPr>
      <w:r w:rsidRPr="00966D5E">
        <w:rPr>
          <w:rFonts w:cs="Arial"/>
          <w:b/>
          <w:bCs/>
          <w:lang w:val="en-AU"/>
        </w:rPr>
        <w:t>WRS2: Water Grid Oversight:</w:t>
      </w:r>
      <w:r w:rsidRPr="00966D5E">
        <w:rPr>
          <w:rFonts w:cs="Arial"/>
          <w:lang w:val="en-AU"/>
        </w:rPr>
        <w:t xml:space="preserve"> This project delivered a two-tier Quadruple Bottom Line assessment process and associated documentation that ensures </w:t>
      </w:r>
      <w:r w:rsidR="3FB4F024" w:rsidRPr="00966D5E">
        <w:rPr>
          <w:rFonts w:cs="Arial"/>
          <w:lang w:val="en-AU"/>
        </w:rPr>
        <w:t>the development of</w:t>
      </w:r>
      <w:r w:rsidR="735A5969" w:rsidRPr="00966D5E">
        <w:rPr>
          <w:rFonts w:cs="Arial"/>
          <w:lang w:val="en-AU"/>
        </w:rPr>
        <w:t xml:space="preserve"> future large scale water supply</w:t>
      </w:r>
      <w:r w:rsidR="53D4DD2A" w:rsidRPr="00966D5E">
        <w:rPr>
          <w:rFonts w:cs="Arial"/>
          <w:lang w:val="en-AU"/>
        </w:rPr>
        <w:t xml:space="preserve"> will </w:t>
      </w:r>
      <w:r w:rsidR="034147A5" w:rsidRPr="00966D5E">
        <w:rPr>
          <w:rFonts w:cs="Arial"/>
          <w:lang w:val="en-AU"/>
        </w:rPr>
        <w:t xml:space="preserve">include consideration of </w:t>
      </w:r>
      <w:r w:rsidR="5EE64838" w:rsidRPr="00966D5E">
        <w:rPr>
          <w:rFonts w:cs="Arial"/>
          <w:lang w:val="en-AU"/>
        </w:rPr>
        <w:t xml:space="preserve">how the project(s) may enable </w:t>
      </w:r>
      <w:r w:rsidRPr="00966D5E">
        <w:rPr>
          <w:rFonts w:cs="Arial"/>
          <w:lang w:val="en-AU"/>
        </w:rPr>
        <w:t>return</w:t>
      </w:r>
      <w:r w:rsidR="170707F2" w:rsidRPr="00966D5E">
        <w:rPr>
          <w:rFonts w:cs="Arial"/>
          <w:lang w:val="en-AU"/>
        </w:rPr>
        <w:t>ing</w:t>
      </w:r>
      <w:r w:rsidRPr="00966D5E">
        <w:rPr>
          <w:rFonts w:cs="Arial"/>
          <w:lang w:val="en-AU"/>
        </w:rPr>
        <w:t xml:space="preserve"> water to Traditional Owners and the environment. </w:t>
      </w:r>
    </w:p>
    <w:p w14:paraId="6F55DB30" w14:textId="77777777" w:rsidR="002E331D" w:rsidRPr="00966D5E" w:rsidRDefault="00406D57" w:rsidP="00406D57">
      <w:pPr>
        <w:pStyle w:val="BulletLevel1"/>
        <w:rPr>
          <w:rFonts w:cs="Arial"/>
          <w:lang w:val="en-AU"/>
        </w:rPr>
      </w:pPr>
      <w:r w:rsidRPr="00966D5E">
        <w:rPr>
          <w:rFonts w:cs="Arial"/>
          <w:b/>
          <w:bCs/>
          <w:lang w:val="en-AU"/>
        </w:rPr>
        <w:t>WRS5: Managing Victoria’s Water Sharing Framework</w:t>
      </w:r>
      <w:r w:rsidRPr="00966D5E">
        <w:rPr>
          <w:rFonts w:cs="Arial"/>
          <w:lang w:val="en-AU"/>
        </w:rPr>
        <w:t>: Provided support for the return of water to Traditional Owner groups across Victoria through administration of the entitlement framework.</w:t>
      </w:r>
    </w:p>
    <w:p w14:paraId="4ED525DB" w14:textId="77777777" w:rsidR="002E331D" w:rsidRPr="00966D5E" w:rsidRDefault="00406D57" w:rsidP="00406D57">
      <w:pPr>
        <w:pStyle w:val="BulletLevel1"/>
        <w:rPr>
          <w:rFonts w:cs="Arial"/>
          <w:lang w:val="en-AU"/>
        </w:rPr>
      </w:pPr>
      <w:r w:rsidRPr="00966D5E">
        <w:rPr>
          <w:rFonts w:cs="Arial"/>
          <w:b/>
          <w:bCs/>
          <w:lang w:val="en-AU"/>
        </w:rPr>
        <w:t>WRS6: Licensing framework groundwater and unregulated systems:</w:t>
      </w:r>
      <w:r w:rsidRPr="00966D5E">
        <w:rPr>
          <w:rFonts w:cs="Arial"/>
          <w:color w:val="00B050"/>
          <w:lang w:val="en-AU"/>
        </w:rPr>
        <w:t xml:space="preserve"> </w:t>
      </w:r>
      <w:r w:rsidRPr="00966D5E">
        <w:rPr>
          <w:rFonts w:cs="Arial"/>
          <w:lang w:val="en-AU"/>
        </w:rPr>
        <w:t xml:space="preserve">This project </w:t>
      </w:r>
      <w:r w:rsidRPr="00D90AD4">
        <w:rPr>
          <w:rFonts w:cs="Arial"/>
          <w:lang w:val="en-AU"/>
        </w:rPr>
        <w:t xml:space="preserve">supported commitments made in </w:t>
      </w:r>
      <w:r w:rsidRPr="00D90AD4">
        <w:rPr>
          <w:rFonts w:cs="Arial"/>
          <w:i/>
          <w:lang w:val="en-AU"/>
        </w:rPr>
        <w:t>Water is Life</w:t>
      </w:r>
      <w:r w:rsidRPr="00D90AD4">
        <w:rPr>
          <w:rFonts w:cs="Arial"/>
          <w:lang w:val="en-AU"/>
        </w:rPr>
        <w:t xml:space="preserve"> and the CGSWS by identifying ways to reduce obstacles for Traditional Owners applying for section 51 licences and established an authorisation process allowing Traditional Owner Groups to nominate crown land parcels for a section 51 licence application, where the Traditional Owner group does not own or occupy land. Traditional Owners were also invited to participate in GM2030 and groundwater management.</w:t>
      </w:r>
    </w:p>
    <w:p w14:paraId="6036324B" w14:textId="77777777" w:rsidR="002E331D" w:rsidRPr="00966D5E" w:rsidRDefault="00406D57" w:rsidP="00406D57">
      <w:pPr>
        <w:pStyle w:val="BulletLevel1"/>
        <w:rPr>
          <w:rFonts w:cs="Arial"/>
          <w:lang w:val="en-AU"/>
        </w:rPr>
      </w:pPr>
      <w:r w:rsidRPr="00966D5E">
        <w:rPr>
          <w:rFonts w:cs="Arial"/>
          <w:b/>
          <w:bCs/>
          <w:lang w:val="en-AU"/>
        </w:rPr>
        <w:t>PSP2: Sustainable Water Strategies:</w:t>
      </w:r>
      <w:r w:rsidRPr="00966D5E">
        <w:rPr>
          <w:rFonts w:cs="Arial"/>
          <w:lang w:val="en-AU"/>
        </w:rPr>
        <w:t xml:space="preserve"> The </w:t>
      </w:r>
      <w:r w:rsidR="00714830" w:rsidRPr="00966D5E">
        <w:rPr>
          <w:rFonts w:cs="Arial"/>
          <w:lang w:val="en-AU"/>
        </w:rPr>
        <w:t>f</w:t>
      </w:r>
      <w:r w:rsidRPr="00966D5E">
        <w:rPr>
          <w:rFonts w:cs="Arial"/>
          <w:lang w:val="en-AU"/>
        </w:rPr>
        <w:t>inal CGRSWS identified where there is unallocated water on relevant Country and where there are other opportunities to return water to Traditional Owners in the region, such as:</w:t>
      </w:r>
    </w:p>
    <w:p w14:paraId="6FA3AA8A" w14:textId="77777777" w:rsidR="002E331D" w:rsidRPr="00966D5E" w:rsidRDefault="00406D57" w:rsidP="00406D57">
      <w:pPr>
        <w:pStyle w:val="BulletLevel2"/>
        <w:rPr>
          <w:rFonts w:cs="Arial"/>
          <w:lang w:val="en-AU"/>
        </w:rPr>
      </w:pPr>
      <w:r w:rsidRPr="00966D5E">
        <w:rPr>
          <w:rFonts w:cs="Arial"/>
          <w:lang w:val="en-AU"/>
        </w:rPr>
        <w:t xml:space="preserve">Actions 4-3 and 4-4 related to the return of water in the Moorabool River to the </w:t>
      </w:r>
      <w:proofErr w:type="spellStart"/>
      <w:r w:rsidRPr="00966D5E">
        <w:rPr>
          <w:rFonts w:cs="Arial"/>
          <w:lang w:val="en-AU"/>
        </w:rPr>
        <w:t>Wadawurrung</w:t>
      </w:r>
      <w:proofErr w:type="spellEnd"/>
      <w:r w:rsidRPr="00966D5E">
        <w:rPr>
          <w:rFonts w:cs="Arial"/>
          <w:lang w:val="en-AU"/>
        </w:rPr>
        <w:t xml:space="preserve"> Traditional Owners Aboriginal Corporation.</w:t>
      </w:r>
    </w:p>
    <w:p w14:paraId="36A4CABF" w14:textId="3185A8A6" w:rsidR="00406D57" w:rsidRPr="00966D5E" w:rsidRDefault="00406D57" w:rsidP="00406D57">
      <w:pPr>
        <w:pStyle w:val="BulletLevel2"/>
        <w:rPr>
          <w:rFonts w:cs="Arial"/>
          <w:lang w:val="en-AU"/>
        </w:rPr>
      </w:pPr>
      <w:r w:rsidRPr="00966D5E">
        <w:rPr>
          <w:rFonts w:cs="Arial"/>
          <w:lang w:val="en-AU"/>
        </w:rPr>
        <w:t xml:space="preserve">Actions 4-9 and 6-10 commit to returning water to Wurundjeri </w:t>
      </w:r>
      <w:proofErr w:type="spellStart"/>
      <w:r w:rsidRPr="00966D5E">
        <w:rPr>
          <w:rFonts w:cs="Arial"/>
          <w:lang w:val="en-AU"/>
        </w:rPr>
        <w:t>Woi</w:t>
      </w:r>
      <w:proofErr w:type="spellEnd"/>
      <w:r w:rsidR="00065E5E" w:rsidRPr="00966D5E">
        <w:rPr>
          <w:rFonts w:cs="Arial"/>
          <w:lang w:val="en-AU"/>
        </w:rPr>
        <w:t xml:space="preserve"> </w:t>
      </w:r>
      <w:r w:rsidRPr="00966D5E">
        <w:rPr>
          <w:rFonts w:cs="Arial"/>
          <w:lang w:val="en-AU"/>
        </w:rPr>
        <w:t xml:space="preserve">Wurrung Cultural Heritage Aboriginal Corporation, including from the </w:t>
      </w:r>
      <w:r w:rsidR="00781E09" w:rsidRPr="00966D5E">
        <w:rPr>
          <w:rFonts w:cs="Arial"/>
          <w:lang w:val="en-AU"/>
        </w:rPr>
        <w:t xml:space="preserve">Amcor </w:t>
      </w:r>
      <w:r w:rsidRPr="00966D5E">
        <w:rPr>
          <w:rFonts w:cs="Arial"/>
          <w:lang w:val="en-AU"/>
        </w:rPr>
        <w:t>licence.</w:t>
      </w:r>
    </w:p>
    <w:p w14:paraId="6B02CB7D" w14:textId="77777777" w:rsidR="00406D57" w:rsidRPr="00966D5E" w:rsidRDefault="00406D57" w:rsidP="00406D57">
      <w:pPr>
        <w:pStyle w:val="BulletLevel2"/>
        <w:rPr>
          <w:rFonts w:cs="Arial"/>
          <w:lang w:val="en-AU"/>
        </w:rPr>
      </w:pPr>
      <w:r w:rsidRPr="00966D5E">
        <w:rPr>
          <w:rFonts w:cs="Arial"/>
          <w:lang w:val="en-AU"/>
        </w:rPr>
        <w:t>Actions 6-7 commits to evaluating opportunities to return water to Bunurong Land Council Aboriginal Corporation currently used by the Royal Botanic Gardens.</w:t>
      </w:r>
    </w:p>
    <w:p w14:paraId="65456CE6" w14:textId="77777777" w:rsidR="00406D57" w:rsidRPr="00966D5E" w:rsidRDefault="00406D57" w:rsidP="00406D57">
      <w:pPr>
        <w:pStyle w:val="BulletLevel2"/>
        <w:rPr>
          <w:rFonts w:cs="Arial"/>
          <w:lang w:val="en-AU"/>
        </w:rPr>
      </w:pPr>
      <w:r w:rsidRPr="00966D5E">
        <w:rPr>
          <w:rFonts w:cs="Arial"/>
          <w:lang w:val="en-AU"/>
        </w:rPr>
        <w:t xml:space="preserve">Action 4-8 commits the government to a reallocation of the Latrobe 3 – 4 Bench bulk entitlement to share water with </w:t>
      </w:r>
      <w:proofErr w:type="spellStart"/>
      <w:r w:rsidRPr="00966D5E">
        <w:rPr>
          <w:rFonts w:cs="Arial"/>
          <w:lang w:val="en-AU"/>
        </w:rPr>
        <w:t>Gunaikurnai</w:t>
      </w:r>
      <w:proofErr w:type="spellEnd"/>
      <w:r w:rsidRPr="00966D5E">
        <w:rPr>
          <w:rFonts w:cs="Arial"/>
          <w:lang w:val="en-AU"/>
        </w:rPr>
        <w:t xml:space="preserve"> Land and Waters Aboriginal Corporation and the environment.</w:t>
      </w:r>
    </w:p>
    <w:p w14:paraId="336FA260" w14:textId="77777777" w:rsidR="00406D57" w:rsidRPr="00966D5E" w:rsidRDefault="00406D57" w:rsidP="00406D57">
      <w:pPr>
        <w:pStyle w:val="BulletLevel2"/>
        <w:rPr>
          <w:rFonts w:cs="Arial"/>
          <w:lang w:val="en-AU"/>
        </w:rPr>
      </w:pPr>
      <w:r w:rsidRPr="00966D5E">
        <w:rPr>
          <w:rFonts w:cs="Arial"/>
          <w:lang w:val="en-AU"/>
        </w:rPr>
        <w:t>Action 6-16 commits the Government to return water to the Eastern Maar Aboriginal Corporation in the Barwon River.</w:t>
      </w:r>
    </w:p>
    <w:p w14:paraId="5CB50927" w14:textId="5F12A224" w:rsidR="00406D57" w:rsidRPr="00966D5E" w:rsidRDefault="00406D57" w:rsidP="00406D57">
      <w:pPr>
        <w:pStyle w:val="BulletLevel1"/>
        <w:rPr>
          <w:rFonts w:cs="Arial"/>
          <w:lang w:val="en-AU"/>
        </w:rPr>
      </w:pPr>
      <w:r w:rsidRPr="00966D5E">
        <w:rPr>
          <w:rFonts w:cs="Arial"/>
          <w:b/>
          <w:bCs/>
          <w:lang w:val="en-AU"/>
        </w:rPr>
        <w:t xml:space="preserve">CWCT07: CGRSWS </w:t>
      </w:r>
      <w:r w:rsidR="00623030" w:rsidRPr="00966D5E">
        <w:rPr>
          <w:rFonts w:cs="Arial"/>
          <w:b/>
          <w:bCs/>
          <w:lang w:val="en-AU"/>
        </w:rPr>
        <w:t xml:space="preserve">Funding </w:t>
      </w:r>
      <w:r w:rsidRPr="00966D5E">
        <w:rPr>
          <w:rFonts w:cs="Arial"/>
          <w:b/>
          <w:bCs/>
          <w:lang w:val="en-AU"/>
        </w:rPr>
        <w:t xml:space="preserve">Stream 2 Diversify </w:t>
      </w:r>
      <w:r w:rsidR="00623030" w:rsidRPr="00966D5E">
        <w:rPr>
          <w:rFonts w:cs="Arial"/>
          <w:b/>
          <w:bCs/>
          <w:lang w:val="en-AU"/>
        </w:rPr>
        <w:t>W</w:t>
      </w:r>
      <w:r w:rsidRPr="00966D5E">
        <w:rPr>
          <w:rFonts w:cs="Arial"/>
          <w:b/>
          <w:bCs/>
          <w:lang w:val="en-AU"/>
        </w:rPr>
        <w:t xml:space="preserve">ater </w:t>
      </w:r>
      <w:r w:rsidR="00623030" w:rsidRPr="00966D5E">
        <w:rPr>
          <w:rFonts w:cs="Arial"/>
          <w:b/>
          <w:bCs/>
          <w:lang w:val="en-AU"/>
        </w:rPr>
        <w:t>S</w:t>
      </w:r>
      <w:r w:rsidRPr="00966D5E">
        <w:rPr>
          <w:rFonts w:cs="Arial"/>
          <w:b/>
          <w:bCs/>
          <w:lang w:val="en-AU"/>
        </w:rPr>
        <w:t xml:space="preserve">ources and </w:t>
      </w:r>
      <w:r w:rsidR="00623030" w:rsidRPr="00966D5E">
        <w:rPr>
          <w:rFonts w:cs="Arial"/>
          <w:b/>
          <w:bCs/>
          <w:lang w:val="en-AU"/>
        </w:rPr>
        <w:t>I</w:t>
      </w:r>
      <w:r w:rsidRPr="00966D5E">
        <w:rPr>
          <w:rFonts w:cs="Arial"/>
          <w:b/>
          <w:bCs/>
          <w:lang w:val="en-AU"/>
        </w:rPr>
        <w:t xml:space="preserve">ncrease </w:t>
      </w:r>
      <w:r w:rsidR="00623030" w:rsidRPr="00966D5E">
        <w:rPr>
          <w:rFonts w:cs="Arial"/>
          <w:b/>
          <w:bCs/>
          <w:lang w:val="en-AU"/>
        </w:rPr>
        <w:t>W</w:t>
      </w:r>
      <w:r w:rsidRPr="00966D5E">
        <w:rPr>
          <w:rFonts w:cs="Arial"/>
          <w:b/>
          <w:bCs/>
          <w:lang w:val="en-AU"/>
        </w:rPr>
        <w:t xml:space="preserve">ater </w:t>
      </w:r>
      <w:r w:rsidR="00623030" w:rsidRPr="00966D5E">
        <w:rPr>
          <w:rFonts w:cs="Arial"/>
          <w:b/>
          <w:bCs/>
          <w:lang w:val="en-AU"/>
        </w:rPr>
        <w:t>E</w:t>
      </w:r>
      <w:r w:rsidRPr="00966D5E">
        <w:rPr>
          <w:rFonts w:cs="Arial"/>
          <w:b/>
          <w:bCs/>
          <w:lang w:val="en-AU"/>
        </w:rPr>
        <w:t>fficiency:</w:t>
      </w:r>
      <w:r w:rsidRPr="00966D5E">
        <w:rPr>
          <w:rFonts w:cs="Arial"/>
          <w:lang w:val="en-AU"/>
        </w:rPr>
        <w:t xml:space="preserve"> The Werribee Reconfiguration Project explored substituting recycled water volumes in the order of 16 GL/year for water return to Traditional Owners and the environment.</w:t>
      </w:r>
    </w:p>
    <w:p w14:paraId="282CF390" w14:textId="243BF84D" w:rsidR="00406D57" w:rsidRPr="00D90AD4" w:rsidRDefault="00406D57" w:rsidP="00406D57">
      <w:pPr>
        <w:pStyle w:val="BulletLevel1"/>
        <w:rPr>
          <w:rFonts w:cs="Arial"/>
          <w:lang w:val="en-AU"/>
        </w:rPr>
      </w:pPr>
      <w:r w:rsidRPr="00966D5E">
        <w:rPr>
          <w:rFonts w:cs="Arial"/>
          <w:b/>
          <w:bCs/>
          <w:lang w:val="en-AU"/>
        </w:rPr>
        <w:t>CWCT06: Aboriginal Water Program:</w:t>
      </w:r>
      <w:r w:rsidRPr="00966D5E">
        <w:rPr>
          <w:rFonts w:cs="Arial"/>
          <w:lang w:val="en-AU"/>
        </w:rPr>
        <w:t xml:space="preserve"> The Victorian Government recognises First Nations’ and Traditional Owners’ rights and connection to water through </w:t>
      </w:r>
      <w:r w:rsidRPr="00966D5E">
        <w:rPr>
          <w:rFonts w:cs="Arial"/>
          <w:i/>
          <w:lang w:val="en-AU"/>
        </w:rPr>
        <w:t>Water for Victoria</w:t>
      </w:r>
      <w:r w:rsidRPr="00966D5E">
        <w:rPr>
          <w:rFonts w:cs="Arial"/>
          <w:lang w:val="en-AU"/>
        </w:rPr>
        <w:t xml:space="preserve"> (2016) and is committed to increasing the water available to Traditional Owners to use for self-determined purposes. </w:t>
      </w:r>
      <w:r w:rsidRPr="00966D5E">
        <w:rPr>
          <w:rFonts w:cs="Arial"/>
          <w:i/>
          <w:lang w:val="en-AU"/>
        </w:rPr>
        <w:t>Water is Life</w:t>
      </w:r>
      <w:r w:rsidR="00EC2B88" w:rsidRPr="00966D5E">
        <w:rPr>
          <w:rFonts w:cs="Arial"/>
          <w:lang w:val="en-AU"/>
        </w:rPr>
        <w:t xml:space="preserve"> </w:t>
      </w:r>
      <w:r w:rsidRPr="00966D5E">
        <w:rPr>
          <w:rFonts w:cs="Arial"/>
          <w:lang w:val="en-AU"/>
        </w:rPr>
        <w:t xml:space="preserve">and the CGRSWS establishes pathways to increase water return to Traditional Owner </w:t>
      </w:r>
      <w:r w:rsidR="004F18CB" w:rsidRPr="00966D5E">
        <w:rPr>
          <w:rFonts w:cs="Arial"/>
          <w:lang w:val="en-AU"/>
        </w:rPr>
        <w:t>g</w:t>
      </w:r>
      <w:r w:rsidRPr="00966D5E">
        <w:rPr>
          <w:rFonts w:cs="Arial"/>
          <w:lang w:val="en-AU"/>
        </w:rPr>
        <w:t xml:space="preserve">roups, which forms an important foundational basis for progress toward this outcome. Delivery of the Cultural Water for Cultural Economies project and 10 Traditional </w:t>
      </w:r>
      <w:r w:rsidRPr="00966D5E">
        <w:rPr>
          <w:rFonts w:cs="Arial"/>
          <w:lang w:val="en-AU"/>
        </w:rPr>
        <w:lastRenderedPageBreak/>
        <w:t xml:space="preserve">Owner-led pilot projects (2019-2021) also focused on understanding the current barriers to Traditional Owners' accessing, </w:t>
      </w:r>
      <w:proofErr w:type="gramStart"/>
      <w:r w:rsidRPr="00966D5E">
        <w:rPr>
          <w:rFonts w:cs="Arial"/>
          <w:lang w:val="en-AU"/>
        </w:rPr>
        <w:t>using</w:t>
      </w:r>
      <w:proofErr w:type="gramEnd"/>
      <w:r w:rsidRPr="00966D5E">
        <w:rPr>
          <w:rFonts w:cs="Arial"/>
          <w:lang w:val="en-AU"/>
        </w:rPr>
        <w:t xml:space="preserve"> and managing water. These activities provided foundational information used to inform the pathways to increase water returns outlined in </w:t>
      </w:r>
      <w:r w:rsidRPr="00966D5E">
        <w:rPr>
          <w:rFonts w:cs="Arial"/>
          <w:i/>
          <w:lang w:val="en-AU"/>
        </w:rPr>
        <w:t>Water is Life</w:t>
      </w:r>
      <w:r w:rsidRPr="00966D5E">
        <w:rPr>
          <w:rFonts w:cs="Arial"/>
          <w:lang w:val="en-AU"/>
        </w:rPr>
        <w:t>. During EC5, the Victorian Government started returning water to Traditional Owners:</w:t>
      </w:r>
    </w:p>
    <w:p w14:paraId="5F889F59" w14:textId="6B81DE11" w:rsidR="00406D57" w:rsidRPr="00D90AD4" w:rsidRDefault="00406D57" w:rsidP="00406D57">
      <w:pPr>
        <w:pStyle w:val="BulletLevel2"/>
        <w:rPr>
          <w:rFonts w:cs="Arial"/>
          <w:lang w:val="en-AU"/>
        </w:rPr>
      </w:pPr>
      <w:r w:rsidRPr="00D90AD4">
        <w:rPr>
          <w:rFonts w:cs="Arial"/>
          <w:lang w:val="en-AU"/>
        </w:rPr>
        <w:t xml:space="preserve">2 GL section 51 licence on the Mitchell River returned to </w:t>
      </w:r>
      <w:proofErr w:type="spellStart"/>
      <w:r w:rsidRPr="00D90AD4">
        <w:rPr>
          <w:rFonts w:cs="Arial"/>
          <w:lang w:val="en-AU"/>
        </w:rPr>
        <w:t>Gunaikurnai</w:t>
      </w:r>
      <w:proofErr w:type="spellEnd"/>
      <w:r w:rsidRPr="00D90AD4">
        <w:rPr>
          <w:rFonts w:cs="Arial"/>
          <w:lang w:val="en-AU"/>
        </w:rPr>
        <w:t xml:space="preserve"> Land and Waters Aboriginal Corporation in south-eastern Victoria</w:t>
      </w:r>
      <w:r w:rsidR="00F73B01" w:rsidRPr="00D90AD4">
        <w:rPr>
          <w:rFonts w:cs="Arial"/>
          <w:lang w:val="en-AU"/>
        </w:rPr>
        <w:t>.</w:t>
      </w:r>
    </w:p>
    <w:p w14:paraId="1755F07A" w14:textId="63D658AD" w:rsidR="00406D57" w:rsidRPr="00D90AD4" w:rsidRDefault="00406D57" w:rsidP="00406D57">
      <w:pPr>
        <w:pStyle w:val="BulletLevel2"/>
        <w:rPr>
          <w:rFonts w:cs="Arial"/>
          <w:lang w:val="en-AU"/>
        </w:rPr>
      </w:pPr>
      <w:r w:rsidRPr="00D90AD4">
        <w:rPr>
          <w:rFonts w:cs="Arial"/>
          <w:lang w:val="en-AU"/>
        </w:rPr>
        <w:t xml:space="preserve">2.5 GL section 51 licence on the Fitzroy River system returned to </w:t>
      </w:r>
      <w:proofErr w:type="spellStart"/>
      <w:r w:rsidRPr="00D90AD4">
        <w:rPr>
          <w:rFonts w:cs="Arial"/>
          <w:lang w:val="en-AU"/>
        </w:rPr>
        <w:t>Gunditj</w:t>
      </w:r>
      <w:proofErr w:type="spellEnd"/>
      <w:r w:rsidRPr="00D90AD4">
        <w:rPr>
          <w:rFonts w:cs="Arial"/>
          <w:lang w:val="en-AU"/>
        </w:rPr>
        <w:t xml:space="preserve"> </w:t>
      </w:r>
      <w:proofErr w:type="spellStart"/>
      <w:r w:rsidRPr="00D90AD4">
        <w:rPr>
          <w:rFonts w:cs="Arial"/>
          <w:lang w:val="en-AU"/>
        </w:rPr>
        <w:t>Mirring</w:t>
      </w:r>
      <w:proofErr w:type="spellEnd"/>
      <w:r w:rsidRPr="00D90AD4">
        <w:rPr>
          <w:rFonts w:cs="Arial"/>
          <w:lang w:val="en-AU"/>
        </w:rPr>
        <w:t xml:space="preserve"> Traditional Owners Aboriginal Corporation in south-western Victoria</w:t>
      </w:r>
      <w:r w:rsidR="00F73B01" w:rsidRPr="00D90AD4">
        <w:rPr>
          <w:rFonts w:cs="Arial"/>
          <w:lang w:val="en-AU"/>
        </w:rPr>
        <w:t>.</w:t>
      </w:r>
    </w:p>
    <w:p w14:paraId="56F73550" w14:textId="77777777" w:rsidR="00406D57" w:rsidRPr="00D90AD4" w:rsidRDefault="00406D57" w:rsidP="00406D57">
      <w:pPr>
        <w:pStyle w:val="BulletLevel2"/>
        <w:rPr>
          <w:rFonts w:cs="Arial"/>
          <w:lang w:val="en-AU"/>
        </w:rPr>
      </w:pPr>
      <w:r w:rsidRPr="00D90AD4">
        <w:rPr>
          <w:rFonts w:cs="Arial"/>
          <w:lang w:val="en-AU"/>
        </w:rPr>
        <w:t xml:space="preserve">Two licences for cultural water use (200 ML at Buchan </w:t>
      </w:r>
      <w:proofErr w:type="spellStart"/>
      <w:r w:rsidRPr="00D90AD4">
        <w:rPr>
          <w:rFonts w:cs="Arial"/>
          <w:lang w:val="en-AU"/>
        </w:rPr>
        <w:t>Munji</w:t>
      </w:r>
      <w:proofErr w:type="spellEnd"/>
      <w:r w:rsidRPr="00D90AD4">
        <w:rPr>
          <w:rFonts w:cs="Arial"/>
          <w:lang w:val="en-AU"/>
        </w:rPr>
        <w:t xml:space="preserve"> and 500 ML on the Tambo River) issued to </w:t>
      </w:r>
      <w:proofErr w:type="spellStart"/>
      <w:r w:rsidRPr="00D90AD4">
        <w:rPr>
          <w:rFonts w:cs="Arial"/>
          <w:lang w:val="en-AU"/>
        </w:rPr>
        <w:t>Gunaikurnai</w:t>
      </w:r>
      <w:proofErr w:type="spellEnd"/>
      <w:r w:rsidRPr="00D90AD4">
        <w:rPr>
          <w:rFonts w:cs="Arial"/>
          <w:lang w:val="en-AU"/>
        </w:rPr>
        <w:t xml:space="preserve"> Land and Waters Aboriginal Corporation.</w:t>
      </w:r>
    </w:p>
    <w:p w14:paraId="64C5125B" w14:textId="563A5FB6" w:rsidR="00406D57" w:rsidRPr="00D90AD4" w:rsidRDefault="00406D57" w:rsidP="455C9C29">
      <w:pPr>
        <w:pStyle w:val="BulletLevel2"/>
        <w:rPr>
          <w:rFonts w:cs="Arial"/>
          <w:lang w:val="en-AU"/>
        </w:rPr>
      </w:pPr>
      <w:r w:rsidRPr="00D90AD4">
        <w:rPr>
          <w:rFonts w:cs="Arial"/>
          <w:lang w:val="en-AU"/>
        </w:rPr>
        <w:t xml:space="preserve">A number of </w:t>
      </w:r>
      <w:proofErr w:type="gramStart"/>
      <w:r w:rsidRPr="00D90AD4">
        <w:rPr>
          <w:rFonts w:cs="Arial"/>
          <w:lang w:val="en-AU"/>
        </w:rPr>
        <w:t>water</w:t>
      </w:r>
      <w:proofErr w:type="gramEnd"/>
      <w:r w:rsidRPr="00D90AD4">
        <w:rPr>
          <w:rFonts w:cs="Arial"/>
          <w:lang w:val="en-AU"/>
        </w:rPr>
        <w:t xml:space="preserve"> returns in progress at the time of this </w:t>
      </w:r>
      <w:r w:rsidR="1663C0C3" w:rsidRPr="00D90AD4">
        <w:rPr>
          <w:rFonts w:cs="Arial"/>
          <w:lang w:val="en-AU"/>
        </w:rPr>
        <w:t>End-Of-Tranche</w:t>
      </w:r>
      <w:r w:rsidRPr="00D90AD4">
        <w:rPr>
          <w:rFonts w:cs="Arial"/>
          <w:lang w:val="en-AU"/>
        </w:rPr>
        <w:t xml:space="preserve"> evaluation.</w:t>
      </w:r>
    </w:p>
    <w:p w14:paraId="6C57FE73" w14:textId="2CF1A3CB" w:rsidR="00406D57" w:rsidRPr="00D90AD4" w:rsidRDefault="00406D57" w:rsidP="00493E28">
      <w:pPr>
        <w:pStyle w:val="BulletLevel2"/>
        <w:rPr>
          <w:rFonts w:cs="Arial"/>
          <w:lang w:val="en-AU"/>
        </w:rPr>
      </w:pPr>
      <w:r w:rsidRPr="00D90AD4">
        <w:rPr>
          <w:rFonts w:cs="Arial"/>
          <w:lang w:val="en-AU"/>
        </w:rPr>
        <w:t>In March 2022, Victoria reported for the National Agreement on Closing the Gap (Inland Waters Target) that Traditional Owners and Aboriginal Victorian organisations held 4,298</w:t>
      </w:r>
      <w:r w:rsidR="00F73B01" w:rsidRPr="00D90AD4">
        <w:rPr>
          <w:rFonts w:cs="Arial"/>
          <w:lang w:val="en-AU"/>
        </w:rPr>
        <w:t xml:space="preserve"> </w:t>
      </w:r>
      <w:r w:rsidRPr="00D90AD4">
        <w:rPr>
          <w:rFonts w:cs="Arial"/>
          <w:lang w:val="en-AU"/>
        </w:rPr>
        <w:t xml:space="preserve">ML of water entitlements. As </w:t>
      </w:r>
      <w:r w:rsidR="00F73B01" w:rsidRPr="00D90AD4">
        <w:rPr>
          <w:rFonts w:cs="Arial"/>
          <w:lang w:val="en-AU"/>
        </w:rPr>
        <w:t>of</w:t>
      </w:r>
      <w:r w:rsidRPr="00D90AD4">
        <w:rPr>
          <w:rFonts w:cs="Arial"/>
          <w:lang w:val="en-AU"/>
        </w:rPr>
        <w:t xml:space="preserve"> 30 June 2024, the volume of water entitlements has increased to 9,228 ML.</w:t>
      </w:r>
    </w:p>
    <w:p w14:paraId="302002B6" w14:textId="77777777" w:rsidR="00A17B7C" w:rsidRPr="00966D5E" w:rsidRDefault="00A17B7C" w:rsidP="00597C3C">
      <w:pPr>
        <w:pStyle w:val="Heading3"/>
        <w:rPr>
          <w:rFonts w:cs="Arial"/>
          <w:lang w:val="en-AU"/>
        </w:rPr>
      </w:pPr>
      <w:r w:rsidRPr="00966D5E">
        <w:rPr>
          <w:rFonts w:cs="Arial"/>
          <w:lang w:val="en-AU"/>
        </w:rPr>
        <w:t xml:space="preserve">Increased Traditional Owner employment in the water </w:t>
      </w:r>
      <w:proofErr w:type="gramStart"/>
      <w:r w:rsidRPr="00966D5E">
        <w:rPr>
          <w:rFonts w:cs="Arial"/>
          <w:lang w:val="en-AU"/>
        </w:rPr>
        <w:t>sector</w:t>
      </w:r>
      <w:proofErr w:type="gramEnd"/>
    </w:p>
    <w:p w14:paraId="3DA2FA6F" w14:textId="77777777" w:rsidR="002E331D" w:rsidRPr="00966D5E" w:rsidRDefault="00A17B7C" w:rsidP="00A17B7C">
      <w:pPr>
        <w:pStyle w:val="BodyText"/>
        <w:rPr>
          <w:rFonts w:cs="Arial"/>
          <w:lang w:val="en-AU"/>
        </w:rPr>
      </w:pPr>
      <w:r w:rsidRPr="00966D5E">
        <w:rPr>
          <w:rFonts w:cs="Arial"/>
          <w:lang w:val="en-AU"/>
        </w:rPr>
        <w:t xml:space="preserve">All </w:t>
      </w:r>
      <w:r w:rsidR="00A12D1C" w:rsidRPr="00966D5E">
        <w:rPr>
          <w:rFonts w:cs="Arial"/>
          <w:lang w:val="en-AU"/>
        </w:rPr>
        <w:t xml:space="preserve">projects </w:t>
      </w:r>
      <w:r w:rsidRPr="00966D5E">
        <w:rPr>
          <w:rFonts w:cs="Arial"/>
          <w:lang w:val="en-AU"/>
        </w:rPr>
        <w:t>supporting increased involvement by Traditional Owners in water policy, planning and decision making have supported Traditional Owner groups and/or individuals financially, leading to increased employment in the water sector. Some specific examples are provided below:</w:t>
      </w:r>
    </w:p>
    <w:p w14:paraId="12E05671" w14:textId="77777777" w:rsidR="002E331D" w:rsidRPr="00966D5E" w:rsidRDefault="18AEDAFE" w:rsidP="001A4A88">
      <w:pPr>
        <w:pStyle w:val="BulletLevel1"/>
        <w:rPr>
          <w:rFonts w:cs="Arial"/>
          <w:lang w:val="en-AU"/>
        </w:rPr>
      </w:pPr>
      <w:r w:rsidRPr="00966D5E">
        <w:rPr>
          <w:rFonts w:cs="Arial"/>
          <w:b/>
          <w:bCs/>
          <w:lang w:val="en-AU"/>
        </w:rPr>
        <w:t>CWCT06:</w:t>
      </w:r>
      <w:r w:rsidR="5BCE7F6F" w:rsidRPr="00966D5E">
        <w:rPr>
          <w:rFonts w:cs="Arial"/>
          <w:b/>
          <w:bCs/>
          <w:lang w:val="en-AU"/>
        </w:rPr>
        <w:t xml:space="preserve"> </w:t>
      </w:r>
      <w:r w:rsidR="0808F42A" w:rsidRPr="00966D5E">
        <w:rPr>
          <w:rFonts w:cs="Arial"/>
          <w:b/>
          <w:bCs/>
          <w:lang w:val="en-AU"/>
        </w:rPr>
        <w:t>Aboriginal Water Program:</w:t>
      </w:r>
      <w:r w:rsidR="0808F42A" w:rsidRPr="00966D5E">
        <w:rPr>
          <w:rFonts w:cs="Arial"/>
          <w:lang w:val="en-AU"/>
        </w:rPr>
        <w:t xml:space="preserve"> The Water Country and Community Program</w:t>
      </w:r>
      <w:r w:rsidR="00F02097" w:rsidRPr="00966D5E">
        <w:rPr>
          <w:rFonts w:cs="Arial"/>
          <w:lang w:val="en-AU"/>
        </w:rPr>
        <w:t xml:space="preserve"> </w:t>
      </w:r>
      <w:r w:rsidR="0808F42A" w:rsidRPr="00966D5E">
        <w:rPr>
          <w:rFonts w:cs="Arial"/>
          <w:lang w:val="en-AU"/>
        </w:rPr>
        <w:t>partners with</w:t>
      </w:r>
      <w:r w:rsidR="00284F7F" w:rsidRPr="00966D5E">
        <w:rPr>
          <w:rFonts w:cs="Arial"/>
          <w:lang w:val="en-AU"/>
        </w:rPr>
        <w:t>,</w:t>
      </w:r>
      <w:r w:rsidR="0808F42A" w:rsidRPr="00966D5E">
        <w:rPr>
          <w:rFonts w:cs="Arial"/>
          <w:lang w:val="en-AU"/>
        </w:rPr>
        <w:t xml:space="preserve"> and directly funds</w:t>
      </w:r>
      <w:r w:rsidR="00284F7F" w:rsidRPr="00966D5E">
        <w:rPr>
          <w:rFonts w:cs="Arial"/>
          <w:lang w:val="en-AU"/>
        </w:rPr>
        <w:t>,</w:t>
      </w:r>
      <w:r w:rsidR="0808F42A" w:rsidRPr="00966D5E">
        <w:rPr>
          <w:rFonts w:cs="Arial"/>
          <w:lang w:val="en-AU"/>
        </w:rPr>
        <w:t xml:space="preserve"> all 11 Traditional Owner Corporations recognised as Registered Aboriginal Parties, 4 </w:t>
      </w:r>
      <w:r w:rsidR="0061133A" w:rsidRPr="00966D5E">
        <w:rPr>
          <w:rFonts w:cs="Arial"/>
          <w:lang w:val="en-AU"/>
        </w:rPr>
        <w:t>CMAs</w:t>
      </w:r>
      <w:r w:rsidR="2EAE1D74" w:rsidRPr="00966D5E">
        <w:rPr>
          <w:rFonts w:cs="Arial"/>
          <w:lang w:val="en-AU"/>
        </w:rPr>
        <w:t>,</w:t>
      </w:r>
      <w:r w:rsidR="0808F42A" w:rsidRPr="00966D5E">
        <w:rPr>
          <w:rFonts w:cs="Arial"/>
          <w:lang w:val="en-AU"/>
        </w:rPr>
        <w:t xml:space="preserve"> and 7 Traditional Owner groups without formal recognition. Program funding throughout EC5 has enabled improved relationships between </w:t>
      </w:r>
      <w:r w:rsidR="5BDE27D4" w:rsidRPr="00966D5E">
        <w:rPr>
          <w:rFonts w:cs="Arial"/>
          <w:lang w:val="en-AU"/>
        </w:rPr>
        <w:t>Traditional Owner</w:t>
      </w:r>
      <w:r w:rsidR="0808F42A" w:rsidRPr="00966D5E">
        <w:rPr>
          <w:rFonts w:cs="Arial"/>
          <w:lang w:val="en-AU"/>
        </w:rPr>
        <w:t xml:space="preserve"> groups and water sector partners such as </w:t>
      </w:r>
      <w:r w:rsidR="0061133A" w:rsidRPr="00966D5E">
        <w:rPr>
          <w:rFonts w:cs="Arial"/>
          <w:lang w:val="en-AU"/>
        </w:rPr>
        <w:t>CMAs</w:t>
      </w:r>
      <w:r w:rsidR="0808F42A" w:rsidRPr="00966D5E">
        <w:rPr>
          <w:rFonts w:cs="Arial"/>
          <w:lang w:val="en-AU"/>
        </w:rPr>
        <w:t>, including through the funding of 2</w:t>
      </w:r>
      <w:r w:rsidR="008A61DA" w:rsidRPr="00966D5E">
        <w:rPr>
          <w:rFonts w:cs="Arial"/>
          <w:lang w:val="en-AU"/>
        </w:rPr>
        <w:t>4</w:t>
      </w:r>
      <w:r w:rsidR="0808F42A" w:rsidRPr="00966D5E">
        <w:rPr>
          <w:rFonts w:cs="Arial"/>
          <w:lang w:val="en-AU"/>
        </w:rPr>
        <w:t xml:space="preserve"> </w:t>
      </w:r>
      <w:r w:rsidR="0061133A" w:rsidRPr="00966D5E">
        <w:rPr>
          <w:rFonts w:cs="Arial"/>
          <w:lang w:val="en-AU"/>
        </w:rPr>
        <w:t xml:space="preserve">full-time equivalent </w:t>
      </w:r>
      <w:r w:rsidR="0808F42A" w:rsidRPr="00966D5E">
        <w:rPr>
          <w:rFonts w:cs="Arial"/>
          <w:lang w:val="en-AU"/>
        </w:rPr>
        <w:t>Aboriginal Water Officer roles and a suite of water-related projects. Highlights include:</w:t>
      </w:r>
    </w:p>
    <w:p w14:paraId="3C40F5F2" w14:textId="77777777" w:rsidR="002E331D" w:rsidRPr="00966D5E" w:rsidRDefault="00A17B7C" w:rsidP="001A4A88">
      <w:pPr>
        <w:pStyle w:val="BulletLevel2"/>
        <w:rPr>
          <w:rFonts w:cs="Arial"/>
          <w:lang w:val="en-AU"/>
        </w:rPr>
      </w:pPr>
      <w:r w:rsidRPr="00966D5E">
        <w:rPr>
          <w:rFonts w:cs="Arial"/>
          <w:lang w:val="en-AU"/>
        </w:rPr>
        <w:t>10 Traditional Owner Organisations in the first year of the Water Country Community Program have reported a greater involvement in and influence on water policy and management decision making.</w:t>
      </w:r>
    </w:p>
    <w:p w14:paraId="1677CD18" w14:textId="1D4A08D1" w:rsidR="00433502" w:rsidRPr="00966D5E" w:rsidRDefault="00AC144F">
      <w:pPr>
        <w:pStyle w:val="BulletLevel1"/>
        <w:rPr>
          <w:rFonts w:cs="Arial"/>
          <w:lang w:val="en-AU"/>
        </w:rPr>
      </w:pPr>
      <w:r w:rsidRPr="00966D5E">
        <w:rPr>
          <w:rFonts w:cs="Arial"/>
          <w:b/>
          <w:bCs/>
          <w:lang w:val="en-AU"/>
        </w:rPr>
        <w:t xml:space="preserve">CWCT08: </w:t>
      </w:r>
      <w:r w:rsidR="00A17B7C" w:rsidRPr="00966D5E">
        <w:rPr>
          <w:rFonts w:cs="Arial"/>
          <w:b/>
          <w:bCs/>
          <w:lang w:val="en-AU"/>
        </w:rPr>
        <w:t xml:space="preserve">CGRSWS </w:t>
      </w:r>
      <w:r w:rsidR="0061133A" w:rsidRPr="00966D5E">
        <w:rPr>
          <w:rFonts w:cs="Arial"/>
          <w:b/>
          <w:bCs/>
          <w:lang w:val="en-AU"/>
        </w:rPr>
        <w:t>Funding</w:t>
      </w:r>
      <w:r w:rsidR="00A17B7C" w:rsidRPr="00966D5E">
        <w:rPr>
          <w:rFonts w:cs="Arial"/>
          <w:b/>
          <w:bCs/>
          <w:lang w:val="en-AU"/>
        </w:rPr>
        <w:t xml:space="preserve"> Stream 3 Waterway Health </w:t>
      </w:r>
      <w:r w:rsidR="00321FAA" w:rsidRPr="00966D5E">
        <w:rPr>
          <w:rFonts w:cs="Arial"/>
          <w:b/>
          <w:bCs/>
          <w:lang w:val="en-AU"/>
        </w:rPr>
        <w:t>C</w:t>
      </w:r>
      <w:r w:rsidR="00A17B7C" w:rsidRPr="00966D5E">
        <w:rPr>
          <w:rFonts w:cs="Arial"/>
          <w:b/>
          <w:bCs/>
          <w:lang w:val="en-AU"/>
        </w:rPr>
        <w:t xml:space="preserve">omplementary </w:t>
      </w:r>
      <w:r w:rsidR="00321FAA" w:rsidRPr="00966D5E">
        <w:rPr>
          <w:rFonts w:cs="Arial"/>
          <w:b/>
          <w:bCs/>
          <w:lang w:val="en-AU"/>
        </w:rPr>
        <w:t>M</w:t>
      </w:r>
      <w:r w:rsidR="00A17B7C" w:rsidRPr="00966D5E">
        <w:rPr>
          <w:rFonts w:cs="Arial"/>
          <w:b/>
          <w:bCs/>
          <w:lang w:val="en-AU"/>
        </w:rPr>
        <w:t xml:space="preserve">easures and </w:t>
      </w:r>
      <w:r w:rsidR="00321FAA" w:rsidRPr="00966D5E">
        <w:rPr>
          <w:rFonts w:cs="Arial"/>
          <w:b/>
          <w:bCs/>
          <w:lang w:val="en-AU"/>
        </w:rPr>
        <w:t>C</w:t>
      </w:r>
      <w:r w:rsidR="00A17B7C" w:rsidRPr="00966D5E">
        <w:rPr>
          <w:rFonts w:cs="Arial"/>
          <w:b/>
          <w:bCs/>
          <w:lang w:val="en-AU"/>
        </w:rPr>
        <w:t xml:space="preserve">atchment </w:t>
      </w:r>
      <w:r w:rsidR="00321FAA" w:rsidRPr="00966D5E">
        <w:rPr>
          <w:rFonts w:cs="Arial"/>
          <w:b/>
          <w:bCs/>
          <w:lang w:val="en-AU"/>
        </w:rPr>
        <w:t>M</w:t>
      </w:r>
      <w:r w:rsidR="00A17B7C" w:rsidRPr="00966D5E">
        <w:rPr>
          <w:rFonts w:cs="Arial"/>
          <w:b/>
          <w:bCs/>
          <w:lang w:val="en-AU"/>
        </w:rPr>
        <w:t xml:space="preserve">anagement </w:t>
      </w:r>
      <w:r w:rsidR="00321FAA" w:rsidRPr="00966D5E">
        <w:rPr>
          <w:rFonts w:cs="Arial"/>
          <w:b/>
          <w:bCs/>
          <w:lang w:val="en-AU"/>
        </w:rPr>
        <w:t>I</w:t>
      </w:r>
      <w:r w:rsidR="00A17B7C" w:rsidRPr="00966D5E">
        <w:rPr>
          <w:rFonts w:cs="Arial"/>
          <w:b/>
          <w:bCs/>
          <w:lang w:val="en-AU"/>
        </w:rPr>
        <w:t>mprovement</w:t>
      </w:r>
      <w:r w:rsidR="00A17B7C" w:rsidRPr="00966D5E">
        <w:rPr>
          <w:rFonts w:cs="Arial"/>
          <w:lang w:val="en-AU"/>
        </w:rPr>
        <w:t xml:space="preserve">: This </w:t>
      </w:r>
      <w:r w:rsidR="00321FAA" w:rsidRPr="00966D5E">
        <w:rPr>
          <w:rFonts w:cs="Arial"/>
          <w:lang w:val="en-AU"/>
        </w:rPr>
        <w:t>project involv</w:t>
      </w:r>
      <w:r w:rsidR="00D1104F" w:rsidRPr="00966D5E">
        <w:rPr>
          <w:rFonts w:cs="Arial"/>
          <w:lang w:val="en-AU"/>
        </w:rPr>
        <w:t>ed</w:t>
      </w:r>
      <w:r w:rsidR="00A17B7C" w:rsidRPr="00966D5E">
        <w:rPr>
          <w:rFonts w:cs="Arial"/>
          <w:lang w:val="en-AU"/>
        </w:rPr>
        <w:t xml:space="preserve"> direct engagement, funding support and work with the following </w:t>
      </w:r>
      <w:r w:rsidR="00D1104F" w:rsidRPr="00966D5E">
        <w:rPr>
          <w:rFonts w:cs="Arial"/>
          <w:lang w:val="en-AU"/>
        </w:rPr>
        <w:t>T</w:t>
      </w:r>
      <w:r w:rsidR="00A17B7C" w:rsidRPr="00966D5E">
        <w:rPr>
          <w:rFonts w:cs="Arial"/>
          <w:lang w:val="en-AU"/>
        </w:rPr>
        <w:t xml:space="preserve">raditional </w:t>
      </w:r>
      <w:r w:rsidR="00D1104F" w:rsidRPr="00966D5E">
        <w:rPr>
          <w:rFonts w:cs="Arial"/>
          <w:lang w:val="en-AU"/>
        </w:rPr>
        <w:t>O</w:t>
      </w:r>
      <w:r w:rsidR="00A17B7C" w:rsidRPr="00966D5E">
        <w:rPr>
          <w:rFonts w:cs="Arial"/>
          <w:lang w:val="en-AU"/>
        </w:rPr>
        <w:t xml:space="preserve">wner groups to support self-determination: </w:t>
      </w:r>
      <w:r w:rsidR="00441163" w:rsidRPr="00966D5E">
        <w:rPr>
          <w:rFonts w:cs="Arial"/>
          <w:lang w:val="en-AU"/>
        </w:rPr>
        <w:t>Wurundjeri</w:t>
      </w:r>
      <w:r w:rsidR="00A17B7C" w:rsidRPr="00966D5E">
        <w:rPr>
          <w:rFonts w:cs="Arial"/>
          <w:lang w:val="en-AU"/>
        </w:rPr>
        <w:t xml:space="preserve"> </w:t>
      </w:r>
      <w:proofErr w:type="spellStart"/>
      <w:r w:rsidR="00A17B7C" w:rsidRPr="00966D5E">
        <w:rPr>
          <w:rFonts w:cs="Arial"/>
          <w:lang w:val="en-AU"/>
        </w:rPr>
        <w:t>Woi</w:t>
      </w:r>
      <w:r w:rsidR="00065E5E" w:rsidRPr="00966D5E">
        <w:rPr>
          <w:rFonts w:cs="Arial"/>
          <w:lang w:val="en-AU"/>
        </w:rPr>
        <w:t>W</w:t>
      </w:r>
      <w:r w:rsidR="00A17B7C" w:rsidRPr="00966D5E">
        <w:rPr>
          <w:rFonts w:cs="Arial"/>
          <w:lang w:val="en-AU"/>
        </w:rPr>
        <w:t>urrung</w:t>
      </w:r>
      <w:proofErr w:type="spellEnd"/>
      <w:r w:rsidR="00A17B7C" w:rsidRPr="00966D5E">
        <w:rPr>
          <w:rFonts w:cs="Arial"/>
          <w:lang w:val="en-AU"/>
        </w:rPr>
        <w:t xml:space="preserve"> Cultural Heritage Aboriginal Corporation, Bunurong Land Council Aboriginal Corporation, </w:t>
      </w:r>
      <w:proofErr w:type="spellStart"/>
      <w:r w:rsidR="00A17B7C" w:rsidRPr="00966D5E">
        <w:rPr>
          <w:rFonts w:cs="Arial"/>
          <w:lang w:val="en-AU"/>
        </w:rPr>
        <w:t>Wadawurrung</w:t>
      </w:r>
      <w:proofErr w:type="spellEnd"/>
      <w:r w:rsidR="00A17B7C" w:rsidRPr="00966D5E">
        <w:rPr>
          <w:rFonts w:cs="Arial"/>
          <w:lang w:val="en-AU"/>
        </w:rPr>
        <w:t xml:space="preserve"> Traditional Owners Aboriginal Corporation, </w:t>
      </w:r>
      <w:proofErr w:type="spellStart"/>
      <w:r w:rsidR="00A17B7C" w:rsidRPr="00966D5E">
        <w:rPr>
          <w:rFonts w:cs="Arial"/>
          <w:lang w:val="en-AU"/>
        </w:rPr>
        <w:t>Wandoon</w:t>
      </w:r>
      <w:proofErr w:type="spellEnd"/>
      <w:r w:rsidR="00A17B7C" w:rsidRPr="00966D5E">
        <w:rPr>
          <w:rFonts w:cs="Arial"/>
          <w:lang w:val="en-AU"/>
        </w:rPr>
        <w:t xml:space="preserve"> Estate, </w:t>
      </w:r>
      <w:proofErr w:type="spellStart"/>
      <w:r w:rsidR="00441163" w:rsidRPr="00966D5E">
        <w:rPr>
          <w:rFonts w:cs="Arial"/>
          <w:lang w:val="en-AU"/>
        </w:rPr>
        <w:t>Worawa</w:t>
      </w:r>
      <w:proofErr w:type="spellEnd"/>
      <w:r w:rsidR="00A17B7C" w:rsidRPr="00966D5E">
        <w:rPr>
          <w:rFonts w:cs="Arial"/>
          <w:lang w:val="en-AU"/>
        </w:rPr>
        <w:t xml:space="preserve"> College. </w:t>
      </w:r>
      <w:r w:rsidR="00433502" w:rsidRPr="00966D5E">
        <w:rPr>
          <w:rFonts w:cs="Arial"/>
          <w:lang w:val="en-AU"/>
        </w:rPr>
        <w:t xml:space="preserve">This has supported all three Traditional Owner corporations’ growing interest in establishing nurseries and bush foods businesses. Direct funding for this work </w:t>
      </w:r>
      <w:r w:rsidR="00D1104F" w:rsidRPr="00966D5E">
        <w:rPr>
          <w:rFonts w:cs="Arial"/>
          <w:lang w:val="en-AU"/>
        </w:rPr>
        <w:t>to support</w:t>
      </w:r>
      <w:r w:rsidR="00433502" w:rsidRPr="00966D5E">
        <w:rPr>
          <w:rFonts w:cs="Arial"/>
          <w:lang w:val="en-AU"/>
        </w:rPr>
        <w:t xml:space="preserve"> broader self-determination and leveraging wider partnerships totalled $223,000.</w:t>
      </w:r>
    </w:p>
    <w:p w14:paraId="2167DDF5" w14:textId="739F134C" w:rsidR="00A17B7C" w:rsidRPr="00966D5E" w:rsidRDefault="00AC144F" w:rsidP="00D0728E">
      <w:pPr>
        <w:pStyle w:val="BulletLevel1"/>
        <w:rPr>
          <w:rFonts w:cs="Arial"/>
          <w:lang w:val="en-AU"/>
        </w:rPr>
      </w:pPr>
      <w:r w:rsidRPr="00966D5E">
        <w:rPr>
          <w:rFonts w:cs="Arial"/>
          <w:b/>
          <w:bCs/>
          <w:lang w:val="en-AU"/>
        </w:rPr>
        <w:t xml:space="preserve">CWCT09: </w:t>
      </w:r>
      <w:r w:rsidR="00A17B7C" w:rsidRPr="00966D5E">
        <w:rPr>
          <w:rFonts w:cs="Arial"/>
          <w:b/>
          <w:bCs/>
          <w:lang w:val="en-AU"/>
        </w:rPr>
        <w:t>Waterway Health</w:t>
      </w:r>
      <w:r w:rsidR="00A17B7C" w:rsidRPr="00966D5E">
        <w:rPr>
          <w:rFonts w:cs="Arial"/>
          <w:lang w:val="en-AU"/>
        </w:rPr>
        <w:t xml:space="preserve">: </w:t>
      </w:r>
      <w:r w:rsidR="003E1E72" w:rsidRPr="00966D5E">
        <w:rPr>
          <w:rFonts w:cs="Arial"/>
          <w:lang w:val="en-AU"/>
        </w:rPr>
        <w:t>O</w:t>
      </w:r>
      <w:r w:rsidR="00A17B7C" w:rsidRPr="00966D5E">
        <w:rPr>
          <w:rFonts w:cs="Arial"/>
          <w:lang w:val="en-AU"/>
        </w:rPr>
        <w:t xml:space="preserve">ut of </w:t>
      </w:r>
      <w:r w:rsidR="003E1E72" w:rsidRPr="00966D5E">
        <w:rPr>
          <w:rFonts w:cs="Arial"/>
          <w:lang w:val="en-AU"/>
        </w:rPr>
        <w:t>the</w:t>
      </w:r>
      <w:r w:rsidR="00A17B7C" w:rsidRPr="00966D5E">
        <w:rPr>
          <w:rFonts w:cs="Arial"/>
          <w:lang w:val="en-AU"/>
        </w:rPr>
        <w:t xml:space="preserve"> 61 Waterway Health projects</w:t>
      </w:r>
      <w:r w:rsidR="003E1E72" w:rsidRPr="00966D5E">
        <w:rPr>
          <w:rFonts w:cs="Arial"/>
          <w:lang w:val="en-AU"/>
        </w:rPr>
        <w:t>, 48 were</w:t>
      </w:r>
      <w:r w:rsidR="00A17B7C" w:rsidRPr="00966D5E">
        <w:rPr>
          <w:rFonts w:cs="Arial"/>
          <w:lang w:val="en-AU"/>
        </w:rPr>
        <w:t xml:space="preserve"> involved </w:t>
      </w:r>
      <w:r w:rsidR="003E1E72" w:rsidRPr="00966D5E">
        <w:rPr>
          <w:rFonts w:cs="Arial"/>
          <w:lang w:val="en-AU"/>
        </w:rPr>
        <w:t>in</w:t>
      </w:r>
      <w:r w:rsidR="00A17B7C" w:rsidRPr="00966D5E">
        <w:rPr>
          <w:rFonts w:cs="Arial"/>
          <w:lang w:val="en-AU"/>
        </w:rPr>
        <w:t xml:space="preserve"> partnership agreements (34) and/or engaged Aboriginal businesses (31). </w:t>
      </w:r>
      <w:r w:rsidR="006D6D5E" w:rsidRPr="00966D5E">
        <w:rPr>
          <w:rFonts w:cs="Arial"/>
          <w:lang w:val="en-AU"/>
        </w:rPr>
        <w:t xml:space="preserve">There were </w:t>
      </w:r>
      <w:r w:rsidR="00A17B7C" w:rsidRPr="00966D5E">
        <w:rPr>
          <w:rFonts w:cs="Arial"/>
          <w:lang w:val="en-AU"/>
        </w:rPr>
        <w:t xml:space="preserve">31 different Traditional Owner groups engaged in project development and/or implementation in some capacity (or CMAs intended to engage them). </w:t>
      </w:r>
      <w:r w:rsidR="00764BA5" w:rsidRPr="00966D5E">
        <w:rPr>
          <w:rFonts w:cs="Arial"/>
          <w:lang w:val="en-AU"/>
        </w:rPr>
        <w:t>In EC5, Traditional Owner groups/Aboriginal Victorians received $2,862,228 of funding from CMAs. Of this, $2,468,567 went to 15 different Traditional Owner groups, and $393,661 went to Aboriginal Community-Controlled Organisations, Aboriginal-owned private businesses, and employment programs.</w:t>
      </w:r>
    </w:p>
    <w:p w14:paraId="6CDA78DA" w14:textId="77777777" w:rsidR="002E331D" w:rsidRPr="00966D5E" w:rsidRDefault="007C5937">
      <w:pPr>
        <w:pStyle w:val="Heading2"/>
        <w:numPr>
          <w:ilvl w:val="1"/>
          <w:numId w:val="34"/>
        </w:numPr>
        <w:rPr>
          <w:rFonts w:cs="Arial"/>
          <w:lang w:val="en-AU"/>
        </w:rPr>
      </w:pPr>
      <w:r w:rsidRPr="00966D5E">
        <w:rPr>
          <w:rFonts w:cs="Arial"/>
          <w:lang w:val="en-AU"/>
        </w:rPr>
        <w:lastRenderedPageBreak/>
        <w:t>To what extent were social and community values incorporated into water management?</w:t>
      </w:r>
    </w:p>
    <w:p w14:paraId="4D4F74E6" w14:textId="34CB0DBA" w:rsidR="007C5937" w:rsidRPr="00966D5E" w:rsidRDefault="007C5937" w:rsidP="00597C3C">
      <w:pPr>
        <w:pStyle w:val="Heading3"/>
        <w:rPr>
          <w:rFonts w:cs="Arial"/>
          <w:lang w:val="en-AU"/>
        </w:rPr>
      </w:pPr>
      <w:r w:rsidRPr="00966D5E">
        <w:rPr>
          <w:rFonts w:cs="Arial"/>
          <w:lang w:val="en-AU"/>
        </w:rPr>
        <w:t xml:space="preserve">Greater access to water-based spaces, creating opportunities to improve community </w:t>
      </w:r>
      <w:proofErr w:type="gramStart"/>
      <w:r w:rsidRPr="00966D5E">
        <w:rPr>
          <w:rFonts w:cs="Arial"/>
          <w:lang w:val="en-AU"/>
        </w:rPr>
        <w:t>health</w:t>
      </w:r>
      <w:proofErr w:type="gramEnd"/>
    </w:p>
    <w:p w14:paraId="765C4F27" w14:textId="77777777" w:rsidR="002E331D" w:rsidRPr="00966D5E" w:rsidRDefault="001D32BB">
      <w:pPr>
        <w:pStyle w:val="BulletLevel1"/>
        <w:numPr>
          <w:ilvl w:val="0"/>
          <w:numId w:val="0"/>
        </w:numPr>
        <w:rPr>
          <w:rFonts w:cs="Arial"/>
          <w:lang w:val="en-AU"/>
        </w:rPr>
      </w:pPr>
      <w:r w:rsidRPr="00966D5E">
        <w:rPr>
          <w:rFonts w:cs="Arial"/>
          <w:lang w:val="en-AU"/>
        </w:rPr>
        <w:t>C</w:t>
      </w:r>
      <w:r w:rsidR="0034305D" w:rsidRPr="00966D5E">
        <w:rPr>
          <w:rFonts w:cs="Arial"/>
          <w:lang w:val="en-AU"/>
        </w:rPr>
        <w:t>reating greater</w:t>
      </w:r>
      <w:r w:rsidRPr="00966D5E">
        <w:rPr>
          <w:rFonts w:cs="Arial"/>
          <w:lang w:val="en-AU"/>
        </w:rPr>
        <w:t xml:space="preserve"> access to water-based spaces can also lead to </w:t>
      </w:r>
      <w:r w:rsidR="002962E5" w:rsidRPr="00966D5E">
        <w:rPr>
          <w:rFonts w:cs="Arial"/>
          <w:lang w:val="en-AU"/>
        </w:rPr>
        <w:t xml:space="preserve">new </w:t>
      </w:r>
      <w:r w:rsidR="003E7C69" w:rsidRPr="00966D5E">
        <w:rPr>
          <w:rFonts w:cs="Arial"/>
          <w:lang w:val="en-AU"/>
        </w:rPr>
        <w:t xml:space="preserve">environmental, </w:t>
      </w:r>
      <w:proofErr w:type="gramStart"/>
      <w:r w:rsidR="003E7C69" w:rsidRPr="00966D5E">
        <w:rPr>
          <w:rFonts w:cs="Arial"/>
          <w:lang w:val="en-AU"/>
        </w:rPr>
        <w:t>recreational</w:t>
      </w:r>
      <w:proofErr w:type="gramEnd"/>
      <w:r w:rsidR="003E7C69" w:rsidRPr="00966D5E">
        <w:rPr>
          <w:rFonts w:cs="Arial"/>
          <w:lang w:val="en-AU"/>
        </w:rPr>
        <w:t xml:space="preserve"> and social </w:t>
      </w:r>
      <w:r w:rsidRPr="00966D5E">
        <w:rPr>
          <w:rFonts w:cs="Arial"/>
          <w:lang w:val="en-AU"/>
        </w:rPr>
        <w:t>opportunities to improve community health</w:t>
      </w:r>
      <w:r w:rsidR="004F318D" w:rsidRPr="00966D5E">
        <w:rPr>
          <w:rFonts w:cs="Arial"/>
          <w:lang w:val="en-AU"/>
        </w:rPr>
        <w:t xml:space="preserve">. </w:t>
      </w:r>
      <w:r w:rsidR="001B5CF9" w:rsidRPr="00966D5E">
        <w:rPr>
          <w:rFonts w:cs="Arial"/>
          <w:lang w:val="en-AU"/>
        </w:rPr>
        <w:t>Throughout EC5, significant progress toward this outcome has been achieved through:</w:t>
      </w:r>
    </w:p>
    <w:p w14:paraId="771AA097" w14:textId="74017116" w:rsidR="00043821" w:rsidRPr="00D90AD4" w:rsidRDefault="00AC144F" w:rsidP="007D3C03">
      <w:pPr>
        <w:pStyle w:val="BulletLevel1"/>
        <w:rPr>
          <w:rFonts w:cs="Arial"/>
          <w:lang w:val="en-AU"/>
        </w:rPr>
      </w:pPr>
      <w:r w:rsidRPr="00D90AD4">
        <w:rPr>
          <w:rFonts w:cs="Arial"/>
          <w:b/>
          <w:bCs/>
          <w:lang w:val="en-AU"/>
        </w:rPr>
        <w:t>CWCT</w:t>
      </w:r>
      <w:r w:rsidR="00660381" w:rsidRPr="00D90AD4">
        <w:rPr>
          <w:rFonts w:cs="Arial"/>
          <w:b/>
          <w:bCs/>
          <w:lang w:val="en-AU"/>
        </w:rPr>
        <w:t xml:space="preserve">03: </w:t>
      </w:r>
      <w:r w:rsidR="007C5937" w:rsidRPr="00D90AD4">
        <w:rPr>
          <w:rFonts w:cs="Arial"/>
          <w:b/>
          <w:bCs/>
          <w:lang w:val="en-AU"/>
        </w:rPr>
        <w:t>Recreational Values:</w:t>
      </w:r>
      <w:r w:rsidR="007C5937" w:rsidRPr="00D90AD4">
        <w:rPr>
          <w:rFonts w:cs="Arial"/>
          <w:lang w:val="en-AU"/>
        </w:rPr>
        <w:t xml:space="preserve"> This </w:t>
      </w:r>
      <w:r w:rsidR="008D26CE" w:rsidRPr="00D90AD4">
        <w:rPr>
          <w:rFonts w:cs="Arial"/>
          <w:lang w:val="en-AU"/>
        </w:rPr>
        <w:t>project</w:t>
      </w:r>
      <w:r w:rsidR="007C5937" w:rsidRPr="00D90AD4">
        <w:rPr>
          <w:rFonts w:cs="Arial"/>
          <w:lang w:val="en-AU"/>
        </w:rPr>
        <w:t xml:space="preserve"> completed a range of planning / policy actions </w:t>
      </w:r>
      <w:r w:rsidR="00CF09FF" w:rsidRPr="00D90AD4">
        <w:rPr>
          <w:rFonts w:cs="Arial"/>
          <w:lang w:val="en-AU"/>
        </w:rPr>
        <w:t>f</w:t>
      </w:r>
      <w:r w:rsidR="00660381" w:rsidRPr="00D90AD4">
        <w:rPr>
          <w:rFonts w:cs="Arial"/>
          <w:lang w:val="en-AU"/>
        </w:rPr>
        <w:t>ocused</w:t>
      </w:r>
      <w:r w:rsidR="007C5937" w:rsidRPr="00D90AD4">
        <w:rPr>
          <w:rFonts w:cs="Arial"/>
          <w:lang w:val="en-AU"/>
        </w:rPr>
        <w:t xml:space="preserve"> on supporting improved access for the community to better enjoy waterways, including </w:t>
      </w:r>
      <w:r w:rsidR="44411FC8" w:rsidRPr="00D90AD4">
        <w:rPr>
          <w:rFonts w:cs="Arial"/>
          <w:lang w:val="en-AU"/>
        </w:rPr>
        <w:t>d</w:t>
      </w:r>
      <w:r w:rsidR="007C5937" w:rsidRPr="00D90AD4">
        <w:rPr>
          <w:rFonts w:cs="Arial"/>
          <w:lang w:val="en-AU"/>
        </w:rPr>
        <w:t>evelopment of new Recreational Area (Water) Regulations 2023 to manage recreation at storages and embedding recreational values in the new Victorian Waterway Management Strategy. It also distributed $2.</w:t>
      </w:r>
      <w:r w:rsidR="002579AF" w:rsidRPr="00D90AD4">
        <w:rPr>
          <w:rFonts w:cs="Arial"/>
          <w:lang w:val="en-AU"/>
        </w:rPr>
        <w:t>89</w:t>
      </w:r>
      <w:r w:rsidR="005112A8" w:rsidRPr="00D90AD4">
        <w:rPr>
          <w:rFonts w:cs="Arial"/>
          <w:lang w:val="en-AU"/>
        </w:rPr>
        <w:t xml:space="preserve"> </w:t>
      </w:r>
      <w:r w:rsidR="007C5937" w:rsidRPr="00D90AD4">
        <w:rPr>
          <w:rFonts w:cs="Arial"/>
          <w:lang w:val="en-AU"/>
        </w:rPr>
        <w:t>million of grant funds to support 1</w:t>
      </w:r>
      <w:r w:rsidR="00427C6C" w:rsidRPr="00D90AD4">
        <w:rPr>
          <w:rFonts w:cs="Arial"/>
          <w:lang w:val="en-AU"/>
        </w:rPr>
        <w:t>9</w:t>
      </w:r>
      <w:r w:rsidR="007C5937" w:rsidRPr="00D90AD4">
        <w:rPr>
          <w:rFonts w:cs="Arial"/>
          <w:lang w:val="en-AU"/>
        </w:rPr>
        <w:t xml:space="preserve"> projects </w:t>
      </w:r>
      <w:r w:rsidR="00427C6C" w:rsidRPr="00D90AD4">
        <w:rPr>
          <w:rFonts w:cs="Arial"/>
          <w:lang w:val="en-AU"/>
        </w:rPr>
        <w:t xml:space="preserve">and 11 organisations </w:t>
      </w:r>
      <w:r w:rsidR="009016EC" w:rsidRPr="00D90AD4">
        <w:rPr>
          <w:rFonts w:cs="Arial"/>
          <w:lang w:val="en-AU"/>
        </w:rPr>
        <w:t>targeted towards</w:t>
      </w:r>
      <w:r w:rsidR="007C5937" w:rsidRPr="00D90AD4">
        <w:rPr>
          <w:rFonts w:cs="Arial"/>
          <w:lang w:val="en-AU"/>
        </w:rPr>
        <w:t xml:space="preserve"> improving recreational outcomes, including </w:t>
      </w:r>
      <w:r w:rsidR="00043821" w:rsidRPr="00D90AD4">
        <w:rPr>
          <w:rFonts w:cs="Arial"/>
          <w:lang w:val="en-AU"/>
        </w:rPr>
        <w:t xml:space="preserve">consideration of recreational access to drinking water storages, a policy statement in the </w:t>
      </w:r>
      <w:r w:rsidR="005112A8" w:rsidRPr="00D90AD4">
        <w:rPr>
          <w:rFonts w:cs="Arial"/>
          <w:lang w:val="en-AU"/>
        </w:rPr>
        <w:t>CGRSWS</w:t>
      </w:r>
      <w:r w:rsidR="00043821" w:rsidRPr="00D90AD4">
        <w:rPr>
          <w:rFonts w:cs="Arial"/>
          <w:lang w:val="en-AU"/>
        </w:rPr>
        <w:t xml:space="preserve"> and collaboration with Melbourne Water to consider access to Tarago Reservoir.</w:t>
      </w:r>
      <w:r w:rsidR="00C71C27" w:rsidRPr="00D90AD4">
        <w:rPr>
          <w:rFonts w:cs="Arial"/>
          <w:lang w:val="en-AU"/>
        </w:rPr>
        <w:t xml:space="preserve"> It progressed the </w:t>
      </w:r>
      <w:r w:rsidR="006573E9" w:rsidRPr="00D90AD4">
        <w:rPr>
          <w:rFonts w:cs="Arial"/>
          <w:lang w:val="en-AU"/>
        </w:rPr>
        <w:t xml:space="preserve">Flagship Water Wannon project, </w:t>
      </w:r>
      <w:r w:rsidR="00591F17" w:rsidRPr="00D90AD4">
        <w:rPr>
          <w:rFonts w:cs="Arial"/>
          <w:lang w:val="en-AU"/>
        </w:rPr>
        <w:t xml:space="preserve">explored </w:t>
      </w:r>
      <w:r w:rsidR="006573E9" w:rsidRPr="00D90AD4">
        <w:rPr>
          <w:rFonts w:cs="Arial"/>
          <w:lang w:val="en-AU"/>
        </w:rPr>
        <w:t>new ways to facilitate recreation using water corporation assets, and deliver</w:t>
      </w:r>
      <w:r w:rsidR="00591F17" w:rsidRPr="00D90AD4">
        <w:rPr>
          <w:rFonts w:cs="Arial"/>
          <w:lang w:val="en-AU"/>
        </w:rPr>
        <w:t>ed</w:t>
      </w:r>
      <w:r w:rsidR="006573E9" w:rsidRPr="00D90AD4">
        <w:rPr>
          <w:rFonts w:cs="Arial"/>
          <w:lang w:val="en-AU"/>
        </w:rPr>
        <w:t xml:space="preserve"> 4 planning and community engagement projects.</w:t>
      </w:r>
    </w:p>
    <w:p w14:paraId="523E3D2A" w14:textId="77777777" w:rsidR="002E331D" w:rsidRPr="00D90AD4" w:rsidRDefault="00660381" w:rsidP="007D3C03">
      <w:pPr>
        <w:pStyle w:val="BulletLevel1"/>
        <w:rPr>
          <w:rFonts w:cs="Arial"/>
          <w:lang w:val="en-AU"/>
        </w:rPr>
      </w:pPr>
      <w:r w:rsidRPr="00D90AD4">
        <w:rPr>
          <w:rFonts w:cs="Arial"/>
          <w:b/>
          <w:bCs/>
          <w:lang w:val="en-AU"/>
        </w:rPr>
        <w:t xml:space="preserve">CWCT02: </w:t>
      </w:r>
      <w:r w:rsidR="007C5937" w:rsidRPr="00D90AD4">
        <w:rPr>
          <w:rFonts w:cs="Arial"/>
          <w:b/>
          <w:bCs/>
          <w:lang w:val="en-AU"/>
        </w:rPr>
        <w:t>Iconic Urban Waterways:</w:t>
      </w:r>
      <w:r w:rsidR="007C5937" w:rsidRPr="00D90AD4">
        <w:rPr>
          <w:rFonts w:cs="Arial"/>
          <w:lang w:val="en-AU"/>
        </w:rPr>
        <w:t xml:space="preserve"> This </w:t>
      </w:r>
      <w:r w:rsidR="00A12D1C" w:rsidRPr="00D90AD4">
        <w:rPr>
          <w:rFonts w:cs="Arial"/>
          <w:lang w:val="en-AU"/>
        </w:rPr>
        <w:t xml:space="preserve">project </w:t>
      </w:r>
      <w:r w:rsidR="000D3EA2" w:rsidRPr="00D90AD4">
        <w:rPr>
          <w:rFonts w:cs="Arial"/>
          <w:lang w:val="en-AU"/>
        </w:rPr>
        <w:t>was targeted towards</w:t>
      </w:r>
      <w:r w:rsidR="007C5937" w:rsidRPr="00D90AD4">
        <w:rPr>
          <w:rFonts w:cs="Arial"/>
          <w:lang w:val="en-AU"/>
        </w:rPr>
        <w:t xml:space="preserve"> reducing the adverse economic, environmental, </w:t>
      </w:r>
      <w:proofErr w:type="gramStart"/>
      <w:r w:rsidR="007C5937" w:rsidRPr="00D90AD4">
        <w:rPr>
          <w:rFonts w:cs="Arial"/>
          <w:lang w:val="en-AU"/>
        </w:rPr>
        <w:t>social</w:t>
      </w:r>
      <w:proofErr w:type="gramEnd"/>
      <w:r w:rsidR="007C5937" w:rsidRPr="00D90AD4">
        <w:rPr>
          <w:rFonts w:cs="Arial"/>
          <w:lang w:val="en-AU"/>
        </w:rPr>
        <w:t xml:space="preserve"> and cultural impacts of urbanisation and population growth on iconic urban waterways </w:t>
      </w:r>
      <w:r w:rsidR="00FD33CA" w:rsidRPr="00D90AD4">
        <w:rPr>
          <w:rFonts w:cs="Arial"/>
          <w:lang w:val="en-AU"/>
        </w:rPr>
        <w:t>(</w:t>
      </w:r>
      <w:r w:rsidR="007C5937" w:rsidRPr="00D90AD4">
        <w:rPr>
          <w:rFonts w:cs="Arial"/>
          <w:lang w:val="en-AU"/>
        </w:rPr>
        <w:t xml:space="preserve">including the </w:t>
      </w:r>
      <w:r w:rsidR="00FB77F4" w:rsidRPr="00D90AD4">
        <w:rPr>
          <w:rFonts w:cs="Arial"/>
          <w:lang w:val="en-AU"/>
        </w:rPr>
        <w:t>Birrarung</w:t>
      </w:r>
      <w:r w:rsidR="00FD33CA" w:rsidRPr="00D90AD4">
        <w:rPr>
          <w:rFonts w:cs="Arial"/>
          <w:lang w:val="en-AU"/>
        </w:rPr>
        <w:t xml:space="preserve"> </w:t>
      </w:r>
      <w:r w:rsidR="00FB77F4" w:rsidRPr="00D90AD4">
        <w:rPr>
          <w:rFonts w:cs="Arial"/>
          <w:lang w:val="en-AU"/>
        </w:rPr>
        <w:t xml:space="preserve">/ </w:t>
      </w:r>
      <w:r w:rsidR="00FD33CA" w:rsidRPr="00D90AD4">
        <w:rPr>
          <w:rFonts w:cs="Arial"/>
          <w:lang w:val="en-AU"/>
        </w:rPr>
        <w:t>Yarra,</w:t>
      </w:r>
      <w:r w:rsidR="00FB77F4" w:rsidRPr="00D90AD4">
        <w:rPr>
          <w:rFonts w:cs="Arial"/>
          <w:lang w:val="en-AU"/>
        </w:rPr>
        <w:t xml:space="preserve"> </w:t>
      </w:r>
      <w:proofErr w:type="spellStart"/>
      <w:r w:rsidR="00FB77F4" w:rsidRPr="00D90AD4">
        <w:rPr>
          <w:rFonts w:cs="Arial"/>
          <w:lang w:val="en-AU"/>
        </w:rPr>
        <w:t>Mirrangbamurn</w:t>
      </w:r>
      <w:proofErr w:type="spellEnd"/>
      <w:r w:rsidR="00FD33CA" w:rsidRPr="00D90AD4">
        <w:rPr>
          <w:rFonts w:cs="Arial"/>
          <w:lang w:val="en-AU"/>
        </w:rPr>
        <w:t xml:space="preserve"> </w:t>
      </w:r>
      <w:r w:rsidR="00FB77F4" w:rsidRPr="00D90AD4">
        <w:rPr>
          <w:rFonts w:cs="Arial"/>
          <w:lang w:val="en-AU"/>
        </w:rPr>
        <w:t xml:space="preserve">/ Maribyrnong, </w:t>
      </w:r>
      <w:proofErr w:type="spellStart"/>
      <w:r w:rsidR="00FB77F4" w:rsidRPr="00D90AD4">
        <w:rPr>
          <w:rFonts w:cs="Arial"/>
          <w:lang w:val="en-AU"/>
        </w:rPr>
        <w:t>Wirribi</w:t>
      </w:r>
      <w:proofErr w:type="spellEnd"/>
      <w:r w:rsidR="00FB77F4" w:rsidRPr="00D90AD4">
        <w:rPr>
          <w:rFonts w:cs="Arial"/>
          <w:lang w:val="en-AU"/>
        </w:rPr>
        <w:t xml:space="preserve"> </w:t>
      </w:r>
      <w:proofErr w:type="spellStart"/>
      <w:r w:rsidR="00FB77F4" w:rsidRPr="00D90AD4">
        <w:rPr>
          <w:rFonts w:cs="Arial"/>
          <w:lang w:val="en-AU"/>
        </w:rPr>
        <w:t>Yulluk</w:t>
      </w:r>
      <w:proofErr w:type="spellEnd"/>
      <w:r w:rsidR="00FD33CA" w:rsidRPr="00D90AD4">
        <w:rPr>
          <w:rFonts w:cs="Arial"/>
          <w:lang w:val="en-AU"/>
        </w:rPr>
        <w:t xml:space="preserve"> </w:t>
      </w:r>
      <w:r w:rsidR="00FB77F4" w:rsidRPr="00D90AD4">
        <w:rPr>
          <w:rFonts w:cs="Arial"/>
          <w:lang w:val="en-AU"/>
        </w:rPr>
        <w:t xml:space="preserve">/ </w:t>
      </w:r>
      <w:r w:rsidR="00FD33CA" w:rsidRPr="00D90AD4">
        <w:rPr>
          <w:rFonts w:cs="Arial"/>
          <w:lang w:val="en-AU"/>
        </w:rPr>
        <w:t>Werribee and</w:t>
      </w:r>
      <w:r w:rsidR="00FB77F4" w:rsidRPr="00D90AD4">
        <w:rPr>
          <w:rFonts w:cs="Arial"/>
          <w:lang w:val="en-AU"/>
        </w:rPr>
        <w:t xml:space="preserve"> Parwan</w:t>
      </w:r>
      <w:r w:rsidR="00FD33CA" w:rsidRPr="00D90AD4">
        <w:rPr>
          <w:rFonts w:cs="Arial"/>
          <w:lang w:val="en-AU"/>
        </w:rPr>
        <w:t xml:space="preserve"> </w:t>
      </w:r>
      <w:r w:rsidR="00FB77F4" w:rsidRPr="00D90AD4">
        <w:rPr>
          <w:rFonts w:cs="Arial"/>
          <w:lang w:val="en-AU"/>
        </w:rPr>
        <w:t>/ Barwon Rivers</w:t>
      </w:r>
      <w:r w:rsidR="007C5937" w:rsidRPr="00D90AD4">
        <w:rPr>
          <w:rFonts w:cs="Arial"/>
          <w:lang w:val="en-AU"/>
        </w:rPr>
        <w:t xml:space="preserve">). It has </w:t>
      </w:r>
      <w:r w:rsidR="000D3EA2" w:rsidRPr="00D90AD4">
        <w:rPr>
          <w:rFonts w:cs="Arial"/>
          <w:lang w:val="en-AU"/>
        </w:rPr>
        <w:t>contributed</w:t>
      </w:r>
      <w:r w:rsidR="007C5937" w:rsidRPr="00D90AD4">
        <w:rPr>
          <w:rFonts w:cs="Arial"/>
          <w:lang w:val="en-AU"/>
        </w:rPr>
        <w:t xml:space="preserve"> towards </w:t>
      </w:r>
      <w:r w:rsidR="000D3EA2" w:rsidRPr="00D90AD4">
        <w:rPr>
          <w:rFonts w:cs="Arial"/>
          <w:lang w:val="en-AU"/>
        </w:rPr>
        <w:t xml:space="preserve">achieving </w:t>
      </w:r>
      <w:r w:rsidR="007C5937" w:rsidRPr="00D90AD4">
        <w:rPr>
          <w:rFonts w:cs="Arial"/>
          <w:lang w:val="en-AU"/>
        </w:rPr>
        <w:t>healthier local communities and environments and enhancement of values derived from water</w:t>
      </w:r>
      <w:r w:rsidR="00493E28" w:rsidRPr="00D90AD4">
        <w:rPr>
          <w:rFonts w:cs="Arial"/>
          <w:lang w:val="en-AU"/>
        </w:rPr>
        <w:t> </w:t>
      </w:r>
      <w:r w:rsidR="007C5937" w:rsidRPr="00D90AD4">
        <w:rPr>
          <w:rFonts w:cs="Arial"/>
          <w:lang w:val="en-AU"/>
        </w:rPr>
        <w:t>environments.</w:t>
      </w:r>
    </w:p>
    <w:p w14:paraId="698F8008" w14:textId="5C37582A" w:rsidR="007C5937" w:rsidRPr="00D90AD4" w:rsidRDefault="00660381" w:rsidP="007D3C03">
      <w:pPr>
        <w:pStyle w:val="BulletLevel1"/>
        <w:rPr>
          <w:rFonts w:cs="Arial"/>
          <w:lang w:val="en-AU"/>
        </w:rPr>
      </w:pPr>
      <w:r w:rsidRPr="00D90AD4">
        <w:rPr>
          <w:rFonts w:cs="Arial"/>
          <w:b/>
          <w:bCs/>
          <w:lang w:val="en-AU"/>
        </w:rPr>
        <w:t xml:space="preserve">PSP2: </w:t>
      </w:r>
      <w:r w:rsidR="007C5937" w:rsidRPr="00D90AD4">
        <w:rPr>
          <w:rFonts w:cs="Arial"/>
          <w:b/>
          <w:bCs/>
          <w:lang w:val="en-AU"/>
        </w:rPr>
        <w:t>Sustainable Water Strategies:</w:t>
      </w:r>
      <w:r w:rsidR="007C5937" w:rsidRPr="00D90AD4">
        <w:rPr>
          <w:rFonts w:cs="Arial"/>
          <w:lang w:val="en-AU"/>
        </w:rPr>
        <w:t xml:space="preserve"> The CG</w:t>
      </w:r>
      <w:r w:rsidR="7F600020" w:rsidRPr="00D90AD4">
        <w:rPr>
          <w:rFonts w:cs="Arial"/>
          <w:lang w:val="en-AU"/>
        </w:rPr>
        <w:t>R</w:t>
      </w:r>
      <w:r w:rsidR="007C5937" w:rsidRPr="00D90AD4">
        <w:rPr>
          <w:rFonts w:cs="Arial"/>
          <w:lang w:val="en-AU"/>
        </w:rPr>
        <w:t>SWS recognises</w:t>
      </w:r>
      <w:r w:rsidR="000D3EA2" w:rsidRPr="00D90AD4">
        <w:rPr>
          <w:rFonts w:cs="Arial"/>
          <w:lang w:val="en-AU"/>
        </w:rPr>
        <w:t xml:space="preserve"> the importance of</w:t>
      </w:r>
      <w:r w:rsidR="007C5937" w:rsidRPr="00D90AD4">
        <w:rPr>
          <w:rFonts w:cs="Arial"/>
          <w:lang w:val="en-AU"/>
        </w:rPr>
        <w:t xml:space="preserve"> recreational users and recreational values</w:t>
      </w:r>
      <w:r w:rsidR="000D3EA2" w:rsidRPr="00D90AD4">
        <w:rPr>
          <w:rFonts w:cs="Arial"/>
          <w:lang w:val="en-AU"/>
        </w:rPr>
        <w:t>. A</w:t>
      </w:r>
      <w:r w:rsidR="007C5937" w:rsidRPr="00D90AD4">
        <w:rPr>
          <w:rFonts w:cs="Arial"/>
          <w:lang w:val="en-AU"/>
        </w:rPr>
        <w:t xml:space="preserve">ctions </w:t>
      </w:r>
      <w:r w:rsidR="000D3EA2" w:rsidRPr="00D90AD4">
        <w:rPr>
          <w:rFonts w:cs="Arial"/>
          <w:lang w:val="en-AU"/>
        </w:rPr>
        <w:t xml:space="preserve">in </w:t>
      </w:r>
      <w:r w:rsidR="007C5937" w:rsidRPr="00D90AD4">
        <w:rPr>
          <w:rFonts w:cs="Arial"/>
          <w:lang w:val="en-AU"/>
        </w:rPr>
        <w:t xml:space="preserve">the </w:t>
      </w:r>
      <w:r w:rsidR="00E83BD4" w:rsidRPr="00D90AD4">
        <w:rPr>
          <w:rFonts w:cs="Arial"/>
          <w:lang w:val="en-AU"/>
        </w:rPr>
        <w:t xml:space="preserve">CGRSWS </w:t>
      </w:r>
      <w:r w:rsidR="007C5937" w:rsidRPr="00D90AD4">
        <w:rPr>
          <w:rFonts w:cs="Arial"/>
          <w:lang w:val="en-AU"/>
        </w:rPr>
        <w:t>underpin identifying opportunities to increase access to recreational opportunities.</w:t>
      </w:r>
    </w:p>
    <w:p w14:paraId="412F93CA" w14:textId="77777777" w:rsidR="007C5937" w:rsidRPr="00966D5E" w:rsidRDefault="007C5937" w:rsidP="00597C3C">
      <w:pPr>
        <w:pStyle w:val="Heading3"/>
        <w:rPr>
          <w:rFonts w:cs="Arial"/>
          <w:lang w:val="en-AU"/>
        </w:rPr>
      </w:pPr>
      <w:r w:rsidRPr="00966D5E">
        <w:rPr>
          <w:rFonts w:cs="Arial"/>
          <w:lang w:val="en-AU"/>
        </w:rPr>
        <w:t>Improved community access to water resource information</w:t>
      </w:r>
    </w:p>
    <w:p w14:paraId="09B34DF9" w14:textId="292F9BFC" w:rsidR="000D3EA2" w:rsidRPr="00966D5E" w:rsidRDefault="0078065D">
      <w:pPr>
        <w:pStyle w:val="BulletLevel1"/>
        <w:numPr>
          <w:ilvl w:val="0"/>
          <w:numId w:val="0"/>
        </w:numPr>
        <w:rPr>
          <w:rFonts w:cs="Arial"/>
          <w:lang w:val="en-AU"/>
        </w:rPr>
      </w:pPr>
      <w:r w:rsidRPr="00966D5E">
        <w:rPr>
          <w:rFonts w:cs="Arial"/>
          <w:lang w:val="en-AU"/>
        </w:rPr>
        <w:t>EC5 projects delivered a range of pro</w:t>
      </w:r>
      <w:r w:rsidR="00A27EBA" w:rsidRPr="00966D5E">
        <w:rPr>
          <w:rFonts w:cs="Arial"/>
          <w:lang w:val="en-AU"/>
        </w:rPr>
        <w:t>jects to improve data availability and access to water resource information</w:t>
      </w:r>
      <w:r w:rsidR="00C60366" w:rsidRPr="00966D5E">
        <w:rPr>
          <w:rFonts w:cs="Arial"/>
          <w:lang w:val="en-AU"/>
        </w:rPr>
        <w:t xml:space="preserve"> in formats </w:t>
      </w:r>
      <w:r w:rsidR="000F3860" w:rsidRPr="00966D5E">
        <w:rPr>
          <w:rFonts w:cs="Arial"/>
          <w:lang w:val="en-AU"/>
        </w:rPr>
        <w:t>that</w:t>
      </w:r>
      <w:r w:rsidR="00C60366" w:rsidRPr="00966D5E">
        <w:rPr>
          <w:rFonts w:cs="Arial"/>
          <w:lang w:val="en-AU"/>
        </w:rPr>
        <w:t xml:space="preserve"> were more engaging and user-friendly</w:t>
      </w:r>
      <w:r w:rsidR="003959A1" w:rsidRPr="00966D5E">
        <w:rPr>
          <w:rFonts w:cs="Arial"/>
          <w:lang w:val="en-AU"/>
        </w:rPr>
        <w:t>. Three of the most significant contributions to improving community access to water resource information were:</w:t>
      </w:r>
    </w:p>
    <w:p w14:paraId="594580E7" w14:textId="4176AFB6" w:rsidR="007C5937" w:rsidRPr="00966D5E" w:rsidRDefault="002257A5" w:rsidP="001A4A88">
      <w:pPr>
        <w:pStyle w:val="BulletLevel1"/>
        <w:rPr>
          <w:rFonts w:cs="Arial"/>
          <w:lang w:val="en-AU"/>
        </w:rPr>
      </w:pPr>
      <w:r w:rsidRPr="00966D5E">
        <w:rPr>
          <w:rFonts w:cs="Arial"/>
          <w:b/>
          <w:bCs/>
          <w:lang w:val="en-AU"/>
        </w:rPr>
        <w:t xml:space="preserve">WRS14: </w:t>
      </w:r>
      <w:r w:rsidR="007C5937" w:rsidRPr="00966D5E">
        <w:rPr>
          <w:rFonts w:cs="Arial"/>
          <w:b/>
          <w:bCs/>
          <w:lang w:val="en-AU"/>
        </w:rPr>
        <w:t xml:space="preserve">Surface </w:t>
      </w:r>
      <w:r w:rsidR="000D3EA2" w:rsidRPr="00966D5E">
        <w:rPr>
          <w:rFonts w:cs="Arial"/>
          <w:b/>
          <w:bCs/>
          <w:lang w:val="en-AU"/>
        </w:rPr>
        <w:t>W</w:t>
      </w:r>
      <w:r w:rsidR="007C5937" w:rsidRPr="00966D5E">
        <w:rPr>
          <w:rFonts w:cs="Arial"/>
          <w:b/>
          <w:bCs/>
          <w:lang w:val="en-AU"/>
        </w:rPr>
        <w:t xml:space="preserve">ater and </w:t>
      </w:r>
      <w:r w:rsidR="000D3EA2" w:rsidRPr="00966D5E">
        <w:rPr>
          <w:rFonts w:cs="Arial"/>
          <w:b/>
          <w:bCs/>
          <w:lang w:val="en-AU"/>
        </w:rPr>
        <w:t>G</w:t>
      </w:r>
      <w:r w:rsidR="007C5937" w:rsidRPr="00966D5E">
        <w:rPr>
          <w:rFonts w:cs="Arial"/>
          <w:b/>
          <w:bCs/>
          <w:lang w:val="en-AU"/>
        </w:rPr>
        <w:t xml:space="preserve">roundwater </w:t>
      </w:r>
      <w:r w:rsidR="000D3EA2" w:rsidRPr="00966D5E">
        <w:rPr>
          <w:rFonts w:cs="Arial"/>
          <w:b/>
          <w:bCs/>
          <w:lang w:val="en-AU"/>
        </w:rPr>
        <w:t>M</w:t>
      </w:r>
      <w:r w:rsidR="007C5937" w:rsidRPr="00966D5E">
        <w:rPr>
          <w:rFonts w:cs="Arial"/>
          <w:b/>
          <w:bCs/>
          <w:lang w:val="en-AU"/>
        </w:rPr>
        <w:t>onitoring:</w:t>
      </w:r>
      <w:r w:rsidR="007C5937" w:rsidRPr="00966D5E">
        <w:rPr>
          <w:rFonts w:cs="Arial"/>
          <w:lang w:val="en-AU"/>
        </w:rPr>
        <w:t xml:space="preserve"> This </w:t>
      </w:r>
      <w:r w:rsidR="00A12D1C" w:rsidRPr="00966D5E">
        <w:rPr>
          <w:rFonts w:cs="Arial"/>
          <w:lang w:val="en-AU"/>
        </w:rPr>
        <w:t xml:space="preserve">project </w:t>
      </w:r>
      <w:r w:rsidR="007C5937" w:rsidRPr="00966D5E">
        <w:rPr>
          <w:rFonts w:cs="Arial"/>
          <w:lang w:val="en-AU"/>
        </w:rPr>
        <w:t xml:space="preserve">improved data availability through review and redevelopment of the Water </w:t>
      </w:r>
      <w:r w:rsidR="00D92D18" w:rsidRPr="00966D5E">
        <w:rPr>
          <w:rFonts w:cs="Arial"/>
          <w:lang w:val="en-AU"/>
        </w:rPr>
        <w:t xml:space="preserve">Management </w:t>
      </w:r>
      <w:r w:rsidR="007C5937" w:rsidRPr="00966D5E">
        <w:rPr>
          <w:rFonts w:cs="Arial"/>
          <w:lang w:val="en-AU"/>
        </w:rPr>
        <w:t xml:space="preserve">Information System (WMIS) </w:t>
      </w:r>
      <w:r w:rsidR="00F147B4" w:rsidRPr="00966D5E">
        <w:rPr>
          <w:rFonts w:cs="Arial"/>
          <w:lang w:val="en-AU"/>
        </w:rPr>
        <w:t>which led to an</w:t>
      </w:r>
      <w:r w:rsidR="00AC2497" w:rsidRPr="00D90AD4">
        <w:rPr>
          <w:rFonts w:cs="Arial"/>
          <w:lang w:val="en-AU"/>
        </w:rPr>
        <w:t xml:space="preserve"> upgraded WMIS website available through the existing online portal: </w:t>
      </w:r>
      <w:hyperlink r:id="rId25" w:history="1">
        <w:r w:rsidR="00AC2497" w:rsidRPr="00D90AD4">
          <w:rPr>
            <w:rStyle w:val="Hyperlink"/>
            <w:rFonts w:cs="Arial"/>
            <w:lang w:val="en-AU"/>
          </w:rPr>
          <w:t>data.water.vic.gov.au</w:t>
        </w:r>
      </w:hyperlink>
      <w:r w:rsidR="00AC2497" w:rsidRPr="00D90AD4">
        <w:rPr>
          <w:rFonts w:cs="Arial"/>
          <w:lang w:val="en-AU"/>
        </w:rPr>
        <w:t xml:space="preserve">. WMIS publishes consistent statewide water quality information from the </w:t>
      </w:r>
      <w:r w:rsidR="00A968E5" w:rsidRPr="00D90AD4">
        <w:rPr>
          <w:rFonts w:cs="Arial"/>
          <w:lang w:val="en-AU"/>
        </w:rPr>
        <w:t>Regional Water Monitoring Partnership</w:t>
      </w:r>
      <w:r w:rsidR="00A968E5" w:rsidRPr="00D90AD4" w:rsidDel="00A968E5">
        <w:rPr>
          <w:rStyle w:val="CommentReference"/>
          <w:rFonts w:cs="Arial"/>
          <w:sz w:val="20"/>
          <w:szCs w:val="20"/>
          <w:lang w:val="en-AU"/>
        </w:rPr>
        <w:t xml:space="preserve"> </w:t>
      </w:r>
      <w:r w:rsidR="00AC2497" w:rsidRPr="00D90AD4">
        <w:rPr>
          <w:rFonts w:cs="Arial"/>
          <w:lang w:val="en-AU"/>
        </w:rPr>
        <w:t>and has improv</w:t>
      </w:r>
      <w:r w:rsidR="000D3EA2" w:rsidRPr="00D90AD4">
        <w:rPr>
          <w:rFonts w:cs="Arial"/>
          <w:lang w:val="en-AU"/>
        </w:rPr>
        <w:t>ed</w:t>
      </w:r>
      <w:r w:rsidR="00AC2497" w:rsidRPr="00D90AD4">
        <w:rPr>
          <w:rFonts w:cs="Arial"/>
          <w:lang w:val="en-AU"/>
        </w:rPr>
        <w:t xml:space="preserve"> functionality like advanced search, data downloads and filtering capability with a GIS interface. Future enhancements planned for WMIS will further improve functionality and usability of the platform</w:t>
      </w:r>
      <w:r w:rsidR="00F147B4" w:rsidRPr="00D90AD4">
        <w:rPr>
          <w:rFonts w:cs="Arial"/>
          <w:lang w:val="en-AU"/>
        </w:rPr>
        <w:t>.</w:t>
      </w:r>
    </w:p>
    <w:p w14:paraId="32A0AF19" w14:textId="64233402" w:rsidR="00881838" w:rsidRPr="00D90AD4" w:rsidRDefault="48301091" w:rsidP="007D3C03">
      <w:pPr>
        <w:pStyle w:val="BulletLevel1"/>
        <w:rPr>
          <w:rFonts w:cs="Arial"/>
          <w:lang w:val="en-AU"/>
        </w:rPr>
      </w:pPr>
      <w:r w:rsidRPr="00D90AD4">
        <w:rPr>
          <w:rFonts w:cs="Arial"/>
          <w:b/>
          <w:bCs/>
          <w:lang w:val="en-AU"/>
        </w:rPr>
        <w:t xml:space="preserve">WRS16: </w:t>
      </w:r>
      <w:r w:rsidR="1E99BE70" w:rsidRPr="00D90AD4">
        <w:rPr>
          <w:rFonts w:cs="Arial"/>
          <w:b/>
          <w:bCs/>
          <w:lang w:val="en-AU"/>
        </w:rPr>
        <w:t>Water Knowledge and Insights:</w:t>
      </w:r>
      <w:r w:rsidR="1E99BE70" w:rsidRPr="00D90AD4">
        <w:rPr>
          <w:rFonts w:cs="Arial"/>
          <w:lang w:val="en-AU"/>
        </w:rPr>
        <w:t xml:space="preserve"> This </w:t>
      </w:r>
      <w:r w:rsidR="00A12D1C" w:rsidRPr="00D90AD4">
        <w:rPr>
          <w:rFonts w:cs="Arial"/>
          <w:lang w:val="en-AU"/>
        </w:rPr>
        <w:t xml:space="preserve">project </w:t>
      </w:r>
      <w:r w:rsidR="1E99BE70" w:rsidRPr="00D90AD4">
        <w:rPr>
          <w:rFonts w:cs="Arial"/>
          <w:lang w:val="en-AU"/>
        </w:rPr>
        <w:t xml:space="preserve">improved community access to water resource information through promoting water data, information and reports created by DEECA to the public through the development of user platforms, social </w:t>
      </w:r>
      <w:proofErr w:type="gramStart"/>
      <w:r w:rsidR="1E99BE70" w:rsidRPr="00D90AD4">
        <w:rPr>
          <w:rFonts w:cs="Arial"/>
          <w:lang w:val="en-AU"/>
        </w:rPr>
        <w:t>media</w:t>
      </w:r>
      <w:proofErr w:type="gramEnd"/>
      <w:r w:rsidR="1E99BE70" w:rsidRPr="00D90AD4">
        <w:rPr>
          <w:rFonts w:cs="Arial"/>
          <w:lang w:val="en-AU"/>
        </w:rPr>
        <w:t xml:space="preserve"> and improved online resources. Highlights of the work </w:t>
      </w:r>
      <w:r w:rsidR="00281354" w:rsidRPr="00D90AD4">
        <w:rPr>
          <w:rFonts w:cs="Arial"/>
          <w:lang w:val="en-AU"/>
        </w:rPr>
        <w:t xml:space="preserve">during </w:t>
      </w:r>
      <w:r w:rsidR="1E99BE70" w:rsidRPr="00D90AD4">
        <w:rPr>
          <w:rFonts w:cs="Arial"/>
          <w:lang w:val="en-AU"/>
        </w:rPr>
        <w:t>EC5 include</w:t>
      </w:r>
      <w:r w:rsidR="00281354" w:rsidRPr="00D90AD4">
        <w:rPr>
          <w:rFonts w:cs="Arial"/>
          <w:lang w:val="en-AU"/>
        </w:rPr>
        <w:t>d</w:t>
      </w:r>
      <w:r w:rsidR="00A72E22" w:rsidRPr="00D90AD4">
        <w:rPr>
          <w:rFonts w:cs="Arial"/>
          <w:lang w:val="en-AU"/>
        </w:rPr>
        <w:t xml:space="preserve"> early</w:t>
      </w:r>
      <w:r w:rsidR="1E99BE70" w:rsidRPr="00D90AD4">
        <w:rPr>
          <w:rFonts w:cs="Arial"/>
          <w:lang w:val="en-AU"/>
        </w:rPr>
        <w:t xml:space="preserve"> development of the Water Education Portal</w:t>
      </w:r>
      <w:r w:rsidR="00A72E22" w:rsidRPr="00D90AD4">
        <w:rPr>
          <w:rFonts w:cs="Arial"/>
          <w:lang w:val="en-AU"/>
        </w:rPr>
        <w:t>, ai</w:t>
      </w:r>
      <w:r w:rsidR="1E99BE70" w:rsidRPr="00D90AD4">
        <w:rPr>
          <w:rFonts w:cs="Arial"/>
          <w:lang w:val="en-AU"/>
        </w:rPr>
        <w:t>med at resources for students and teachers</w:t>
      </w:r>
      <w:r w:rsidR="00A72E22" w:rsidRPr="00D90AD4">
        <w:rPr>
          <w:rFonts w:cs="Arial"/>
          <w:lang w:val="en-AU"/>
        </w:rPr>
        <w:t xml:space="preserve"> (yet to be launched)</w:t>
      </w:r>
      <w:r w:rsidR="1E99BE70" w:rsidRPr="00D90AD4">
        <w:rPr>
          <w:rFonts w:cs="Arial"/>
          <w:lang w:val="en-AU"/>
        </w:rPr>
        <w:t>, the Water Market Watch iOS app to provide real-time water market information, and the Visualising Our Communications project with Goulburn</w:t>
      </w:r>
      <w:r w:rsidR="006F1C95" w:rsidRPr="00D90AD4">
        <w:rPr>
          <w:rFonts w:cs="Arial"/>
          <w:lang w:val="en-AU"/>
        </w:rPr>
        <w:t>-</w:t>
      </w:r>
      <w:r w:rsidR="1E99BE70" w:rsidRPr="00D90AD4">
        <w:rPr>
          <w:rFonts w:cs="Arial"/>
          <w:lang w:val="en-AU"/>
        </w:rPr>
        <w:t>Murray Water, Lower Murray Water, and Southern Rural Water</w:t>
      </w:r>
      <w:r w:rsidR="00C6D96A" w:rsidRPr="00D90AD4">
        <w:rPr>
          <w:rFonts w:cs="Arial"/>
          <w:lang w:val="en-AU"/>
        </w:rPr>
        <w:t xml:space="preserve">, which leveraged collaboration to produce a suite of marketing products </w:t>
      </w:r>
      <w:r w:rsidR="00493E28" w:rsidRPr="00D90AD4">
        <w:rPr>
          <w:rFonts w:cs="Arial"/>
          <w:lang w:val="en-AU"/>
        </w:rPr>
        <w:br/>
      </w:r>
      <w:r w:rsidR="00C6D96A" w:rsidRPr="00D90AD4">
        <w:rPr>
          <w:rFonts w:cs="Arial"/>
          <w:lang w:val="en-AU"/>
        </w:rPr>
        <w:t xml:space="preserve">(including photography, video and interviews) </w:t>
      </w:r>
      <w:r w:rsidR="008E3855" w:rsidRPr="00D90AD4">
        <w:rPr>
          <w:rFonts w:cs="Arial"/>
          <w:lang w:val="en-AU"/>
        </w:rPr>
        <w:t xml:space="preserve">which has been </w:t>
      </w:r>
      <w:r w:rsidR="00C6D96A" w:rsidRPr="00D90AD4">
        <w:rPr>
          <w:rFonts w:cs="Arial"/>
          <w:lang w:val="en-AU"/>
        </w:rPr>
        <w:t>use</w:t>
      </w:r>
      <w:r w:rsidR="008E3855" w:rsidRPr="00D90AD4">
        <w:rPr>
          <w:rFonts w:cs="Arial"/>
          <w:lang w:val="en-AU"/>
        </w:rPr>
        <w:t>d</w:t>
      </w:r>
      <w:r w:rsidR="00C6D96A" w:rsidRPr="00D90AD4">
        <w:rPr>
          <w:rFonts w:cs="Arial"/>
          <w:lang w:val="en-AU"/>
        </w:rPr>
        <w:t xml:space="preserve"> across </w:t>
      </w:r>
      <w:r w:rsidR="00BB7032" w:rsidRPr="00D90AD4">
        <w:rPr>
          <w:rFonts w:cs="Arial"/>
          <w:lang w:val="en-AU"/>
        </w:rPr>
        <w:t>DEECA, G</w:t>
      </w:r>
      <w:r w:rsidR="007932C3" w:rsidRPr="00D90AD4">
        <w:rPr>
          <w:rFonts w:cs="Arial"/>
          <w:lang w:val="en-AU"/>
        </w:rPr>
        <w:t>oulburn-</w:t>
      </w:r>
      <w:r w:rsidR="00BB7032" w:rsidRPr="00D90AD4">
        <w:rPr>
          <w:rFonts w:cs="Arial"/>
          <w:lang w:val="en-AU"/>
        </w:rPr>
        <w:t>M</w:t>
      </w:r>
      <w:r w:rsidR="007932C3" w:rsidRPr="00D90AD4">
        <w:rPr>
          <w:rFonts w:cs="Arial"/>
          <w:lang w:val="en-AU"/>
        </w:rPr>
        <w:t xml:space="preserve">urray </w:t>
      </w:r>
      <w:r w:rsidR="007C202C" w:rsidRPr="00D90AD4">
        <w:rPr>
          <w:rFonts w:cs="Arial"/>
          <w:lang w:val="en-AU"/>
        </w:rPr>
        <w:t>W</w:t>
      </w:r>
      <w:r w:rsidR="007932C3" w:rsidRPr="00D90AD4">
        <w:rPr>
          <w:rFonts w:cs="Arial"/>
          <w:lang w:val="en-AU"/>
        </w:rPr>
        <w:t>ater,</w:t>
      </w:r>
      <w:r w:rsidR="00BB7032" w:rsidRPr="00D90AD4">
        <w:rPr>
          <w:rFonts w:cs="Arial"/>
          <w:lang w:val="en-AU"/>
        </w:rPr>
        <w:t xml:space="preserve"> </w:t>
      </w:r>
      <w:r w:rsidR="00B10E29" w:rsidRPr="00D90AD4">
        <w:rPr>
          <w:rFonts w:cs="Arial"/>
          <w:lang w:val="en-AU"/>
        </w:rPr>
        <w:t>Lower Murray Water</w:t>
      </w:r>
      <w:r w:rsidR="00BB7032" w:rsidRPr="00D90AD4">
        <w:rPr>
          <w:rFonts w:cs="Arial"/>
          <w:lang w:val="en-AU"/>
        </w:rPr>
        <w:t xml:space="preserve"> and </w:t>
      </w:r>
      <w:r w:rsidR="00B10E29" w:rsidRPr="00D90AD4">
        <w:rPr>
          <w:rFonts w:cs="Arial"/>
          <w:lang w:val="en-AU"/>
        </w:rPr>
        <w:t>Southern Rural Water</w:t>
      </w:r>
      <w:r w:rsidR="00BB7032" w:rsidRPr="00D90AD4">
        <w:rPr>
          <w:rFonts w:cs="Arial"/>
          <w:lang w:val="en-AU"/>
        </w:rPr>
        <w:t xml:space="preserve"> </w:t>
      </w:r>
      <w:r w:rsidR="00215CDE" w:rsidRPr="00D90AD4">
        <w:rPr>
          <w:rFonts w:cs="Arial"/>
          <w:lang w:val="en-AU"/>
        </w:rPr>
        <w:t xml:space="preserve">policy documents, research and </w:t>
      </w:r>
      <w:r w:rsidR="00215CDE" w:rsidRPr="00D90AD4">
        <w:rPr>
          <w:rFonts w:cs="Arial"/>
          <w:lang w:val="en-AU"/>
        </w:rPr>
        <w:lastRenderedPageBreak/>
        <w:t xml:space="preserve">annual reports, online web content, customer information presentation, social media, fact sheets and other important water </w:t>
      </w:r>
      <w:r w:rsidR="00C6D96A" w:rsidRPr="00D90AD4">
        <w:rPr>
          <w:rFonts w:cs="Arial"/>
          <w:lang w:val="en-AU"/>
        </w:rPr>
        <w:t>communications</w:t>
      </w:r>
      <w:r w:rsidR="1E99BE70" w:rsidRPr="00D90AD4">
        <w:rPr>
          <w:rFonts w:cs="Arial"/>
          <w:lang w:val="en-AU"/>
        </w:rPr>
        <w:t xml:space="preserve">. </w:t>
      </w:r>
      <w:r w:rsidR="626168F2" w:rsidRPr="00D90AD4">
        <w:rPr>
          <w:rFonts w:cs="Arial"/>
          <w:lang w:val="en-AU"/>
        </w:rPr>
        <w:t xml:space="preserve">This </w:t>
      </w:r>
      <w:r w:rsidR="00A12D1C" w:rsidRPr="00D90AD4">
        <w:rPr>
          <w:rFonts w:cs="Arial"/>
          <w:lang w:val="en-AU"/>
        </w:rPr>
        <w:t xml:space="preserve">project </w:t>
      </w:r>
      <w:r w:rsidR="626168F2" w:rsidRPr="00D90AD4">
        <w:rPr>
          <w:rFonts w:cs="Arial"/>
          <w:lang w:val="en-AU"/>
        </w:rPr>
        <w:t>has also been leading the discovery process for Building a Better Victorian Water Register Website project.</w:t>
      </w:r>
    </w:p>
    <w:p w14:paraId="5F473109" w14:textId="77777777" w:rsidR="002E331D" w:rsidRPr="00D90AD4" w:rsidRDefault="000949F5" w:rsidP="007D3C03">
      <w:pPr>
        <w:pStyle w:val="BulletLevel1"/>
        <w:rPr>
          <w:rFonts w:cs="Arial"/>
          <w:lang w:val="en-AU"/>
        </w:rPr>
      </w:pPr>
      <w:r w:rsidRPr="00D90AD4">
        <w:rPr>
          <w:rFonts w:cs="Arial"/>
          <w:b/>
          <w:bCs/>
          <w:lang w:val="en-AU"/>
        </w:rPr>
        <w:t xml:space="preserve">WRS15: </w:t>
      </w:r>
      <w:r w:rsidR="007C5937" w:rsidRPr="00D90AD4">
        <w:rPr>
          <w:rFonts w:cs="Arial"/>
          <w:b/>
          <w:bCs/>
          <w:lang w:val="en-AU"/>
        </w:rPr>
        <w:t>Water Accounting and Reporting:</w:t>
      </w:r>
      <w:r w:rsidR="007C5937" w:rsidRPr="00D90AD4">
        <w:rPr>
          <w:rFonts w:cs="Arial"/>
          <w:lang w:val="en-AU"/>
        </w:rPr>
        <w:t xml:space="preserve"> This </w:t>
      </w:r>
      <w:r w:rsidR="00A12D1C" w:rsidRPr="00D90AD4">
        <w:rPr>
          <w:rFonts w:cs="Arial"/>
          <w:lang w:val="en-AU"/>
        </w:rPr>
        <w:t xml:space="preserve">project </w:t>
      </w:r>
      <w:r w:rsidR="007C5937" w:rsidRPr="00D90AD4">
        <w:rPr>
          <w:rFonts w:cs="Arial"/>
          <w:lang w:val="en-AU"/>
        </w:rPr>
        <w:t>delivered a</w:t>
      </w:r>
      <w:r w:rsidR="00FE5E1C" w:rsidRPr="00D90AD4">
        <w:rPr>
          <w:rFonts w:cs="Arial"/>
          <w:lang w:val="en-AU"/>
        </w:rPr>
        <w:t xml:space="preserve"> </w:t>
      </w:r>
      <w:r w:rsidR="007C5937" w:rsidRPr="00D90AD4">
        <w:rPr>
          <w:rFonts w:cs="Arial"/>
          <w:lang w:val="en-AU"/>
        </w:rPr>
        <w:t xml:space="preserve">new interactive website to improve the ability of users to engage with the water accounts and download the data for use. The Victorian Auditor-General’s Office, in </w:t>
      </w:r>
      <w:r w:rsidR="00186E95" w:rsidRPr="00D90AD4">
        <w:rPr>
          <w:rFonts w:cs="Arial"/>
          <w:lang w:val="en-AU"/>
        </w:rPr>
        <w:t xml:space="preserve">its </w:t>
      </w:r>
      <w:r w:rsidR="007C5937" w:rsidRPr="00D90AD4">
        <w:rPr>
          <w:rFonts w:cs="Arial"/>
          <w:lang w:val="en-AU"/>
        </w:rPr>
        <w:t>2021 audit of recycled water use in Victoria, stated that “DELWP</w:t>
      </w:r>
      <w:r w:rsidR="00D970CC" w:rsidRPr="00D90AD4">
        <w:rPr>
          <w:rFonts w:cs="Arial"/>
          <w:lang w:val="en-AU"/>
        </w:rPr>
        <w:t xml:space="preserve"> (</w:t>
      </w:r>
      <w:r w:rsidR="003461E1" w:rsidRPr="00D90AD4">
        <w:rPr>
          <w:rFonts w:cs="Arial"/>
          <w:lang w:val="en-AU"/>
        </w:rPr>
        <w:t>DEECA</w:t>
      </w:r>
      <w:r w:rsidR="00D970CC" w:rsidRPr="00D90AD4">
        <w:rPr>
          <w:rFonts w:cs="Arial"/>
          <w:lang w:val="en-AU"/>
        </w:rPr>
        <w:t>)</w:t>
      </w:r>
      <w:r w:rsidR="007C5937" w:rsidRPr="00D90AD4">
        <w:rPr>
          <w:rFonts w:cs="Arial"/>
          <w:lang w:val="en-AU"/>
        </w:rPr>
        <w:t xml:space="preserve"> is also working to improve publicly available water data. For example, DELWP</w:t>
      </w:r>
      <w:r w:rsidR="00D970CC" w:rsidRPr="00D90AD4">
        <w:rPr>
          <w:rFonts w:cs="Arial"/>
          <w:lang w:val="en-AU"/>
        </w:rPr>
        <w:t xml:space="preserve"> (DEECA)</w:t>
      </w:r>
      <w:r w:rsidR="007C5937" w:rsidRPr="00D90AD4">
        <w:rPr>
          <w:rFonts w:cs="Arial"/>
          <w:lang w:val="en-AU"/>
        </w:rPr>
        <w:t xml:space="preserve"> developed the Victorian Water Accounts, which is an online, </w:t>
      </w:r>
      <w:proofErr w:type="gramStart"/>
      <w:r w:rsidR="007C5937" w:rsidRPr="00D90AD4">
        <w:rPr>
          <w:rFonts w:cs="Arial"/>
          <w:lang w:val="en-AU"/>
        </w:rPr>
        <w:t>user-friendly</w:t>
      </w:r>
      <w:proofErr w:type="gramEnd"/>
      <w:r w:rsidR="007C5937" w:rsidRPr="00D90AD4">
        <w:rPr>
          <w:rFonts w:cs="Arial"/>
          <w:lang w:val="en-AU"/>
        </w:rPr>
        <w:t xml:space="preserve"> and engaging overview of water use and availability across the state.”</w:t>
      </w:r>
      <w:r w:rsidR="2DC18ECE" w:rsidRPr="00D90AD4">
        <w:rPr>
          <w:rFonts w:cs="Arial"/>
          <w:lang w:val="en-AU"/>
        </w:rPr>
        <w:t xml:space="preserve"> </w:t>
      </w:r>
      <w:r w:rsidR="00CD5ADC" w:rsidRPr="00D90AD4">
        <w:rPr>
          <w:rFonts w:cs="Arial"/>
          <w:lang w:val="en-AU"/>
        </w:rPr>
        <w:t xml:space="preserve">Minor improvements to the website based on user feedback have been actioned for the 2022-23 accounts, and </w:t>
      </w:r>
      <w:r w:rsidR="003D2A33" w:rsidRPr="00D90AD4">
        <w:rPr>
          <w:rFonts w:cs="Arial"/>
          <w:lang w:val="en-AU"/>
        </w:rPr>
        <w:t xml:space="preserve">there will be </w:t>
      </w:r>
      <w:r w:rsidR="00CD5ADC" w:rsidRPr="00D90AD4">
        <w:rPr>
          <w:rFonts w:cs="Arial"/>
          <w:lang w:val="en-AU"/>
        </w:rPr>
        <w:t>further improvements in future releases.</w:t>
      </w:r>
    </w:p>
    <w:p w14:paraId="53CD92BC" w14:textId="23506BE0" w:rsidR="007C5937" w:rsidRPr="00966D5E" w:rsidRDefault="007C5937" w:rsidP="00523FE0">
      <w:pPr>
        <w:pStyle w:val="Heading3"/>
        <w:rPr>
          <w:rFonts w:cs="Arial"/>
          <w:lang w:val="en-AU"/>
        </w:rPr>
      </w:pPr>
      <w:r w:rsidRPr="00966D5E">
        <w:rPr>
          <w:rFonts w:cs="Arial"/>
          <w:lang w:val="en-AU"/>
        </w:rPr>
        <w:t>Improved reflection of the diversity of community values in water management</w:t>
      </w:r>
    </w:p>
    <w:p w14:paraId="4A4C539E" w14:textId="08317FEF" w:rsidR="00A33EE1" w:rsidRPr="00966D5E" w:rsidRDefault="00936F2F">
      <w:pPr>
        <w:pStyle w:val="BulletLevel1"/>
        <w:numPr>
          <w:ilvl w:val="0"/>
          <w:numId w:val="0"/>
        </w:numPr>
        <w:rPr>
          <w:rFonts w:cs="Arial"/>
          <w:lang w:val="en-AU"/>
        </w:rPr>
      </w:pPr>
      <w:r w:rsidRPr="00966D5E">
        <w:rPr>
          <w:rFonts w:cs="Arial"/>
          <w:lang w:val="en-AU"/>
        </w:rPr>
        <w:t>Waterways are shared public places and</w:t>
      </w:r>
      <w:r w:rsidR="00E6175F" w:rsidRPr="00966D5E">
        <w:rPr>
          <w:rFonts w:cs="Arial"/>
          <w:lang w:val="en-AU"/>
        </w:rPr>
        <w:t xml:space="preserve"> water management should seek to incorporate the diversity of community values</w:t>
      </w:r>
      <w:r w:rsidR="00FE6048" w:rsidRPr="00966D5E">
        <w:rPr>
          <w:rFonts w:cs="Arial"/>
          <w:lang w:val="en-AU"/>
        </w:rPr>
        <w:t>. Throughout EC5, community input and insights</w:t>
      </w:r>
      <w:r w:rsidR="007A011D" w:rsidRPr="00966D5E">
        <w:rPr>
          <w:rFonts w:cs="Arial"/>
          <w:lang w:val="en-AU"/>
        </w:rPr>
        <w:t xml:space="preserve"> were sought </w:t>
      </w:r>
      <w:r w:rsidR="004F52AE" w:rsidRPr="00966D5E">
        <w:rPr>
          <w:rFonts w:cs="Arial"/>
          <w:lang w:val="en-AU"/>
        </w:rPr>
        <w:t xml:space="preserve">with community values integrated in water management </w:t>
      </w:r>
      <w:r w:rsidR="007A011D" w:rsidRPr="00966D5E">
        <w:rPr>
          <w:rFonts w:cs="Arial"/>
          <w:lang w:val="en-AU"/>
        </w:rPr>
        <w:t>through</w:t>
      </w:r>
      <w:r w:rsidR="00FE6048" w:rsidRPr="00966D5E">
        <w:rPr>
          <w:rFonts w:cs="Arial"/>
          <w:lang w:val="en-AU"/>
        </w:rPr>
        <w:t>:</w:t>
      </w:r>
    </w:p>
    <w:p w14:paraId="6FA95A9D" w14:textId="77777777" w:rsidR="002E331D" w:rsidRPr="00966D5E" w:rsidRDefault="00C866E8" w:rsidP="001A4A88">
      <w:pPr>
        <w:pStyle w:val="BulletLevel1"/>
        <w:rPr>
          <w:rFonts w:cs="Arial"/>
          <w:lang w:val="en-AU"/>
        </w:rPr>
      </w:pPr>
      <w:r w:rsidRPr="00966D5E">
        <w:rPr>
          <w:rFonts w:cs="Arial"/>
          <w:b/>
          <w:bCs/>
          <w:lang w:val="en-AU"/>
        </w:rPr>
        <w:t xml:space="preserve">CWCT09: </w:t>
      </w:r>
      <w:r w:rsidR="007C5937" w:rsidRPr="00966D5E">
        <w:rPr>
          <w:rFonts w:cs="Arial"/>
          <w:b/>
          <w:bCs/>
          <w:lang w:val="en-AU"/>
        </w:rPr>
        <w:t>Waterway Health Program:</w:t>
      </w:r>
      <w:r w:rsidR="007C5937" w:rsidRPr="00D90AD4">
        <w:rPr>
          <w:rFonts w:cs="Arial"/>
          <w:sz w:val="19"/>
          <w:szCs w:val="19"/>
          <w:lang w:val="en-AU"/>
        </w:rPr>
        <w:t xml:space="preserve"> </w:t>
      </w:r>
      <w:r w:rsidR="007C5937" w:rsidRPr="00966D5E">
        <w:rPr>
          <w:rFonts w:cs="Arial"/>
          <w:lang w:val="en-AU"/>
        </w:rPr>
        <w:t>The My Victorian Waterway survey ran for five weeks in March/April 2022. A total of 6,240 online surveys were completed. The survey gathered a wealth of information about current waterway usage, attitudes and understandings about waterway health, current knowledge and language used by the community, and aspirations for the future. The story told by participants paints a clear picture of the great importance and value of healthy waterways for all Victorians and future generations. The data from the My Victorian Waterway survey will be used to help shape water-sector policy, guide investments and inform waterway programs and community engagement by the Victorian Government and other partners.</w:t>
      </w:r>
    </w:p>
    <w:p w14:paraId="11B26200" w14:textId="4FB8628B" w:rsidR="007C5937" w:rsidRPr="00D90AD4" w:rsidRDefault="00C866E8" w:rsidP="007D3C03">
      <w:pPr>
        <w:pStyle w:val="BulletLevel1"/>
        <w:rPr>
          <w:rFonts w:cs="Arial"/>
          <w:lang w:val="en-AU"/>
        </w:rPr>
      </w:pPr>
      <w:r w:rsidRPr="00D90AD4">
        <w:rPr>
          <w:rFonts w:cs="Arial"/>
          <w:b/>
          <w:bCs/>
          <w:lang w:val="en-AU"/>
        </w:rPr>
        <w:t xml:space="preserve">CWCT03: </w:t>
      </w:r>
      <w:r w:rsidR="007C5937" w:rsidRPr="00D90AD4">
        <w:rPr>
          <w:rFonts w:cs="Arial"/>
          <w:b/>
          <w:bCs/>
          <w:lang w:val="en-AU"/>
        </w:rPr>
        <w:t>Recreational Values:</w:t>
      </w:r>
      <w:r w:rsidR="007C5937" w:rsidRPr="00D90AD4">
        <w:rPr>
          <w:rFonts w:cs="Arial"/>
          <w:lang w:val="en-AU"/>
        </w:rPr>
        <w:t xml:space="preserve"> </w:t>
      </w:r>
      <w:r w:rsidR="00536A87" w:rsidRPr="00D90AD4">
        <w:rPr>
          <w:rFonts w:cs="Arial"/>
          <w:lang w:val="en-AU"/>
        </w:rPr>
        <w:t>T</w:t>
      </w:r>
      <w:r w:rsidR="007C5937" w:rsidRPr="00D90AD4">
        <w:rPr>
          <w:rFonts w:cs="Arial"/>
          <w:lang w:val="en-AU"/>
        </w:rPr>
        <w:t xml:space="preserve">his </w:t>
      </w:r>
      <w:r w:rsidR="00317669" w:rsidRPr="00D90AD4">
        <w:rPr>
          <w:rFonts w:cs="Arial"/>
          <w:lang w:val="en-AU"/>
        </w:rPr>
        <w:t xml:space="preserve">project </w:t>
      </w:r>
      <w:r w:rsidR="007C5937" w:rsidRPr="00D90AD4">
        <w:rPr>
          <w:rFonts w:cs="Arial"/>
          <w:lang w:val="en-AU"/>
        </w:rPr>
        <w:t>fostered ways to understand and integrate community values in water management, including through the new Goulburn</w:t>
      </w:r>
      <w:r w:rsidR="000279D8" w:rsidRPr="00D90AD4">
        <w:rPr>
          <w:rFonts w:cs="Arial"/>
          <w:lang w:val="en-AU"/>
        </w:rPr>
        <w:t>-</w:t>
      </w:r>
      <w:r w:rsidR="007C5937" w:rsidRPr="00D90AD4">
        <w:rPr>
          <w:rFonts w:cs="Arial"/>
          <w:lang w:val="en-AU"/>
        </w:rPr>
        <w:t>Murray Water platform for community survey to inform their recreation planning. There were high levels of engagement from the local and general community through Engage Vic consultation processes, for both the Draft Greens Lake Action Plan (144 survey respondents) and the Draft Water (Recreational Area) Regulations (85 respondents) including strong attendance at two online information sessions (23 and 29). It also introduced a new requirement for site</w:t>
      </w:r>
      <w:r w:rsidR="0069547C" w:rsidRPr="00D90AD4">
        <w:rPr>
          <w:rFonts w:cs="Arial"/>
          <w:lang w:val="en-AU"/>
        </w:rPr>
        <w:t>-</w:t>
      </w:r>
      <w:r w:rsidR="007C5937" w:rsidRPr="00D90AD4">
        <w:rPr>
          <w:rFonts w:cs="Arial"/>
          <w:lang w:val="en-AU"/>
        </w:rPr>
        <w:t>based management planning for Recreational Areas through the new regulations, including requirement for consultation with the community</w:t>
      </w:r>
      <w:r w:rsidR="00EA6FAC" w:rsidRPr="00D90AD4">
        <w:rPr>
          <w:rFonts w:cs="Arial"/>
          <w:lang w:val="en-AU"/>
        </w:rPr>
        <w:t>.</w:t>
      </w:r>
    </w:p>
    <w:p w14:paraId="5E9B5F6C" w14:textId="153844EB" w:rsidR="00A17B7C" w:rsidRPr="00966D5E" w:rsidRDefault="00DC4F26">
      <w:pPr>
        <w:pStyle w:val="Heading2"/>
        <w:numPr>
          <w:ilvl w:val="1"/>
          <w:numId w:val="34"/>
        </w:numPr>
        <w:rPr>
          <w:rFonts w:cs="Arial"/>
          <w:lang w:val="en-AU"/>
        </w:rPr>
      </w:pPr>
      <w:bookmarkStart w:id="5" w:name="_Toc147002227"/>
      <w:r w:rsidRPr="00966D5E">
        <w:rPr>
          <w:rFonts w:cs="Arial"/>
          <w:lang w:val="en-AU"/>
        </w:rPr>
        <w:t>To what extent was the effectiveness of water governance improved?</w:t>
      </w:r>
      <w:bookmarkEnd w:id="5"/>
    </w:p>
    <w:p w14:paraId="20858E8A" w14:textId="77777777" w:rsidR="00DC4F26" w:rsidRPr="00966D5E" w:rsidRDefault="00DC4F26" w:rsidP="00597C3C">
      <w:pPr>
        <w:pStyle w:val="Heading3"/>
        <w:rPr>
          <w:rFonts w:cs="Arial"/>
          <w:lang w:val="en-AU"/>
        </w:rPr>
      </w:pPr>
      <w:r w:rsidRPr="00966D5E">
        <w:rPr>
          <w:rFonts w:cs="Arial"/>
          <w:lang w:val="en-AU"/>
        </w:rPr>
        <w:t>Improved performance of water sector in meeting the needs of customers and the community</w:t>
      </w:r>
    </w:p>
    <w:p w14:paraId="33A71B08" w14:textId="34D077EE" w:rsidR="00BE44CC" w:rsidRPr="00966D5E" w:rsidRDefault="00244982" w:rsidP="00BE44CC">
      <w:pPr>
        <w:pStyle w:val="BulletLevel1"/>
        <w:numPr>
          <w:ilvl w:val="0"/>
          <w:numId w:val="0"/>
        </w:numPr>
        <w:ind w:left="357" w:hanging="357"/>
        <w:rPr>
          <w:rFonts w:cs="Arial"/>
          <w:lang w:val="en-AU"/>
        </w:rPr>
      </w:pPr>
      <w:r w:rsidRPr="00966D5E">
        <w:rPr>
          <w:rFonts w:cs="Arial"/>
          <w:lang w:val="en-AU"/>
        </w:rPr>
        <w:t>Examples of ways in which the EC5 projects have contributed to this outcome include:</w:t>
      </w:r>
    </w:p>
    <w:p w14:paraId="3EB9F5F6" w14:textId="555D7B39" w:rsidR="00DC4F26" w:rsidRPr="00966D5E" w:rsidRDefault="00FB5390" w:rsidP="001A4A88">
      <w:pPr>
        <w:pStyle w:val="BulletLevel1"/>
        <w:rPr>
          <w:rFonts w:cs="Arial"/>
          <w:lang w:val="en-AU"/>
        </w:rPr>
      </w:pPr>
      <w:r w:rsidRPr="00966D5E">
        <w:rPr>
          <w:rFonts w:cs="Arial"/>
          <w:b/>
          <w:bCs/>
          <w:lang w:val="en-AU"/>
        </w:rPr>
        <w:t xml:space="preserve">SIRS4: </w:t>
      </w:r>
      <w:r w:rsidR="00DC4F26" w:rsidRPr="00966D5E">
        <w:rPr>
          <w:rFonts w:cs="Arial"/>
          <w:b/>
          <w:bCs/>
          <w:lang w:val="en-AU"/>
        </w:rPr>
        <w:t xml:space="preserve">Bendigo </w:t>
      </w:r>
      <w:proofErr w:type="spellStart"/>
      <w:r w:rsidR="00DC4F26" w:rsidRPr="00966D5E">
        <w:rPr>
          <w:rFonts w:cs="Arial"/>
          <w:b/>
          <w:bCs/>
          <w:lang w:val="en-AU"/>
        </w:rPr>
        <w:t>Minewater</w:t>
      </w:r>
      <w:proofErr w:type="spellEnd"/>
      <w:r w:rsidR="00DC4F26" w:rsidRPr="00966D5E">
        <w:rPr>
          <w:rFonts w:cs="Arial"/>
          <w:b/>
          <w:bCs/>
          <w:lang w:val="en-AU"/>
        </w:rPr>
        <w:t xml:space="preserve"> Project</w:t>
      </w:r>
      <w:r w:rsidR="00DC4F26" w:rsidRPr="00966D5E">
        <w:rPr>
          <w:rFonts w:cs="Arial"/>
          <w:lang w:val="en-AU"/>
        </w:rPr>
        <w:t xml:space="preserve">: This </w:t>
      </w:r>
      <w:r w:rsidR="00BE44CC" w:rsidRPr="00966D5E">
        <w:rPr>
          <w:rFonts w:cs="Arial"/>
          <w:lang w:val="en-AU"/>
        </w:rPr>
        <w:t xml:space="preserve">project </w:t>
      </w:r>
      <w:r w:rsidR="00DC4F26" w:rsidRPr="00966D5E">
        <w:rPr>
          <w:rFonts w:cs="Arial"/>
          <w:lang w:val="en-AU"/>
        </w:rPr>
        <w:t xml:space="preserve">met customer and community expectations </w:t>
      </w:r>
      <w:r w:rsidR="00BE44CC" w:rsidRPr="00966D5E">
        <w:rPr>
          <w:rFonts w:cs="Arial"/>
          <w:lang w:val="en-AU"/>
        </w:rPr>
        <w:t>regarding prevention of</w:t>
      </w:r>
      <w:r w:rsidR="00DC4F26" w:rsidRPr="00966D5E">
        <w:rPr>
          <w:rFonts w:cs="Arial"/>
          <w:lang w:val="en-AU"/>
        </w:rPr>
        <w:t xml:space="preserve"> mine impacted groundwater discharges to Central Bendigo through an interim solution, enabled Central Deborah Gold Mine to continue to offer underground tours, and developed and secured funding for implementation of a </w:t>
      </w:r>
      <w:r w:rsidR="006A252E" w:rsidRPr="00966D5E">
        <w:rPr>
          <w:rFonts w:cs="Arial"/>
          <w:lang w:val="en-AU"/>
        </w:rPr>
        <w:t>long-term</w:t>
      </w:r>
      <w:r w:rsidR="00DC4F26" w:rsidRPr="00966D5E">
        <w:rPr>
          <w:rFonts w:cs="Arial"/>
          <w:lang w:val="en-AU"/>
        </w:rPr>
        <w:t xml:space="preserve"> management solution.</w:t>
      </w:r>
    </w:p>
    <w:p w14:paraId="7F1DB02F" w14:textId="00BECBC3" w:rsidR="00DC4F26" w:rsidRPr="00966D5E" w:rsidRDefault="00DC4F26" w:rsidP="001A4A88">
      <w:pPr>
        <w:pStyle w:val="BulletLevel1"/>
        <w:rPr>
          <w:rFonts w:cs="Arial"/>
          <w:b/>
          <w:lang w:val="en-AU"/>
        </w:rPr>
      </w:pPr>
      <w:r w:rsidRPr="00966D5E">
        <w:rPr>
          <w:rFonts w:cs="Arial"/>
          <w:lang w:val="en-AU"/>
        </w:rPr>
        <w:t>All projects listed under the outcome - Improved community access to water resource information</w:t>
      </w:r>
      <w:r w:rsidR="00BE44CC" w:rsidRPr="00966D5E">
        <w:rPr>
          <w:rFonts w:cs="Arial"/>
          <w:lang w:val="en-AU"/>
        </w:rPr>
        <w:t xml:space="preserve"> (see above)</w:t>
      </w:r>
    </w:p>
    <w:p w14:paraId="30FD08C4" w14:textId="77777777" w:rsidR="00DC4F26" w:rsidRPr="00966D5E" w:rsidRDefault="00DC4F26" w:rsidP="00597C3C">
      <w:pPr>
        <w:pStyle w:val="Heading3"/>
        <w:rPr>
          <w:rFonts w:cs="Arial"/>
          <w:lang w:val="en-AU"/>
        </w:rPr>
      </w:pPr>
      <w:r w:rsidRPr="00966D5E">
        <w:rPr>
          <w:rFonts w:cs="Arial"/>
          <w:lang w:val="en-AU"/>
        </w:rPr>
        <w:lastRenderedPageBreak/>
        <w:t>Improved management of risks and emergencies</w:t>
      </w:r>
    </w:p>
    <w:p w14:paraId="5C3B026A" w14:textId="55CABDA7" w:rsidR="00BE44CC" w:rsidRPr="00966D5E" w:rsidRDefault="00823F20">
      <w:pPr>
        <w:pStyle w:val="BulletLevel1"/>
        <w:numPr>
          <w:ilvl w:val="0"/>
          <w:numId w:val="0"/>
        </w:numPr>
        <w:rPr>
          <w:rFonts w:cs="Arial"/>
          <w:lang w:val="en-AU"/>
        </w:rPr>
      </w:pPr>
      <w:r w:rsidRPr="00966D5E">
        <w:rPr>
          <w:rFonts w:cs="Arial"/>
          <w:lang w:val="en-AU"/>
        </w:rPr>
        <w:t>EC5 improved on the management of water risks and emergencies with a particular focus on building flood resilience</w:t>
      </w:r>
      <w:r w:rsidR="00E32EE8" w:rsidRPr="00966D5E">
        <w:rPr>
          <w:rFonts w:cs="Arial"/>
          <w:lang w:val="en-AU"/>
        </w:rPr>
        <w:t xml:space="preserve"> and mitigating small dam failure risks.</w:t>
      </w:r>
      <w:r w:rsidR="007C75C9" w:rsidRPr="00966D5E">
        <w:rPr>
          <w:rFonts w:cs="Arial"/>
          <w:lang w:val="en-AU"/>
        </w:rPr>
        <w:t xml:space="preserve"> </w:t>
      </w:r>
      <w:r w:rsidR="00495DC9" w:rsidRPr="00966D5E">
        <w:rPr>
          <w:rFonts w:cs="Arial"/>
          <w:lang w:val="en-AU"/>
        </w:rPr>
        <w:t>Projects which have contributed to this outcome include:</w:t>
      </w:r>
    </w:p>
    <w:p w14:paraId="76460D42" w14:textId="0A8CEF76" w:rsidR="00DC4F26" w:rsidRPr="00D90AD4" w:rsidRDefault="00EC1713" w:rsidP="001A4A88">
      <w:pPr>
        <w:pStyle w:val="BulletLevel1"/>
        <w:rPr>
          <w:rFonts w:cs="Arial"/>
          <w:lang w:val="en-AU"/>
        </w:rPr>
      </w:pPr>
      <w:r w:rsidRPr="00966D5E">
        <w:rPr>
          <w:rFonts w:cs="Arial"/>
          <w:b/>
          <w:bCs/>
          <w:lang w:val="en-AU"/>
        </w:rPr>
        <w:t xml:space="preserve">SIRS3: </w:t>
      </w:r>
      <w:r w:rsidR="00DC4F26" w:rsidRPr="00966D5E">
        <w:rPr>
          <w:rFonts w:cs="Arial"/>
          <w:b/>
          <w:bCs/>
          <w:lang w:val="en-AU"/>
        </w:rPr>
        <w:t>Building Flood Resilience in Victoria:</w:t>
      </w:r>
      <w:r w:rsidR="00DC4F26" w:rsidRPr="00966D5E">
        <w:rPr>
          <w:rFonts w:cs="Arial"/>
          <w:lang w:val="en-AU"/>
        </w:rPr>
        <w:t xml:space="preserve"> </w:t>
      </w:r>
      <w:r w:rsidR="65DC208F" w:rsidRPr="00966D5E">
        <w:rPr>
          <w:rFonts w:cs="Arial"/>
          <w:lang w:val="en-AU"/>
        </w:rPr>
        <w:t>T</w:t>
      </w:r>
      <w:r w:rsidR="00DC4F26" w:rsidRPr="00966D5E">
        <w:rPr>
          <w:rFonts w:cs="Arial"/>
          <w:lang w:val="en-AU"/>
        </w:rPr>
        <w:t xml:space="preserve">his </w:t>
      </w:r>
      <w:r w:rsidR="00A12D1C" w:rsidRPr="00966D5E">
        <w:rPr>
          <w:rFonts w:cs="Arial"/>
          <w:lang w:val="en-AU"/>
        </w:rPr>
        <w:t xml:space="preserve">project </w:t>
      </w:r>
      <w:r w:rsidR="00DC4F26" w:rsidRPr="00966D5E">
        <w:rPr>
          <w:rFonts w:cs="Arial"/>
          <w:lang w:val="en-AU"/>
        </w:rPr>
        <w:t xml:space="preserve">reduced the exposure of Victorian communities to impacts of floods, with funding directed to </w:t>
      </w:r>
      <w:r w:rsidR="008C0F0E" w:rsidRPr="00966D5E">
        <w:rPr>
          <w:rFonts w:cs="Arial"/>
          <w:lang w:val="en-AU"/>
        </w:rPr>
        <w:t xml:space="preserve">23 </w:t>
      </w:r>
      <w:r w:rsidR="00DC4F26" w:rsidRPr="00966D5E">
        <w:rPr>
          <w:rFonts w:cs="Arial"/>
          <w:lang w:val="en-AU"/>
        </w:rPr>
        <w:t xml:space="preserve">flood studies, 8 planning scheme amendments, </w:t>
      </w:r>
      <w:r w:rsidR="008C0F0E" w:rsidRPr="00966D5E">
        <w:rPr>
          <w:rFonts w:cs="Arial"/>
          <w:lang w:val="en-AU"/>
        </w:rPr>
        <w:t xml:space="preserve">11 </w:t>
      </w:r>
      <w:r w:rsidR="00DC4F26" w:rsidRPr="00966D5E">
        <w:rPr>
          <w:rFonts w:cs="Arial"/>
          <w:lang w:val="en-AU"/>
        </w:rPr>
        <w:t xml:space="preserve">flood mitigation infrastructure projects, </w:t>
      </w:r>
      <w:r w:rsidR="3AA590D0" w:rsidRPr="00966D5E">
        <w:rPr>
          <w:rFonts w:cs="Arial"/>
          <w:lang w:val="en-AU"/>
        </w:rPr>
        <w:t xml:space="preserve">and </w:t>
      </w:r>
      <w:r w:rsidR="008C0F0E" w:rsidRPr="00966D5E">
        <w:rPr>
          <w:rFonts w:cs="Arial"/>
          <w:lang w:val="en-AU"/>
        </w:rPr>
        <w:t xml:space="preserve">23 </w:t>
      </w:r>
      <w:r w:rsidR="00DC4F26" w:rsidRPr="00966D5E">
        <w:rPr>
          <w:rFonts w:cs="Arial"/>
          <w:lang w:val="en-AU"/>
        </w:rPr>
        <w:t xml:space="preserve">projects to develop or upgrade flood warning services. The </w:t>
      </w:r>
      <w:r w:rsidR="00BE44CC" w:rsidRPr="00966D5E">
        <w:rPr>
          <w:rFonts w:cs="Arial"/>
          <w:lang w:val="en-AU"/>
        </w:rPr>
        <w:t>project</w:t>
      </w:r>
      <w:r w:rsidR="00DC4F26" w:rsidRPr="00966D5E">
        <w:rPr>
          <w:rFonts w:cs="Arial"/>
          <w:lang w:val="en-AU"/>
        </w:rPr>
        <w:t xml:space="preserve"> </w:t>
      </w:r>
      <w:r w:rsidR="00BE44CC" w:rsidRPr="00966D5E">
        <w:rPr>
          <w:rFonts w:cs="Arial"/>
          <w:lang w:val="en-AU"/>
        </w:rPr>
        <w:t xml:space="preserve">involved </w:t>
      </w:r>
      <w:r w:rsidR="00DC4F26" w:rsidRPr="00966D5E">
        <w:rPr>
          <w:rFonts w:cs="Arial"/>
          <w:lang w:val="en-AU"/>
        </w:rPr>
        <w:t>work</w:t>
      </w:r>
      <w:r w:rsidR="00BE44CC" w:rsidRPr="00966D5E">
        <w:rPr>
          <w:rFonts w:cs="Arial"/>
          <w:lang w:val="en-AU"/>
        </w:rPr>
        <w:t>ing</w:t>
      </w:r>
      <w:r w:rsidR="00DC4F26" w:rsidRPr="00966D5E">
        <w:rPr>
          <w:rFonts w:cs="Arial"/>
          <w:lang w:val="en-AU"/>
        </w:rPr>
        <w:t xml:space="preserve"> with local councils to secure $9.299</w:t>
      </w:r>
      <w:r w:rsidR="008C0F0E" w:rsidRPr="00966D5E">
        <w:rPr>
          <w:rFonts w:cs="Arial"/>
          <w:lang w:val="en-AU"/>
        </w:rPr>
        <w:t xml:space="preserve"> </w:t>
      </w:r>
      <w:r w:rsidR="00DC4F26" w:rsidRPr="00966D5E">
        <w:rPr>
          <w:rFonts w:cs="Arial"/>
          <w:lang w:val="en-AU"/>
        </w:rPr>
        <w:t xml:space="preserve">million of federal government National Flood Mitigation Infrastructure Program funding to construct high priority flood mitigation levees in Numurkah, Wangaratta, Castlemaine, and Carisbrook. The </w:t>
      </w:r>
      <w:r w:rsidR="00BE44CC" w:rsidRPr="00966D5E">
        <w:rPr>
          <w:rFonts w:cs="Arial"/>
          <w:lang w:val="en-AU"/>
        </w:rPr>
        <w:t>project</w:t>
      </w:r>
      <w:r w:rsidR="00DC4F26" w:rsidRPr="00966D5E">
        <w:rPr>
          <w:rFonts w:cs="Arial"/>
          <w:lang w:val="en-AU"/>
        </w:rPr>
        <w:t xml:space="preserve"> also completed all 56 strategy actions from the </w:t>
      </w:r>
      <w:r w:rsidR="00DC4F26" w:rsidRPr="00966D5E">
        <w:rPr>
          <w:rFonts w:cs="Arial"/>
          <w:i/>
          <w:lang w:val="en-AU"/>
        </w:rPr>
        <w:t xml:space="preserve">Victorian </w:t>
      </w:r>
      <w:r w:rsidR="0F9840DE" w:rsidRPr="00966D5E">
        <w:rPr>
          <w:rFonts w:cs="Arial"/>
          <w:i/>
          <w:lang w:val="en-AU"/>
        </w:rPr>
        <w:t>F</w:t>
      </w:r>
      <w:r w:rsidR="00DC4F26" w:rsidRPr="00966D5E">
        <w:rPr>
          <w:rFonts w:cs="Arial"/>
          <w:i/>
          <w:lang w:val="en-AU"/>
        </w:rPr>
        <w:t xml:space="preserve">loodplain </w:t>
      </w:r>
      <w:r w:rsidR="5761A92B" w:rsidRPr="00966D5E">
        <w:rPr>
          <w:rFonts w:cs="Arial"/>
          <w:i/>
          <w:lang w:val="en-AU"/>
        </w:rPr>
        <w:t>M</w:t>
      </w:r>
      <w:r w:rsidR="00DC4F26" w:rsidRPr="00966D5E">
        <w:rPr>
          <w:rFonts w:cs="Arial"/>
          <w:i/>
          <w:lang w:val="en-AU"/>
        </w:rPr>
        <w:t xml:space="preserve">anagement </w:t>
      </w:r>
      <w:r w:rsidR="6BF11186" w:rsidRPr="00966D5E">
        <w:rPr>
          <w:rFonts w:cs="Arial"/>
          <w:i/>
          <w:lang w:val="en-AU"/>
        </w:rPr>
        <w:t>S</w:t>
      </w:r>
      <w:r w:rsidR="00DC4F26" w:rsidRPr="00966D5E">
        <w:rPr>
          <w:rFonts w:cs="Arial"/>
          <w:i/>
          <w:lang w:val="en-AU"/>
        </w:rPr>
        <w:t>trategy</w:t>
      </w:r>
      <w:r w:rsidR="000F54F3" w:rsidRPr="00966D5E">
        <w:rPr>
          <w:rFonts w:cs="Arial"/>
          <w:lang w:val="en-AU"/>
        </w:rPr>
        <w:t xml:space="preserve"> as </w:t>
      </w:r>
      <w:r w:rsidR="004662F2" w:rsidRPr="00966D5E">
        <w:rPr>
          <w:rFonts w:cs="Arial"/>
          <w:lang w:val="en-AU"/>
        </w:rPr>
        <w:t>shown</w:t>
      </w:r>
      <w:r w:rsidR="000F54F3" w:rsidRPr="00966D5E">
        <w:rPr>
          <w:rFonts w:cs="Arial"/>
          <w:lang w:val="en-AU"/>
        </w:rPr>
        <w:t xml:space="preserve"> in an independ</w:t>
      </w:r>
      <w:r w:rsidR="004662F2" w:rsidRPr="00966D5E">
        <w:rPr>
          <w:rFonts w:cs="Arial"/>
          <w:lang w:val="en-AU"/>
        </w:rPr>
        <w:t>ent audit</w:t>
      </w:r>
      <w:r w:rsidR="00DC4F26" w:rsidRPr="00966D5E">
        <w:rPr>
          <w:rFonts w:cs="Arial"/>
          <w:lang w:val="en-AU"/>
        </w:rPr>
        <w:t xml:space="preserve">, </w:t>
      </w:r>
      <w:r w:rsidR="00794A6F" w:rsidRPr="00966D5E">
        <w:rPr>
          <w:rFonts w:cs="Arial"/>
          <w:lang w:val="en-AU"/>
        </w:rPr>
        <w:t xml:space="preserve">and </w:t>
      </w:r>
      <w:r w:rsidR="00DC4F26" w:rsidRPr="00966D5E">
        <w:rPr>
          <w:rFonts w:cs="Arial"/>
          <w:lang w:val="en-AU"/>
        </w:rPr>
        <w:t>inform</w:t>
      </w:r>
      <w:r w:rsidR="00BE44CC" w:rsidRPr="00966D5E">
        <w:rPr>
          <w:rFonts w:cs="Arial"/>
          <w:lang w:val="en-AU"/>
        </w:rPr>
        <w:t>ed</w:t>
      </w:r>
      <w:r w:rsidR="00DC4F26" w:rsidRPr="00966D5E">
        <w:rPr>
          <w:rFonts w:cs="Arial"/>
          <w:lang w:val="en-AU"/>
        </w:rPr>
        <w:t xml:space="preserve"> consistent decisions and actions for management of flood related issues. The </w:t>
      </w:r>
      <w:r w:rsidR="00A12D1C" w:rsidRPr="00966D5E">
        <w:rPr>
          <w:rFonts w:cs="Arial"/>
          <w:lang w:val="en-AU"/>
        </w:rPr>
        <w:t xml:space="preserve">project </w:t>
      </w:r>
      <w:r w:rsidR="00DC4F26" w:rsidRPr="00966D5E">
        <w:rPr>
          <w:rFonts w:cs="Arial"/>
          <w:lang w:val="en-AU"/>
        </w:rPr>
        <w:t xml:space="preserve">advanced the </w:t>
      </w:r>
      <w:proofErr w:type="spellStart"/>
      <w:r w:rsidR="00DC4F26" w:rsidRPr="00966D5E">
        <w:rPr>
          <w:rFonts w:cs="Arial"/>
          <w:lang w:val="en-AU"/>
        </w:rPr>
        <w:t>FloodZoom</w:t>
      </w:r>
      <w:proofErr w:type="spellEnd"/>
      <w:r w:rsidR="00DC4F26" w:rsidRPr="00966D5E">
        <w:rPr>
          <w:rFonts w:cs="Arial"/>
          <w:lang w:val="en-AU"/>
        </w:rPr>
        <w:t xml:space="preserve"> platform creating a </w:t>
      </w:r>
      <w:r w:rsidR="000B5678" w:rsidRPr="00966D5E">
        <w:rPr>
          <w:rFonts w:cs="Arial"/>
          <w:lang w:val="en-AU"/>
        </w:rPr>
        <w:t>one-</w:t>
      </w:r>
      <w:r w:rsidR="00DC4F26" w:rsidRPr="00966D5E">
        <w:rPr>
          <w:rFonts w:cs="Arial"/>
          <w:lang w:val="en-AU"/>
        </w:rPr>
        <w:t>stop shop experience for flood responders and analysts.</w:t>
      </w:r>
      <w:r w:rsidR="008F22F2" w:rsidRPr="00D90AD4">
        <w:rPr>
          <w:rFonts w:cs="Arial"/>
          <w:lang w:val="en-AU"/>
        </w:rPr>
        <w:t xml:space="preserve"> Maps from 100% of completed flood studies stored by </w:t>
      </w:r>
      <w:proofErr w:type="spellStart"/>
      <w:r w:rsidR="008F22F2" w:rsidRPr="00D90AD4">
        <w:rPr>
          <w:rFonts w:cs="Arial"/>
          <w:lang w:val="en-AU"/>
        </w:rPr>
        <w:t>FloodZoom</w:t>
      </w:r>
      <w:proofErr w:type="spellEnd"/>
      <w:r w:rsidR="008F22F2" w:rsidRPr="00D90AD4">
        <w:rPr>
          <w:rFonts w:cs="Arial"/>
          <w:lang w:val="en-AU"/>
        </w:rPr>
        <w:t xml:space="preserve"> are now publicly available due to collaboration with the Victorian Government’s Digital Twin platform.</w:t>
      </w:r>
    </w:p>
    <w:p w14:paraId="593D10B9" w14:textId="77777777" w:rsidR="002E331D" w:rsidRPr="00D90AD4" w:rsidRDefault="001F477C" w:rsidP="007D3C03">
      <w:pPr>
        <w:pStyle w:val="BulletLevel1"/>
        <w:rPr>
          <w:rFonts w:cs="Arial"/>
          <w:lang w:val="en-AU"/>
        </w:rPr>
      </w:pPr>
      <w:r w:rsidRPr="00D90AD4">
        <w:rPr>
          <w:rFonts w:cs="Arial"/>
          <w:b/>
          <w:bCs/>
          <w:lang w:val="en-AU"/>
        </w:rPr>
        <w:t xml:space="preserve">PSP3: </w:t>
      </w:r>
      <w:r w:rsidR="00DC4F26" w:rsidRPr="00D90AD4">
        <w:rPr>
          <w:rFonts w:cs="Arial"/>
          <w:b/>
          <w:bCs/>
          <w:lang w:val="en-AU"/>
        </w:rPr>
        <w:t>Mitigating the risks of small dams:</w:t>
      </w:r>
      <w:r w:rsidR="00DC4F26" w:rsidRPr="00D90AD4">
        <w:rPr>
          <w:rFonts w:cs="Arial"/>
          <w:lang w:val="en-AU"/>
        </w:rPr>
        <w:t xml:space="preserve"> </w:t>
      </w:r>
      <w:r w:rsidR="541F8A51" w:rsidRPr="00D90AD4">
        <w:rPr>
          <w:rFonts w:cs="Arial"/>
          <w:lang w:val="en-AU"/>
        </w:rPr>
        <w:t>T</w:t>
      </w:r>
      <w:r w:rsidR="00DC4F26" w:rsidRPr="00D90AD4">
        <w:rPr>
          <w:rFonts w:cs="Arial"/>
          <w:lang w:val="en-AU"/>
        </w:rPr>
        <w:t xml:space="preserve">his </w:t>
      </w:r>
      <w:r w:rsidR="00A12D1C" w:rsidRPr="00D90AD4">
        <w:rPr>
          <w:rFonts w:cs="Arial"/>
          <w:lang w:val="en-AU"/>
        </w:rPr>
        <w:t xml:space="preserve">project </w:t>
      </w:r>
      <w:r w:rsidR="00DC4F26" w:rsidRPr="00D90AD4">
        <w:rPr>
          <w:rFonts w:cs="Arial"/>
          <w:lang w:val="en-AU"/>
        </w:rPr>
        <w:t xml:space="preserve">reduced the </w:t>
      </w:r>
      <w:r w:rsidR="00101ADB" w:rsidRPr="00D90AD4">
        <w:rPr>
          <w:rFonts w:cs="Arial"/>
          <w:lang w:val="en-AU"/>
        </w:rPr>
        <w:t xml:space="preserve">dam failure </w:t>
      </w:r>
      <w:r w:rsidR="00DC4F26" w:rsidRPr="00D90AD4">
        <w:rPr>
          <w:rFonts w:cs="Arial"/>
          <w:lang w:val="en-AU"/>
        </w:rPr>
        <w:t xml:space="preserve">risks posed by the three highest risk </w:t>
      </w:r>
      <w:r w:rsidR="00E3362B" w:rsidRPr="00D90AD4">
        <w:rPr>
          <w:rFonts w:cs="Arial"/>
          <w:lang w:val="en-AU"/>
        </w:rPr>
        <w:t xml:space="preserve">local government </w:t>
      </w:r>
      <w:r w:rsidR="00161CB0" w:rsidRPr="00D90AD4">
        <w:rPr>
          <w:rFonts w:cs="Arial"/>
          <w:lang w:val="en-AU"/>
        </w:rPr>
        <w:t>authority</w:t>
      </w:r>
      <w:r w:rsidR="00DC4F26" w:rsidRPr="00D90AD4">
        <w:rPr>
          <w:rFonts w:cs="Arial"/>
          <w:lang w:val="en-AU"/>
        </w:rPr>
        <w:t xml:space="preserve"> structures through implementing rehabilitation works, as well as developing operations and maintenance plans, surveillance plans and dam safety emergency plans. The </w:t>
      </w:r>
      <w:r w:rsidR="00A12D1C" w:rsidRPr="00D90AD4">
        <w:rPr>
          <w:rFonts w:cs="Arial"/>
          <w:lang w:val="en-AU"/>
        </w:rPr>
        <w:t xml:space="preserve">project </w:t>
      </w:r>
      <w:r w:rsidR="00DC4F26" w:rsidRPr="00D90AD4">
        <w:rPr>
          <w:rFonts w:cs="Arial"/>
          <w:lang w:val="en-AU"/>
        </w:rPr>
        <w:t xml:space="preserve">also improved dam safety through holding dam safety training programs for local government staff, dam safety exercises, and upgrades to the Dam Safety Portal </w:t>
      </w:r>
      <w:r w:rsidR="00434AD5" w:rsidRPr="00D90AD4">
        <w:rPr>
          <w:rFonts w:cs="Arial"/>
          <w:lang w:val="en-AU"/>
        </w:rPr>
        <w:t xml:space="preserve">to </w:t>
      </w:r>
      <w:r w:rsidR="00DC4F26" w:rsidRPr="00D90AD4">
        <w:rPr>
          <w:rFonts w:cs="Arial"/>
          <w:lang w:val="en-AU"/>
        </w:rPr>
        <w:t>include local government dams.</w:t>
      </w:r>
    </w:p>
    <w:p w14:paraId="1C724FEB" w14:textId="10A30680" w:rsidR="00DC4F26" w:rsidRPr="00966D5E" w:rsidRDefault="00DC4F26" w:rsidP="00597C3C">
      <w:pPr>
        <w:pStyle w:val="Heading3"/>
        <w:rPr>
          <w:rFonts w:cs="Arial"/>
          <w:lang w:val="en-AU"/>
        </w:rPr>
      </w:pPr>
      <w:r w:rsidRPr="00966D5E">
        <w:rPr>
          <w:rFonts w:cs="Arial"/>
          <w:lang w:val="en-AU"/>
        </w:rPr>
        <w:t>Increased embedment of climate change in water sector planning and decision making</w:t>
      </w:r>
    </w:p>
    <w:p w14:paraId="192AAE83" w14:textId="63ED7FF6" w:rsidR="00BE44CC" w:rsidRPr="00966D5E" w:rsidRDefault="005E6C8D">
      <w:pPr>
        <w:pStyle w:val="BulletLevel1"/>
        <w:numPr>
          <w:ilvl w:val="0"/>
          <w:numId w:val="0"/>
        </w:numPr>
        <w:rPr>
          <w:rFonts w:cs="Arial"/>
          <w:lang w:val="en-AU"/>
        </w:rPr>
      </w:pPr>
      <w:r w:rsidRPr="00966D5E">
        <w:rPr>
          <w:rFonts w:cs="Arial"/>
          <w:lang w:val="en-AU"/>
        </w:rPr>
        <w:t xml:space="preserve">Climate change </w:t>
      </w:r>
      <w:r w:rsidR="00F33580" w:rsidRPr="00966D5E">
        <w:rPr>
          <w:rFonts w:cs="Arial"/>
          <w:lang w:val="en-AU"/>
        </w:rPr>
        <w:t xml:space="preserve">will </w:t>
      </w:r>
      <w:r w:rsidR="00C613CA" w:rsidRPr="00966D5E">
        <w:rPr>
          <w:rFonts w:cs="Arial"/>
          <w:lang w:val="en-AU"/>
        </w:rPr>
        <w:t xml:space="preserve">introduce new risks to the water sector and </w:t>
      </w:r>
      <w:r w:rsidR="00DC4ACE" w:rsidRPr="00966D5E">
        <w:rPr>
          <w:rFonts w:cs="Arial"/>
          <w:lang w:val="en-AU"/>
        </w:rPr>
        <w:t>impact on availability</w:t>
      </w:r>
      <w:r w:rsidR="00C613CA" w:rsidRPr="00966D5E">
        <w:rPr>
          <w:rFonts w:cs="Arial"/>
          <w:lang w:val="en-AU"/>
        </w:rPr>
        <w:t xml:space="preserve"> of water</w:t>
      </w:r>
      <w:r w:rsidR="00DC4ACE" w:rsidRPr="00966D5E">
        <w:rPr>
          <w:rFonts w:cs="Arial"/>
          <w:lang w:val="en-AU"/>
        </w:rPr>
        <w:t xml:space="preserve"> in Victoria</w:t>
      </w:r>
      <w:r w:rsidR="002A0DD0" w:rsidRPr="00966D5E">
        <w:rPr>
          <w:rFonts w:cs="Arial"/>
          <w:lang w:val="en-AU"/>
        </w:rPr>
        <w:t xml:space="preserve">. Throughout EC5, significant progress toward </w:t>
      </w:r>
      <w:r w:rsidR="006645B2" w:rsidRPr="00966D5E">
        <w:rPr>
          <w:rFonts w:cs="Arial"/>
          <w:lang w:val="en-AU"/>
        </w:rPr>
        <w:t xml:space="preserve">embedding climate change in water sector planning and decision making </w:t>
      </w:r>
      <w:r w:rsidR="00D7164E" w:rsidRPr="00966D5E">
        <w:rPr>
          <w:rFonts w:cs="Arial"/>
          <w:lang w:val="en-AU"/>
        </w:rPr>
        <w:t xml:space="preserve">has been achieved </w:t>
      </w:r>
      <w:r w:rsidR="002A0DD0" w:rsidRPr="00966D5E">
        <w:rPr>
          <w:rFonts w:cs="Arial"/>
          <w:lang w:val="en-AU"/>
        </w:rPr>
        <w:t>through:</w:t>
      </w:r>
    </w:p>
    <w:p w14:paraId="6870AB2F" w14:textId="12FC71A8" w:rsidR="00DC4F26" w:rsidRPr="00966D5E" w:rsidRDefault="001F477C" w:rsidP="001A4A88">
      <w:pPr>
        <w:pStyle w:val="BulletLevel1"/>
        <w:rPr>
          <w:rFonts w:cs="Arial"/>
          <w:lang w:val="en-AU"/>
        </w:rPr>
      </w:pPr>
      <w:r w:rsidRPr="00966D5E">
        <w:rPr>
          <w:rFonts w:cs="Arial"/>
          <w:b/>
          <w:bCs/>
          <w:lang w:val="en-AU"/>
        </w:rPr>
        <w:t xml:space="preserve">WRS10: </w:t>
      </w:r>
      <w:r w:rsidR="00DC4F26" w:rsidRPr="00966D5E">
        <w:rPr>
          <w:rFonts w:cs="Arial"/>
          <w:b/>
          <w:bCs/>
          <w:lang w:val="en-AU"/>
        </w:rPr>
        <w:t xml:space="preserve">Understand and </w:t>
      </w:r>
      <w:r w:rsidR="00BE44CC" w:rsidRPr="00966D5E">
        <w:rPr>
          <w:rFonts w:cs="Arial"/>
          <w:b/>
          <w:bCs/>
          <w:lang w:val="en-AU"/>
        </w:rPr>
        <w:t>A</w:t>
      </w:r>
      <w:r w:rsidR="00DC4F26" w:rsidRPr="00966D5E">
        <w:rPr>
          <w:rFonts w:cs="Arial"/>
          <w:b/>
          <w:bCs/>
          <w:lang w:val="en-AU"/>
        </w:rPr>
        <w:t xml:space="preserve">pply </w:t>
      </w:r>
      <w:r w:rsidR="00BE44CC" w:rsidRPr="00966D5E">
        <w:rPr>
          <w:rFonts w:cs="Arial"/>
          <w:b/>
          <w:bCs/>
          <w:lang w:val="en-AU"/>
        </w:rPr>
        <w:t>C</w:t>
      </w:r>
      <w:r w:rsidR="00DC4F26" w:rsidRPr="00966D5E">
        <w:rPr>
          <w:rFonts w:cs="Arial"/>
          <w:b/>
          <w:bCs/>
          <w:lang w:val="en-AU"/>
        </w:rPr>
        <w:t xml:space="preserve">limate </w:t>
      </w:r>
      <w:r w:rsidR="00BE44CC" w:rsidRPr="00966D5E">
        <w:rPr>
          <w:rFonts w:cs="Arial"/>
          <w:b/>
          <w:bCs/>
          <w:lang w:val="en-AU"/>
        </w:rPr>
        <w:t>S</w:t>
      </w:r>
      <w:r w:rsidR="00DC4F26" w:rsidRPr="00966D5E">
        <w:rPr>
          <w:rFonts w:cs="Arial"/>
          <w:b/>
          <w:bCs/>
          <w:lang w:val="en-AU"/>
        </w:rPr>
        <w:t xml:space="preserve">cience to </w:t>
      </w:r>
      <w:r w:rsidR="00BE44CC" w:rsidRPr="00966D5E">
        <w:rPr>
          <w:rFonts w:cs="Arial"/>
          <w:b/>
          <w:bCs/>
          <w:lang w:val="en-AU"/>
        </w:rPr>
        <w:t>W</w:t>
      </w:r>
      <w:r w:rsidR="00DC4F26" w:rsidRPr="00966D5E">
        <w:rPr>
          <w:rFonts w:cs="Arial"/>
          <w:b/>
          <w:bCs/>
          <w:lang w:val="en-AU"/>
        </w:rPr>
        <w:t>ater</w:t>
      </w:r>
      <w:r w:rsidR="00DC4F26" w:rsidRPr="00966D5E">
        <w:rPr>
          <w:rFonts w:cs="Arial"/>
          <w:lang w:val="en-AU"/>
        </w:rPr>
        <w:t xml:space="preserve">: This </w:t>
      </w:r>
      <w:r w:rsidR="00A12D1C" w:rsidRPr="00966D5E">
        <w:rPr>
          <w:rFonts w:cs="Arial"/>
          <w:lang w:val="en-AU"/>
        </w:rPr>
        <w:t xml:space="preserve">project </w:t>
      </w:r>
      <w:r w:rsidR="00DC4F26" w:rsidRPr="00966D5E">
        <w:rPr>
          <w:rFonts w:cs="Arial"/>
          <w:lang w:val="en-AU"/>
        </w:rPr>
        <w:t xml:space="preserve">made significant progress in equipping Victoria’s water sector stakeholders and communities to plan for, and adapt to, the impact of climate change on our water resources. The </w:t>
      </w:r>
      <w:r w:rsidR="00A12D1C" w:rsidRPr="00966D5E">
        <w:rPr>
          <w:rFonts w:cs="Arial"/>
          <w:lang w:val="en-AU"/>
        </w:rPr>
        <w:t xml:space="preserve">project </w:t>
      </w:r>
      <w:r w:rsidR="00DC4F26" w:rsidRPr="00966D5E">
        <w:rPr>
          <w:rFonts w:cs="Arial"/>
          <w:lang w:val="en-AU"/>
        </w:rPr>
        <w:t xml:space="preserve">developed the </w:t>
      </w:r>
      <w:r w:rsidR="00DC4F26" w:rsidRPr="00966D5E">
        <w:rPr>
          <w:rFonts w:cs="Arial"/>
          <w:i/>
          <w:lang w:val="en-AU"/>
        </w:rPr>
        <w:t>Guidelines for Assessing the Impact of Climate Change on Water Availability in Victoria</w:t>
      </w:r>
      <w:r w:rsidR="00DC4F26" w:rsidRPr="00966D5E">
        <w:rPr>
          <w:rFonts w:cs="Arial"/>
          <w:lang w:val="en-AU"/>
        </w:rPr>
        <w:t xml:space="preserve">, which provide guidance to Victorian </w:t>
      </w:r>
      <w:r w:rsidR="00650029" w:rsidRPr="00966D5E">
        <w:rPr>
          <w:rFonts w:cs="Arial"/>
          <w:lang w:val="en-AU"/>
        </w:rPr>
        <w:t>u</w:t>
      </w:r>
      <w:r w:rsidR="00DC4F26" w:rsidRPr="00966D5E">
        <w:rPr>
          <w:rFonts w:cs="Arial"/>
          <w:lang w:val="en-AU"/>
        </w:rPr>
        <w:t xml:space="preserve">rban </w:t>
      </w:r>
      <w:r w:rsidR="00650029" w:rsidRPr="00966D5E">
        <w:rPr>
          <w:rFonts w:cs="Arial"/>
          <w:lang w:val="en-AU"/>
        </w:rPr>
        <w:t>w</w:t>
      </w:r>
      <w:r w:rsidR="00DC4F26" w:rsidRPr="00966D5E">
        <w:rPr>
          <w:rFonts w:cs="Arial"/>
          <w:lang w:val="en-AU"/>
        </w:rPr>
        <w:t xml:space="preserve">ater </w:t>
      </w:r>
      <w:r w:rsidR="00052322" w:rsidRPr="00966D5E">
        <w:rPr>
          <w:rFonts w:cs="Arial"/>
          <w:lang w:val="en-AU"/>
        </w:rPr>
        <w:t>corporations and</w:t>
      </w:r>
      <w:r w:rsidR="00DC4F26" w:rsidRPr="00966D5E">
        <w:rPr>
          <w:rFonts w:cs="Arial"/>
          <w:lang w:val="en-AU"/>
        </w:rPr>
        <w:t xml:space="preserve"> are also used by </w:t>
      </w:r>
      <w:r w:rsidR="00650029" w:rsidRPr="00966D5E">
        <w:rPr>
          <w:rFonts w:cs="Arial"/>
          <w:lang w:val="en-AU"/>
        </w:rPr>
        <w:t>r</w:t>
      </w:r>
      <w:r w:rsidR="00DC4F26" w:rsidRPr="00966D5E">
        <w:rPr>
          <w:rFonts w:cs="Arial"/>
          <w:lang w:val="en-AU"/>
        </w:rPr>
        <w:t xml:space="preserve">ural </w:t>
      </w:r>
      <w:r w:rsidR="00650029" w:rsidRPr="00966D5E">
        <w:rPr>
          <w:rFonts w:cs="Arial"/>
          <w:lang w:val="en-AU"/>
        </w:rPr>
        <w:t>w</w:t>
      </w:r>
      <w:r w:rsidR="00DC4F26" w:rsidRPr="00966D5E">
        <w:rPr>
          <w:rFonts w:cs="Arial"/>
          <w:lang w:val="en-AU"/>
        </w:rPr>
        <w:t xml:space="preserve">ater </w:t>
      </w:r>
      <w:r w:rsidR="00650029" w:rsidRPr="00966D5E">
        <w:rPr>
          <w:rFonts w:cs="Arial"/>
          <w:lang w:val="en-AU"/>
        </w:rPr>
        <w:t>c</w:t>
      </w:r>
      <w:r w:rsidR="00DC4F26" w:rsidRPr="00966D5E">
        <w:rPr>
          <w:rFonts w:cs="Arial"/>
          <w:lang w:val="en-AU"/>
        </w:rPr>
        <w:t xml:space="preserve">orporations, DEECA teams, and consultants. </w:t>
      </w:r>
      <w:r w:rsidR="00F148E8" w:rsidRPr="00D90AD4">
        <w:rPr>
          <w:rFonts w:cs="Arial"/>
          <w:lang w:val="en-AU"/>
        </w:rPr>
        <w:t xml:space="preserve">Support with application of the guidelines was a significant part of the work of the </w:t>
      </w:r>
      <w:r w:rsidR="006141EC" w:rsidRPr="00D90AD4">
        <w:rPr>
          <w:rFonts w:cs="Arial"/>
          <w:lang w:val="en-AU"/>
        </w:rPr>
        <w:t>project</w:t>
      </w:r>
      <w:r w:rsidR="00F148E8" w:rsidRPr="00D90AD4">
        <w:rPr>
          <w:rFonts w:cs="Arial"/>
          <w:lang w:val="en-AU"/>
        </w:rPr>
        <w:t xml:space="preserve"> over this period.</w:t>
      </w:r>
      <w:r w:rsidR="00F148E8" w:rsidRPr="00966D5E">
        <w:rPr>
          <w:rFonts w:cs="Arial"/>
          <w:lang w:val="en-AU"/>
        </w:rPr>
        <w:t xml:space="preserve"> </w:t>
      </w:r>
      <w:r w:rsidR="00DC4F26" w:rsidRPr="00966D5E">
        <w:rPr>
          <w:rFonts w:cs="Arial"/>
          <w:lang w:val="en-AU"/>
        </w:rPr>
        <w:t xml:space="preserve">An independent survey conducted to understand the usefulness of </w:t>
      </w:r>
      <w:r w:rsidR="03E4A41E" w:rsidRPr="00966D5E">
        <w:rPr>
          <w:rFonts w:cs="Arial"/>
          <w:lang w:val="en-AU"/>
        </w:rPr>
        <w:t>t</w:t>
      </w:r>
      <w:r w:rsidR="00DC4F26" w:rsidRPr="00966D5E">
        <w:rPr>
          <w:rFonts w:cs="Arial"/>
          <w:lang w:val="en-AU"/>
        </w:rPr>
        <w:t xml:space="preserve">he </w:t>
      </w:r>
      <w:r w:rsidR="18C42F5E" w:rsidRPr="00966D5E">
        <w:rPr>
          <w:rFonts w:cs="Arial"/>
          <w:lang w:val="en-AU"/>
        </w:rPr>
        <w:t>g</w:t>
      </w:r>
      <w:r w:rsidR="00DC4F26" w:rsidRPr="00966D5E">
        <w:rPr>
          <w:rFonts w:cs="Arial"/>
          <w:lang w:val="en-AU"/>
        </w:rPr>
        <w:t>uidelines to the water sector found:</w:t>
      </w:r>
    </w:p>
    <w:p w14:paraId="4564087C" w14:textId="740D068C" w:rsidR="00DC4F26" w:rsidRPr="00966D5E" w:rsidRDefault="00DC4F26" w:rsidP="001A4A88">
      <w:pPr>
        <w:pStyle w:val="BulletLevel2"/>
        <w:rPr>
          <w:rFonts w:cs="Arial"/>
          <w:lang w:val="en-AU"/>
        </w:rPr>
      </w:pPr>
      <w:r w:rsidRPr="00966D5E">
        <w:rPr>
          <w:rFonts w:cs="Arial"/>
          <w:lang w:val="en-AU"/>
        </w:rPr>
        <w:t xml:space="preserve">“The </w:t>
      </w:r>
      <w:r w:rsidR="0067113E" w:rsidRPr="00966D5E">
        <w:rPr>
          <w:rFonts w:cs="Arial"/>
          <w:lang w:val="en-AU"/>
        </w:rPr>
        <w:t xml:space="preserve">guidelines </w:t>
      </w:r>
      <w:r w:rsidRPr="00966D5E">
        <w:rPr>
          <w:rFonts w:cs="Arial"/>
          <w:lang w:val="en-AU"/>
        </w:rPr>
        <w:t xml:space="preserve">appear to be universally used by </w:t>
      </w:r>
      <w:r w:rsidR="00052322" w:rsidRPr="00966D5E">
        <w:rPr>
          <w:rFonts w:cs="Arial"/>
          <w:lang w:val="en-AU"/>
        </w:rPr>
        <w:t>u</w:t>
      </w:r>
      <w:r w:rsidRPr="00966D5E">
        <w:rPr>
          <w:rFonts w:cs="Arial"/>
          <w:lang w:val="en-AU"/>
        </w:rPr>
        <w:t xml:space="preserve">rban </w:t>
      </w:r>
      <w:r w:rsidR="00052322" w:rsidRPr="00966D5E">
        <w:rPr>
          <w:rFonts w:cs="Arial"/>
          <w:lang w:val="en-AU"/>
        </w:rPr>
        <w:t>w</w:t>
      </w:r>
      <w:r w:rsidRPr="00966D5E">
        <w:rPr>
          <w:rFonts w:cs="Arial"/>
          <w:lang w:val="en-AU"/>
        </w:rPr>
        <w:t xml:space="preserve">ater </w:t>
      </w:r>
      <w:r w:rsidR="00052322" w:rsidRPr="00966D5E">
        <w:rPr>
          <w:rFonts w:cs="Arial"/>
          <w:lang w:val="en-AU"/>
        </w:rPr>
        <w:t>c</w:t>
      </w:r>
      <w:r w:rsidRPr="00966D5E">
        <w:rPr>
          <w:rFonts w:cs="Arial"/>
          <w:lang w:val="en-AU"/>
        </w:rPr>
        <w:t>orporations for their Urban Water Strategies and associated water resource planning”</w:t>
      </w:r>
      <w:r w:rsidR="006141EC" w:rsidRPr="00966D5E">
        <w:rPr>
          <w:rFonts w:cs="Arial"/>
          <w:lang w:val="en-AU"/>
        </w:rPr>
        <w:t>.</w:t>
      </w:r>
    </w:p>
    <w:p w14:paraId="29A651CB" w14:textId="11AE36D1" w:rsidR="00DC4F26" w:rsidRPr="00966D5E" w:rsidRDefault="00DC4F26" w:rsidP="001A4A88">
      <w:pPr>
        <w:pStyle w:val="BulletLevel2"/>
        <w:rPr>
          <w:rFonts w:cs="Arial"/>
          <w:lang w:val="en-AU"/>
        </w:rPr>
      </w:pPr>
      <w:r w:rsidRPr="00966D5E">
        <w:rPr>
          <w:rFonts w:cs="Arial"/>
          <w:lang w:val="en-AU"/>
        </w:rPr>
        <w:t xml:space="preserve">“The consultants interviewed used the guidelines for </w:t>
      </w:r>
      <w:r w:rsidR="0002247F" w:rsidRPr="00966D5E">
        <w:rPr>
          <w:rFonts w:cs="Arial"/>
          <w:lang w:val="en-AU"/>
        </w:rPr>
        <w:t>U</w:t>
      </w:r>
      <w:r w:rsidRPr="00966D5E">
        <w:rPr>
          <w:rFonts w:cs="Arial"/>
          <w:lang w:val="en-AU"/>
        </w:rPr>
        <w:t xml:space="preserve">rban </w:t>
      </w:r>
      <w:r w:rsidR="0002247F" w:rsidRPr="00966D5E">
        <w:rPr>
          <w:rFonts w:cs="Arial"/>
          <w:lang w:val="en-AU"/>
        </w:rPr>
        <w:t>W</w:t>
      </w:r>
      <w:r w:rsidRPr="00966D5E">
        <w:rPr>
          <w:rFonts w:cs="Arial"/>
          <w:lang w:val="en-AU"/>
        </w:rPr>
        <w:t xml:space="preserve">ater </w:t>
      </w:r>
      <w:r w:rsidR="0002247F" w:rsidRPr="00966D5E">
        <w:rPr>
          <w:rFonts w:cs="Arial"/>
          <w:lang w:val="en-AU"/>
        </w:rPr>
        <w:t>S</w:t>
      </w:r>
      <w:r w:rsidRPr="00966D5E">
        <w:rPr>
          <w:rFonts w:cs="Arial"/>
          <w:lang w:val="en-AU"/>
        </w:rPr>
        <w:t xml:space="preserve">trategies, but also for environmental type studies and investigations in the rural water area. DEECA teams use the </w:t>
      </w:r>
      <w:r w:rsidR="00A702B6" w:rsidRPr="00966D5E">
        <w:rPr>
          <w:rFonts w:cs="Arial"/>
          <w:lang w:val="en-AU"/>
        </w:rPr>
        <w:t xml:space="preserve">guidelines </w:t>
      </w:r>
      <w:r w:rsidRPr="00966D5E">
        <w:rPr>
          <w:rFonts w:cs="Arial"/>
          <w:lang w:val="en-AU"/>
        </w:rPr>
        <w:t xml:space="preserve">in strategic areas such as Sustainable Water Strategies, </w:t>
      </w:r>
      <w:r w:rsidR="006A252E" w:rsidRPr="00966D5E">
        <w:rPr>
          <w:rFonts w:cs="Arial"/>
          <w:lang w:val="en-AU"/>
        </w:rPr>
        <w:t>Long-</w:t>
      </w:r>
      <w:r w:rsidR="007E3018" w:rsidRPr="00966D5E">
        <w:rPr>
          <w:rFonts w:cs="Arial"/>
          <w:lang w:val="en-AU"/>
        </w:rPr>
        <w:t>T</w:t>
      </w:r>
      <w:r w:rsidR="006A252E" w:rsidRPr="00966D5E">
        <w:rPr>
          <w:rFonts w:cs="Arial"/>
          <w:lang w:val="en-AU"/>
        </w:rPr>
        <w:t>erm</w:t>
      </w:r>
      <w:r w:rsidRPr="00966D5E">
        <w:rPr>
          <w:rFonts w:cs="Arial"/>
          <w:lang w:val="en-AU"/>
        </w:rPr>
        <w:t xml:space="preserve"> Water Resource Assessment as well as Urban Water Strategies, and modelling of the northern Victorian regulated systems”</w:t>
      </w:r>
      <w:r w:rsidR="006141EC" w:rsidRPr="00966D5E">
        <w:rPr>
          <w:rFonts w:cs="Arial"/>
          <w:lang w:val="en-AU"/>
        </w:rPr>
        <w:t>.</w:t>
      </w:r>
    </w:p>
    <w:p w14:paraId="6C9C9CEE" w14:textId="77777777" w:rsidR="00DC4F26" w:rsidRPr="00966D5E" w:rsidRDefault="00DC4F26" w:rsidP="001A4A88">
      <w:pPr>
        <w:pStyle w:val="BulletLevel2"/>
        <w:rPr>
          <w:rFonts w:cs="Arial"/>
          <w:lang w:val="en-AU"/>
        </w:rPr>
      </w:pPr>
      <w:r w:rsidRPr="00966D5E">
        <w:rPr>
          <w:rFonts w:cs="Arial"/>
          <w:lang w:val="en-AU"/>
        </w:rPr>
        <w:t>“Almost all participants commented on the high value of the guidelines, that they provide consistent and dependable advice, that they are of high quality and well researched and that they are a “point of truth” for the industry.”</w:t>
      </w:r>
    </w:p>
    <w:p w14:paraId="4F3D3B8A" w14:textId="2964CA70" w:rsidR="00DC4F26" w:rsidRPr="00D90AD4" w:rsidRDefault="00DC4F26" w:rsidP="007D3C03">
      <w:pPr>
        <w:pStyle w:val="BulletLevel1"/>
        <w:keepNext/>
        <w:keepLines/>
        <w:ind w:left="360" w:hanging="360"/>
        <w:rPr>
          <w:rFonts w:cs="Arial"/>
          <w:lang w:val="en-AU"/>
        </w:rPr>
      </w:pPr>
      <w:r w:rsidRPr="00D90AD4">
        <w:rPr>
          <w:rFonts w:cs="Arial"/>
          <w:lang w:val="en-AU"/>
        </w:rPr>
        <w:lastRenderedPageBreak/>
        <w:t xml:space="preserve">Research findings and advice from the </w:t>
      </w:r>
      <w:r w:rsidR="00A12D1C" w:rsidRPr="00D90AD4">
        <w:rPr>
          <w:rFonts w:cs="Arial"/>
          <w:lang w:val="en-AU"/>
        </w:rPr>
        <w:t xml:space="preserve">project </w:t>
      </w:r>
      <w:r w:rsidRPr="00D90AD4">
        <w:rPr>
          <w:rFonts w:cs="Arial"/>
          <w:lang w:val="en-AU"/>
        </w:rPr>
        <w:t xml:space="preserve">have also been applied in a diverse range of water resource planning processes, such as into </w:t>
      </w:r>
      <w:r w:rsidR="006A252E" w:rsidRPr="00D90AD4">
        <w:rPr>
          <w:rFonts w:cs="Arial"/>
          <w:lang w:val="en-AU"/>
        </w:rPr>
        <w:t>long-term</w:t>
      </w:r>
      <w:r w:rsidRPr="00D90AD4">
        <w:rPr>
          <w:rFonts w:cs="Arial"/>
          <w:lang w:val="en-AU"/>
        </w:rPr>
        <w:t xml:space="preserve"> climate trend information in Annual Water Outlook reports produced each year by water corporations, informed the Victorian Annual Water Outlook produced by DEECA, Urban Water Strategies produced by all Victorian water corporations, and the 2023 Victorian State of the Environment Report produced by the Commissioner for Environmental Sustainability, Victoria. Information was also communicated to water sector stakeholders through </w:t>
      </w:r>
      <w:r w:rsidR="00B9444F" w:rsidRPr="00D90AD4">
        <w:rPr>
          <w:rFonts w:cs="Arial"/>
          <w:lang w:val="en-AU"/>
        </w:rPr>
        <w:t xml:space="preserve">webinars, newsletters, </w:t>
      </w:r>
      <w:r w:rsidR="00802DF4" w:rsidRPr="00D90AD4">
        <w:rPr>
          <w:rFonts w:cs="Arial"/>
          <w:lang w:val="en-AU"/>
        </w:rPr>
        <w:t>Victorian Water and Climate Initiative (</w:t>
      </w:r>
      <w:proofErr w:type="spellStart"/>
      <w:r w:rsidR="00B9444F" w:rsidRPr="00D90AD4">
        <w:rPr>
          <w:rFonts w:cs="Arial"/>
          <w:lang w:val="en-AU"/>
        </w:rPr>
        <w:t>VicWaCI</w:t>
      </w:r>
      <w:proofErr w:type="spellEnd"/>
      <w:r w:rsidR="00802DF4" w:rsidRPr="00D90AD4">
        <w:rPr>
          <w:rFonts w:cs="Arial"/>
          <w:lang w:val="en-AU"/>
        </w:rPr>
        <w:t>)</w:t>
      </w:r>
      <w:r w:rsidR="00B9444F" w:rsidRPr="00D90AD4">
        <w:rPr>
          <w:rFonts w:cs="Arial"/>
          <w:lang w:val="en-AU"/>
        </w:rPr>
        <w:t xml:space="preserve"> website, targeted stakeholder engagement such as workshops, interviews, and meetings, annual </w:t>
      </w:r>
      <w:proofErr w:type="spellStart"/>
      <w:r w:rsidR="00B9444F" w:rsidRPr="00D90AD4">
        <w:rPr>
          <w:rFonts w:cs="Arial"/>
          <w:lang w:val="en-AU"/>
        </w:rPr>
        <w:t>VicWaCI</w:t>
      </w:r>
      <w:proofErr w:type="spellEnd"/>
      <w:r w:rsidR="00B9444F" w:rsidRPr="00D90AD4">
        <w:rPr>
          <w:rFonts w:cs="Arial"/>
          <w:lang w:val="en-AU"/>
        </w:rPr>
        <w:t xml:space="preserve"> Science Day, presentations, research papers, conference papers and seminars.</w:t>
      </w:r>
    </w:p>
    <w:p w14:paraId="6A357991" w14:textId="4B95CBE8" w:rsidR="00DC4F26" w:rsidRPr="00966D5E" w:rsidRDefault="001F477C" w:rsidP="001A4A88">
      <w:pPr>
        <w:pStyle w:val="BulletLevel1"/>
        <w:rPr>
          <w:rFonts w:cs="Arial"/>
          <w:lang w:val="en-AU"/>
        </w:rPr>
      </w:pPr>
      <w:r w:rsidRPr="00966D5E">
        <w:rPr>
          <w:rFonts w:cs="Arial"/>
          <w:b/>
          <w:bCs/>
          <w:lang w:val="en-AU"/>
        </w:rPr>
        <w:t xml:space="preserve">PSP4: </w:t>
      </w:r>
      <w:r w:rsidR="00DC4F26" w:rsidRPr="00966D5E">
        <w:rPr>
          <w:rFonts w:cs="Arial"/>
          <w:b/>
          <w:bCs/>
          <w:lang w:val="en-AU"/>
        </w:rPr>
        <w:t>CGRSWS Funding Stream 4 Water Cycle Climate Change Adaptation Action Plan:</w:t>
      </w:r>
      <w:r w:rsidR="00DC4F26" w:rsidRPr="00966D5E">
        <w:rPr>
          <w:rFonts w:cs="Arial"/>
          <w:lang w:val="en-AU"/>
        </w:rPr>
        <w:t xml:space="preserve"> </w:t>
      </w:r>
      <w:r w:rsidR="00FC517C" w:rsidRPr="00966D5E">
        <w:rPr>
          <w:rFonts w:cs="Arial"/>
          <w:lang w:val="en-AU"/>
        </w:rPr>
        <w:t>This project i</w:t>
      </w:r>
      <w:r w:rsidR="00DC4F26" w:rsidRPr="00966D5E">
        <w:rPr>
          <w:rFonts w:cs="Arial"/>
          <w:lang w:val="en-AU"/>
        </w:rPr>
        <w:t xml:space="preserve">mproved understanding of climate risks </w:t>
      </w:r>
      <w:r w:rsidR="00FC517C" w:rsidRPr="00966D5E">
        <w:rPr>
          <w:rFonts w:cs="Arial"/>
          <w:lang w:val="en-AU"/>
        </w:rPr>
        <w:t xml:space="preserve">by </w:t>
      </w:r>
      <w:r w:rsidR="00DC4F26" w:rsidRPr="00966D5E">
        <w:rPr>
          <w:rFonts w:cs="Arial"/>
          <w:lang w:val="en-AU"/>
        </w:rPr>
        <w:t xml:space="preserve">providing feedback to the water sector </w:t>
      </w:r>
      <w:r w:rsidR="008922F8" w:rsidRPr="00966D5E">
        <w:rPr>
          <w:rFonts w:cs="Arial"/>
          <w:lang w:val="en-AU"/>
        </w:rPr>
        <w:t xml:space="preserve">on their </w:t>
      </w:r>
      <w:r w:rsidR="008922F8" w:rsidRPr="00D90AD4">
        <w:rPr>
          <w:rFonts w:cs="Arial"/>
          <w:lang w:val="en-AU"/>
        </w:rPr>
        <w:t xml:space="preserve">Corporate Plans and Annual Reports </w:t>
      </w:r>
      <w:r w:rsidR="00DC4F26" w:rsidRPr="00966D5E">
        <w:rPr>
          <w:rFonts w:cs="Arial"/>
          <w:lang w:val="en-AU"/>
        </w:rPr>
        <w:t xml:space="preserve">to </w:t>
      </w:r>
      <w:r w:rsidR="00330778" w:rsidRPr="00D90AD4">
        <w:rPr>
          <w:rFonts w:cs="Arial"/>
          <w:lang w:val="en-AU"/>
        </w:rPr>
        <w:t>build capacity to better address the risks of climate change.</w:t>
      </w:r>
      <w:r w:rsidR="00FC517C" w:rsidRPr="00D90AD4">
        <w:rPr>
          <w:rFonts w:cs="Arial"/>
          <w:lang w:val="en-AU"/>
        </w:rPr>
        <w:t xml:space="preserve"> </w:t>
      </w:r>
      <w:r w:rsidR="00044C20" w:rsidRPr="00D90AD4">
        <w:rPr>
          <w:rFonts w:cs="Arial"/>
          <w:lang w:val="en-AU"/>
        </w:rPr>
        <w:t>Th</w:t>
      </w:r>
      <w:r w:rsidR="00DC1A2D" w:rsidRPr="00D90AD4">
        <w:rPr>
          <w:rFonts w:cs="Arial"/>
          <w:lang w:val="en-AU"/>
        </w:rPr>
        <w:t xml:space="preserve">is project </w:t>
      </w:r>
      <w:r w:rsidR="00044C20" w:rsidRPr="00D90AD4">
        <w:rPr>
          <w:rFonts w:cs="Arial"/>
          <w:lang w:val="en-AU"/>
        </w:rPr>
        <w:t xml:space="preserve">also </w:t>
      </w:r>
      <w:r w:rsidR="00DC1A2D" w:rsidRPr="00D90AD4">
        <w:rPr>
          <w:rFonts w:cs="Arial"/>
          <w:lang w:val="en-AU"/>
        </w:rPr>
        <w:t>involved</w:t>
      </w:r>
      <w:r w:rsidR="00044C20" w:rsidRPr="00D90AD4">
        <w:rPr>
          <w:rFonts w:cs="Arial"/>
          <w:lang w:val="en-AU"/>
        </w:rPr>
        <w:t xml:space="preserve"> in-depth consultation with the water sector on their understanding and management of climate risks. The outcomes of this consultation have </w:t>
      </w:r>
      <w:r w:rsidR="00FC517C" w:rsidRPr="00D90AD4">
        <w:rPr>
          <w:rFonts w:cs="Arial"/>
          <w:lang w:val="en-AU"/>
        </w:rPr>
        <w:t>helped refine</w:t>
      </w:r>
      <w:r w:rsidR="00044C20" w:rsidRPr="00D90AD4">
        <w:rPr>
          <w:rFonts w:cs="Arial"/>
          <w:lang w:val="en-AU"/>
        </w:rPr>
        <w:t xml:space="preserve"> government’s service offering to the sector, resulting in the establishment of partnerships with CMA’s (through a grants program) and water corporations (by agreement with </w:t>
      </w:r>
      <w:proofErr w:type="spellStart"/>
      <w:r w:rsidR="00044C20" w:rsidRPr="00D90AD4">
        <w:rPr>
          <w:rFonts w:cs="Arial"/>
          <w:lang w:val="en-AU"/>
        </w:rPr>
        <w:t>VicWater</w:t>
      </w:r>
      <w:proofErr w:type="spellEnd"/>
      <w:r w:rsidR="00044C20" w:rsidRPr="00D90AD4">
        <w:rPr>
          <w:rFonts w:cs="Arial"/>
          <w:lang w:val="en-AU"/>
        </w:rPr>
        <w:t>) to build their climate risk management capacity.</w:t>
      </w:r>
    </w:p>
    <w:sectPr w:rsidR="00DC4F26" w:rsidRPr="00966D5E" w:rsidSect="004439AB">
      <w:pgSz w:w="11906" w:h="16838" w:code="9"/>
      <w:pgMar w:top="1138" w:right="1138" w:bottom="562" w:left="1138" w:header="562"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EB6C8" w14:textId="77777777" w:rsidR="00A224B9" w:rsidRDefault="00A224B9" w:rsidP="00066DE7">
      <w:r>
        <w:separator/>
      </w:r>
    </w:p>
    <w:p w14:paraId="0046F7EB" w14:textId="77777777" w:rsidR="00A224B9" w:rsidRDefault="00A224B9"/>
  </w:endnote>
  <w:endnote w:type="continuationSeparator" w:id="0">
    <w:p w14:paraId="7C1116C3" w14:textId="77777777" w:rsidR="00A224B9" w:rsidRDefault="00A224B9" w:rsidP="00066DE7">
      <w:r>
        <w:continuationSeparator/>
      </w:r>
    </w:p>
    <w:p w14:paraId="36A3388B" w14:textId="77777777" w:rsidR="00A224B9" w:rsidRDefault="00A224B9"/>
  </w:endnote>
  <w:endnote w:type="continuationNotice" w:id="1">
    <w:p w14:paraId="21560932" w14:textId="77777777" w:rsidR="00A224B9" w:rsidRDefault="00A224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Jacobs Chronos">
    <w:altName w:val="Cambria"/>
    <w:panose1 w:val="020B0603030503030204"/>
    <w:charset w:val="00"/>
    <w:family w:val="swiss"/>
    <w:pitch w:val="variable"/>
    <w:sig w:usb0="A00000EF" w:usb1="0000E0EB" w:usb2="00000008" w:usb3="00000000" w:csb0="00000001" w:csb1="00000000"/>
    <w:embedRegular r:id="rId1" w:fontKey="{7778AC31-742D-40AB-946D-94F738C54BD1}"/>
    <w:embedBold r:id="rId2" w:fontKey="{E808FA89-E06C-4BF0-BC76-D046CCB7769E}"/>
    <w:embedItalic r:id="rId3" w:fontKey="{14FAD01F-E77B-461F-AA50-6BE72BD43D89}"/>
    <w:embedBoldItalic r:id="rId4" w:fontKey="{381E1B03-67A3-43C0-9BF3-7BFDC1D659CD}"/>
  </w:font>
  <w:font w:name="Calibri">
    <w:panose1 w:val="020F0502020204030204"/>
    <w:charset w:val="00"/>
    <w:family w:val="swiss"/>
    <w:pitch w:val="variable"/>
    <w:sig w:usb0="E4002EFF" w:usb1="C200247B" w:usb2="00000009" w:usb3="00000000" w:csb0="000001FF" w:csb1="00000000"/>
    <w:embedRegular r:id="rId5" w:fontKey="{6BD56F88-DF47-4462-94DB-F93EF19734CF}"/>
  </w:font>
  <w:font w:name="Jacobs Chronos Cd">
    <w:altName w:val="Calibri"/>
    <w:panose1 w:val="020B0506030503030204"/>
    <w:charset w:val="00"/>
    <w:family w:val="swiss"/>
    <w:pitch w:val="variable"/>
    <w:sig w:usb0="A00000EF" w:usb1="0000E0EB" w:usb2="00000008" w:usb3="00000000" w:csb0="00000001" w:csb1="00000000"/>
    <w:embedRegular r:id="rId6" w:fontKey="{B647393B-E8FA-410F-89D0-473869FC229C}"/>
    <w:embedBold r:id="rId7" w:fontKey="{AE32C0B3-A79C-4950-8ADD-97D07F630FB3}"/>
    <w:embedItalic r:id="rId8" w:fontKey="{59DC3642-FDCB-4CB4-A31A-290C554A525B}"/>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Jacobs Chronos Light">
    <w:panose1 w:val="020B0403030503030204"/>
    <w:charset w:val="00"/>
    <w:family w:val="swiss"/>
    <w:pitch w:val="variable"/>
    <w:sig w:usb0="A00000EF" w:usb1="0000E0EB" w:usb2="00000008" w:usb3="00000000" w:csb0="00000001" w:csb1="00000000"/>
    <w:embedRegular r:id="rId9" w:fontKey="{EC11E540-E331-4FD8-8516-9151F6B389FA}"/>
    <w:embedBold r:id="rId10" w:fontKey="{24BBCFB7-5408-4C05-98DA-BA8EC2AE07D9}"/>
    <w:embedItalic r:id="rId11" w:fontKey="{3702B514-D9BB-47C3-82CD-61C8B9D0E983}"/>
  </w:font>
  <w:font w:name="Segoe UI">
    <w:panose1 w:val="020B0502040204020203"/>
    <w:charset w:val="00"/>
    <w:family w:val="swiss"/>
    <w:pitch w:val="variable"/>
    <w:sig w:usb0="E4002EFF" w:usb1="C000E47F" w:usb2="00000009" w:usb3="00000000" w:csb0="000001FF" w:csb1="00000000"/>
    <w:embedRegular r:id="rId12" w:fontKey="{0458DBEA-A465-4D30-BB84-86912EC9A3A9}"/>
  </w:font>
  <w:font w:name="Consolas">
    <w:panose1 w:val="020B0609020204030204"/>
    <w:charset w:val="00"/>
    <w:family w:val="modern"/>
    <w:pitch w:val="fixed"/>
    <w:sig w:usb0="E00006FF" w:usb1="0000FCFF" w:usb2="00000001" w:usb3="00000000" w:csb0="0000019F" w:csb1="00000000"/>
    <w:embedRegular r:id="rId13" w:fontKey="{F04DF425-EDC8-4117-8987-7D05820EFE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F220C" w14:textId="09715FE7" w:rsidR="00677091" w:rsidRDefault="00677091">
    <w:pPr>
      <w:pStyle w:val="Footer"/>
    </w:pPr>
    <w:r>
      <w:rPr>
        <w:rFonts w:hint="eastAsia"/>
        <w:noProof/>
      </w:rPr>
      <mc:AlternateContent>
        <mc:Choice Requires="wps">
          <w:drawing>
            <wp:anchor distT="0" distB="0" distL="0" distR="0" simplePos="0" relativeHeight="251658240" behindDoc="0" locked="0" layoutInCell="1" allowOverlap="1" wp14:anchorId="5D78CB67" wp14:editId="222FCFA1">
              <wp:simplePos x="635" y="635"/>
              <wp:positionH relativeFrom="page">
                <wp:align>center</wp:align>
              </wp:positionH>
              <wp:positionV relativeFrom="page">
                <wp:align>bottom</wp:align>
              </wp:positionV>
              <wp:extent cx="443865" cy="443865"/>
              <wp:effectExtent l="0" t="0" r="0" b="0"/>
              <wp:wrapNone/>
              <wp:docPr id="3" name="Text Box 3"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F1B151" w14:textId="292C43BF" w:rsidR="00677091" w:rsidRPr="00677091" w:rsidRDefault="00677091" w:rsidP="00677091">
                          <w:pPr>
                            <w:rPr>
                              <w:rFonts w:ascii="Calibri" w:eastAsia="Calibri" w:hAnsi="Calibri" w:cs="Calibri"/>
                              <w:noProof/>
                              <w:color w:val="000000"/>
                              <w:sz w:val="24"/>
                              <w:szCs w:val="24"/>
                            </w:rPr>
                          </w:pPr>
                          <w:r w:rsidRPr="00677091">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78CB67" id="_x0000_t202" coordsize="21600,21600" o:spt="202" path="m,l,21600r21600,l21600,xe">
              <v:stroke joinstyle="miter"/>
              <v:path gradientshapeok="t" o:connecttype="rect"/>
            </v:shapetype>
            <v:shape id="Text Box 3" o:spid="_x0000_s1026" type="#_x0000_t202" alt="OFFICIAL-Sensitiv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4EF1B151" w14:textId="292C43BF" w:rsidR="00677091" w:rsidRPr="00677091" w:rsidRDefault="00677091" w:rsidP="00677091">
                    <w:pPr>
                      <w:rPr>
                        <w:rFonts w:ascii="Calibri" w:eastAsia="Calibri" w:hAnsi="Calibri" w:cs="Calibri"/>
                        <w:noProof/>
                        <w:color w:val="000000"/>
                        <w:sz w:val="24"/>
                        <w:szCs w:val="24"/>
                      </w:rPr>
                    </w:pPr>
                    <w:r w:rsidRPr="00677091">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448EB" w14:textId="77777777" w:rsidR="007F67C5" w:rsidRDefault="007F67C5" w:rsidP="007F67C5"/>
  <w:tbl>
    <w:tblPr>
      <w:tblStyle w:val="TableGrid"/>
      <w:tblW w:w="5000" w:type="pct"/>
      <w:tblBorders>
        <w:top w:val="single" w:sz="4" w:space="0" w:color="231EDC" w:themeColor="accent1"/>
        <w:left w:val="none" w:sz="0" w:space="0" w:color="auto"/>
        <w:bottom w:val="none" w:sz="0" w:space="0" w:color="auto"/>
        <w:right w:val="none" w:sz="0" w:space="0" w:color="auto"/>
        <w:insideV w:val="none" w:sz="0" w:space="0" w:color="auto"/>
      </w:tblBorders>
      <w:tblLook w:val="04A0" w:firstRow="1" w:lastRow="0" w:firstColumn="1" w:lastColumn="0" w:noHBand="0" w:noVBand="1"/>
      <w:tblCaption w:val="Footer table 2"/>
    </w:tblPr>
    <w:tblGrid>
      <w:gridCol w:w="8320"/>
      <w:gridCol w:w="1310"/>
    </w:tblGrid>
    <w:tr w:rsidR="007F67C5" w:rsidRPr="003B766C" w14:paraId="0F1584D6" w14:textId="77777777" w:rsidTr="00332D3D">
      <w:trPr>
        <w:trHeight w:val="737"/>
      </w:trPr>
      <w:tc>
        <w:tcPr>
          <w:tcW w:w="8327" w:type="dxa"/>
          <w:tcBorders>
            <w:top w:val="single" w:sz="2" w:space="0" w:color="231EDC" w:themeColor="accent1"/>
            <w:bottom w:val="nil"/>
          </w:tcBorders>
          <w:tcMar>
            <w:top w:w="113" w:type="dxa"/>
            <w:left w:w="0" w:type="dxa"/>
            <w:right w:w="0" w:type="dxa"/>
          </w:tcMar>
        </w:tcPr>
        <w:p w14:paraId="489E34B7" w14:textId="214AC460" w:rsidR="007F67C5" w:rsidRPr="009F3BD9" w:rsidRDefault="00246DFA" w:rsidP="00F970F2">
          <w:pPr>
            <w:pStyle w:val="Footer"/>
            <w:spacing w:before="120"/>
          </w:pPr>
          <w:r>
            <w:t>Final</w:t>
          </w:r>
        </w:p>
      </w:tc>
      <w:tc>
        <w:tcPr>
          <w:tcW w:w="1311" w:type="dxa"/>
          <w:tcBorders>
            <w:top w:val="single" w:sz="2" w:space="0" w:color="231EDC" w:themeColor="accent1"/>
            <w:bottom w:val="nil"/>
          </w:tcBorders>
          <w:tcMar>
            <w:top w:w="113" w:type="dxa"/>
            <w:right w:w="0" w:type="dxa"/>
          </w:tcMar>
        </w:tcPr>
        <w:p w14:paraId="7859260C" w14:textId="77777777" w:rsidR="007F67C5" w:rsidRPr="00F970F2" w:rsidRDefault="007F67C5" w:rsidP="007F67C5">
          <w:pPr>
            <w:pStyle w:val="Footer"/>
            <w:spacing w:before="120"/>
            <w:ind w:left="3131" w:hanging="3131"/>
            <w:jc w:val="right"/>
            <w:rPr>
              <w:rFonts w:cs="Arial"/>
              <w:szCs w:val="18"/>
            </w:rPr>
          </w:pPr>
          <w:r w:rsidRPr="00F970F2">
            <w:rPr>
              <w:rFonts w:cs="Arial"/>
              <w:szCs w:val="18"/>
            </w:rPr>
            <w:fldChar w:fldCharType="begin"/>
          </w:r>
          <w:r w:rsidRPr="00F970F2">
            <w:rPr>
              <w:rFonts w:cs="Arial"/>
              <w:szCs w:val="18"/>
            </w:rPr>
            <w:instrText xml:space="preserve"> PAGE   \* MERGEFORMAT </w:instrText>
          </w:r>
          <w:r w:rsidRPr="00F970F2">
            <w:rPr>
              <w:rFonts w:cs="Arial"/>
              <w:szCs w:val="18"/>
            </w:rPr>
            <w:fldChar w:fldCharType="separate"/>
          </w:r>
          <w:r w:rsidRPr="00F970F2">
            <w:rPr>
              <w:rFonts w:cs="Arial"/>
              <w:szCs w:val="18"/>
            </w:rPr>
            <w:t>1</w:t>
          </w:r>
          <w:r w:rsidRPr="00F970F2">
            <w:rPr>
              <w:rFonts w:cs="Arial"/>
              <w:noProof/>
              <w:szCs w:val="18"/>
            </w:rPr>
            <w:fldChar w:fldCharType="end"/>
          </w:r>
        </w:p>
      </w:tc>
    </w:tr>
  </w:tbl>
  <w:p w14:paraId="53DAD3A6" w14:textId="77777777" w:rsidR="00B52BAD" w:rsidRDefault="00B52BAD" w:rsidP="007F67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7136" w14:textId="490150D2" w:rsidR="00F0217F" w:rsidRDefault="00F0217F"/>
  <w:tbl>
    <w:tblPr>
      <w:tblStyle w:val="TableGrid"/>
      <w:tblW w:w="5000" w:type="pct"/>
      <w:tblBorders>
        <w:top w:val="single" w:sz="4" w:space="0" w:color="231EDC" w:themeColor="accent1"/>
        <w:left w:val="none" w:sz="0" w:space="0" w:color="auto"/>
        <w:bottom w:val="none" w:sz="0" w:space="0" w:color="auto"/>
        <w:right w:val="none" w:sz="0" w:space="0" w:color="auto"/>
        <w:insideV w:val="none" w:sz="0" w:space="0" w:color="auto"/>
      </w:tblBorders>
      <w:tblLook w:val="04A0" w:firstRow="1" w:lastRow="0" w:firstColumn="1" w:lastColumn="0" w:noHBand="0" w:noVBand="1"/>
      <w:tblCaption w:val="Footer table 2"/>
    </w:tblPr>
    <w:tblGrid>
      <w:gridCol w:w="8320"/>
      <w:gridCol w:w="1310"/>
    </w:tblGrid>
    <w:tr w:rsidR="00C13391" w:rsidRPr="003B766C" w14:paraId="5758E747" w14:textId="77777777" w:rsidTr="005E6896">
      <w:trPr>
        <w:trHeight w:val="737"/>
      </w:trPr>
      <w:tc>
        <w:tcPr>
          <w:tcW w:w="8327" w:type="dxa"/>
          <w:tcBorders>
            <w:top w:val="single" w:sz="2" w:space="0" w:color="231EDC" w:themeColor="accent1"/>
            <w:bottom w:val="nil"/>
          </w:tcBorders>
          <w:tcMar>
            <w:top w:w="113" w:type="dxa"/>
            <w:left w:w="0" w:type="dxa"/>
            <w:right w:w="0" w:type="dxa"/>
          </w:tcMar>
        </w:tcPr>
        <w:p w14:paraId="3F775AC4" w14:textId="27C326B4" w:rsidR="00C13391" w:rsidRPr="009F3BD9" w:rsidRDefault="00000000" w:rsidP="00F970F2">
          <w:pPr>
            <w:pStyle w:val="Footer"/>
            <w:spacing w:before="120"/>
          </w:pPr>
          <w:sdt>
            <w:sdtPr>
              <w:alias w:val="[Document number]"/>
              <w:tag w:val="&lt;?xml version=&quot;1.0&quot; encoding=&quot;utf-16&quot;?&gt;&#10;&lt;PrecedentInstruction&gt;&#10;  &lt;Command&gt;DeleteLineIf&lt;/Command&gt;&#10;  &lt;Expression&gt;string.IsNullOrEmpty(obj.DocumentNumber)&lt;/Expression&gt;&#10;  &lt;UpdateAfterVariables /&gt;&#10;&lt;/PrecedentInstruction&gt;"/>
              <w:id w:val="-1871605828"/>
              <w:dataBinding w:xpath="/*[local-name()='root']/*[local-name()='DocumentNumber']" w:storeItemID="{008855E8-0B05-4ED9-BAC7-D27B72872D3E}"/>
              <w:text w:multiLine="1"/>
            </w:sdtPr>
            <w:sdtContent>
              <w:r w:rsidR="001A4A88" w:rsidRPr="003B766C">
                <w:t>V2</w:t>
              </w:r>
            </w:sdtContent>
          </w:sdt>
          <w:r w:rsidR="00047B1D">
            <w:t xml:space="preserve"> </w:t>
          </w:r>
          <w:r w:rsidR="00047B1D" w:rsidRPr="00047B1D">
            <w:t>OFFICIAL-</w:t>
          </w:r>
          <w:r w:rsidR="00047B1D" w:rsidRPr="00EE7019">
            <w:t>Sensitive</w:t>
          </w:r>
        </w:p>
      </w:tc>
      <w:tc>
        <w:tcPr>
          <w:tcW w:w="1311" w:type="dxa"/>
          <w:tcBorders>
            <w:top w:val="single" w:sz="2" w:space="0" w:color="231EDC" w:themeColor="accent1"/>
            <w:bottom w:val="nil"/>
          </w:tcBorders>
          <w:tcMar>
            <w:top w:w="113" w:type="dxa"/>
            <w:right w:w="0" w:type="dxa"/>
          </w:tcMar>
        </w:tcPr>
        <w:p w14:paraId="60E1F3F5" w14:textId="77777777" w:rsidR="00C13391" w:rsidRPr="00F970F2" w:rsidRDefault="00C13391" w:rsidP="005D05FA">
          <w:pPr>
            <w:pStyle w:val="Footer"/>
            <w:spacing w:before="120"/>
            <w:ind w:left="3131" w:hanging="3131"/>
            <w:jc w:val="right"/>
            <w:rPr>
              <w:rFonts w:cs="Arial"/>
              <w:sz w:val="16"/>
              <w:szCs w:val="16"/>
            </w:rPr>
          </w:pPr>
          <w:r w:rsidRPr="00F970F2">
            <w:rPr>
              <w:rFonts w:cs="Arial"/>
              <w:sz w:val="16"/>
              <w:szCs w:val="16"/>
            </w:rPr>
            <w:fldChar w:fldCharType="begin"/>
          </w:r>
          <w:r w:rsidRPr="00F970F2">
            <w:rPr>
              <w:rFonts w:cs="Arial"/>
              <w:sz w:val="16"/>
              <w:szCs w:val="16"/>
            </w:rPr>
            <w:instrText xml:space="preserve"> PAGE   \* MERGEFORMAT </w:instrText>
          </w:r>
          <w:r w:rsidRPr="00F970F2">
            <w:rPr>
              <w:rFonts w:cs="Arial"/>
              <w:sz w:val="16"/>
              <w:szCs w:val="16"/>
            </w:rPr>
            <w:fldChar w:fldCharType="separate"/>
          </w:r>
          <w:r w:rsidRPr="00F970F2">
            <w:rPr>
              <w:rFonts w:cs="Arial"/>
              <w:sz w:val="16"/>
              <w:szCs w:val="16"/>
            </w:rPr>
            <w:t>1</w:t>
          </w:r>
          <w:r w:rsidRPr="00F970F2">
            <w:rPr>
              <w:rFonts w:cs="Arial"/>
              <w:sz w:val="16"/>
              <w:szCs w:val="16"/>
            </w:rPr>
            <w:fldChar w:fldCharType="end"/>
          </w:r>
        </w:p>
      </w:tc>
    </w:tr>
  </w:tbl>
  <w:p w14:paraId="08AD7081" w14:textId="77777777" w:rsidR="00C13391" w:rsidRPr="00DF5976" w:rsidRDefault="00C13391" w:rsidP="00C13391">
    <w:pPr>
      <w:pStyle w:val="HeaderSpac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92E07" w14:textId="77777777" w:rsidR="00A224B9" w:rsidRDefault="00A224B9" w:rsidP="00066DE7">
      <w:r>
        <w:separator/>
      </w:r>
    </w:p>
    <w:p w14:paraId="38A7BD93" w14:textId="77777777" w:rsidR="00A224B9" w:rsidRDefault="00A224B9"/>
  </w:footnote>
  <w:footnote w:type="continuationSeparator" w:id="0">
    <w:p w14:paraId="7ADFAD1F" w14:textId="77777777" w:rsidR="00A224B9" w:rsidRDefault="00A224B9" w:rsidP="00066DE7">
      <w:r>
        <w:continuationSeparator/>
      </w:r>
    </w:p>
    <w:p w14:paraId="7201771E" w14:textId="77777777" w:rsidR="00A224B9" w:rsidRDefault="00A224B9"/>
  </w:footnote>
  <w:footnote w:type="continuationNotice" w:id="1">
    <w:p w14:paraId="6A3609F7" w14:textId="77777777" w:rsidR="00A224B9" w:rsidRDefault="00A224B9"/>
  </w:footnote>
  <w:footnote w:id="2">
    <w:p w14:paraId="53A4C13F" w14:textId="77777777" w:rsidR="00D247FB" w:rsidRPr="00513E90" w:rsidRDefault="00D247FB" w:rsidP="00D247FB">
      <w:pPr>
        <w:pStyle w:val="FootnoteText"/>
        <w:rPr>
          <w:rFonts w:ascii="Arial" w:hAnsi="Arial" w:cs="Arial"/>
        </w:rPr>
      </w:pPr>
      <w:r w:rsidRPr="00513E90">
        <w:rPr>
          <w:rStyle w:val="FootnoteReference"/>
          <w:rFonts w:ascii="Arial" w:hAnsi="Arial" w:cs="Arial"/>
        </w:rPr>
        <w:footnoteRef/>
      </w:r>
      <w:r w:rsidRPr="00513E90">
        <w:rPr>
          <w:rFonts w:ascii="Arial" w:hAnsi="Arial" w:cs="Arial"/>
        </w:rPr>
        <w:t xml:space="preserve"> </w:t>
      </w:r>
      <w:r w:rsidRPr="00513E90">
        <w:rPr>
          <w:rFonts w:ascii="Arial" w:hAnsi="Arial" w:cs="Arial"/>
        </w:rPr>
        <w:tab/>
        <w:t xml:space="preserve">Combined target made up of </w:t>
      </w:r>
      <w:r w:rsidRPr="00513E90">
        <w:rPr>
          <w:rFonts w:ascii="Arial" w:hAnsi="Arial" w:cs="Arial"/>
          <w:i/>
          <w:iCs/>
        </w:rPr>
        <w:t>Making Victorians Water Wise</w:t>
      </w:r>
      <w:r w:rsidRPr="00513E90">
        <w:rPr>
          <w:rFonts w:ascii="Arial" w:hAnsi="Arial" w:cs="Arial"/>
        </w:rPr>
        <w:t xml:space="preserve"> (4,235 rebates) and </w:t>
      </w:r>
      <w:r w:rsidRPr="00513E90">
        <w:rPr>
          <w:rFonts w:ascii="Arial" w:hAnsi="Arial" w:cs="Arial"/>
          <w:i/>
          <w:iCs/>
        </w:rPr>
        <w:t>Delivering community benefits through implementation of the Central and Gippsland Region Sustainable Water Strategy</w:t>
      </w:r>
      <w:r w:rsidRPr="00513E90">
        <w:rPr>
          <w:rFonts w:ascii="Arial" w:hAnsi="Arial" w:cs="Arial"/>
        </w:rPr>
        <w:t xml:space="preserve"> (1,040 rebates).</w:t>
      </w:r>
    </w:p>
  </w:footnote>
  <w:footnote w:id="3">
    <w:p w14:paraId="72966A9C" w14:textId="469F2962" w:rsidR="00D247FB" w:rsidRPr="00513E90" w:rsidRDefault="00D247FB" w:rsidP="00246DFA">
      <w:pPr>
        <w:pStyle w:val="FootnoteText"/>
        <w:rPr>
          <w:rFonts w:ascii="Arial" w:hAnsi="Arial" w:cs="Arial"/>
        </w:rPr>
      </w:pPr>
      <w:r w:rsidRPr="00513E90">
        <w:rPr>
          <w:rStyle w:val="FootnoteReference"/>
          <w:rFonts w:ascii="Arial" w:hAnsi="Arial" w:cs="Arial"/>
        </w:rPr>
        <w:footnoteRef/>
      </w:r>
      <w:r w:rsidRPr="00513E90">
        <w:rPr>
          <w:rFonts w:ascii="Arial" w:hAnsi="Arial" w:cs="Arial"/>
        </w:rPr>
        <w:t xml:space="preserve"> </w:t>
      </w:r>
      <w:r w:rsidRPr="00513E90">
        <w:rPr>
          <w:rFonts w:ascii="Arial" w:hAnsi="Arial" w:cs="Arial"/>
        </w:rPr>
        <w:tab/>
        <w:t xml:space="preserve">Based on 2023-24 average water and wastewater charges of $2.53 per </w:t>
      </w:r>
      <w:proofErr w:type="spellStart"/>
      <w:r w:rsidRPr="00513E90">
        <w:rPr>
          <w:rFonts w:ascii="Arial" w:hAnsi="Arial" w:cs="Arial"/>
        </w:rPr>
        <w:t>kilolitre</w:t>
      </w:r>
      <w:proofErr w:type="spellEnd"/>
      <w:r w:rsidRPr="00513E90">
        <w:rPr>
          <w:rFonts w:ascii="Arial" w:hAnsi="Arial" w:cs="Arial"/>
        </w:rPr>
        <w:t>.</w:t>
      </w:r>
    </w:p>
  </w:footnote>
  <w:footnote w:id="4">
    <w:p w14:paraId="5E0E9AEE" w14:textId="77777777" w:rsidR="00613282" w:rsidRPr="00513E90" w:rsidRDefault="00613282" w:rsidP="00613282">
      <w:pPr>
        <w:pStyle w:val="FootnoteText"/>
        <w:rPr>
          <w:rFonts w:ascii="Arial" w:hAnsi="Arial" w:cs="Arial"/>
        </w:rPr>
      </w:pPr>
      <w:r w:rsidRPr="00513E90">
        <w:rPr>
          <w:rStyle w:val="FootnoteReference"/>
          <w:rFonts w:ascii="Arial" w:hAnsi="Arial" w:cs="Arial"/>
        </w:rPr>
        <w:footnoteRef/>
      </w:r>
      <w:r w:rsidRPr="00513E90">
        <w:rPr>
          <w:rFonts w:ascii="Arial" w:hAnsi="Arial" w:cs="Arial"/>
        </w:rPr>
        <w:t xml:space="preserve"> Accumulated number of schools registered to SWEP since launch in 2012.</w:t>
      </w:r>
    </w:p>
  </w:footnote>
  <w:footnote w:id="5">
    <w:p w14:paraId="7BF53DA4" w14:textId="0108E8C9" w:rsidR="00C11285" w:rsidRPr="00513E90" w:rsidRDefault="00C11285" w:rsidP="00246DFA">
      <w:pPr>
        <w:pStyle w:val="FootnoteText"/>
        <w:rPr>
          <w:rFonts w:ascii="Arial" w:hAnsi="Arial" w:cs="Arial"/>
        </w:rPr>
      </w:pPr>
      <w:r w:rsidRPr="00513E90">
        <w:rPr>
          <w:rStyle w:val="FootnoteReference"/>
          <w:rFonts w:ascii="Arial" w:hAnsi="Arial" w:cs="Arial"/>
        </w:rPr>
        <w:footnoteRef/>
      </w:r>
      <w:r w:rsidRPr="00513E90">
        <w:rPr>
          <w:rFonts w:ascii="Arial" w:hAnsi="Arial" w:cs="Arial"/>
        </w:rPr>
        <w:t xml:space="preserve"> Leak event is occurrence where water used is above 0 </w:t>
      </w:r>
      <w:proofErr w:type="spellStart"/>
      <w:r w:rsidRPr="00513E90">
        <w:rPr>
          <w:rFonts w:ascii="Arial" w:hAnsi="Arial" w:cs="Arial"/>
        </w:rPr>
        <w:t>litres</w:t>
      </w:r>
      <w:proofErr w:type="spellEnd"/>
      <w:r w:rsidRPr="00513E90">
        <w:rPr>
          <w:rFonts w:ascii="Arial" w:hAnsi="Arial" w:cs="Arial"/>
        </w:rPr>
        <w:t xml:space="preserve"> between 12:00AM – 1:00AM.</w:t>
      </w:r>
    </w:p>
  </w:footnote>
  <w:footnote w:id="6">
    <w:p w14:paraId="3EB3408F" w14:textId="05576F26" w:rsidR="00D565EF" w:rsidRDefault="00D565EF" w:rsidP="00246DFA">
      <w:pPr>
        <w:pStyle w:val="FootnoteText"/>
      </w:pPr>
      <w:r w:rsidRPr="00513E90">
        <w:rPr>
          <w:rStyle w:val="FootnoteReference"/>
          <w:rFonts w:ascii="Arial" w:hAnsi="Arial" w:cs="Arial"/>
        </w:rPr>
        <w:footnoteRef/>
      </w:r>
      <w:r w:rsidRPr="00513E90">
        <w:rPr>
          <w:rFonts w:ascii="Arial" w:hAnsi="Arial" w:cs="Arial"/>
        </w:rPr>
        <w:t xml:space="preserve"> 2022, </w:t>
      </w:r>
      <w:hyperlink r:id="rId1" w:history="1">
        <w:r w:rsidRPr="00513E90">
          <w:rPr>
            <w:rStyle w:val="Hyperlink"/>
            <w:rFonts w:ascii="Arial" w:hAnsi="Arial" w:cs="Arial"/>
          </w:rPr>
          <w:t>WELS Strategic Plan 2022-25</w:t>
        </w:r>
      </w:hyperlink>
      <w:r w:rsidRPr="00513E90">
        <w:rPr>
          <w:rFonts w:ascii="Arial" w:hAnsi="Arial" w:cs="Arial"/>
        </w:rPr>
        <w:t>, Commonwealth Department of Climate Change, Energy, the Environment and Water.</w:t>
      </w:r>
    </w:p>
  </w:footnote>
  <w:footnote w:id="7">
    <w:p w14:paraId="3250A4B9" w14:textId="77777777" w:rsidR="006E0DFC" w:rsidRPr="00535C48" w:rsidRDefault="006E0DFC" w:rsidP="006E0DFC">
      <w:pPr>
        <w:pStyle w:val="FootnoteText"/>
        <w:rPr>
          <w:rFonts w:ascii="Arial" w:hAnsi="Arial" w:cs="Arial"/>
        </w:rPr>
      </w:pPr>
      <w:r w:rsidRPr="00535C48">
        <w:rPr>
          <w:rStyle w:val="EndnoteReference"/>
          <w:rFonts w:ascii="Arial" w:hAnsi="Arial" w:cs="Arial"/>
        </w:rPr>
        <w:footnoteRef/>
      </w:r>
      <w:r w:rsidRPr="00535C48">
        <w:rPr>
          <w:rStyle w:val="EndnoteReference"/>
          <w:rFonts w:ascii="Arial" w:hAnsi="Arial" w:cs="Arial"/>
        </w:rPr>
        <w:t xml:space="preserve"> </w:t>
      </w:r>
      <w:r w:rsidRPr="00535C48">
        <w:rPr>
          <w:rStyle w:val="EndnoteReference"/>
          <w:rFonts w:ascii="Arial" w:hAnsi="Arial" w:cs="Arial"/>
        </w:rPr>
        <w:tab/>
      </w:r>
      <w:r w:rsidRPr="00535C48">
        <w:rPr>
          <w:rFonts w:ascii="Arial" w:hAnsi="Arial" w:cs="Arial"/>
        </w:rPr>
        <w:t xml:space="preserve">2024, </w:t>
      </w:r>
      <w:hyperlink r:id="rId2" w:history="1">
        <w:r w:rsidRPr="00535C48">
          <w:rPr>
            <w:rStyle w:val="Hyperlink"/>
            <w:rFonts w:ascii="Arial" w:hAnsi="Arial" w:cs="Arial"/>
          </w:rPr>
          <w:t>Melbourne’s Water Outlook 2024</w:t>
        </w:r>
      </w:hyperlink>
      <w:r w:rsidRPr="00535C48">
        <w:rPr>
          <w:rFonts w:ascii="Arial" w:hAnsi="Arial" w:cs="Arial"/>
        </w:rPr>
        <w:t xml:space="preserve">, Greater Western Water, Melbourne Water, South East Water, </w:t>
      </w:r>
      <w:proofErr w:type="spellStart"/>
      <w:r w:rsidRPr="00535C48">
        <w:rPr>
          <w:rFonts w:ascii="Arial" w:hAnsi="Arial" w:cs="Arial"/>
        </w:rPr>
        <w:t>Yarra</w:t>
      </w:r>
      <w:proofErr w:type="spellEnd"/>
      <w:r w:rsidRPr="00535C48">
        <w:rPr>
          <w:rFonts w:ascii="Arial" w:hAnsi="Arial" w:cs="Arial"/>
        </w:rPr>
        <w:t xml:space="preserve"> Valley Water.</w:t>
      </w:r>
    </w:p>
  </w:footnote>
  <w:footnote w:id="8">
    <w:p w14:paraId="5ACC2D90" w14:textId="77777777" w:rsidR="006E0DFC" w:rsidRDefault="006E0DFC" w:rsidP="006E0DFC">
      <w:pPr>
        <w:pStyle w:val="FootnoteText"/>
      </w:pPr>
      <w:r w:rsidRPr="00535C48">
        <w:rPr>
          <w:rStyle w:val="FootnoteReference"/>
          <w:rFonts w:ascii="Arial" w:hAnsi="Arial" w:cs="Arial"/>
        </w:rPr>
        <w:footnoteRef/>
      </w:r>
      <w:r w:rsidRPr="00535C48">
        <w:rPr>
          <w:rFonts w:ascii="Arial" w:hAnsi="Arial" w:cs="Arial"/>
        </w:rPr>
        <w:t xml:space="preserve"> </w:t>
      </w:r>
      <w:r w:rsidRPr="00535C48">
        <w:rPr>
          <w:rFonts w:ascii="Arial" w:hAnsi="Arial" w:cs="Arial"/>
        </w:rPr>
        <w:tab/>
      </w:r>
      <w:hyperlink r:id="rId3" w:anchor="/ws/freq/weekly/type/storage" w:history="1">
        <w:r w:rsidRPr="00535C48">
          <w:rPr>
            <w:rStyle w:val="Hyperlink"/>
            <w:rFonts w:ascii="Arial" w:hAnsi="Arial" w:cs="Arial"/>
          </w:rPr>
          <w:t>Historical Water Storage Levels</w:t>
        </w:r>
      </w:hyperlink>
      <w:r w:rsidRPr="00535C48">
        <w:rPr>
          <w:rFonts w:ascii="Arial" w:hAnsi="Arial" w:cs="Arial"/>
        </w:rPr>
        <w:t>, Melbourne Water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9CDD5" w14:textId="77777777" w:rsidR="00F0217F" w:rsidRDefault="00F0217F"/>
  <w:tbl>
    <w:tblPr>
      <w:tblStyle w:val="TableGrid"/>
      <w:tblW w:w="5000" w:type="pct"/>
      <w:tblBorders>
        <w:top w:val="none" w:sz="0" w:space="0" w:color="auto"/>
        <w:left w:val="none" w:sz="0" w:space="0" w:color="auto"/>
        <w:bottom w:val="single" w:sz="2" w:space="0" w:color="231EDC" w:themeColor="accent1"/>
        <w:right w:val="none" w:sz="0" w:space="0" w:color="auto"/>
        <w:insideH w:val="none" w:sz="0" w:space="0" w:color="auto"/>
        <w:insideV w:val="none" w:sz="0" w:space="0" w:color="auto"/>
      </w:tblBorders>
      <w:tblLayout w:type="fixed"/>
      <w:tblCellMar>
        <w:left w:w="0" w:type="dxa"/>
        <w:bottom w:w="113" w:type="dxa"/>
        <w:right w:w="0" w:type="dxa"/>
      </w:tblCellMar>
      <w:tblLook w:val="04A0" w:firstRow="1" w:lastRow="0" w:firstColumn="1" w:lastColumn="0" w:noHBand="0" w:noVBand="1"/>
    </w:tblPr>
    <w:tblGrid>
      <w:gridCol w:w="6173"/>
      <w:gridCol w:w="3457"/>
    </w:tblGrid>
    <w:tr w:rsidR="007F67C5" w:rsidRPr="00066DE7" w14:paraId="25458E0D" w14:textId="77777777" w:rsidTr="00332D3D">
      <w:trPr>
        <w:trHeight w:val="652"/>
      </w:trPr>
      <w:tc>
        <w:tcPr>
          <w:tcW w:w="6178" w:type="dxa"/>
          <w:vAlign w:val="bottom"/>
        </w:tcPr>
        <w:sdt>
          <w:sdtPr>
            <w:rPr>
              <w:rFonts w:ascii="Arial" w:hAnsi="Arial" w:cs="Arial"/>
            </w:rPr>
            <w:alias w:val="Document title"/>
            <w:tag w:val="Document title"/>
            <w:id w:val="1027371616"/>
            <w:dataBinding w:xpath="/*[local-name()='root']/*[local-name()='DocumentTitle']" w:storeItemID="{008855E8-0B05-4ED9-BAC7-D27B72872D3E}"/>
            <w:text w:multiLine="1"/>
          </w:sdtPr>
          <w:sdtContent>
            <w:p w14:paraId="464A2617" w14:textId="77777777" w:rsidR="007F67C5" w:rsidRPr="00B35690" w:rsidRDefault="007F67C5" w:rsidP="007F67C5">
              <w:pPr>
                <w:pStyle w:val="Header"/>
              </w:pPr>
              <w:r w:rsidRPr="003B766C">
                <w:rPr>
                  <w:rFonts w:ascii="Arial" w:hAnsi="Arial" w:cs="Arial"/>
                </w:rPr>
                <w:t>Impact domain: Project examples of progress toward each EC5 outcome</w:t>
              </w:r>
            </w:p>
          </w:sdtContent>
        </w:sdt>
      </w:tc>
      <w:tc>
        <w:tcPr>
          <w:tcW w:w="3460" w:type="dxa"/>
          <w:vAlign w:val="bottom"/>
        </w:tcPr>
        <w:p w14:paraId="25A425A9" w14:textId="77777777" w:rsidR="007F67C5" w:rsidRPr="00066DE7" w:rsidRDefault="007F67C5" w:rsidP="007F67C5">
          <w:pPr>
            <w:pStyle w:val="Header"/>
            <w:spacing w:before="120" w:after="120"/>
            <w:jc w:val="right"/>
            <w:rPr>
              <w:b/>
              <w:bCs/>
              <w:sz w:val="18"/>
              <w:szCs w:val="18"/>
            </w:rPr>
          </w:pPr>
          <w:r>
            <w:rPr>
              <w:b/>
              <w:bCs/>
              <w:noProof/>
              <w:sz w:val="18"/>
              <w:szCs w:val="18"/>
            </w:rPr>
            <w:drawing>
              <wp:inline distT="0" distB="0" distL="0" distR="0" wp14:anchorId="2EAABD9A" wp14:editId="6738870C">
                <wp:extent cx="1231392" cy="286512"/>
                <wp:effectExtent l="0" t="0" r="6985" b="0"/>
                <wp:docPr id="1701792443" name="Picture 1701792443" descr="Brand Logo"/>
                <wp:cNvGraphicFramePr/>
                <a:graphic xmlns:a="http://schemas.openxmlformats.org/drawingml/2006/main">
                  <a:graphicData uri="http://schemas.openxmlformats.org/drawingml/2006/picture">
                    <pic:pic xmlns:pic="http://schemas.openxmlformats.org/drawingml/2006/picture">
                      <pic:nvPicPr>
                        <pic:cNvPr id="1" name="Picture 1" descr="Brand Logo"/>
                        <pic:cNvPicPr/>
                      </pic:nvPicPr>
                      <pic:blipFill>
                        <a:blip r:embed="rId1">
                          <a:extLst>
                            <a:ext uri="{28A0092B-C50C-407E-A947-70E740481C1C}">
                              <a14:useLocalDpi xmlns:a14="http://schemas.microsoft.com/office/drawing/2010/main" val="0"/>
                            </a:ext>
                          </a:extLst>
                        </a:blip>
                        <a:stretch>
                          <a:fillRect/>
                        </a:stretch>
                      </pic:blipFill>
                      <pic:spPr>
                        <a:xfrm>
                          <a:off x="0" y="0"/>
                          <a:ext cx="1231392" cy="286512"/>
                        </a:xfrm>
                        <a:prstGeom prst="rect">
                          <a:avLst/>
                        </a:prstGeom>
                      </pic:spPr>
                    </pic:pic>
                  </a:graphicData>
                </a:graphic>
              </wp:inline>
            </w:drawing>
          </w:r>
        </w:p>
      </w:tc>
    </w:tr>
  </w:tbl>
  <w:p w14:paraId="7E2A8EC1" w14:textId="77777777" w:rsidR="00293187" w:rsidRPr="00E52712" w:rsidRDefault="00293187" w:rsidP="007F67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DDE91" w14:textId="77777777" w:rsidR="00F0217F" w:rsidRDefault="00F0217F"/>
  <w:tbl>
    <w:tblPr>
      <w:tblStyle w:val="TableGrid"/>
      <w:tblW w:w="5000" w:type="pct"/>
      <w:tblBorders>
        <w:top w:val="none" w:sz="0" w:space="0" w:color="auto"/>
        <w:left w:val="none" w:sz="0" w:space="0" w:color="auto"/>
        <w:bottom w:val="single" w:sz="2" w:space="0" w:color="231EDC" w:themeColor="accent1"/>
        <w:right w:val="none" w:sz="0" w:space="0" w:color="auto"/>
        <w:insideH w:val="none" w:sz="0" w:space="0" w:color="auto"/>
        <w:insideV w:val="none" w:sz="0" w:space="0" w:color="auto"/>
      </w:tblBorders>
      <w:tblLayout w:type="fixed"/>
      <w:tblCellMar>
        <w:left w:w="0" w:type="dxa"/>
        <w:bottom w:w="113" w:type="dxa"/>
        <w:right w:w="0" w:type="dxa"/>
      </w:tblCellMar>
      <w:tblLook w:val="04A0" w:firstRow="1" w:lastRow="0" w:firstColumn="1" w:lastColumn="0" w:noHBand="0" w:noVBand="1"/>
    </w:tblPr>
    <w:tblGrid>
      <w:gridCol w:w="6173"/>
      <w:gridCol w:w="3457"/>
    </w:tblGrid>
    <w:tr w:rsidR="00293187" w:rsidRPr="00066DE7" w14:paraId="0982B281" w14:textId="77777777" w:rsidTr="00F0217F">
      <w:trPr>
        <w:trHeight w:val="652"/>
      </w:trPr>
      <w:tc>
        <w:tcPr>
          <w:tcW w:w="6178" w:type="dxa"/>
          <w:vAlign w:val="bottom"/>
        </w:tcPr>
        <w:sdt>
          <w:sdtPr>
            <w:rPr>
              <w:rFonts w:ascii="Arial" w:hAnsi="Arial" w:cs="Arial"/>
            </w:rPr>
            <w:alias w:val="Document title"/>
            <w:tag w:val="Document title"/>
            <w:id w:val="-879170055"/>
            <w:dataBinding w:xpath="/*[local-name()='root']/*[local-name()='DocumentTitle']" w:storeItemID="{008855E8-0B05-4ED9-BAC7-D27B72872D3E}"/>
            <w:text w:multiLine="1"/>
          </w:sdtPr>
          <w:sdtContent>
            <w:p w14:paraId="5D303EA2" w14:textId="7EC0FE26" w:rsidR="00293187" w:rsidRPr="00B35690" w:rsidRDefault="002354DC" w:rsidP="00293187">
              <w:pPr>
                <w:pStyle w:val="Header"/>
              </w:pPr>
              <w:r w:rsidRPr="003B766C">
                <w:rPr>
                  <w:rFonts w:ascii="Arial" w:hAnsi="Arial" w:cs="Arial"/>
                </w:rPr>
                <w:t>Impact domain: Project examples of progress toward each EC5 outcome</w:t>
              </w:r>
            </w:p>
          </w:sdtContent>
        </w:sdt>
      </w:tc>
      <w:tc>
        <w:tcPr>
          <w:tcW w:w="3460" w:type="dxa"/>
          <w:vAlign w:val="bottom"/>
        </w:tcPr>
        <w:p w14:paraId="1EDFC484" w14:textId="77777777" w:rsidR="00293187" w:rsidRPr="00066DE7" w:rsidRDefault="00607D7F" w:rsidP="00005578">
          <w:pPr>
            <w:pStyle w:val="Header"/>
            <w:spacing w:before="120" w:after="120"/>
            <w:jc w:val="right"/>
            <w:rPr>
              <w:b/>
              <w:bCs/>
              <w:sz w:val="18"/>
              <w:szCs w:val="18"/>
            </w:rPr>
          </w:pPr>
          <w:r>
            <w:rPr>
              <w:b/>
              <w:bCs/>
              <w:noProof/>
              <w:sz w:val="18"/>
              <w:szCs w:val="18"/>
            </w:rPr>
            <w:drawing>
              <wp:inline distT="0" distB="0" distL="0" distR="0" wp14:anchorId="2B21BC0F" wp14:editId="48384A34">
                <wp:extent cx="1231392" cy="286512"/>
                <wp:effectExtent l="0" t="0" r="6985" b="0"/>
                <wp:docPr id="1" name="Picture 1" descr="Brand Logo"/>
                <wp:cNvGraphicFramePr/>
                <a:graphic xmlns:a="http://schemas.openxmlformats.org/drawingml/2006/main">
                  <a:graphicData uri="http://schemas.openxmlformats.org/drawingml/2006/picture">
                    <pic:pic xmlns:pic="http://schemas.openxmlformats.org/drawingml/2006/picture">
                      <pic:nvPicPr>
                        <pic:cNvPr id="1" name="Picture 1" descr="Brand Logo"/>
                        <pic:cNvPicPr/>
                      </pic:nvPicPr>
                      <pic:blipFill>
                        <a:blip r:embed="rId1">
                          <a:extLst>
                            <a:ext uri="{28A0092B-C50C-407E-A947-70E740481C1C}">
                              <a14:useLocalDpi xmlns:a14="http://schemas.microsoft.com/office/drawing/2010/main" val="0"/>
                            </a:ext>
                          </a:extLst>
                        </a:blip>
                        <a:stretch>
                          <a:fillRect/>
                        </a:stretch>
                      </pic:blipFill>
                      <pic:spPr>
                        <a:xfrm>
                          <a:off x="0" y="0"/>
                          <a:ext cx="1231392" cy="286512"/>
                        </a:xfrm>
                        <a:prstGeom prst="rect">
                          <a:avLst/>
                        </a:prstGeom>
                      </pic:spPr>
                    </pic:pic>
                  </a:graphicData>
                </a:graphic>
              </wp:inline>
            </w:drawing>
          </w:r>
        </w:p>
      </w:tc>
    </w:tr>
  </w:tbl>
  <w:p w14:paraId="7606BB54" w14:textId="77777777" w:rsidR="00293187" w:rsidRPr="00E52712" w:rsidRDefault="00293187" w:rsidP="00293187">
    <w:pPr>
      <w:pStyle w:val="HeaderSpac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42F19"/>
    <w:multiLevelType w:val="hybridMultilevel"/>
    <w:tmpl w:val="3AAA1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B77D6D"/>
    <w:multiLevelType w:val="hybridMultilevel"/>
    <w:tmpl w:val="37563164"/>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60F3075"/>
    <w:multiLevelType w:val="hybridMultilevel"/>
    <w:tmpl w:val="82962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8E22F6"/>
    <w:multiLevelType w:val="multilevel"/>
    <w:tmpl w:val="0A6406FE"/>
    <w:numStyleLink w:val="BodyTextNumbering"/>
  </w:abstractNum>
  <w:abstractNum w:abstractNumId="4" w15:restartNumberingAfterBreak="0">
    <w:nsid w:val="07CE24F7"/>
    <w:multiLevelType w:val="multilevel"/>
    <w:tmpl w:val="1ACC8A0C"/>
    <w:styleLink w:val="TableBullets"/>
    <w:lvl w:ilvl="0">
      <w:start w:val="1"/>
      <w:numFmt w:val="bullet"/>
      <w:pStyle w:val="TableBullet"/>
      <w:lvlText w:val=""/>
      <w:lvlJc w:val="left"/>
      <w:pPr>
        <w:ind w:left="284" w:hanging="284"/>
      </w:pPr>
      <w:rPr>
        <w:rFonts w:ascii="Wingdings" w:hAnsi="Wingdings" w:hint="default"/>
      </w:rPr>
    </w:lvl>
    <w:lvl w:ilvl="1">
      <w:start w:val="1"/>
      <w:numFmt w:val="bullet"/>
      <w:pStyle w:val="TableBullet2"/>
      <w:lvlText w:val="-"/>
      <w:lvlJc w:val="left"/>
      <w:pPr>
        <w:ind w:left="567" w:hanging="283"/>
      </w:pPr>
      <w:rPr>
        <w:rFonts w:ascii="Arial" w:hAnsi="Arial" w:cs="Arial" w:hint="default"/>
      </w:rPr>
    </w:lvl>
    <w:lvl w:ilvl="2">
      <w:start w:val="1"/>
      <w:numFmt w:val="bullet"/>
      <w:pStyle w:val="TableBullet3"/>
      <w:lvlText w:val=""/>
      <w:lvlJc w:val="left"/>
      <w:pPr>
        <w:ind w:left="851" w:hanging="284"/>
      </w:pPr>
      <w:rPr>
        <w:rFonts w:ascii="Wingdings" w:hAnsi="Wingdings" w:hint="default"/>
      </w:rPr>
    </w:lvl>
    <w:lvl w:ilvl="3">
      <w:start w:val="1"/>
      <w:numFmt w:val="bullet"/>
      <w:pStyle w:val="TableBullet4"/>
      <w:lvlText w:val="-"/>
      <w:lvlJc w:val="left"/>
      <w:pPr>
        <w:ind w:left="1440" w:hanging="360"/>
      </w:pPr>
      <w:rPr>
        <w:rFonts w:ascii="Jacobs Chronos" w:hAnsi="Jacobs Chronos" w:hint="default"/>
      </w:rPr>
    </w:lvl>
    <w:lvl w:ilvl="4">
      <w:start w:val="1"/>
      <w:numFmt w:val="bullet"/>
      <w:pStyle w:val="TableBullet5"/>
      <w:lvlText w:val=""/>
      <w:lvlJc w:val="left"/>
      <w:pPr>
        <w:ind w:left="1800" w:hanging="360"/>
      </w:pPr>
      <w:rPr>
        <w:rFonts w:ascii="Wingdings" w:hAnsi="Wingdings" w:hint="default"/>
      </w:rPr>
    </w:lvl>
    <w:lvl w:ilvl="5">
      <w:start w:val="1"/>
      <w:numFmt w:val="bullet"/>
      <w:pStyle w:val="TableBullet6"/>
      <w:lvlText w:val="-"/>
      <w:lvlJc w:val="left"/>
      <w:pPr>
        <w:ind w:left="2160" w:hanging="360"/>
      </w:pPr>
      <w:rPr>
        <w:rFonts w:ascii="Jacobs Chronos" w:hAnsi="Jacobs Chronos" w:hint="default"/>
      </w:rPr>
    </w:lvl>
    <w:lvl w:ilvl="6">
      <w:start w:val="1"/>
      <w:numFmt w:val="bullet"/>
      <w:pStyle w:val="TableBullet7"/>
      <w:lvlText w:val=""/>
      <w:lvlJc w:val="left"/>
      <w:pPr>
        <w:ind w:left="2520" w:hanging="360"/>
      </w:pPr>
      <w:rPr>
        <w:rFonts w:ascii="Wingdings" w:hAnsi="Wingdings" w:hint="default"/>
      </w:rPr>
    </w:lvl>
    <w:lvl w:ilvl="7">
      <w:start w:val="1"/>
      <w:numFmt w:val="bullet"/>
      <w:pStyle w:val="TableBullet8"/>
      <w:lvlText w:val=""/>
      <w:lvlJc w:val="left"/>
      <w:pPr>
        <w:ind w:left="2880" w:hanging="360"/>
      </w:pPr>
      <w:rPr>
        <w:rFonts w:ascii="Wingdings" w:hAnsi="Wingdings" w:hint="default"/>
      </w:rPr>
    </w:lvl>
    <w:lvl w:ilvl="8">
      <w:start w:val="1"/>
      <w:numFmt w:val="bullet"/>
      <w:pStyle w:val="TableBullet9"/>
      <w:lvlText w:val=""/>
      <w:lvlJc w:val="left"/>
      <w:pPr>
        <w:ind w:left="3240" w:hanging="360"/>
      </w:pPr>
      <w:rPr>
        <w:rFonts w:ascii="Wingdings" w:hAnsi="Wingdings" w:hint="default"/>
      </w:rPr>
    </w:lvl>
  </w:abstractNum>
  <w:abstractNum w:abstractNumId="5" w15:restartNumberingAfterBreak="0">
    <w:nsid w:val="0A0C329B"/>
    <w:multiLevelType w:val="multilevel"/>
    <w:tmpl w:val="90A82166"/>
    <w:lvl w:ilvl="0">
      <w:numFmt w:val="decimal"/>
      <w:pStyle w:val="TableBullet3rdLeve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E73C3E"/>
    <w:multiLevelType w:val="multilevel"/>
    <w:tmpl w:val="6C26566E"/>
    <w:styleLink w:val="Headings"/>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134" w:hanging="1134"/>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134" w:hanging="1134"/>
      </w:pPr>
      <w:rPr>
        <w:rFonts w:hint="default"/>
      </w:rPr>
    </w:lvl>
    <w:lvl w:ilvl="8">
      <w:start w:val="1"/>
      <w:numFmt w:val="decimal"/>
      <w:pStyle w:val="Heading9Fill-In"/>
      <w:lvlText w:val="%1.%2.%3.%4.%5.%6.%7.%8.%9"/>
      <w:lvlJc w:val="left"/>
      <w:pPr>
        <w:ind w:left="1134" w:hanging="1134"/>
      </w:pPr>
      <w:rPr>
        <w:rFonts w:hint="default"/>
      </w:rPr>
    </w:lvl>
  </w:abstractNum>
  <w:abstractNum w:abstractNumId="7" w15:restartNumberingAfterBreak="0">
    <w:nsid w:val="0C832BEE"/>
    <w:multiLevelType w:val="multilevel"/>
    <w:tmpl w:val="5F86F79A"/>
    <w:styleLink w:val="PhotologNumberList"/>
    <w:lvl w:ilvl="0">
      <w:start w:val="1"/>
      <w:numFmt w:val="decimal"/>
      <w:pStyle w:val="PhotologNumber"/>
      <w:suff w:val="space"/>
      <w:lvlText w:val="Photograph %1:"/>
      <w:lvlJc w:val="left"/>
      <w:pPr>
        <w:ind w:left="360" w:hanging="360"/>
      </w:pPr>
      <w:rPr>
        <w:rFonts w:asciiTheme="majorHAnsi" w:hAnsiTheme="majorHAnsi" w:hint="default"/>
        <w:b/>
        <w:i w:val="0"/>
        <w:color w:val="auto"/>
        <w:sz w:val="20"/>
      </w:rPr>
    </w:lvl>
    <w:lvl w:ilvl="1">
      <w:start w:val="1"/>
      <w:numFmt w:val="lowerLetter"/>
      <w:pStyle w:val="PhotologNumber2"/>
      <w:lvlText w:val="%2)"/>
      <w:lvlJc w:val="left"/>
      <w:pPr>
        <w:ind w:left="720" w:hanging="360"/>
      </w:pPr>
      <w:rPr>
        <w:rFonts w:hint="default"/>
      </w:rPr>
    </w:lvl>
    <w:lvl w:ilvl="2">
      <w:start w:val="1"/>
      <w:numFmt w:val="lowerRoman"/>
      <w:pStyle w:val="PhotologNumber3"/>
      <w:lvlText w:val="%3)"/>
      <w:lvlJc w:val="left"/>
      <w:pPr>
        <w:ind w:left="1080" w:hanging="360"/>
      </w:pPr>
      <w:rPr>
        <w:rFonts w:hint="default"/>
      </w:rPr>
    </w:lvl>
    <w:lvl w:ilvl="3">
      <w:start w:val="1"/>
      <w:numFmt w:val="decimal"/>
      <w:pStyle w:val="PhotologNumber4"/>
      <w:lvlText w:val="(%4)"/>
      <w:lvlJc w:val="left"/>
      <w:pPr>
        <w:ind w:left="1440" w:hanging="360"/>
      </w:pPr>
      <w:rPr>
        <w:rFonts w:hint="default"/>
      </w:rPr>
    </w:lvl>
    <w:lvl w:ilvl="4">
      <w:start w:val="1"/>
      <w:numFmt w:val="lowerLetter"/>
      <w:pStyle w:val="PhotologNumber5"/>
      <w:lvlText w:val="(%5)"/>
      <w:lvlJc w:val="left"/>
      <w:pPr>
        <w:ind w:left="1800" w:hanging="360"/>
      </w:pPr>
      <w:rPr>
        <w:rFonts w:hint="default"/>
      </w:rPr>
    </w:lvl>
    <w:lvl w:ilvl="5">
      <w:start w:val="1"/>
      <w:numFmt w:val="lowerRoman"/>
      <w:pStyle w:val="PhotologNumber6"/>
      <w:lvlText w:val="(%6)"/>
      <w:lvlJc w:val="left"/>
      <w:pPr>
        <w:ind w:left="2160" w:hanging="360"/>
      </w:pPr>
      <w:rPr>
        <w:rFonts w:hint="default"/>
      </w:rPr>
    </w:lvl>
    <w:lvl w:ilvl="6">
      <w:start w:val="1"/>
      <w:numFmt w:val="decimal"/>
      <w:pStyle w:val="PhotologNumber7"/>
      <w:lvlText w:val="%7."/>
      <w:lvlJc w:val="left"/>
      <w:pPr>
        <w:ind w:left="2520" w:hanging="360"/>
      </w:pPr>
      <w:rPr>
        <w:rFonts w:hint="default"/>
      </w:rPr>
    </w:lvl>
    <w:lvl w:ilvl="7">
      <w:start w:val="1"/>
      <w:numFmt w:val="lowerLetter"/>
      <w:pStyle w:val="PhotologNumber8"/>
      <w:lvlText w:val="%8."/>
      <w:lvlJc w:val="left"/>
      <w:pPr>
        <w:ind w:left="2880" w:hanging="360"/>
      </w:pPr>
      <w:rPr>
        <w:rFonts w:hint="default"/>
      </w:rPr>
    </w:lvl>
    <w:lvl w:ilvl="8">
      <w:start w:val="1"/>
      <w:numFmt w:val="lowerRoman"/>
      <w:pStyle w:val="PhotologNumber9"/>
      <w:lvlText w:val="%9."/>
      <w:lvlJc w:val="left"/>
      <w:pPr>
        <w:ind w:left="3240" w:hanging="360"/>
      </w:pPr>
      <w:rPr>
        <w:rFonts w:hint="default"/>
      </w:rPr>
    </w:lvl>
  </w:abstractNum>
  <w:abstractNum w:abstractNumId="8" w15:restartNumberingAfterBreak="0">
    <w:nsid w:val="0F9E46AD"/>
    <w:multiLevelType w:val="multilevel"/>
    <w:tmpl w:val="ECBEE670"/>
    <w:styleLink w:val="InstructionNumbering"/>
    <w:lvl w:ilvl="0">
      <w:start w:val="1"/>
      <w:numFmt w:val="decimal"/>
      <w:pStyle w:val="InstructionNumber"/>
      <w:lvlText w:val="%1."/>
      <w:lvlJc w:val="left"/>
      <w:pPr>
        <w:ind w:left="720" w:hanging="720"/>
      </w:pPr>
      <w:rPr>
        <w:rFonts w:hint="default"/>
      </w:rPr>
    </w:lvl>
    <w:lvl w:ilvl="1">
      <w:start w:val="1"/>
      <w:numFmt w:val="bullet"/>
      <w:pStyle w:val="InstructionBullet"/>
      <w:lvlText w:val="◦"/>
      <w:lvlJc w:val="left"/>
      <w:pPr>
        <w:ind w:left="1077" w:hanging="357"/>
      </w:pPr>
      <w:rPr>
        <w:rFonts w:ascii="Calibri" w:hAnsi="Calibri" w:cs="Times New Roman" w:hint="default"/>
        <w:color w:val="231EDC" w:themeColor="accent1"/>
      </w:rPr>
    </w:lvl>
    <w:lvl w:ilvl="2">
      <w:start w:val="1"/>
      <w:numFmt w:val="bullet"/>
      <w:pStyle w:val="InstructionBullet2"/>
      <w:lvlText w:val=""/>
      <w:lvlJc w:val="left"/>
      <w:pPr>
        <w:ind w:left="1080" w:hanging="360"/>
      </w:pPr>
      <w:rPr>
        <w:rFonts w:ascii="Wingdings" w:hAnsi="Wingdings" w:hint="default"/>
      </w:rPr>
    </w:lvl>
    <w:lvl w:ilvl="3">
      <w:start w:val="1"/>
      <w:numFmt w:val="bullet"/>
      <w:pStyle w:val="InstructionBullet3"/>
      <w:lvlText w:val=""/>
      <w:lvlJc w:val="left"/>
      <w:pPr>
        <w:ind w:left="1440" w:hanging="360"/>
      </w:pPr>
      <w:rPr>
        <w:rFonts w:ascii="Wingdings" w:hAnsi="Wingdings" w:hint="default"/>
      </w:rPr>
    </w:lvl>
    <w:lvl w:ilvl="4">
      <w:start w:val="1"/>
      <w:numFmt w:val="bullet"/>
      <w:pStyle w:val="InstructionBullet4"/>
      <w:lvlText w:val=""/>
      <w:lvlJc w:val="left"/>
      <w:pPr>
        <w:ind w:left="1800" w:hanging="360"/>
      </w:pPr>
      <w:rPr>
        <w:rFonts w:ascii="Wingdings" w:hAnsi="Wingdings" w:hint="default"/>
      </w:rPr>
    </w:lvl>
    <w:lvl w:ilvl="5">
      <w:start w:val="1"/>
      <w:numFmt w:val="bullet"/>
      <w:pStyle w:val="InstructionBullet5"/>
      <w:lvlText w:val=""/>
      <w:lvlJc w:val="left"/>
      <w:pPr>
        <w:ind w:left="2160" w:hanging="360"/>
      </w:pPr>
      <w:rPr>
        <w:rFonts w:ascii="Wingdings" w:hAnsi="Wingdings" w:hint="default"/>
      </w:rPr>
    </w:lvl>
    <w:lvl w:ilvl="6">
      <w:start w:val="1"/>
      <w:numFmt w:val="bullet"/>
      <w:pStyle w:val="InstructionBullet6"/>
      <w:lvlText w:val=""/>
      <w:lvlJc w:val="left"/>
      <w:pPr>
        <w:ind w:left="2520" w:hanging="360"/>
      </w:pPr>
      <w:rPr>
        <w:rFonts w:ascii="Wingdings" w:hAnsi="Wingdings" w:hint="default"/>
      </w:rPr>
    </w:lvl>
    <w:lvl w:ilvl="7">
      <w:start w:val="1"/>
      <w:numFmt w:val="bullet"/>
      <w:pStyle w:val="InstructionBullet7"/>
      <w:lvlText w:val=""/>
      <w:lvlJc w:val="left"/>
      <w:pPr>
        <w:ind w:left="2880" w:hanging="360"/>
      </w:pPr>
      <w:rPr>
        <w:rFonts w:ascii="Wingdings" w:hAnsi="Wingdings" w:hint="default"/>
      </w:rPr>
    </w:lvl>
    <w:lvl w:ilvl="8">
      <w:start w:val="1"/>
      <w:numFmt w:val="bullet"/>
      <w:pStyle w:val="InstructionBullet8"/>
      <w:lvlText w:val=""/>
      <w:lvlJc w:val="left"/>
      <w:pPr>
        <w:ind w:left="3240" w:hanging="360"/>
      </w:pPr>
      <w:rPr>
        <w:rFonts w:ascii="Wingdings" w:hAnsi="Wingdings" w:hint="default"/>
      </w:rPr>
    </w:lvl>
  </w:abstractNum>
  <w:abstractNum w:abstractNumId="9" w15:restartNumberingAfterBreak="0">
    <w:nsid w:val="0FB2573F"/>
    <w:multiLevelType w:val="multilevel"/>
    <w:tmpl w:val="D18EE714"/>
    <w:name w:val="TableFootnotes"/>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10" w15:restartNumberingAfterBreak="0">
    <w:nsid w:val="120164BC"/>
    <w:multiLevelType w:val="multilevel"/>
    <w:tmpl w:val="5F86F79A"/>
    <w:numStyleLink w:val="PhotologNumberList"/>
  </w:abstractNum>
  <w:abstractNum w:abstractNumId="11" w15:restartNumberingAfterBreak="0">
    <w:nsid w:val="18715252"/>
    <w:multiLevelType w:val="multilevel"/>
    <w:tmpl w:val="AD2A96D6"/>
    <w:numStyleLink w:val="SequentialNumbering"/>
  </w:abstractNum>
  <w:abstractNum w:abstractNumId="12" w15:restartNumberingAfterBreak="0">
    <w:nsid w:val="1A1B4193"/>
    <w:multiLevelType w:val="multilevel"/>
    <w:tmpl w:val="1CF68600"/>
    <w:styleLink w:val="ProjectBullets"/>
    <w:lvl w:ilvl="0">
      <w:start w:val="1"/>
      <w:numFmt w:val="bullet"/>
      <w:pStyle w:val="ProjectBullet"/>
      <w:lvlText w:val=""/>
      <w:lvlJc w:val="left"/>
      <w:pPr>
        <w:ind w:left="170" w:hanging="170"/>
      </w:pPr>
      <w:rPr>
        <w:rFonts w:ascii="Wingdings" w:hAnsi="Wingdings" w:hint="default"/>
      </w:rPr>
    </w:lvl>
    <w:lvl w:ilvl="1">
      <w:start w:val="1"/>
      <w:numFmt w:val="bullet"/>
      <w:pStyle w:val="ProjectBullet2ndLevel"/>
      <w:lvlText w:val="-"/>
      <w:lvlJc w:val="left"/>
      <w:pPr>
        <w:ind w:left="340" w:hanging="170"/>
      </w:pPr>
      <w:rPr>
        <w:rFonts w:ascii="Arial" w:hAnsi="Arial" w:cs="Times New Roman" w:hint="default"/>
      </w:rPr>
    </w:lvl>
    <w:lvl w:ilvl="2">
      <w:start w:val="1"/>
      <w:numFmt w:val="bullet"/>
      <w:pStyle w:val="ProjectBullet3"/>
      <w:lvlText w:val="-"/>
      <w:lvlJc w:val="left"/>
      <w:pPr>
        <w:ind w:left="1080" w:hanging="360"/>
      </w:pPr>
      <w:rPr>
        <w:rFonts w:ascii="Jacobs Chronos" w:hAnsi="Jacobs Chronos" w:hint="default"/>
      </w:rPr>
    </w:lvl>
    <w:lvl w:ilvl="3">
      <w:start w:val="1"/>
      <w:numFmt w:val="bullet"/>
      <w:pStyle w:val="ProjectBullet4"/>
      <w:lvlText w:val="-"/>
      <w:lvlJc w:val="left"/>
      <w:pPr>
        <w:ind w:left="1440" w:hanging="360"/>
      </w:pPr>
      <w:rPr>
        <w:rFonts w:ascii="Jacobs Chronos" w:hAnsi="Jacobs Chronos" w:hint="default"/>
      </w:rPr>
    </w:lvl>
    <w:lvl w:ilvl="4">
      <w:start w:val="1"/>
      <w:numFmt w:val="bullet"/>
      <w:pStyle w:val="ProjectBullet5"/>
      <w:lvlText w:val="-"/>
      <w:lvlJc w:val="left"/>
      <w:pPr>
        <w:ind w:left="1800" w:hanging="360"/>
      </w:pPr>
      <w:rPr>
        <w:rFonts w:ascii="Jacobs Chronos" w:hAnsi="Jacobs Chronos" w:hint="default"/>
      </w:rPr>
    </w:lvl>
    <w:lvl w:ilvl="5">
      <w:start w:val="1"/>
      <w:numFmt w:val="bullet"/>
      <w:pStyle w:val="ProjectBullet6"/>
      <w:lvlText w:val="-"/>
      <w:lvlJc w:val="left"/>
      <w:pPr>
        <w:ind w:left="2160" w:hanging="360"/>
      </w:pPr>
      <w:rPr>
        <w:rFonts w:ascii="Jacobs Chronos" w:hAnsi="Jacobs Chronos" w:hint="default"/>
      </w:rPr>
    </w:lvl>
    <w:lvl w:ilvl="6">
      <w:start w:val="1"/>
      <w:numFmt w:val="bullet"/>
      <w:pStyle w:val="ProjectBullet7"/>
      <w:lvlText w:val="-"/>
      <w:lvlJc w:val="left"/>
      <w:pPr>
        <w:ind w:left="2520" w:hanging="360"/>
      </w:pPr>
      <w:rPr>
        <w:rFonts w:ascii="Jacobs Chronos" w:hAnsi="Jacobs Chronos" w:hint="default"/>
      </w:rPr>
    </w:lvl>
    <w:lvl w:ilvl="7">
      <w:start w:val="1"/>
      <w:numFmt w:val="bullet"/>
      <w:pStyle w:val="ProjectBullet8"/>
      <w:lvlText w:val="-"/>
      <w:lvlJc w:val="left"/>
      <w:pPr>
        <w:ind w:left="2880" w:hanging="360"/>
      </w:pPr>
      <w:rPr>
        <w:rFonts w:ascii="Jacobs Chronos" w:hAnsi="Jacobs Chronos" w:hint="default"/>
      </w:rPr>
    </w:lvl>
    <w:lvl w:ilvl="8">
      <w:start w:val="1"/>
      <w:numFmt w:val="bullet"/>
      <w:pStyle w:val="ProjectBullet9"/>
      <w:lvlText w:val="-"/>
      <w:lvlJc w:val="left"/>
      <w:pPr>
        <w:ind w:left="3240" w:hanging="360"/>
      </w:pPr>
      <w:rPr>
        <w:rFonts w:ascii="Jacobs Chronos" w:hAnsi="Jacobs Chronos" w:hint="default"/>
      </w:rPr>
    </w:lvl>
  </w:abstractNum>
  <w:abstractNum w:abstractNumId="13" w15:restartNumberingAfterBreak="0">
    <w:nsid w:val="1C6634C9"/>
    <w:multiLevelType w:val="multilevel"/>
    <w:tmpl w:val="88AE1E06"/>
    <w:styleLink w:val="Bullets"/>
    <w:lvl w:ilvl="0">
      <w:start w:val="1"/>
      <w:numFmt w:val="bullet"/>
      <w:lvlText w:val=""/>
      <w:lvlJc w:val="left"/>
      <w:pPr>
        <w:ind w:left="357" w:hanging="357"/>
      </w:pPr>
      <w:rPr>
        <w:rFonts w:ascii="Wingdings" w:hAnsi="Wingdings" w:hint="default"/>
      </w:rPr>
    </w:lvl>
    <w:lvl w:ilvl="1">
      <w:start w:val="1"/>
      <w:numFmt w:val="bullet"/>
      <w:lvlText w:val="-"/>
      <w:lvlJc w:val="left"/>
      <w:pPr>
        <w:ind w:left="714" w:hanging="357"/>
      </w:pPr>
      <w:rPr>
        <w:rFonts w:ascii="Jacobs Chronos" w:hAnsi="Jacobs Chronos" w:hint="default"/>
      </w:rPr>
    </w:lvl>
    <w:lvl w:ilvl="2">
      <w:start w:val="1"/>
      <w:numFmt w:val="bullet"/>
      <w:lvlText w:val=""/>
      <w:lvlJc w:val="left"/>
      <w:pPr>
        <w:ind w:left="1077" w:hanging="363"/>
      </w:pPr>
      <w:rPr>
        <w:rFonts w:ascii="Wingdings" w:hAnsi="Wingdings" w:hint="default"/>
      </w:rPr>
    </w:lvl>
    <w:lvl w:ilvl="3">
      <w:start w:val="1"/>
      <w:numFmt w:val="bullet"/>
      <w:lvlText w:val="-"/>
      <w:lvlJc w:val="left"/>
      <w:pPr>
        <w:ind w:left="1361" w:hanging="284"/>
      </w:pPr>
      <w:rPr>
        <w:rFonts w:ascii="Jacobs Chronos" w:hAnsi="Jacobs Chronos" w:hint="default"/>
      </w:rPr>
    </w:lvl>
    <w:lvl w:ilvl="4">
      <w:start w:val="1"/>
      <w:numFmt w:val="bullet"/>
      <w:lvlText w:val=""/>
      <w:lvlJc w:val="left"/>
      <w:pPr>
        <w:ind w:left="1644" w:hanging="283"/>
      </w:pPr>
      <w:rPr>
        <w:rFonts w:ascii="Wingdings" w:hAnsi="Wingdings" w:hint="default"/>
      </w:rPr>
    </w:lvl>
    <w:lvl w:ilvl="5">
      <w:start w:val="1"/>
      <w:numFmt w:val="bullet"/>
      <w:lvlText w:val="-"/>
      <w:lvlJc w:val="left"/>
      <w:pPr>
        <w:ind w:left="1985" w:hanging="341"/>
      </w:pPr>
      <w:rPr>
        <w:rFonts w:ascii="Jacobs Chronos" w:hAnsi="Jacobs Chrono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1C91151C"/>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D591D7F"/>
    <w:multiLevelType w:val="multilevel"/>
    <w:tmpl w:val="254A0E6C"/>
    <w:styleLink w:val="CapabilityBullets"/>
    <w:lvl w:ilvl="0">
      <w:start w:val="1"/>
      <w:numFmt w:val="bullet"/>
      <w:pStyle w:val="CapabilityBullet"/>
      <w:lvlText w:val=""/>
      <w:lvlJc w:val="left"/>
      <w:pPr>
        <w:ind w:left="170" w:hanging="170"/>
      </w:pPr>
      <w:rPr>
        <w:rFonts w:ascii="Wingdings" w:hAnsi="Wingdings" w:hint="default"/>
      </w:rPr>
    </w:lvl>
    <w:lvl w:ilvl="1">
      <w:start w:val="1"/>
      <w:numFmt w:val="bullet"/>
      <w:pStyle w:val="CapabilityBullet2ndLevel"/>
      <w:lvlText w:val="-"/>
      <w:lvlJc w:val="left"/>
      <w:pPr>
        <w:ind w:left="340" w:hanging="170"/>
      </w:pPr>
      <w:rPr>
        <w:rFonts w:ascii="Arial" w:hAnsi="Arial" w:cs="Times New Roman" w:hint="default"/>
      </w:rPr>
    </w:lvl>
    <w:lvl w:ilvl="2">
      <w:start w:val="1"/>
      <w:numFmt w:val="bullet"/>
      <w:pStyle w:val="CapabilityBullet3"/>
      <w:lvlText w:val="-"/>
      <w:lvlJc w:val="left"/>
      <w:pPr>
        <w:ind w:left="1080" w:hanging="360"/>
      </w:pPr>
      <w:rPr>
        <w:rFonts w:ascii="Jacobs Chronos" w:hAnsi="Jacobs Chronos" w:hint="default"/>
      </w:rPr>
    </w:lvl>
    <w:lvl w:ilvl="3">
      <w:start w:val="1"/>
      <w:numFmt w:val="bullet"/>
      <w:pStyle w:val="CapabilityBullet4"/>
      <w:lvlText w:val="-"/>
      <w:lvlJc w:val="left"/>
      <w:pPr>
        <w:ind w:left="1440" w:hanging="360"/>
      </w:pPr>
      <w:rPr>
        <w:rFonts w:ascii="Jacobs Chronos" w:hAnsi="Jacobs Chronos" w:hint="default"/>
      </w:rPr>
    </w:lvl>
    <w:lvl w:ilvl="4">
      <w:start w:val="1"/>
      <w:numFmt w:val="bullet"/>
      <w:pStyle w:val="CapabilityBullet5"/>
      <w:lvlText w:val="-"/>
      <w:lvlJc w:val="left"/>
      <w:pPr>
        <w:ind w:left="1800" w:hanging="360"/>
      </w:pPr>
      <w:rPr>
        <w:rFonts w:ascii="Jacobs Chronos" w:hAnsi="Jacobs Chronos" w:hint="default"/>
      </w:rPr>
    </w:lvl>
    <w:lvl w:ilvl="5">
      <w:start w:val="1"/>
      <w:numFmt w:val="bullet"/>
      <w:pStyle w:val="CapabilityBullet6"/>
      <w:lvlText w:val="-"/>
      <w:lvlJc w:val="left"/>
      <w:pPr>
        <w:ind w:left="2160" w:hanging="360"/>
      </w:pPr>
      <w:rPr>
        <w:rFonts w:ascii="Jacobs Chronos" w:hAnsi="Jacobs Chronos" w:hint="default"/>
      </w:rPr>
    </w:lvl>
    <w:lvl w:ilvl="6">
      <w:start w:val="1"/>
      <w:numFmt w:val="bullet"/>
      <w:pStyle w:val="CapabilityBullet7"/>
      <w:lvlText w:val="-"/>
      <w:lvlJc w:val="left"/>
      <w:pPr>
        <w:ind w:left="2520" w:hanging="360"/>
      </w:pPr>
      <w:rPr>
        <w:rFonts w:ascii="Jacobs Chronos" w:hAnsi="Jacobs Chronos" w:hint="default"/>
      </w:rPr>
    </w:lvl>
    <w:lvl w:ilvl="7">
      <w:start w:val="1"/>
      <w:numFmt w:val="bullet"/>
      <w:pStyle w:val="CapabilityBullet8"/>
      <w:lvlText w:val="-"/>
      <w:lvlJc w:val="left"/>
      <w:pPr>
        <w:ind w:left="2880" w:hanging="360"/>
      </w:pPr>
      <w:rPr>
        <w:rFonts w:ascii="Jacobs Chronos" w:hAnsi="Jacobs Chronos" w:hint="default"/>
      </w:rPr>
    </w:lvl>
    <w:lvl w:ilvl="8">
      <w:start w:val="1"/>
      <w:numFmt w:val="bullet"/>
      <w:pStyle w:val="CapabilityBullet9"/>
      <w:lvlText w:val="-"/>
      <w:lvlJc w:val="left"/>
      <w:pPr>
        <w:ind w:left="3240" w:hanging="360"/>
      </w:pPr>
      <w:rPr>
        <w:rFonts w:ascii="Jacobs Chronos" w:hAnsi="Jacobs Chronos" w:hint="default"/>
      </w:rPr>
    </w:lvl>
  </w:abstractNum>
  <w:abstractNum w:abstractNumId="16" w15:restartNumberingAfterBreak="0">
    <w:nsid w:val="1DBE2BFD"/>
    <w:multiLevelType w:val="multilevel"/>
    <w:tmpl w:val="CF5A662E"/>
    <w:styleLink w:val="TableNumbers"/>
    <w:lvl w:ilvl="0">
      <w:start w:val="1"/>
      <w:numFmt w:val="decimal"/>
      <w:pStyle w:val="TableNumber"/>
      <w:lvlText w:val="%1."/>
      <w:lvlJc w:val="left"/>
      <w:pPr>
        <w:ind w:left="284" w:hanging="284"/>
      </w:pPr>
      <w:rPr>
        <w:rFonts w:hint="default"/>
      </w:rPr>
    </w:lvl>
    <w:lvl w:ilvl="1">
      <w:start w:val="1"/>
      <w:numFmt w:val="lowerLetter"/>
      <w:pStyle w:val="TableNumber2"/>
      <w:lvlText w:val="%2."/>
      <w:lvlJc w:val="left"/>
      <w:pPr>
        <w:ind w:left="567" w:hanging="283"/>
      </w:pPr>
      <w:rPr>
        <w:rFonts w:hint="default"/>
      </w:rPr>
    </w:lvl>
    <w:lvl w:ilvl="2">
      <w:start w:val="1"/>
      <w:numFmt w:val="lowerRoman"/>
      <w:pStyle w:val="TableNumber3"/>
      <w:lvlText w:val="%3."/>
      <w:lvlJc w:val="left"/>
      <w:pPr>
        <w:tabs>
          <w:tab w:val="num" w:pos="567"/>
        </w:tabs>
        <w:ind w:left="851" w:hanging="284"/>
      </w:pPr>
      <w:rPr>
        <w:rFonts w:hint="default"/>
      </w:rPr>
    </w:lvl>
    <w:lvl w:ilvl="3">
      <w:start w:val="1"/>
      <w:numFmt w:val="decimal"/>
      <w:pStyle w:val="TableNumber4"/>
      <w:lvlText w:val="(%4)"/>
      <w:lvlJc w:val="left"/>
      <w:pPr>
        <w:ind w:left="1440" w:hanging="360"/>
      </w:pPr>
      <w:rPr>
        <w:rFonts w:hint="default"/>
      </w:rPr>
    </w:lvl>
    <w:lvl w:ilvl="4">
      <w:start w:val="1"/>
      <w:numFmt w:val="lowerLetter"/>
      <w:pStyle w:val="TableNumber5"/>
      <w:lvlText w:val="(%5)"/>
      <w:lvlJc w:val="left"/>
      <w:pPr>
        <w:ind w:left="1800" w:hanging="360"/>
      </w:pPr>
      <w:rPr>
        <w:rFonts w:hint="default"/>
      </w:rPr>
    </w:lvl>
    <w:lvl w:ilvl="5">
      <w:start w:val="1"/>
      <w:numFmt w:val="lowerRoman"/>
      <w:pStyle w:val="TableNumber6"/>
      <w:lvlText w:val="(%6)"/>
      <w:lvlJc w:val="left"/>
      <w:pPr>
        <w:ind w:left="2160" w:hanging="360"/>
      </w:pPr>
      <w:rPr>
        <w:rFonts w:hint="default"/>
      </w:rPr>
    </w:lvl>
    <w:lvl w:ilvl="6">
      <w:start w:val="1"/>
      <w:numFmt w:val="decimal"/>
      <w:pStyle w:val="TableNumber7"/>
      <w:lvlText w:val="%7."/>
      <w:lvlJc w:val="left"/>
      <w:pPr>
        <w:ind w:left="2520" w:hanging="360"/>
      </w:pPr>
      <w:rPr>
        <w:rFonts w:hint="default"/>
      </w:rPr>
    </w:lvl>
    <w:lvl w:ilvl="7">
      <w:start w:val="1"/>
      <w:numFmt w:val="lowerLetter"/>
      <w:pStyle w:val="TableNumber8"/>
      <w:lvlText w:val="%8."/>
      <w:lvlJc w:val="left"/>
      <w:pPr>
        <w:ind w:left="2880" w:hanging="360"/>
      </w:pPr>
      <w:rPr>
        <w:rFonts w:hint="default"/>
      </w:rPr>
    </w:lvl>
    <w:lvl w:ilvl="8">
      <w:start w:val="1"/>
      <w:numFmt w:val="lowerRoman"/>
      <w:pStyle w:val="TableNumber9"/>
      <w:lvlText w:val="%9."/>
      <w:lvlJc w:val="left"/>
      <w:pPr>
        <w:ind w:left="3240" w:hanging="360"/>
      </w:pPr>
      <w:rPr>
        <w:rFonts w:hint="default"/>
      </w:rPr>
    </w:lvl>
  </w:abstractNum>
  <w:abstractNum w:abstractNumId="17" w15:restartNumberingAfterBreak="0">
    <w:nsid w:val="229563D1"/>
    <w:multiLevelType w:val="hybridMultilevel"/>
    <w:tmpl w:val="4AE4848A"/>
    <w:lvl w:ilvl="0" w:tplc="51244778">
      <w:start w:val="1"/>
      <w:numFmt w:val="bullet"/>
      <w:pStyle w:val="TableDash2ndLevel"/>
      <w:lvlText w:val="-"/>
      <w:lvlJc w:val="left"/>
      <w:pPr>
        <w:ind w:left="720" w:hanging="360"/>
      </w:pPr>
      <w:rPr>
        <w:rFonts w:ascii="Jacobs Chronos" w:hAnsi="Jacobs Chronos" w:hint="default"/>
        <w14:numSpacing w14:val="tabula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7E099E"/>
    <w:multiLevelType w:val="hybridMultilevel"/>
    <w:tmpl w:val="5E14ABB4"/>
    <w:lvl w:ilvl="0" w:tplc="C8BED02A">
      <w:start w:val="1"/>
      <w:numFmt w:val="bullet"/>
      <w:pStyle w:val="Tablet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D7113F"/>
    <w:multiLevelType w:val="hybridMultilevel"/>
    <w:tmpl w:val="B18AA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90A7D9B"/>
    <w:multiLevelType w:val="multilevel"/>
    <w:tmpl w:val="FD3EDA9E"/>
    <w:numStyleLink w:val="CVResumeBullets"/>
  </w:abstractNum>
  <w:abstractNum w:abstractNumId="21" w15:restartNumberingAfterBreak="0">
    <w:nsid w:val="39472479"/>
    <w:multiLevelType w:val="multilevel"/>
    <w:tmpl w:val="1CF68600"/>
    <w:numStyleLink w:val="ProjectBullets"/>
  </w:abstractNum>
  <w:abstractNum w:abstractNumId="22" w15:restartNumberingAfterBreak="0">
    <w:nsid w:val="3A771FCC"/>
    <w:multiLevelType w:val="hybridMultilevel"/>
    <w:tmpl w:val="565A4C1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3" w15:restartNumberingAfterBreak="0">
    <w:nsid w:val="3B254C16"/>
    <w:multiLevelType w:val="multilevel"/>
    <w:tmpl w:val="1ACC8A0C"/>
    <w:numStyleLink w:val="TableBullets"/>
  </w:abstractNum>
  <w:abstractNum w:abstractNumId="24" w15:restartNumberingAfterBreak="0">
    <w:nsid w:val="3B6B2C77"/>
    <w:multiLevelType w:val="multilevel"/>
    <w:tmpl w:val="ECBEE670"/>
    <w:numStyleLink w:val="InstructionNumbering"/>
  </w:abstractNum>
  <w:abstractNum w:abstractNumId="25" w15:restartNumberingAfterBreak="0">
    <w:nsid w:val="3FBB373E"/>
    <w:multiLevelType w:val="multilevel"/>
    <w:tmpl w:val="CF5A662E"/>
    <w:numStyleLink w:val="TableNumbers"/>
  </w:abstractNum>
  <w:abstractNum w:abstractNumId="26" w15:restartNumberingAfterBreak="0">
    <w:nsid w:val="411177AA"/>
    <w:multiLevelType w:val="hybridMultilevel"/>
    <w:tmpl w:val="01149922"/>
    <w:lvl w:ilvl="0" w:tplc="52CE23AC">
      <w:start w:val="1"/>
      <w:numFmt w:val="bullet"/>
      <w:pStyle w:val="TableBullet2ndLevel"/>
      <w:lvlText w:val="-"/>
      <w:lvlJc w:val="left"/>
      <w:pPr>
        <w:ind w:left="720" w:hanging="360"/>
      </w:pPr>
      <w:rPr>
        <w:rFonts w:ascii="Jacobs Chronos" w:hAnsi="Jacobs Chronos" w:hint="default"/>
        <w14:numSpacing w14:val="tabula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DC6271"/>
    <w:multiLevelType w:val="hybridMultilevel"/>
    <w:tmpl w:val="D9B8EBB2"/>
    <w:lvl w:ilvl="0" w:tplc="FFFFFFFF">
      <w:start w:val="1"/>
      <w:numFmt w:val="bullet"/>
      <w:lvlText w:val="•"/>
      <w:lvlJc w:val="left"/>
      <w:pPr>
        <w:ind w:left="360" w:hanging="360"/>
      </w:pPr>
      <w:rPr>
        <w:rFonts w:ascii="Jacobs Chronos Cd" w:hAnsi="Jacobs Chronos C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1151F7"/>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9FC0CAB"/>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B9F6792"/>
    <w:multiLevelType w:val="hybridMultilevel"/>
    <w:tmpl w:val="8046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1B6FA8"/>
    <w:multiLevelType w:val="hybridMultilevel"/>
    <w:tmpl w:val="43A0AD4C"/>
    <w:lvl w:ilvl="0" w:tplc="311C4F40">
      <w:numFmt w:val="bullet"/>
      <w:lvlText w:val="•"/>
      <w:lvlJc w:val="left"/>
      <w:pPr>
        <w:ind w:left="360" w:hanging="360"/>
      </w:pPr>
      <w:rPr>
        <w:rFonts w:ascii="Jacobs Chronos Cd" w:eastAsiaTheme="minorEastAsia" w:hAnsi="Jacobs Chronos Cd" w:cs="Jacobs Chronos Cd"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501A28AE"/>
    <w:multiLevelType w:val="hybridMultilevel"/>
    <w:tmpl w:val="8F646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7C6598"/>
    <w:multiLevelType w:val="hybridMultilevel"/>
    <w:tmpl w:val="AA225D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5265100"/>
    <w:multiLevelType w:val="multilevel"/>
    <w:tmpl w:val="AD2A96D6"/>
    <w:styleLink w:val="SequentialNumbering"/>
    <w:lvl w:ilvl="0">
      <w:start w:val="1"/>
      <w:numFmt w:val="decimal"/>
      <w:pStyle w:val="Sequential"/>
      <w:lvlText w:val="%1."/>
      <w:lvlJc w:val="left"/>
      <w:pPr>
        <w:ind w:left="1134" w:hanging="1134"/>
      </w:pPr>
      <w:rPr>
        <w:rFonts w:hint="default"/>
      </w:rPr>
    </w:lvl>
    <w:lvl w:ilvl="1">
      <w:start w:val="1"/>
      <w:numFmt w:val="decimal"/>
      <w:pStyle w:val="Sequential2"/>
      <w:lvlText w:val="%1.%2"/>
      <w:lvlJc w:val="left"/>
      <w:pPr>
        <w:ind w:left="1134" w:hanging="1134"/>
      </w:pPr>
      <w:rPr>
        <w:rFonts w:hint="default"/>
      </w:rPr>
    </w:lvl>
    <w:lvl w:ilvl="2">
      <w:start w:val="1"/>
      <w:numFmt w:val="decimal"/>
      <w:pStyle w:val="Sequential3"/>
      <w:lvlText w:val="%1.%2.%3"/>
      <w:lvlJc w:val="left"/>
      <w:pPr>
        <w:ind w:left="1134" w:hanging="1134"/>
      </w:pPr>
      <w:rPr>
        <w:rFonts w:hint="default"/>
      </w:rPr>
    </w:lvl>
    <w:lvl w:ilvl="3">
      <w:start w:val="1"/>
      <w:numFmt w:val="decimal"/>
      <w:pStyle w:val="Sequential4"/>
      <w:lvlText w:val="%1.%2.%3.%4"/>
      <w:lvlJc w:val="left"/>
      <w:pPr>
        <w:ind w:left="1134" w:hanging="1134"/>
      </w:pPr>
      <w:rPr>
        <w:rFonts w:hint="default"/>
      </w:rPr>
    </w:lvl>
    <w:lvl w:ilvl="4">
      <w:start w:val="1"/>
      <w:numFmt w:val="decimal"/>
      <w:pStyle w:val="Sequential5"/>
      <w:lvlText w:val="%1.%2.%3.%4.%5"/>
      <w:lvlJc w:val="left"/>
      <w:pPr>
        <w:ind w:left="1134" w:hanging="1134"/>
      </w:pPr>
      <w:rPr>
        <w:rFonts w:hint="default"/>
      </w:rPr>
    </w:lvl>
    <w:lvl w:ilvl="5">
      <w:start w:val="1"/>
      <w:numFmt w:val="decimal"/>
      <w:pStyle w:val="Sequential6"/>
      <w:lvlText w:val="%1.%2.%3.%4.%5.%6"/>
      <w:lvlJc w:val="left"/>
      <w:pPr>
        <w:ind w:left="1134" w:hanging="1134"/>
      </w:pPr>
      <w:rPr>
        <w:rFonts w:hint="default"/>
      </w:rPr>
    </w:lvl>
    <w:lvl w:ilvl="6">
      <w:start w:val="1"/>
      <w:numFmt w:val="decimal"/>
      <w:pStyle w:val="Sequential7"/>
      <w:lvlText w:val="%1.%2.%3.%4.%5.%6.%7"/>
      <w:lvlJc w:val="left"/>
      <w:pPr>
        <w:ind w:left="1134" w:hanging="1134"/>
      </w:pPr>
      <w:rPr>
        <w:rFonts w:hint="default"/>
      </w:rPr>
    </w:lvl>
    <w:lvl w:ilvl="7">
      <w:start w:val="1"/>
      <w:numFmt w:val="decimal"/>
      <w:pStyle w:val="Sequential8"/>
      <w:lvlText w:val="%1.%2.%3.%4.%5.%6.%7.%8"/>
      <w:lvlJc w:val="left"/>
      <w:pPr>
        <w:ind w:left="1134" w:hanging="1134"/>
      </w:pPr>
      <w:rPr>
        <w:rFonts w:hint="default"/>
      </w:rPr>
    </w:lvl>
    <w:lvl w:ilvl="8">
      <w:start w:val="1"/>
      <w:numFmt w:val="decimal"/>
      <w:pStyle w:val="Sequential9"/>
      <w:lvlText w:val="%1.%2.%3.%4.%5.%6.%7.%8.%9"/>
      <w:lvlJc w:val="left"/>
      <w:pPr>
        <w:ind w:left="1134" w:hanging="1134"/>
      </w:pPr>
      <w:rPr>
        <w:rFonts w:hint="default"/>
      </w:rPr>
    </w:lvl>
  </w:abstractNum>
  <w:abstractNum w:abstractNumId="35" w15:restartNumberingAfterBreak="0">
    <w:nsid w:val="58A50D15"/>
    <w:multiLevelType w:val="hybridMultilevel"/>
    <w:tmpl w:val="146260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AC33ABF"/>
    <w:multiLevelType w:val="hybridMultilevel"/>
    <w:tmpl w:val="F6967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FC4611"/>
    <w:multiLevelType w:val="hybridMultilevel"/>
    <w:tmpl w:val="9CC6F6E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8" w15:restartNumberingAfterBreak="0">
    <w:nsid w:val="5D0E370E"/>
    <w:multiLevelType w:val="multilevel"/>
    <w:tmpl w:val="0A6406FE"/>
    <w:styleLink w:val="BodyTextNumbering"/>
    <w:lvl w:ilvl="0">
      <w:start w:val="1"/>
      <w:numFmt w:val="decimal"/>
      <w:pStyle w:val="BodyText1Number"/>
      <w:lvlText w:val="%1."/>
      <w:lvlJc w:val="left"/>
      <w:pPr>
        <w:ind w:left="360" w:hanging="360"/>
      </w:pPr>
      <w:rPr>
        <w:rFonts w:hint="default"/>
      </w:rPr>
    </w:lvl>
    <w:lvl w:ilvl="1">
      <w:start w:val="1"/>
      <w:numFmt w:val="lowerLetter"/>
      <w:pStyle w:val="BodyText2Letter"/>
      <w:lvlText w:val="%2."/>
      <w:lvlJc w:val="left"/>
      <w:pPr>
        <w:ind w:left="720" w:hanging="360"/>
      </w:pPr>
      <w:rPr>
        <w:rFonts w:hint="default"/>
      </w:rPr>
    </w:lvl>
    <w:lvl w:ilvl="2">
      <w:start w:val="1"/>
      <w:numFmt w:val="lowerRoman"/>
      <w:pStyle w:val="BodyText3Roman"/>
      <w:lvlText w:val="%3."/>
      <w:lvlJc w:val="left"/>
      <w:pPr>
        <w:ind w:left="1072" w:hanging="358"/>
      </w:pPr>
      <w:rPr>
        <w:rFonts w:hint="default"/>
      </w:rPr>
    </w:lvl>
    <w:lvl w:ilvl="3">
      <w:start w:val="1"/>
      <w:numFmt w:val="decimal"/>
      <w:pStyle w:val="BodyText4Number"/>
      <w:lvlText w:val="%4)"/>
      <w:lvlJc w:val="left"/>
      <w:pPr>
        <w:ind w:left="1429" w:hanging="357"/>
      </w:pPr>
      <w:rPr>
        <w:rFonts w:hint="default"/>
      </w:rPr>
    </w:lvl>
    <w:lvl w:ilvl="4">
      <w:start w:val="1"/>
      <w:numFmt w:val="lowerLetter"/>
      <w:pStyle w:val="BodyText5Number"/>
      <w:lvlText w:val="(%5)"/>
      <w:lvlJc w:val="left"/>
      <w:pPr>
        <w:ind w:left="1800" w:hanging="360"/>
      </w:pPr>
      <w:rPr>
        <w:rFonts w:hint="default"/>
      </w:rPr>
    </w:lvl>
    <w:lvl w:ilvl="5">
      <w:start w:val="1"/>
      <w:numFmt w:val="lowerRoman"/>
      <w:pStyle w:val="BodyText6Number"/>
      <w:lvlText w:val="(%6)"/>
      <w:lvlJc w:val="left"/>
      <w:pPr>
        <w:ind w:left="2160" w:hanging="360"/>
      </w:pPr>
      <w:rPr>
        <w:rFonts w:hint="default"/>
      </w:rPr>
    </w:lvl>
    <w:lvl w:ilvl="6">
      <w:start w:val="1"/>
      <w:numFmt w:val="decimal"/>
      <w:pStyle w:val="BodyText7Number"/>
      <w:lvlText w:val="%7."/>
      <w:lvlJc w:val="left"/>
      <w:pPr>
        <w:ind w:left="2520" w:hanging="360"/>
      </w:pPr>
      <w:rPr>
        <w:rFonts w:hint="default"/>
      </w:rPr>
    </w:lvl>
    <w:lvl w:ilvl="7">
      <w:start w:val="1"/>
      <w:numFmt w:val="lowerLetter"/>
      <w:pStyle w:val="BodyText8Number"/>
      <w:lvlText w:val="%8."/>
      <w:lvlJc w:val="left"/>
      <w:pPr>
        <w:ind w:left="2880" w:hanging="360"/>
      </w:pPr>
      <w:rPr>
        <w:rFonts w:hint="default"/>
      </w:rPr>
    </w:lvl>
    <w:lvl w:ilvl="8">
      <w:start w:val="1"/>
      <w:numFmt w:val="lowerRoman"/>
      <w:pStyle w:val="BodyText9Number"/>
      <w:lvlText w:val="%9."/>
      <w:lvlJc w:val="left"/>
      <w:pPr>
        <w:ind w:left="3240" w:hanging="360"/>
      </w:pPr>
      <w:rPr>
        <w:rFonts w:hint="default"/>
      </w:rPr>
    </w:lvl>
  </w:abstractNum>
  <w:abstractNum w:abstractNumId="39" w15:restartNumberingAfterBreak="0">
    <w:nsid w:val="5D5835F4"/>
    <w:multiLevelType w:val="multilevel"/>
    <w:tmpl w:val="FD3EDA9E"/>
    <w:styleLink w:val="CVResumeBullets"/>
    <w:lvl w:ilvl="0">
      <w:start w:val="1"/>
      <w:numFmt w:val="bullet"/>
      <w:pStyle w:val="CVResumeBullet"/>
      <w:lvlText w:val=""/>
      <w:lvlJc w:val="left"/>
      <w:pPr>
        <w:ind w:left="170" w:hanging="170"/>
      </w:pPr>
      <w:rPr>
        <w:rFonts w:ascii="Wingdings" w:hAnsi="Wingdings" w:hint="default"/>
        <w:color w:val="auto"/>
        <w:sz w:val="12"/>
      </w:rPr>
    </w:lvl>
    <w:lvl w:ilvl="1">
      <w:start w:val="1"/>
      <w:numFmt w:val="bullet"/>
      <w:lvlRestart w:val="0"/>
      <w:pStyle w:val="CVResumeBullet2ndLevel"/>
      <w:lvlText w:val="-"/>
      <w:lvlJc w:val="left"/>
      <w:pPr>
        <w:ind w:left="340" w:hanging="170"/>
      </w:pPr>
      <w:rPr>
        <w:rFonts w:ascii="Jacobs Chronos" w:hAnsi="Jacobs Chronos" w:hint="default"/>
        <w:color w:val="auto"/>
      </w:rPr>
    </w:lvl>
    <w:lvl w:ilvl="2">
      <w:numFmt w:val="none"/>
      <w:lvlRestart w:val="0"/>
      <w:pStyle w:val="CVResumeBullet3"/>
      <w:lvlText w:val=""/>
      <w:lvlJc w:val="left"/>
      <w:pPr>
        <w:ind w:left="510" w:hanging="170"/>
      </w:pPr>
      <w:rPr>
        <w:rFonts w:hint="default"/>
      </w:rPr>
    </w:lvl>
    <w:lvl w:ilvl="3">
      <w:numFmt w:val="none"/>
      <w:lvlRestart w:val="0"/>
      <w:pStyle w:val="CVResumeBullet4"/>
      <w:lvlText w:val=""/>
      <w:lvlJc w:val="left"/>
      <w:pPr>
        <w:ind w:left="680" w:hanging="170"/>
      </w:pPr>
      <w:rPr>
        <w:rFonts w:hint="default"/>
      </w:rPr>
    </w:lvl>
    <w:lvl w:ilvl="4">
      <w:numFmt w:val="none"/>
      <w:lvlRestart w:val="0"/>
      <w:pStyle w:val="CVResumeBullet5"/>
      <w:lvlText w:val=""/>
      <w:lvlJc w:val="left"/>
      <w:pPr>
        <w:ind w:left="851" w:hanging="171"/>
      </w:pPr>
      <w:rPr>
        <w:rFonts w:hint="default"/>
      </w:rPr>
    </w:lvl>
    <w:lvl w:ilvl="5">
      <w:numFmt w:val="none"/>
      <w:lvlRestart w:val="0"/>
      <w:pStyle w:val="CVResumeBullet6"/>
      <w:lvlText w:val=""/>
      <w:lvlJc w:val="left"/>
      <w:pPr>
        <w:ind w:left="1021" w:hanging="170"/>
      </w:pPr>
      <w:rPr>
        <w:rFonts w:hint="default"/>
      </w:rPr>
    </w:lvl>
    <w:lvl w:ilvl="6">
      <w:numFmt w:val="none"/>
      <w:lvlRestart w:val="0"/>
      <w:pStyle w:val="CVResumeBullet7"/>
      <w:lvlText w:val=""/>
      <w:lvlJc w:val="left"/>
      <w:pPr>
        <w:ind w:left="1191" w:hanging="170"/>
      </w:pPr>
      <w:rPr>
        <w:rFonts w:hint="default"/>
      </w:rPr>
    </w:lvl>
    <w:lvl w:ilvl="7">
      <w:numFmt w:val="none"/>
      <w:lvlRestart w:val="0"/>
      <w:pStyle w:val="CVResumeBullet8"/>
      <w:lvlText w:val=""/>
      <w:lvlJc w:val="left"/>
      <w:pPr>
        <w:ind w:left="1361" w:hanging="170"/>
      </w:pPr>
      <w:rPr>
        <w:rFonts w:hint="default"/>
      </w:rPr>
    </w:lvl>
    <w:lvl w:ilvl="8">
      <w:numFmt w:val="none"/>
      <w:lvlRestart w:val="0"/>
      <w:pStyle w:val="CVResumeBullet9"/>
      <w:lvlText w:val=""/>
      <w:lvlJc w:val="left"/>
      <w:pPr>
        <w:ind w:left="1531" w:hanging="170"/>
      </w:pPr>
      <w:rPr>
        <w:rFonts w:hint="default"/>
      </w:rPr>
    </w:lvl>
  </w:abstractNum>
  <w:abstractNum w:abstractNumId="40" w15:restartNumberingAfterBreak="0">
    <w:nsid w:val="5D8914B7"/>
    <w:multiLevelType w:val="multilevel"/>
    <w:tmpl w:val="88AE1E06"/>
    <w:lvl w:ilvl="0">
      <w:start w:val="1"/>
      <w:numFmt w:val="bullet"/>
      <w:pStyle w:val="BulletLevel1"/>
      <w:lvlText w:val=""/>
      <w:lvlJc w:val="left"/>
      <w:pPr>
        <w:ind w:left="357" w:hanging="357"/>
      </w:pPr>
      <w:rPr>
        <w:rFonts w:ascii="Wingdings" w:hAnsi="Wingdings" w:hint="default"/>
      </w:rPr>
    </w:lvl>
    <w:lvl w:ilvl="1">
      <w:start w:val="1"/>
      <w:numFmt w:val="bullet"/>
      <w:pStyle w:val="BulletLevel2"/>
      <w:lvlText w:val="-"/>
      <w:lvlJc w:val="left"/>
      <w:pPr>
        <w:ind w:left="714" w:hanging="357"/>
      </w:pPr>
      <w:rPr>
        <w:rFonts w:ascii="Jacobs Chronos" w:hAnsi="Jacobs Chronos" w:hint="default"/>
      </w:rPr>
    </w:lvl>
    <w:lvl w:ilvl="2">
      <w:start w:val="1"/>
      <w:numFmt w:val="bullet"/>
      <w:pStyle w:val="BulletLevel3"/>
      <w:lvlText w:val=""/>
      <w:lvlJc w:val="left"/>
      <w:pPr>
        <w:ind w:left="1077" w:hanging="363"/>
      </w:pPr>
      <w:rPr>
        <w:rFonts w:ascii="Wingdings" w:hAnsi="Wingdings" w:hint="default"/>
      </w:rPr>
    </w:lvl>
    <w:lvl w:ilvl="3">
      <w:start w:val="1"/>
      <w:numFmt w:val="bullet"/>
      <w:pStyle w:val="BulletLevel4"/>
      <w:lvlText w:val="-"/>
      <w:lvlJc w:val="left"/>
      <w:pPr>
        <w:ind w:left="1361" w:hanging="284"/>
      </w:pPr>
      <w:rPr>
        <w:rFonts w:ascii="Jacobs Chronos" w:hAnsi="Jacobs Chronos" w:hint="default"/>
      </w:rPr>
    </w:lvl>
    <w:lvl w:ilvl="4">
      <w:start w:val="1"/>
      <w:numFmt w:val="bullet"/>
      <w:pStyle w:val="BulletLevel5"/>
      <w:lvlText w:val=""/>
      <w:lvlJc w:val="left"/>
      <w:pPr>
        <w:ind w:left="1644" w:hanging="283"/>
      </w:pPr>
      <w:rPr>
        <w:rFonts w:ascii="Wingdings" w:hAnsi="Wingdings" w:hint="default"/>
      </w:rPr>
    </w:lvl>
    <w:lvl w:ilvl="5">
      <w:start w:val="1"/>
      <w:numFmt w:val="bullet"/>
      <w:pStyle w:val="BulletLevel6"/>
      <w:lvlText w:val="-"/>
      <w:lvlJc w:val="left"/>
      <w:pPr>
        <w:ind w:left="1985" w:hanging="341"/>
      </w:pPr>
      <w:rPr>
        <w:rFonts w:ascii="Jacobs Chronos" w:hAnsi="Jacobs Chronos" w:hint="default"/>
      </w:rPr>
    </w:lvl>
    <w:lvl w:ilvl="6">
      <w:start w:val="1"/>
      <w:numFmt w:val="bullet"/>
      <w:pStyle w:val="BulletLevel7"/>
      <w:lvlText w:val=""/>
      <w:lvlJc w:val="left"/>
      <w:pPr>
        <w:ind w:left="2520" w:hanging="360"/>
      </w:pPr>
      <w:rPr>
        <w:rFonts w:ascii="Wingdings" w:hAnsi="Wingdings" w:hint="default"/>
      </w:rPr>
    </w:lvl>
    <w:lvl w:ilvl="7">
      <w:start w:val="1"/>
      <w:numFmt w:val="bullet"/>
      <w:pStyle w:val="BulletLevel8"/>
      <w:lvlText w:val=""/>
      <w:lvlJc w:val="left"/>
      <w:pPr>
        <w:ind w:left="2880" w:hanging="360"/>
      </w:pPr>
      <w:rPr>
        <w:rFonts w:ascii="Wingdings" w:hAnsi="Wingdings" w:hint="default"/>
      </w:rPr>
    </w:lvl>
    <w:lvl w:ilvl="8">
      <w:start w:val="1"/>
      <w:numFmt w:val="bullet"/>
      <w:pStyle w:val="BulletLevel9"/>
      <w:lvlText w:val=""/>
      <w:lvlJc w:val="left"/>
      <w:pPr>
        <w:ind w:left="3240" w:hanging="360"/>
      </w:pPr>
      <w:rPr>
        <w:rFonts w:ascii="Wingdings" w:hAnsi="Wingdings" w:hint="default"/>
      </w:rPr>
    </w:lvl>
  </w:abstractNum>
  <w:abstractNum w:abstractNumId="41" w15:restartNumberingAfterBreak="0">
    <w:nsid w:val="5EE42DF4"/>
    <w:multiLevelType w:val="hybridMultilevel"/>
    <w:tmpl w:val="A0F0A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7B76AD"/>
    <w:multiLevelType w:val="multilevel"/>
    <w:tmpl w:val="6C26566E"/>
    <w:numStyleLink w:val="Headings"/>
  </w:abstractNum>
  <w:abstractNum w:abstractNumId="43" w15:restartNumberingAfterBreak="0">
    <w:nsid w:val="63C83EFD"/>
    <w:multiLevelType w:val="hybridMultilevel"/>
    <w:tmpl w:val="4BDED2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42119CC"/>
    <w:multiLevelType w:val="multilevel"/>
    <w:tmpl w:val="7AF82392"/>
    <w:numStyleLink w:val="AppendixHeadings"/>
  </w:abstractNum>
  <w:abstractNum w:abstractNumId="45" w15:restartNumberingAfterBreak="0">
    <w:nsid w:val="64AA251F"/>
    <w:multiLevelType w:val="hybridMultilevel"/>
    <w:tmpl w:val="BDBA40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A29048E"/>
    <w:multiLevelType w:val="hybridMultilevel"/>
    <w:tmpl w:val="C7548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3179E5"/>
    <w:multiLevelType w:val="hybridMultilevel"/>
    <w:tmpl w:val="340E6D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E080259"/>
    <w:multiLevelType w:val="multilevel"/>
    <w:tmpl w:val="254A0E6C"/>
    <w:numStyleLink w:val="CapabilityBullets"/>
  </w:abstractNum>
  <w:abstractNum w:abstractNumId="49" w15:restartNumberingAfterBreak="0">
    <w:nsid w:val="730A237C"/>
    <w:multiLevelType w:val="multilevel"/>
    <w:tmpl w:val="90A82166"/>
    <w:lvl w:ilvl="0">
      <w:numFmt w:val="decimal"/>
      <w:pStyle w:val="TableText1Number"/>
      <w:lvlText w:val=""/>
      <w:lvlJc w:val="left"/>
    </w:lvl>
    <w:lvl w:ilvl="1">
      <w:numFmt w:val="decimal"/>
      <w:pStyle w:val="TableText2Letter"/>
      <w:lvlText w:val=""/>
      <w:lvlJc w:val="left"/>
    </w:lvl>
    <w:lvl w:ilvl="2">
      <w:numFmt w:val="decimal"/>
      <w:pStyle w:val="TableText3Roman"/>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3362DA1"/>
    <w:multiLevelType w:val="hybridMultilevel"/>
    <w:tmpl w:val="A4EC6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A47449"/>
    <w:multiLevelType w:val="hybridMultilevel"/>
    <w:tmpl w:val="AA90F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320103"/>
    <w:multiLevelType w:val="hybridMultilevel"/>
    <w:tmpl w:val="753C1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8581940"/>
    <w:multiLevelType w:val="hybridMultilevel"/>
    <w:tmpl w:val="B61E3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D455B9"/>
    <w:multiLevelType w:val="multilevel"/>
    <w:tmpl w:val="7AF82392"/>
    <w:styleLink w:val="AppendixHeadings"/>
    <w:lvl w:ilvl="0">
      <w:start w:val="1"/>
      <w:numFmt w:val="upperLetter"/>
      <w:pStyle w:val="Heading9"/>
      <w:suff w:val="space"/>
      <w:lvlText w:val="Appendix %1."/>
      <w:lvlJc w:val="left"/>
      <w:pPr>
        <w:ind w:left="1985" w:hanging="1985"/>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decimal"/>
      <w:pStyle w:val="AppendixHeading5"/>
      <w:lvlText w:val="%1.%2.%3.%4.%5"/>
      <w:lvlJc w:val="left"/>
      <w:pPr>
        <w:ind w:left="1134" w:hanging="1134"/>
      </w:pPr>
      <w:rPr>
        <w:rFonts w:hint="default"/>
      </w:rPr>
    </w:lvl>
    <w:lvl w:ilvl="5">
      <w:start w:val="1"/>
      <w:numFmt w:val="decimal"/>
      <w:pStyle w:val="AppendixHeading6"/>
      <w:lvlText w:val="%1.%2.%3.%4.%5.%6"/>
      <w:lvlJc w:val="left"/>
      <w:pPr>
        <w:ind w:left="1134" w:hanging="1134"/>
      </w:pPr>
      <w:rPr>
        <w:rFonts w:hint="default"/>
      </w:rPr>
    </w:lvl>
    <w:lvl w:ilvl="6">
      <w:start w:val="1"/>
      <w:numFmt w:val="decimal"/>
      <w:pStyle w:val="AppendixHeading7"/>
      <w:lvlText w:val="%1.%2.%3.%4.%5.%6.%7"/>
      <w:lvlJc w:val="left"/>
      <w:pPr>
        <w:ind w:left="1134" w:hanging="1134"/>
      </w:pPr>
      <w:rPr>
        <w:rFonts w:hint="default"/>
      </w:rPr>
    </w:lvl>
    <w:lvl w:ilvl="7">
      <w:start w:val="1"/>
      <w:numFmt w:val="decimal"/>
      <w:pStyle w:val="AppendixHeading8"/>
      <w:lvlText w:val="%1.%2.%3.%4.%5.%6.%7.%8"/>
      <w:lvlJc w:val="left"/>
      <w:pPr>
        <w:ind w:left="1134" w:hanging="1134"/>
      </w:pPr>
      <w:rPr>
        <w:rFonts w:hint="default"/>
      </w:rPr>
    </w:lvl>
    <w:lvl w:ilvl="8">
      <w:start w:val="1"/>
      <w:numFmt w:val="decimal"/>
      <w:pStyle w:val="AppendixHeading9"/>
      <w:lvlText w:val="%1.%2.%3.%4.%5.%6.%7.%8.%9"/>
      <w:lvlJc w:val="left"/>
      <w:pPr>
        <w:ind w:left="1134" w:hanging="1134"/>
      </w:pPr>
      <w:rPr>
        <w:rFonts w:hint="default"/>
      </w:rPr>
    </w:lvl>
  </w:abstractNum>
  <w:num w:numId="1" w16cid:durableId="2368875">
    <w:abstractNumId w:val="18"/>
  </w:num>
  <w:num w:numId="2" w16cid:durableId="1164055693">
    <w:abstractNumId w:val="17"/>
  </w:num>
  <w:num w:numId="3" w16cid:durableId="1226602763">
    <w:abstractNumId w:val="5"/>
  </w:num>
  <w:num w:numId="4" w16cid:durableId="1224491267">
    <w:abstractNumId w:val="26"/>
  </w:num>
  <w:num w:numId="5" w16cid:durableId="640695434">
    <w:abstractNumId w:val="49"/>
  </w:num>
  <w:num w:numId="6" w16cid:durableId="1393506326">
    <w:abstractNumId w:val="28"/>
  </w:num>
  <w:num w:numId="7" w16cid:durableId="175965666">
    <w:abstractNumId w:val="29"/>
  </w:num>
  <w:num w:numId="8" w16cid:durableId="1504592438">
    <w:abstractNumId w:val="14"/>
  </w:num>
  <w:num w:numId="9" w16cid:durableId="1187056527">
    <w:abstractNumId w:val="6"/>
  </w:num>
  <w:num w:numId="10" w16cid:durableId="1879929813">
    <w:abstractNumId w:val="4"/>
  </w:num>
  <w:num w:numId="11" w16cid:durableId="1835873937">
    <w:abstractNumId w:val="7"/>
  </w:num>
  <w:num w:numId="12" w16cid:durableId="1903829609">
    <w:abstractNumId w:val="12"/>
  </w:num>
  <w:num w:numId="13" w16cid:durableId="1663048687">
    <w:abstractNumId w:val="13"/>
  </w:num>
  <w:num w:numId="14" w16cid:durableId="2025014200">
    <w:abstractNumId w:val="15"/>
  </w:num>
  <w:num w:numId="15" w16cid:durableId="1028603721">
    <w:abstractNumId w:val="54"/>
  </w:num>
  <w:num w:numId="16" w16cid:durableId="2076196398">
    <w:abstractNumId w:val="8"/>
  </w:num>
  <w:num w:numId="17" w16cid:durableId="1509175676">
    <w:abstractNumId w:val="3"/>
  </w:num>
  <w:num w:numId="18" w16cid:durableId="641495872">
    <w:abstractNumId w:val="42"/>
  </w:num>
  <w:num w:numId="19" w16cid:durableId="475226733">
    <w:abstractNumId w:val="25"/>
  </w:num>
  <w:num w:numId="20" w16cid:durableId="932128118">
    <w:abstractNumId w:val="44"/>
  </w:num>
  <w:num w:numId="21" w16cid:durableId="1770999828">
    <w:abstractNumId w:val="10"/>
  </w:num>
  <w:num w:numId="22" w16cid:durableId="1720591168">
    <w:abstractNumId w:val="24"/>
  </w:num>
  <w:num w:numId="23" w16cid:durableId="2015640955">
    <w:abstractNumId w:val="48"/>
  </w:num>
  <w:num w:numId="24" w16cid:durableId="1656296476">
    <w:abstractNumId w:val="21"/>
  </w:num>
  <w:num w:numId="25" w16cid:durableId="147478929">
    <w:abstractNumId w:val="20"/>
  </w:num>
  <w:num w:numId="26" w16cid:durableId="1424718360">
    <w:abstractNumId w:val="34"/>
  </w:num>
  <w:num w:numId="27" w16cid:durableId="761075080">
    <w:abstractNumId w:val="11"/>
  </w:num>
  <w:num w:numId="28" w16cid:durableId="655576617">
    <w:abstractNumId w:val="23"/>
  </w:num>
  <w:num w:numId="29" w16cid:durableId="589237062">
    <w:abstractNumId w:val="16"/>
  </w:num>
  <w:num w:numId="30" w16cid:durableId="643504595">
    <w:abstractNumId w:val="38"/>
  </w:num>
  <w:num w:numId="31" w16cid:durableId="1501000125">
    <w:abstractNumId w:val="39"/>
  </w:num>
  <w:num w:numId="32" w16cid:durableId="498811420">
    <w:abstractNumId w:val="40"/>
  </w:num>
  <w:num w:numId="33" w16cid:durableId="1782647218">
    <w:abstractNumId w:val="19"/>
  </w:num>
  <w:num w:numId="34" w16cid:durableId="792099156">
    <w:abstractNumId w:val="42"/>
  </w:num>
  <w:num w:numId="35" w16cid:durableId="1419978638">
    <w:abstractNumId w:val="50"/>
  </w:num>
  <w:num w:numId="36" w16cid:durableId="682703687">
    <w:abstractNumId w:val="46"/>
  </w:num>
  <w:num w:numId="37" w16cid:durableId="974259229">
    <w:abstractNumId w:val="22"/>
  </w:num>
  <w:num w:numId="38" w16cid:durableId="1100417755">
    <w:abstractNumId w:val="37"/>
  </w:num>
  <w:num w:numId="39" w16cid:durableId="706029339">
    <w:abstractNumId w:val="32"/>
  </w:num>
  <w:num w:numId="40" w16cid:durableId="1681007743">
    <w:abstractNumId w:val="30"/>
  </w:num>
  <w:num w:numId="41" w16cid:durableId="819616481">
    <w:abstractNumId w:val="51"/>
  </w:num>
  <w:num w:numId="42" w16cid:durableId="280457139">
    <w:abstractNumId w:val="31"/>
  </w:num>
  <w:num w:numId="43" w16cid:durableId="2147313711">
    <w:abstractNumId w:val="36"/>
  </w:num>
  <w:num w:numId="44" w16cid:durableId="548996953">
    <w:abstractNumId w:val="35"/>
  </w:num>
  <w:num w:numId="45" w16cid:durableId="822280330">
    <w:abstractNumId w:val="41"/>
  </w:num>
  <w:num w:numId="46" w16cid:durableId="1274284915">
    <w:abstractNumId w:val="27"/>
  </w:num>
  <w:num w:numId="47" w16cid:durableId="1662469305">
    <w:abstractNumId w:val="43"/>
  </w:num>
  <w:num w:numId="48" w16cid:durableId="635641968">
    <w:abstractNumId w:val="2"/>
  </w:num>
  <w:num w:numId="49" w16cid:durableId="847407752">
    <w:abstractNumId w:val="45"/>
  </w:num>
  <w:num w:numId="50" w16cid:durableId="1519272451">
    <w:abstractNumId w:val="52"/>
  </w:num>
  <w:num w:numId="51" w16cid:durableId="653070656">
    <w:abstractNumId w:val="53"/>
  </w:num>
  <w:num w:numId="52" w16cid:durableId="1868762001">
    <w:abstractNumId w:val="1"/>
  </w:num>
  <w:num w:numId="53" w16cid:durableId="1740010878">
    <w:abstractNumId w:val="33"/>
  </w:num>
  <w:num w:numId="54" w16cid:durableId="1544904682">
    <w:abstractNumId w:val="42"/>
  </w:num>
  <w:num w:numId="55" w16cid:durableId="1471096572">
    <w:abstractNumId w:val="42"/>
  </w:num>
  <w:num w:numId="56" w16cid:durableId="801460399">
    <w:abstractNumId w:val="42"/>
  </w:num>
  <w:num w:numId="57" w16cid:durableId="1411001125">
    <w:abstractNumId w:val="47"/>
  </w:num>
  <w:num w:numId="58" w16cid:durableId="1919711524">
    <w:abstractNumId w:val="9"/>
  </w:num>
  <w:num w:numId="59" w16cid:durableId="2070183836">
    <w:abstractNumId w:val="40"/>
  </w:num>
  <w:num w:numId="60" w16cid:durableId="2007827217">
    <w:abstractNumId w:val="40"/>
  </w:num>
  <w:num w:numId="61" w16cid:durableId="502672343">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80"/>
  <w:embedTrueTypeFont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44"/>
  <w:drawingGridVerticalSpacing w:val="144"/>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electedNamespace" w:val="http://schemas.macroview.com.au/StyleVisibilitySettingsCollection"/>
  </w:docVars>
  <w:rsids>
    <w:rsidRoot w:val="00607D7F"/>
    <w:rsid w:val="00000553"/>
    <w:rsid w:val="0000070E"/>
    <w:rsid w:val="0000111B"/>
    <w:rsid w:val="00001A87"/>
    <w:rsid w:val="00003C9B"/>
    <w:rsid w:val="00003E9B"/>
    <w:rsid w:val="00005578"/>
    <w:rsid w:val="000064C8"/>
    <w:rsid w:val="00011318"/>
    <w:rsid w:val="00013E52"/>
    <w:rsid w:val="00014B41"/>
    <w:rsid w:val="00014D7D"/>
    <w:rsid w:val="000167A5"/>
    <w:rsid w:val="00016A78"/>
    <w:rsid w:val="00016AE6"/>
    <w:rsid w:val="00020274"/>
    <w:rsid w:val="000214BB"/>
    <w:rsid w:val="000216F0"/>
    <w:rsid w:val="0002247F"/>
    <w:rsid w:val="000239C6"/>
    <w:rsid w:val="0002587E"/>
    <w:rsid w:val="00026033"/>
    <w:rsid w:val="00026E03"/>
    <w:rsid w:val="000279D8"/>
    <w:rsid w:val="0003318B"/>
    <w:rsid w:val="0003498C"/>
    <w:rsid w:val="00036458"/>
    <w:rsid w:val="00043821"/>
    <w:rsid w:val="00044C20"/>
    <w:rsid w:val="00046E95"/>
    <w:rsid w:val="0004787D"/>
    <w:rsid w:val="00047B1D"/>
    <w:rsid w:val="00050302"/>
    <w:rsid w:val="00050759"/>
    <w:rsid w:val="0005086E"/>
    <w:rsid w:val="00050A3E"/>
    <w:rsid w:val="00051BD0"/>
    <w:rsid w:val="00052211"/>
    <w:rsid w:val="00052322"/>
    <w:rsid w:val="00052631"/>
    <w:rsid w:val="00052DBF"/>
    <w:rsid w:val="000534A7"/>
    <w:rsid w:val="00053956"/>
    <w:rsid w:val="00053DB0"/>
    <w:rsid w:val="0005435E"/>
    <w:rsid w:val="0005553C"/>
    <w:rsid w:val="00055F9B"/>
    <w:rsid w:val="00056624"/>
    <w:rsid w:val="000566F8"/>
    <w:rsid w:val="00060D6C"/>
    <w:rsid w:val="00065E5E"/>
    <w:rsid w:val="00066D29"/>
    <w:rsid w:val="00066DE7"/>
    <w:rsid w:val="00066E64"/>
    <w:rsid w:val="000674FA"/>
    <w:rsid w:val="0007079A"/>
    <w:rsid w:val="00071A27"/>
    <w:rsid w:val="000743C0"/>
    <w:rsid w:val="00080050"/>
    <w:rsid w:val="00080BF8"/>
    <w:rsid w:val="000822F4"/>
    <w:rsid w:val="000826AA"/>
    <w:rsid w:val="00083194"/>
    <w:rsid w:val="0008344F"/>
    <w:rsid w:val="00086D50"/>
    <w:rsid w:val="0008757F"/>
    <w:rsid w:val="0009028F"/>
    <w:rsid w:val="00090651"/>
    <w:rsid w:val="000949F5"/>
    <w:rsid w:val="00094EF5"/>
    <w:rsid w:val="000968B9"/>
    <w:rsid w:val="000A0FBE"/>
    <w:rsid w:val="000A2748"/>
    <w:rsid w:val="000A3C09"/>
    <w:rsid w:val="000A4E3B"/>
    <w:rsid w:val="000A5A79"/>
    <w:rsid w:val="000A795F"/>
    <w:rsid w:val="000B1B53"/>
    <w:rsid w:val="000B1EF2"/>
    <w:rsid w:val="000B5678"/>
    <w:rsid w:val="000B683F"/>
    <w:rsid w:val="000B6B0F"/>
    <w:rsid w:val="000C006F"/>
    <w:rsid w:val="000C033F"/>
    <w:rsid w:val="000C05D1"/>
    <w:rsid w:val="000C06D1"/>
    <w:rsid w:val="000C08D6"/>
    <w:rsid w:val="000C0D87"/>
    <w:rsid w:val="000C5A97"/>
    <w:rsid w:val="000C6FCE"/>
    <w:rsid w:val="000D0182"/>
    <w:rsid w:val="000D04D9"/>
    <w:rsid w:val="000D0ED8"/>
    <w:rsid w:val="000D2E81"/>
    <w:rsid w:val="000D3EA2"/>
    <w:rsid w:val="000D7539"/>
    <w:rsid w:val="000D794A"/>
    <w:rsid w:val="000D7E4E"/>
    <w:rsid w:val="000D7EC3"/>
    <w:rsid w:val="000E17C4"/>
    <w:rsid w:val="000E1852"/>
    <w:rsid w:val="000E2D11"/>
    <w:rsid w:val="000E2DDF"/>
    <w:rsid w:val="000E34E5"/>
    <w:rsid w:val="000E3C6B"/>
    <w:rsid w:val="000E5D96"/>
    <w:rsid w:val="000E74D5"/>
    <w:rsid w:val="000F16EB"/>
    <w:rsid w:val="000F2243"/>
    <w:rsid w:val="000F2504"/>
    <w:rsid w:val="000F35B1"/>
    <w:rsid w:val="000F3860"/>
    <w:rsid w:val="000F492E"/>
    <w:rsid w:val="000F54F3"/>
    <w:rsid w:val="000F6713"/>
    <w:rsid w:val="000F688B"/>
    <w:rsid w:val="000F6930"/>
    <w:rsid w:val="000F7C1B"/>
    <w:rsid w:val="00101ADB"/>
    <w:rsid w:val="001021A0"/>
    <w:rsid w:val="00102274"/>
    <w:rsid w:val="0010464C"/>
    <w:rsid w:val="001100C3"/>
    <w:rsid w:val="001103F6"/>
    <w:rsid w:val="0011213D"/>
    <w:rsid w:val="0011250A"/>
    <w:rsid w:val="00113330"/>
    <w:rsid w:val="0011360D"/>
    <w:rsid w:val="001144CB"/>
    <w:rsid w:val="0011696E"/>
    <w:rsid w:val="00121BA2"/>
    <w:rsid w:val="00124C63"/>
    <w:rsid w:val="00124F2C"/>
    <w:rsid w:val="00126747"/>
    <w:rsid w:val="00126833"/>
    <w:rsid w:val="00126C34"/>
    <w:rsid w:val="00126E70"/>
    <w:rsid w:val="00127597"/>
    <w:rsid w:val="001308DF"/>
    <w:rsid w:val="00131793"/>
    <w:rsid w:val="00131852"/>
    <w:rsid w:val="0013300C"/>
    <w:rsid w:val="001341BD"/>
    <w:rsid w:val="00134C7D"/>
    <w:rsid w:val="0014154B"/>
    <w:rsid w:val="00141F49"/>
    <w:rsid w:val="00142EFD"/>
    <w:rsid w:val="00143D55"/>
    <w:rsid w:val="00146264"/>
    <w:rsid w:val="0014667F"/>
    <w:rsid w:val="00146DF9"/>
    <w:rsid w:val="00152024"/>
    <w:rsid w:val="001532A7"/>
    <w:rsid w:val="00153677"/>
    <w:rsid w:val="001549B4"/>
    <w:rsid w:val="00155485"/>
    <w:rsid w:val="00157860"/>
    <w:rsid w:val="00161CB0"/>
    <w:rsid w:val="001632E0"/>
    <w:rsid w:val="00163377"/>
    <w:rsid w:val="00165540"/>
    <w:rsid w:val="00167D63"/>
    <w:rsid w:val="00174632"/>
    <w:rsid w:val="00174D60"/>
    <w:rsid w:val="001752CF"/>
    <w:rsid w:val="00175340"/>
    <w:rsid w:val="00175945"/>
    <w:rsid w:val="00176FA2"/>
    <w:rsid w:val="001775D1"/>
    <w:rsid w:val="001778E1"/>
    <w:rsid w:val="00180344"/>
    <w:rsid w:val="001806F0"/>
    <w:rsid w:val="00181445"/>
    <w:rsid w:val="00181D67"/>
    <w:rsid w:val="00182E81"/>
    <w:rsid w:val="001848FD"/>
    <w:rsid w:val="00185ECC"/>
    <w:rsid w:val="0018667E"/>
    <w:rsid w:val="00186779"/>
    <w:rsid w:val="00186E95"/>
    <w:rsid w:val="0018700A"/>
    <w:rsid w:val="00187D40"/>
    <w:rsid w:val="00190AAE"/>
    <w:rsid w:val="0019272E"/>
    <w:rsid w:val="00192A1C"/>
    <w:rsid w:val="00192CDF"/>
    <w:rsid w:val="001958C9"/>
    <w:rsid w:val="00195B70"/>
    <w:rsid w:val="00196AC2"/>
    <w:rsid w:val="001A050A"/>
    <w:rsid w:val="001A108F"/>
    <w:rsid w:val="001A4A88"/>
    <w:rsid w:val="001A57DA"/>
    <w:rsid w:val="001B30A4"/>
    <w:rsid w:val="001B36C1"/>
    <w:rsid w:val="001B474E"/>
    <w:rsid w:val="001B56B4"/>
    <w:rsid w:val="001B5CF9"/>
    <w:rsid w:val="001B622C"/>
    <w:rsid w:val="001C148F"/>
    <w:rsid w:val="001C21E4"/>
    <w:rsid w:val="001C4853"/>
    <w:rsid w:val="001C62ED"/>
    <w:rsid w:val="001C66FF"/>
    <w:rsid w:val="001C6F5D"/>
    <w:rsid w:val="001C75D1"/>
    <w:rsid w:val="001C76B1"/>
    <w:rsid w:val="001D1957"/>
    <w:rsid w:val="001D2135"/>
    <w:rsid w:val="001D246A"/>
    <w:rsid w:val="001D2D8A"/>
    <w:rsid w:val="001D32BB"/>
    <w:rsid w:val="001D508A"/>
    <w:rsid w:val="001D611B"/>
    <w:rsid w:val="001D745C"/>
    <w:rsid w:val="001E64CD"/>
    <w:rsid w:val="001E7052"/>
    <w:rsid w:val="001F057F"/>
    <w:rsid w:val="001F477C"/>
    <w:rsid w:val="00202CC2"/>
    <w:rsid w:val="00203E43"/>
    <w:rsid w:val="0020720C"/>
    <w:rsid w:val="0020731E"/>
    <w:rsid w:val="002104EA"/>
    <w:rsid w:val="00211343"/>
    <w:rsid w:val="00211882"/>
    <w:rsid w:val="002123F9"/>
    <w:rsid w:val="00213185"/>
    <w:rsid w:val="0021374D"/>
    <w:rsid w:val="00215CDE"/>
    <w:rsid w:val="00217179"/>
    <w:rsid w:val="00220365"/>
    <w:rsid w:val="00220FB0"/>
    <w:rsid w:val="002257A5"/>
    <w:rsid w:val="00226EC1"/>
    <w:rsid w:val="00226F93"/>
    <w:rsid w:val="00227E6C"/>
    <w:rsid w:val="0023069D"/>
    <w:rsid w:val="00230B3B"/>
    <w:rsid w:val="00231833"/>
    <w:rsid w:val="00233398"/>
    <w:rsid w:val="00233F55"/>
    <w:rsid w:val="002344B8"/>
    <w:rsid w:val="002346CD"/>
    <w:rsid w:val="002354DC"/>
    <w:rsid w:val="00235FFF"/>
    <w:rsid w:val="002400AB"/>
    <w:rsid w:val="002400DD"/>
    <w:rsid w:val="002409EA"/>
    <w:rsid w:val="00242C12"/>
    <w:rsid w:val="00243D8C"/>
    <w:rsid w:val="00244982"/>
    <w:rsid w:val="00246DFA"/>
    <w:rsid w:val="0025037B"/>
    <w:rsid w:val="0025127E"/>
    <w:rsid w:val="0025240F"/>
    <w:rsid w:val="00252ACB"/>
    <w:rsid w:val="0025328F"/>
    <w:rsid w:val="002559BE"/>
    <w:rsid w:val="00255D9C"/>
    <w:rsid w:val="00257199"/>
    <w:rsid w:val="002579AF"/>
    <w:rsid w:val="00260DC6"/>
    <w:rsid w:val="002615B6"/>
    <w:rsid w:val="0026295F"/>
    <w:rsid w:val="002728AB"/>
    <w:rsid w:val="00272F08"/>
    <w:rsid w:val="00273926"/>
    <w:rsid w:val="002748DC"/>
    <w:rsid w:val="00275F1E"/>
    <w:rsid w:val="00277F81"/>
    <w:rsid w:val="00281354"/>
    <w:rsid w:val="00282597"/>
    <w:rsid w:val="00283FFB"/>
    <w:rsid w:val="0028446D"/>
    <w:rsid w:val="00284A43"/>
    <w:rsid w:val="00284F7F"/>
    <w:rsid w:val="00285E2A"/>
    <w:rsid w:val="00290548"/>
    <w:rsid w:val="002916EB"/>
    <w:rsid w:val="00292624"/>
    <w:rsid w:val="00293187"/>
    <w:rsid w:val="002962E5"/>
    <w:rsid w:val="00296F45"/>
    <w:rsid w:val="002A0DD0"/>
    <w:rsid w:val="002A3143"/>
    <w:rsid w:val="002A67ED"/>
    <w:rsid w:val="002A6C0D"/>
    <w:rsid w:val="002A7304"/>
    <w:rsid w:val="002B237F"/>
    <w:rsid w:val="002B3639"/>
    <w:rsid w:val="002B3C19"/>
    <w:rsid w:val="002B43B7"/>
    <w:rsid w:val="002B4A86"/>
    <w:rsid w:val="002B5624"/>
    <w:rsid w:val="002B5A9B"/>
    <w:rsid w:val="002B5E57"/>
    <w:rsid w:val="002B6106"/>
    <w:rsid w:val="002B7C65"/>
    <w:rsid w:val="002C10D4"/>
    <w:rsid w:val="002C1258"/>
    <w:rsid w:val="002C171E"/>
    <w:rsid w:val="002C1F18"/>
    <w:rsid w:val="002C3889"/>
    <w:rsid w:val="002C3E57"/>
    <w:rsid w:val="002C4256"/>
    <w:rsid w:val="002C48F7"/>
    <w:rsid w:val="002C58A2"/>
    <w:rsid w:val="002C5C3F"/>
    <w:rsid w:val="002C7158"/>
    <w:rsid w:val="002D036E"/>
    <w:rsid w:val="002D0524"/>
    <w:rsid w:val="002D1532"/>
    <w:rsid w:val="002D488D"/>
    <w:rsid w:val="002D6169"/>
    <w:rsid w:val="002D6585"/>
    <w:rsid w:val="002D671A"/>
    <w:rsid w:val="002E11F3"/>
    <w:rsid w:val="002E22BB"/>
    <w:rsid w:val="002E2561"/>
    <w:rsid w:val="002E331D"/>
    <w:rsid w:val="002E5ADD"/>
    <w:rsid w:val="002E727A"/>
    <w:rsid w:val="002F02C2"/>
    <w:rsid w:val="002F1656"/>
    <w:rsid w:val="002F18AF"/>
    <w:rsid w:val="002F4688"/>
    <w:rsid w:val="002F50F7"/>
    <w:rsid w:val="002F6659"/>
    <w:rsid w:val="0030257E"/>
    <w:rsid w:val="00302DFB"/>
    <w:rsid w:val="00302E15"/>
    <w:rsid w:val="0030492C"/>
    <w:rsid w:val="003068EC"/>
    <w:rsid w:val="00307302"/>
    <w:rsid w:val="00310ED7"/>
    <w:rsid w:val="003110CB"/>
    <w:rsid w:val="003111A5"/>
    <w:rsid w:val="00312DA9"/>
    <w:rsid w:val="00313E01"/>
    <w:rsid w:val="003169C2"/>
    <w:rsid w:val="00317669"/>
    <w:rsid w:val="00317BCA"/>
    <w:rsid w:val="003203A0"/>
    <w:rsid w:val="00320AF3"/>
    <w:rsid w:val="00320D98"/>
    <w:rsid w:val="00321125"/>
    <w:rsid w:val="00321FAA"/>
    <w:rsid w:val="003220E9"/>
    <w:rsid w:val="00323151"/>
    <w:rsid w:val="00326E15"/>
    <w:rsid w:val="0032781D"/>
    <w:rsid w:val="0033071E"/>
    <w:rsid w:val="00330778"/>
    <w:rsid w:val="00330AD9"/>
    <w:rsid w:val="00331DBF"/>
    <w:rsid w:val="00332D3D"/>
    <w:rsid w:val="00332D94"/>
    <w:rsid w:val="00334179"/>
    <w:rsid w:val="00334502"/>
    <w:rsid w:val="00334589"/>
    <w:rsid w:val="00335000"/>
    <w:rsid w:val="00335252"/>
    <w:rsid w:val="00340009"/>
    <w:rsid w:val="00342745"/>
    <w:rsid w:val="00342F65"/>
    <w:rsid w:val="0034305D"/>
    <w:rsid w:val="003430EE"/>
    <w:rsid w:val="00343C30"/>
    <w:rsid w:val="00343DE0"/>
    <w:rsid w:val="00345DAF"/>
    <w:rsid w:val="003461E1"/>
    <w:rsid w:val="0034759B"/>
    <w:rsid w:val="0035012F"/>
    <w:rsid w:val="00354152"/>
    <w:rsid w:val="003560D3"/>
    <w:rsid w:val="003570E3"/>
    <w:rsid w:val="00361971"/>
    <w:rsid w:val="00362561"/>
    <w:rsid w:val="00362F82"/>
    <w:rsid w:val="0036561C"/>
    <w:rsid w:val="00367169"/>
    <w:rsid w:val="0037175F"/>
    <w:rsid w:val="0037231D"/>
    <w:rsid w:val="003724AB"/>
    <w:rsid w:val="00374883"/>
    <w:rsid w:val="0037539E"/>
    <w:rsid w:val="003765B4"/>
    <w:rsid w:val="00377AB0"/>
    <w:rsid w:val="00381FDF"/>
    <w:rsid w:val="003828DF"/>
    <w:rsid w:val="003829C6"/>
    <w:rsid w:val="00383770"/>
    <w:rsid w:val="00384B6A"/>
    <w:rsid w:val="0038661E"/>
    <w:rsid w:val="00387A8C"/>
    <w:rsid w:val="00390928"/>
    <w:rsid w:val="00392F5B"/>
    <w:rsid w:val="003939EE"/>
    <w:rsid w:val="003959A1"/>
    <w:rsid w:val="00395D25"/>
    <w:rsid w:val="003A024F"/>
    <w:rsid w:val="003A1224"/>
    <w:rsid w:val="003A3098"/>
    <w:rsid w:val="003A3670"/>
    <w:rsid w:val="003A3A84"/>
    <w:rsid w:val="003A3D24"/>
    <w:rsid w:val="003A553F"/>
    <w:rsid w:val="003A63B6"/>
    <w:rsid w:val="003A6C36"/>
    <w:rsid w:val="003A7E3C"/>
    <w:rsid w:val="003B100F"/>
    <w:rsid w:val="003B20BE"/>
    <w:rsid w:val="003B28D7"/>
    <w:rsid w:val="003B3562"/>
    <w:rsid w:val="003B4378"/>
    <w:rsid w:val="003B53F6"/>
    <w:rsid w:val="003B6A50"/>
    <w:rsid w:val="003B6F68"/>
    <w:rsid w:val="003B766C"/>
    <w:rsid w:val="003C06A8"/>
    <w:rsid w:val="003C2ABB"/>
    <w:rsid w:val="003C3600"/>
    <w:rsid w:val="003C3ADE"/>
    <w:rsid w:val="003C3AFB"/>
    <w:rsid w:val="003C4BEA"/>
    <w:rsid w:val="003C5B56"/>
    <w:rsid w:val="003C5DD6"/>
    <w:rsid w:val="003C7213"/>
    <w:rsid w:val="003D083D"/>
    <w:rsid w:val="003D17E1"/>
    <w:rsid w:val="003D26E8"/>
    <w:rsid w:val="003D2A33"/>
    <w:rsid w:val="003D2DEC"/>
    <w:rsid w:val="003D5197"/>
    <w:rsid w:val="003D5E6F"/>
    <w:rsid w:val="003D5F02"/>
    <w:rsid w:val="003E00CB"/>
    <w:rsid w:val="003E12B7"/>
    <w:rsid w:val="003E1E72"/>
    <w:rsid w:val="003E27A8"/>
    <w:rsid w:val="003E3BC1"/>
    <w:rsid w:val="003E43F3"/>
    <w:rsid w:val="003E5687"/>
    <w:rsid w:val="003E5FBA"/>
    <w:rsid w:val="003E7C69"/>
    <w:rsid w:val="003E7F8E"/>
    <w:rsid w:val="003F3A84"/>
    <w:rsid w:val="003F484B"/>
    <w:rsid w:val="003F4CFC"/>
    <w:rsid w:val="003F6732"/>
    <w:rsid w:val="003F6F70"/>
    <w:rsid w:val="00400314"/>
    <w:rsid w:val="004025E4"/>
    <w:rsid w:val="00403087"/>
    <w:rsid w:val="00404752"/>
    <w:rsid w:val="004064BF"/>
    <w:rsid w:val="00406575"/>
    <w:rsid w:val="00406D57"/>
    <w:rsid w:val="00406D9A"/>
    <w:rsid w:val="0041017C"/>
    <w:rsid w:val="00413B10"/>
    <w:rsid w:val="00417664"/>
    <w:rsid w:val="0042310E"/>
    <w:rsid w:val="004238DE"/>
    <w:rsid w:val="00423A76"/>
    <w:rsid w:val="00426358"/>
    <w:rsid w:val="00426BE1"/>
    <w:rsid w:val="00427C6C"/>
    <w:rsid w:val="00432246"/>
    <w:rsid w:val="00433502"/>
    <w:rsid w:val="00434AD5"/>
    <w:rsid w:val="00440F73"/>
    <w:rsid w:val="00441163"/>
    <w:rsid w:val="0044124B"/>
    <w:rsid w:val="0044127D"/>
    <w:rsid w:val="0044139E"/>
    <w:rsid w:val="0044388C"/>
    <w:rsid w:val="004439AB"/>
    <w:rsid w:val="00445793"/>
    <w:rsid w:val="00445C5A"/>
    <w:rsid w:val="00446D55"/>
    <w:rsid w:val="004519FD"/>
    <w:rsid w:val="00452972"/>
    <w:rsid w:val="0045301E"/>
    <w:rsid w:val="004534BC"/>
    <w:rsid w:val="0045682E"/>
    <w:rsid w:val="004574EE"/>
    <w:rsid w:val="00457DD2"/>
    <w:rsid w:val="004605D5"/>
    <w:rsid w:val="0046306C"/>
    <w:rsid w:val="004644CE"/>
    <w:rsid w:val="004645B8"/>
    <w:rsid w:val="004654BF"/>
    <w:rsid w:val="004662F2"/>
    <w:rsid w:val="00467185"/>
    <w:rsid w:val="0047012B"/>
    <w:rsid w:val="00472A73"/>
    <w:rsid w:val="004737DC"/>
    <w:rsid w:val="004801CB"/>
    <w:rsid w:val="00481376"/>
    <w:rsid w:val="00484204"/>
    <w:rsid w:val="00484A68"/>
    <w:rsid w:val="00490EF3"/>
    <w:rsid w:val="0049120C"/>
    <w:rsid w:val="00493A32"/>
    <w:rsid w:val="00493CE9"/>
    <w:rsid w:val="00493E28"/>
    <w:rsid w:val="00494AD2"/>
    <w:rsid w:val="00495280"/>
    <w:rsid w:val="00495DC9"/>
    <w:rsid w:val="00497239"/>
    <w:rsid w:val="00497A7A"/>
    <w:rsid w:val="004A1C7A"/>
    <w:rsid w:val="004A2235"/>
    <w:rsid w:val="004A230D"/>
    <w:rsid w:val="004A3806"/>
    <w:rsid w:val="004A4086"/>
    <w:rsid w:val="004A5574"/>
    <w:rsid w:val="004A6312"/>
    <w:rsid w:val="004A677D"/>
    <w:rsid w:val="004B09BC"/>
    <w:rsid w:val="004B0ADF"/>
    <w:rsid w:val="004B3119"/>
    <w:rsid w:val="004B376E"/>
    <w:rsid w:val="004B3DE0"/>
    <w:rsid w:val="004B459A"/>
    <w:rsid w:val="004B4FC8"/>
    <w:rsid w:val="004C0F7F"/>
    <w:rsid w:val="004C3459"/>
    <w:rsid w:val="004C354C"/>
    <w:rsid w:val="004C3C03"/>
    <w:rsid w:val="004C4E6E"/>
    <w:rsid w:val="004C5477"/>
    <w:rsid w:val="004C5A84"/>
    <w:rsid w:val="004C5EF4"/>
    <w:rsid w:val="004D00DE"/>
    <w:rsid w:val="004D1F8F"/>
    <w:rsid w:val="004D2305"/>
    <w:rsid w:val="004D24CD"/>
    <w:rsid w:val="004D4B8F"/>
    <w:rsid w:val="004D766D"/>
    <w:rsid w:val="004E39A3"/>
    <w:rsid w:val="004E62B4"/>
    <w:rsid w:val="004E62F9"/>
    <w:rsid w:val="004E7754"/>
    <w:rsid w:val="004F05C1"/>
    <w:rsid w:val="004F133A"/>
    <w:rsid w:val="004F18CB"/>
    <w:rsid w:val="004F210D"/>
    <w:rsid w:val="004F318D"/>
    <w:rsid w:val="004F52AE"/>
    <w:rsid w:val="004F52BC"/>
    <w:rsid w:val="004F607D"/>
    <w:rsid w:val="004F6147"/>
    <w:rsid w:val="004F6AA2"/>
    <w:rsid w:val="004F7DFD"/>
    <w:rsid w:val="00500E24"/>
    <w:rsid w:val="0050100E"/>
    <w:rsid w:val="00503AC8"/>
    <w:rsid w:val="005048ED"/>
    <w:rsid w:val="00504A0E"/>
    <w:rsid w:val="0050520C"/>
    <w:rsid w:val="005055B6"/>
    <w:rsid w:val="00506DAF"/>
    <w:rsid w:val="005074AE"/>
    <w:rsid w:val="005112A8"/>
    <w:rsid w:val="00511F73"/>
    <w:rsid w:val="005124AE"/>
    <w:rsid w:val="00512536"/>
    <w:rsid w:val="00513E90"/>
    <w:rsid w:val="005144AE"/>
    <w:rsid w:val="005161CB"/>
    <w:rsid w:val="00517877"/>
    <w:rsid w:val="00523FE0"/>
    <w:rsid w:val="005259A5"/>
    <w:rsid w:val="0053001C"/>
    <w:rsid w:val="005328EC"/>
    <w:rsid w:val="0053407B"/>
    <w:rsid w:val="00535994"/>
    <w:rsid w:val="00535C48"/>
    <w:rsid w:val="005364EF"/>
    <w:rsid w:val="00536A87"/>
    <w:rsid w:val="00536ABD"/>
    <w:rsid w:val="00537A66"/>
    <w:rsid w:val="005416D9"/>
    <w:rsid w:val="00541780"/>
    <w:rsid w:val="0054350E"/>
    <w:rsid w:val="005458EF"/>
    <w:rsid w:val="00545E17"/>
    <w:rsid w:val="005460BF"/>
    <w:rsid w:val="0054757C"/>
    <w:rsid w:val="00547C54"/>
    <w:rsid w:val="0055129E"/>
    <w:rsid w:val="0055164F"/>
    <w:rsid w:val="00551CC3"/>
    <w:rsid w:val="00553853"/>
    <w:rsid w:val="005602F2"/>
    <w:rsid w:val="00560B47"/>
    <w:rsid w:val="00561F4F"/>
    <w:rsid w:val="00562745"/>
    <w:rsid w:val="00563747"/>
    <w:rsid w:val="00563F70"/>
    <w:rsid w:val="00564E68"/>
    <w:rsid w:val="00565235"/>
    <w:rsid w:val="005660DF"/>
    <w:rsid w:val="00566B07"/>
    <w:rsid w:val="00566DBF"/>
    <w:rsid w:val="005705BA"/>
    <w:rsid w:val="00570BDA"/>
    <w:rsid w:val="00570E16"/>
    <w:rsid w:val="00570F61"/>
    <w:rsid w:val="00571158"/>
    <w:rsid w:val="00572F8C"/>
    <w:rsid w:val="0057414D"/>
    <w:rsid w:val="00577E1B"/>
    <w:rsid w:val="0058082E"/>
    <w:rsid w:val="00581925"/>
    <w:rsid w:val="00581A38"/>
    <w:rsid w:val="0058276B"/>
    <w:rsid w:val="005840AC"/>
    <w:rsid w:val="00584709"/>
    <w:rsid w:val="00584AAC"/>
    <w:rsid w:val="00584C8D"/>
    <w:rsid w:val="00584E04"/>
    <w:rsid w:val="00585F12"/>
    <w:rsid w:val="00587B4F"/>
    <w:rsid w:val="0059017A"/>
    <w:rsid w:val="00591F17"/>
    <w:rsid w:val="005921FF"/>
    <w:rsid w:val="00593209"/>
    <w:rsid w:val="00594C7C"/>
    <w:rsid w:val="00596924"/>
    <w:rsid w:val="00596ECA"/>
    <w:rsid w:val="00597C3C"/>
    <w:rsid w:val="005A3418"/>
    <w:rsid w:val="005A6D7C"/>
    <w:rsid w:val="005A7239"/>
    <w:rsid w:val="005A7571"/>
    <w:rsid w:val="005B0E18"/>
    <w:rsid w:val="005B16C4"/>
    <w:rsid w:val="005B3FD4"/>
    <w:rsid w:val="005B50A1"/>
    <w:rsid w:val="005B5735"/>
    <w:rsid w:val="005B68DF"/>
    <w:rsid w:val="005B7036"/>
    <w:rsid w:val="005C0415"/>
    <w:rsid w:val="005C1481"/>
    <w:rsid w:val="005C3329"/>
    <w:rsid w:val="005C59E5"/>
    <w:rsid w:val="005C61F3"/>
    <w:rsid w:val="005C65AD"/>
    <w:rsid w:val="005C72E9"/>
    <w:rsid w:val="005D05FA"/>
    <w:rsid w:val="005D164F"/>
    <w:rsid w:val="005D1D0A"/>
    <w:rsid w:val="005D3D04"/>
    <w:rsid w:val="005D3FA9"/>
    <w:rsid w:val="005D5F0A"/>
    <w:rsid w:val="005D60DB"/>
    <w:rsid w:val="005D7E2C"/>
    <w:rsid w:val="005D7E98"/>
    <w:rsid w:val="005E1776"/>
    <w:rsid w:val="005E2D9C"/>
    <w:rsid w:val="005E6896"/>
    <w:rsid w:val="005E6C8D"/>
    <w:rsid w:val="005F146E"/>
    <w:rsid w:val="005F196F"/>
    <w:rsid w:val="005F23A9"/>
    <w:rsid w:val="005F3E28"/>
    <w:rsid w:val="00600214"/>
    <w:rsid w:val="00600870"/>
    <w:rsid w:val="00601FC7"/>
    <w:rsid w:val="00602BF1"/>
    <w:rsid w:val="006040B7"/>
    <w:rsid w:val="00607606"/>
    <w:rsid w:val="00607D7F"/>
    <w:rsid w:val="00607E41"/>
    <w:rsid w:val="0061113E"/>
    <w:rsid w:val="0061133A"/>
    <w:rsid w:val="00613282"/>
    <w:rsid w:val="00613AF5"/>
    <w:rsid w:val="006141EC"/>
    <w:rsid w:val="0061560E"/>
    <w:rsid w:val="006167EE"/>
    <w:rsid w:val="00616C71"/>
    <w:rsid w:val="00616C79"/>
    <w:rsid w:val="00616E45"/>
    <w:rsid w:val="0062267E"/>
    <w:rsid w:val="00623030"/>
    <w:rsid w:val="00624846"/>
    <w:rsid w:val="00624C52"/>
    <w:rsid w:val="006253DF"/>
    <w:rsid w:val="00625622"/>
    <w:rsid w:val="0062631B"/>
    <w:rsid w:val="00626646"/>
    <w:rsid w:val="0063047B"/>
    <w:rsid w:val="00632C6D"/>
    <w:rsid w:val="006401FF"/>
    <w:rsid w:val="006416FC"/>
    <w:rsid w:val="00642186"/>
    <w:rsid w:val="00642972"/>
    <w:rsid w:val="00643A06"/>
    <w:rsid w:val="00643A95"/>
    <w:rsid w:val="00644CFA"/>
    <w:rsid w:val="0064518F"/>
    <w:rsid w:val="00645CD7"/>
    <w:rsid w:val="00646B61"/>
    <w:rsid w:val="00650029"/>
    <w:rsid w:val="006512C6"/>
    <w:rsid w:val="00655E5E"/>
    <w:rsid w:val="006573E9"/>
    <w:rsid w:val="00660381"/>
    <w:rsid w:val="006645B2"/>
    <w:rsid w:val="006646DA"/>
    <w:rsid w:val="00665FA1"/>
    <w:rsid w:val="00666021"/>
    <w:rsid w:val="0066603D"/>
    <w:rsid w:val="00667D7E"/>
    <w:rsid w:val="0067113E"/>
    <w:rsid w:val="00671AD7"/>
    <w:rsid w:val="00672FAF"/>
    <w:rsid w:val="00675545"/>
    <w:rsid w:val="00676591"/>
    <w:rsid w:val="00677091"/>
    <w:rsid w:val="00677B7C"/>
    <w:rsid w:val="0068312D"/>
    <w:rsid w:val="00684DD0"/>
    <w:rsid w:val="006861CD"/>
    <w:rsid w:val="00687A55"/>
    <w:rsid w:val="00690395"/>
    <w:rsid w:val="00690D6E"/>
    <w:rsid w:val="006930F7"/>
    <w:rsid w:val="00694108"/>
    <w:rsid w:val="0069547C"/>
    <w:rsid w:val="0069620C"/>
    <w:rsid w:val="006A252E"/>
    <w:rsid w:val="006A31FC"/>
    <w:rsid w:val="006A4D9C"/>
    <w:rsid w:val="006A5022"/>
    <w:rsid w:val="006A5C1A"/>
    <w:rsid w:val="006A6780"/>
    <w:rsid w:val="006B0158"/>
    <w:rsid w:val="006B25E4"/>
    <w:rsid w:val="006B3371"/>
    <w:rsid w:val="006B4232"/>
    <w:rsid w:val="006B435D"/>
    <w:rsid w:val="006B549D"/>
    <w:rsid w:val="006B7935"/>
    <w:rsid w:val="006C0D6A"/>
    <w:rsid w:val="006C108C"/>
    <w:rsid w:val="006C1360"/>
    <w:rsid w:val="006C36B3"/>
    <w:rsid w:val="006C3D68"/>
    <w:rsid w:val="006C4909"/>
    <w:rsid w:val="006C5E2C"/>
    <w:rsid w:val="006C5F81"/>
    <w:rsid w:val="006C6DC2"/>
    <w:rsid w:val="006D01BA"/>
    <w:rsid w:val="006D3271"/>
    <w:rsid w:val="006D32C8"/>
    <w:rsid w:val="006D5756"/>
    <w:rsid w:val="006D5E69"/>
    <w:rsid w:val="006D69F5"/>
    <w:rsid w:val="006D6C51"/>
    <w:rsid w:val="006D6D5E"/>
    <w:rsid w:val="006E0DFC"/>
    <w:rsid w:val="006E0F8C"/>
    <w:rsid w:val="006E2126"/>
    <w:rsid w:val="006E6677"/>
    <w:rsid w:val="006F01FF"/>
    <w:rsid w:val="006F0D81"/>
    <w:rsid w:val="006F1409"/>
    <w:rsid w:val="006F157A"/>
    <w:rsid w:val="006F17F7"/>
    <w:rsid w:val="006F1C95"/>
    <w:rsid w:val="006F6D60"/>
    <w:rsid w:val="00702FAF"/>
    <w:rsid w:val="00704516"/>
    <w:rsid w:val="007047A0"/>
    <w:rsid w:val="00704AAB"/>
    <w:rsid w:val="00704BAC"/>
    <w:rsid w:val="007053C6"/>
    <w:rsid w:val="0071108A"/>
    <w:rsid w:val="0071122B"/>
    <w:rsid w:val="00711717"/>
    <w:rsid w:val="0071219B"/>
    <w:rsid w:val="00712A12"/>
    <w:rsid w:val="00714830"/>
    <w:rsid w:val="007150EB"/>
    <w:rsid w:val="007157D1"/>
    <w:rsid w:val="007159AB"/>
    <w:rsid w:val="00717594"/>
    <w:rsid w:val="00717AF6"/>
    <w:rsid w:val="00717BA0"/>
    <w:rsid w:val="00721930"/>
    <w:rsid w:val="00723300"/>
    <w:rsid w:val="0072337E"/>
    <w:rsid w:val="007235B2"/>
    <w:rsid w:val="00725820"/>
    <w:rsid w:val="00726F74"/>
    <w:rsid w:val="00735A98"/>
    <w:rsid w:val="007367F9"/>
    <w:rsid w:val="00740C5C"/>
    <w:rsid w:val="007414F5"/>
    <w:rsid w:val="00742516"/>
    <w:rsid w:val="00744713"/>
    <w:rsid w:val="007449EC"/>
    <w:rsid w:val="00744FA7"/>
    <w:rsid w:val="00750C31"/>
    <w:rsid w:val="00752AFA"/>
    <w:rsid w:val="007561E3"/>
    <w:rsid w:val="0076196D"/>
    <w:rsid w:val="00764BA5"/>
    <w:rsid w:val="007671C4"/>
    <w:rsid w:val="00767A4C"/>
    <w:rsid w:val="00767D39"/>
    <w:rsid w:val="0077508C"/>
    <w:rsid w:val="007763EB"/>
    <w:rsid w:val="00777A79"/>
    <w:rsid w:val="0078065D"/>
    <w:rsid w:val="00780E65"/>
    <w:rsid w:val="007812A5"/>
    <w:rsid w:val="0078197F"/>
    <w:rsid w:val="00781E09"/>
    <w:rsid w:val="00782BA0"/>
    <w:rsid w:val="007835F6"/>
    <w:rsid w:val="00783C87"/>
    <w:rsid w:val="007847B8"/>
    <w:rsid w:val="00785989"/>
    <w:rsid w:val="00787779"/>
    <w:rsid w:val="00790D30"/>
    <w:rsid w:val="007924D2"/>
    <w:rsid w:val="007932C3"/>
    <w:rsid w:val="00794A6F"/>
    <w:rsid w:val="00795A44"/>
    <w:rsid w:val="0079683E"/>
    <w:rsid w:val="007A011D"/>
    <w:rsid w:val="007A36B8"/>
    <w:rsid w:val="007A526C"/>
    <w:rsid w:val="007A5871"/>
    <w:rsid w:val="007A6B47"/>
    <w:rsid w:val="007B0295"/>
    <w:rsid w:val="007B21D6"/>
    <w:rsid w:val="007B3518"/>
    <w:rsid w:val="007B3F80"/>
    <w:rsid w:val="007B4BF9"/>
    <w:rsid w:val="007B51AD"/>
    <w:rsid w:val="007B5F56"/>
    <w:rsid w:val="007B6F47"/>
    <w:rsid w:val="007B6FD0"/>
    <w:rsid w:val="007C0D0E"/>
    <w:rsid w:val="007C1BDF"/>
    <w:rsid w:val="007C202C"/>
    <w:rsid w:val="007C2059"/>
    <w:rsid w:val="007C3316"/>
    <w:rsid w:val="007C3CE9"/>
    <w:rsid w:val="007C56F3"/>
    <w:rsid w:val="007C5937"/>
    <w:rsid w:val="007C5D49"/>
    <w:rsid w:val="007C6BE2"/>
    <w:rsid w:val="007C7183"/>
    <w:rsid w:val="007C75C9"/>
    <w:rsid w:val="007D17F9"/>
    <w:rsid w:val="007D1C0A"/>
    <w:rsid w:val="007D212A"/>
    <w:rsid w:val="007D29AE"/>
    <w:rsid w:val="007D3A94"/>
    <w:rsid w:val="007D3C03"/>
    <w:rsid w:val="007D442B"/>
    <w:rsid w:val="007D4475"/>
    <w:rsid w:val="007D46DB"/>
    <w:rsid w:val="007D4D3D"/>
    <w:rsid w:val="007D71B3"/>
    <w:rsid w:val="007D7E66"/>
    <w:rsid w:val="007E18FC"/>
    <w:rsid w:val="007E1F79"/>
    <w:rsid w:val="007E1FF6"/>
    <w:rsid w:val="007E2998"/>
    <w:rsid w:val="007E3018"/>
    <w:rsid w:val="007E3158"/>
    <w:rsid w:val="007E598D"/>
    <w:rsid w:val="007F037E"/>
    <w:rsid w:val="007F1A42"/>
    <w:rsid w:val="007F3A80"/>
    <w:rsid w:val="007F67C5"/>
    <w:rsid w:val="00800D61"/>
    <w:rsid w:val="00801022"/>
    <w:rsid w:val="008017EA"/>
    <w:rsid w:val="008018EE"/>
    <w:rsid w:val="00801CC4"/>
    <w:rsid w:val="0080233F"/>
    <w:rsid w:val="00802949"/>
    <w:rsid w:val="00802CEE"/>
    <w:rsid w:val="00802DF4"/>
    <w:rsid w:val="00803C7F"/>
    <w:rsid w:val="00806514"/>
    <w:rsid w:val="00807029"/>
    <w:rsid w:val="00811F07"/>
    <w:rsid w:val="00812C56"/>
    <w:rsid w:val="00812CD1"/>
    <w:rsid w:val="0081318D"/>
    <w:rsid w:val="00814EE5"/>
    <w:rsid w:val="00815ADE"/>
    <w:rsid w:val="00815B06"/>
    <w:rsid w:val="00816EDB"/>
    <w:rsid w:val="0081778B"/>
    <w:rsid w:val="00817B77"/>
    <w:rsid w:val="00822670"/>
    <w:rsid w:val="0082276C"/>
    <w:rsid w:val="0082301B"/>
    <w:rsid w:val="00823C4E"/>
    <w:rsid w:val="00823F20"/>
    <w:rsid w:val="00825511"/>
    <w:rsid w:val="00826847"/>
    <w:rsid w:val="00826CEE"/>
    <w:rsid w:val="0082782B"/>
    <w:rsid w:val="0083053D"/>
    <w:rsid w:val="00830570"/>
    <w:rsid w:val="0083117F"/>
    <w:rsid w:val="00831AB1"/>
    <w:rsid w:val="00831B2D"/>
    <w:rsid w:val="008329FE"/>
    <w:rsid w:val="0083352C"/>
    <w:rsid w:val="0083369B"/>
    <w:rsid w:val="00834869"/>
    <w:rsid w:val="00834BD5"/>
    <w:rsid w:val="008364C3"/>
    <w:rsid w:val="008367BE"/>
    <w:rsid w:val="00841D0D"/>
    <w:rsid w:val="00842271"/>
    <w:rsid w:val="00842D99"/>
    <w:rsid w:val="00850518"/>
    <w:rsid w:val="0085107A"/>
    <w:rsid w:val="0085395F"/>
    <w:rsid w:val="00853A33"/>
    <w:rsid w:val="00854F39"/>
    <w:rsid w:val="00856413"/>
    <w:rsid w:val="008604E0"/>
    <w:rsid w:val="00860AC4"/>
    <w:rsid w:val="00860B5D"/>
    <w:rsid w:val="008617E3"/>
    <w:rsid w:val="00864196"/>
    <w:rsid w:val="00864BD8"/>
    <w:rsid w:val="00867D9B"/>
    <w:rsid w:val="00867E0B"/>
    <w:rsid w:val="00870A03"/>
    <w:rsid w:val="00871491"/>
    <w:rsid w:val="00871BDA"/>
    <w:rsid w:val="0087298B"/>
    <w:rsid w:val="00872AF5"/>
    <w:rsid w:val="0087332B"/>
    <w:rsid w:val="00876B1A"/>
    <w:rsid w:val="00877391"/>
    <w:rsid w:val="00881838"/>
    <w:rsid w:val="00881E1D"/>
    <w:rsid w:val="008821F0"/>
    <w:rsid w:val="00882CE8"/>
    <w:rsid w:val="0088326F"/>
    <w:rsid w:val="008846FB"/>
    <w:rsid w:val="008854DF"/>
    <w:rsid w:val="0088641A"/>
    <w:rsid w:val="008907F7"/>
    <w:rsid w:val="00890A70"/>
    <w:rsid w:val="008922F8"/>
    <w:rsid w:val="008926D3"/>
    <w:rsid w:val="0089452F"/>
    <w:rsid w:val="00895A08"/>
    <w:rsid w:val="00896AAF"/>
    <w:rsid w:val="00896FCB"/>
    <w:rsid w:val="008A07F6"/>
    <w:rsid w:val="008A1295"/>
    <w:rsid w:val="008A3B70"/>
    <w:rsid w:val="008A506D"/>
    <w:rsid w:val="008A5A8E"/>
    <w:rsid w:val="008A61DA"/>
    <w:rsid w:val="008A664A"/>
    <w:rsid w:val="008B0575"/>
    <w:rsid w:val="008B1746"/>
    <w:rsid w:val="008B22F4"/>
    <w:rsid w:val="008B51C7"/>
    <w:rsid w:val="008B56EB"/>
    <w:rsid w:val="008B5EA3"/>
    <w:rsid w:val="008B602B"/>
    <w:rsid w:val="008B671E"/>
    <w:rsid w:val="008C0806"/>
    <w:rsid w:val="008C0F0E"/>
    <w:rsid w:val="008C134F"/>
    <w:rsid w:val="008C1855"/>
    <w:rsid w:val="008C1E69"/>
    <w:rsid w:val="008C393E"/>
    <w:rsid w:val="008C69B9"/>
    <w:rsid w:val="008D26CE"/>
    <w:rsid w:val="008D5C5D"/>
    <w:rsid w:val="008E044D"/>
    <w:rsid w:val="008E08D3"/>
    <w:rsid w:val="008E1604"/>
    <w:rsid w:val="008E2CFB"/>
    <w:rsid w:val="008E3855"/>
    <w:rsid w:val="008E42E0"/>
    <w:rsid w:val="008E45C5"/>
    <w:rsid w:val="008E4D10"/>
    <w:rsid w:val="008E4D2E"/>
    <w:rsid w:val="008E621A"/>
    <w:rsid w:val="008E70A4"/>
    <w:rsid w:val="008F0A8E"/>
    <w:rsid w:val="008F0B05"/>
    <w:rsid w:val="008F21C3"/>
    <w:rsid w:val="008F22F2"/>
    <w:rsid w:val="008F4714"/>
    <w:rsid w:val="008F47B2"/>
    <w:rsid w:val="008F4EC5"/>
    <w:rsid w:val="008F599A"/>
    <w:rsid w:val="009016EC"/>
    <w:rsid w:val="00901A12"/>
    <w:rsid w:val="00904442"/>
    <w:rsid w:val="00904E72"/>
    <w:rsid w:val="00905304"/>
    <w:rsid w:val="0090660A"/>
    <w:rsid w:val="0091076C"/>
    <w:rsid w:val="00910E63"/>
    <w:rsid w:val="0091335C"/>
    <w:rsid w:val="0091399A"/>
    <w:rsid w:val="00914FFD"/>
    <w:rsid w:val="009151A1"/>
    <w:rsid w:val="00915402"/>
    <w:rsid w:val="009217BD"/>
    <w:rsid w:val="00923C23"/>
    <w:rsid w:val="009241C5"/>
    <w:rsid w:val="00926CB3"/>
    <w:rsid w:val="0092720F"/>
    <w:rsid w:val="0093053E"/>
    <w:rsid w:val="0093244D"/>
    <w:rsid w:val="00933F3B"/>
    <w:rsid w:val="009350F0"/>
    <w:rsid w:val="00936443"/>
    <w:rsid w:val="00936B08"/>
    <w:rsid w:val="00936F2F"/>
    <w:rsid w:val="009400A6"/>
    <w:rsid w:val="00941189"/>
    <w:rsid w:val="0094133C"/>
    <w:rsid w:val="00943B10"/>
    <w:rsid w:val="00944680"/>
    <w:rsid w:val="00945A45"/>
    <w:rsid w:val="00946662"/>
    <w:rsid w:val="009467FA"/>
    <w:rsid w:val="00946BBE"/>
    <w:rsid w:val="00947879"/>
    <w:rsid w:val="00947D7D"/>
    <w:rsid w:val="009505DC"/>
    <w:rsid w:val="00951CCE"/>
    <w:rsid w:val="0095213D"/>
    <w:rsid w:val="00952969"/>
    <w:rsid w:val="00955257"/>
    <w:rsid w:val="009629AA"/>
    <w:rsid w:val="00962A88"/>
    <w:rsid w:val="00962F44"/>
    <w:rsid w:val="00964444"/>
    <w:rsid w:val="00965838"/>
    <w:rsid w:val="00965CB3"/>
    <w:rsid w:val="00965D8A"/>
    <w:rsid w:val="0096617C"/>
    <w:rsid w:val="00966D5E"/>
    <w:rsid w:val="00967447"/>
    <w:rsid w:val="00973A8D"/>
    <w:rsid w:val="00974DDC"/>
    <w:rsid w:val="00975A34"/>
    <w:rsid w:val="00977134"/>
    <w:rsid w:val="00977DF0"/>
    <w:rsid w:val="00980131"/>
    <w:rsid w:val="0098108B"/>
    <w:rsid w:val="009813C0"/>
    <w:rsid w:val="00983501"/>
    <w:rsid w:val="009860DE"/>
    <w:rsid w:val="00986AF1"/>
    <w:rsid w:val="009879F6"/>
    <w:rsid w:val="0099189E"/>
    <w:rsid w:val="0099320B"/>
    <w:rsid w:val="00993848"/>
    <w:rsid w:val="00993EBB"/>
    <w:rsid w:val="009975F0"/>
    <w:rsid w:val="009976D6"/>
    <w:rsid w:val="00997E07"/>
    <w:rsid w:val="009A1A03"/>
    <w:rsid w:val="009A3197"/>
    <w:rsid w:val="009A36B5"/>
    <w:rsid w:val="009A44EC"/>
    <w:rsid w:val="009A6344"/>
    <w:rsid w:val="009B0FF6"/>
    <w:rsid w:val="009B2D05"/>
    <w:rsid w:val="009B2DF2"/>
    <w:rsid w:val="009B6288"/>
    <w:rsid w:val="009C2FD5"/>
    <w:rsid w:val="009C4118"/>
    <w:rsid w:val="009C4B2E"/>
    <w:rsid w:val="009C56CA"/>
    <w:rsid w:val="009C6D7D"/>
    <w:rsid w:val="009D0379"/>
    <w:rsid w:val="009D0B92"/>
    <w:rsid w:val="009D102B"/>
    <w:rsid w:val="009D122A"/>
    <w:rsid w:val="009D133C"/>
    <w:rsid w:val="009D1552"/>
    <w:rsid w:val="009D7A9E"/>
    <w:rsid w:val="009D7F87"/>
    <w:rsid w:val="009E2042"/>
    <w:rsid w:val="009E32EE"/>
    <w:rsid w:val="009E3787"/>
    <w:rsid w:val="009E46BD"/>
    <w:rsid w:val="009E5F57"/>
    <w:rsid w:val="009F04A9"/>
    <w:rsid w:val="009F3BD9"/>
    <w:rsid w:val="009F4908"/>
    <w:rsid w:val="009F6890"/>
    <w:rsid w:val="009F69DE"/>
    <w:rsid w:val="009F747E"/>
    <w:rsid w:val="009F7D9B"/>
    <w:rsid w:val="00A03A0A"/>
    <w:rsid w:val="00A043EF"/>
    <w:rsid w:val="00A047BC"/>
    <w:rsid w:val="00A0587F"/>
    <w:rsid w:val="00A12D1C"/>
    <w:rsid w:val="00A12F85"/>
    <w:rsid w:val="00A15375"/>
    <w:rsid w:val="00A1688D"/>
    <w:rsid w:val="00A168D2"/>
    <w:rsid w:val="00A17B7C"/>
    <w:rsid w:val="00A2117A"/>
    <w:rsid w:val="00A224B9"/>
    <w:rsid w:val="00A2286A"/>
    <w:rsid w:val="00A22FAF"/>
    <w:rsid w:val="00A23683"/>
    <w:rsid w:val="00A23FBC"/>
    <w:rsid w:val="00A25C3C"/>
    <w:rsid w:val="00A2762C"/>
    <w:rsid w:val="00A27EBA"/>
    <w:rsid w:val="00A33EE1"/>
    <w:rsid w:val="00A34C9E"/>
    <w:rsid w:val="00A34F85"/>
    <w:rsid w:val="00A35715"/>
    <w:rsid w:val="00A368AA"/>
    <w:rsid w:val="00A3712F"/>
    <w:rsid w:val="00A40DB5"/>
    <w:rsid w:val="00A41804"/>
    <w:rsid w:val="00A43D91"/>
    <w:rsid w:val="00A446F5"/>
    <w:rsid w:val="00A44E1A"/>
    <w:rsid w:val="00A44EC4"/>
    <w:rsid w:val="00A45BE0"/>
    <w:rsid w:val="00A46351"/>
    <w:rsid w:val="00A46420"/>
    <w:rsid w:val="00A47703"/>
    <w:rsid w:val="00A50315"/>
    <w:rsid w:val="00A505EA"/>
    <w:rsid w:val="00A510F2"/>
    <w:rsid w:val="00A522ED"/>
    <w:rsid w:val="00A52D2D"/>
    <w:rsid w:val="00A548E8"/>
    <w:rsid w:val="00A54D4A"/>
    <w:rsid w:val="00A5669A"/>
    <w:rsid w:val="00A56C9C"/>
    <w:rsid w:val="00A57560"/>
    <w:rsid w:val="00A60293"/>
    <w:rsid w:val="00A604E8"/>
    <w:rsid w:val="00A61738"/>
    <w:rsid w:val="00A62B75"/>
    <w:rsid w:val="00A647AB"/>
    <w:rsid w:val="00A65121"/>
    <w:rsid w:val="00A66259"/>
    <w:rsid w:val="00A66E97"/>
    <w:rsid w:val="00A702B6"/>
    <w:rsid w:val="00A70799"/>
    <w:rsid w:val="00A70868"/>
    <w:rsid w:val="00A714D9"/>
    <w:rsid w:val="00A71B4E"/>
    <w:rsid w:val="00A72E22"/>
    <w:rsid w:val="00A74519"/>
    <w:rsid w:val="00A74CE9"/>
    <w:rsid w:val="00A76400"/>
    <w:rsid w:val="00A81F4E"/>
    <w:rsid w:val="00A85F02"/>
    <w:rsid w:val="00A86143"/>
    <w:rsid w:val="00A871CF"/>
    <w:rsid w:val="00A91725"/>
    <w:rsid w:val="00A91FC2"/>
    <w:rsid w:val="00A941BB"/>
    <w:rsid w:val="00A968E5"/>
    <w:rsid w:val="00AA2EA9"/>
    <w:rsid w:val="00AA3B40"/>
    <w:rsid w:val="00AA5E83"/>
    <w:rsid w:val="00AA6444"/>
    <w:rsid w:val="00AA7F25"/>
    <w:rsid w:val="00AB20E6"/>
    <w:rsid w:val="00AB21E0"/>
    <w:rsid w:val="00AB4C8F"/>
    <w:rsid w:val="00AB542D"/>
    <w:rsid w:val="00AB589F"/>
    <w:rsid w:val="00AB61F5"/>
    <w:rsid w:val="00AB660B"/>
    <w:rsid w:val="00AB7F08"/>
    <w:rsid w:val="00AC0CEB"/>
    <w:rsid w:val="00AC1160"/>
    <w:rsid w:val="00AC144F"/>
    <w:rsid w:val="00AC19D9"/>
    <w:rsid w:val="00AC1A22"/>
    <w:rsid w:val="00AC2497"/>
    <w:rsid w:val="00AC3DB9"/>
    <w:rsid w:val="00AC58CB"/>
    <w:rsid w:val="00AC62AE"/>
    <w:rsid w:val="00AC6E37"/>
    <w:rsid w:val="00AD10DA"/>
    <w:rsid w:val="00AD125E"/>
    <w:rsid w:val="00AD1709"/>
    <w:rsid w:val="00AD300D"/>
    <w:rsid w:val="00AD3417"/>
    <w:rsid w:val="00AD3D57"/>
    <w:rsid w:val="00AD7EA2"/>
    <w:rsid w:val="00AE4614"/>
    <w:rsid w:val="00AE606F"/>
    <w:rsid w:val="00AE678E"/>
    <w:rsid w:val="00AE720C"/>
    <w:rsid w:val="00AE7ADA"/>
    <w:rsid w:val="00AF0108"/>
    <w:rsid w:val="00AF02F6"/>
    <w:rsid w:val="00AF0A49"/>
    <w:rsid w:val="00AF2ADF"/>
    <w:rsid w:val="00AF2E94"/>
    <w:rsid w:val="00AF3FEE"/>
    <w:rsid w:val="00AF70F6"/>
    <w:rsid w:val="00B01A3C"/>
    <w:rsid w:val="00B028B3"/>
    <w:rsid w:val="00B03AD8"/>
    <w:rsid w:val="00B05DF7"/>
    <w:rsid w:val="00B062EB"/>
    <w:rsid w:val="00B06BD6"/>
    <w:rsid w:val="00B078AA"/>
    <w:rsid w:val="00B100F3"/>
    <w:rsid w:val="00B101D5"/>
    <w:rsid w:val="00B102A1"/>
    <w:rsid w:val="00B10E29"/>
    <w:rsid w:val="00B11B9F"/>
    <w:rsid w:val="00B12026"/>
    <w:rsid w:val="00B16825"/>
    <w:rsid w:val="00B16B6B"/>
    <w:rsid w:val="00B1744F"/>
    <w:rsid w:val="00B21975"/>
    <w:rsid w:val="00B21D91"/>
    <w:rsid w:val="00B24C0B"/>
    <w:rsid w:val="00B30743"/>
    <w:rsid w:val="00B309AB"/>
    <w:rsid w:val="00B32ED1"/>
    <w:rsid w:val="00B33A02"/>
    <w:rsid w:val="00B348B0"/>
    <w:rsid w:val="00B3683E"/>
    <w:rsid w:val="00B373A8"/>
    <w:rsid w:val="00B40CFB"/>
    <w:rsid w:val="00B41E1C"/>
    <w:rsid w:val="00B42AF5"/>
    <w:rsid w:val="00B42FAE"/>
    <w:rsid w:val="00B46A09"/>
    <w:rsid w:val="00B505BD"/>
    <w:rsid w:val="00B52BAD"/>
    <w:rsid w:val="00B5437A"/>
    <w:rsid w:val="00B54E7E"/>
    <w:rsid w:val="00B57063"/>
    <w:rsid w:val="00B57341"/>
    <w:rsid w:val="00B6023F"/>
    <w:rsid w:val="00B61CF3"/>
    <w:rsid w:val="00B61D61"/>
    <w:rsid w:val="00B6252D"/>
    <w:rsid w:val="00B64674"/>
    <w:rsid w:val="00B6777A"/>
    <w:rsid w:val="00B70B3E"/>
    <w:rsid w:val="00B72307"/>
    <w:rsid w:val="00B760E5"/>
    <w:rsid w:val="00B76DFD"/>
    <w:rsid w:val="00B776F4"/>
    <w:rsid w:val="00B77C02"/>
    <w:rsid w:val="00B80D66"/>
    <w:rsid w:val="00B821C3"/>
    <w:rsid w:val="00B82FCC"/>
    <w:rsid w:val="00B83B92"/>
    <w:rsid w:val="00B868FF"/>
    <w:rsid w:val="00B87DA4"/>
    <w:rsid w:val="00B902EC"/>
    <w:rsid w:val="00B912D8"/>
    <w:rsid w:val="00B91805"/>
    <w:rsid w:val="00B93A32"/>
    <w:rsid w:val="00B9444F"/>
    <w:rsid w:val="00B963CE"/>
    <w:rsid w:val="00B9686D"/>
    <w:rsid w:val="00B96D26"/>
    <w:rsid w:val="00B977A5"/>
    <w:rsid w:val="00BA04E8"/>
    <w:rsid w:val="00BA1C17"/>
    <w:rsid w:val="00BA1ECC"/>
    <w:rsid w:val="00BA23FF"/>
    <w:rsid w:val="00BA278C"/>
    <w:rsid w:val="00BA3F7A"/>
    <w:rsid w:val="00BA4443"/>
    <w:rsid w:val="00BA6B69"/>
    <w:rsid w:val="00BB0F3A"/>
    <w:rsid w:val="00BB1210"/>
    <w:rsid w:val="00BB18F6"/>
    <w:rsid w:val="00BB258D"/>
    <w:rsid w:val="00BB34BA"/>
    <w:rsid w:val="00BB493D"/>
    <w:rsid w:val="00BB5109"/>
    <w:rsid w:val="00BB5732"/>
    <w:rsid w:val="00BB7032"/>
    <w:rsid w:val="00BC14E8"/>
    <w:rsid w:val="00BC1DF4"/>
    <w:rsid w:val="00BC37C0"/>
    <w:rsid w:val="00BC3B95"/>
    <w:rsid w:val="00BC5484"/>
    <w:rsid w:val="00BC598E"/>
    <w:rsid w:val="00BC69D5"/>
    <w:rsid w:val="00BC72A1"/>
    <w:rsid w:val="00BD0F87"/>
    <w:rsid w:val="00BD1FAC"/>
    <w:rsid w:val="00BD2EAD"/>
    <w:rsid w:val="00BD3FA6"/>
    <w:rsid w:val="00BD7527"/>
    <w:rsid w:val="00BE44CC"/>
    <w:rsid w:val="00BE5237"/>
    <w:rsid w:val="00BE5672"/>
    <w:rsid w:val="00BE74BC"/>
    <w:rsid w:val="00BF15C7"/>
    <w:rsid w:val="00BF1C7E"/>
    <w:rsid w:val="00BF1F0A"/>
    <w:rsid w:val="00BF2939"/>
    <w:rsid w:val="00BF513B"/>
    <w:rsid w:val="00BF56AC"/>
    <w:rsid w:val="00BF6F5D"/>
    <w:rsid w:val="00C007CE"/>
    <w:rsid w:val="00C0140A"/>
    <w:rsid w:val="00C02A17"/>
    <w:rsid w:val="00C044D0"/>
    <w:rsid w:val="00C0506E"/>
    <w:rsid w:val="00C11285"/>
    <w:rsid w:val="00C125F0"/>
    <w:rsid w:val="00C131F6"/>
    <w:rsid w:val="00C13391"/>
    <w:rsid w:val="00C147C8"/>
    <w:rsid w:val="00C17194"/>
    <w:rsid w:val="00C17654"/>
    <w:rsid w:val="00C20113"/>
    <w:rsid w:val="00C21F1F"/>
    <w:rsid w:val="00C22251"/>
    <w:rsid w:val="00C23916"/>
    <w:rsid w:val="00C254B4"/>
    <w:rsid w:val="00C25F4C"/>
    <w:rsid w:val="00C2680E"/>
    <w:rsid w:val="00C26B29"/>
    <w:rsid w:val="00C274F3"/>
    <w:rsid w:val="00C32524"/>
    <w:rsid w:val="00C32EE7"/>
    <w:rsid w:val="00C33353"/>
    <w:rsid w:val="00C33BC8"/>
    <w:rsid w:val="00C348EE"/>
    <w:rsid w:val="00C404F7"/>
    <w:rsid w:val="00C40A55"/>
    <w:rsid w:val="00C41146"/>
    <w:rsid w:val="00C41232"/>
    <w:rsid w:val="00C41691"/>
    <w:rsid w:val="00C42CBF"/>
    <w:rsid w:val="00C42F7A"/>
    <w:rsid w:val="00C4369E"/>
    <w:rsid w:val="00C439C7"/>
    <w:rsid w:val="00C4515C"/>
    <w:rsid w:val="00C4527E"/>
    <w:rsid w:val="00C47848"/>
    <w:rsid w:val="00C47946"/>
    <w:rsid w:val="00C51403"/>
    <w:rsid w:val="00C52CC3"/>
    <w:rsid w:val="00C52E0C"/>
    <w:rsid w:val="00C576B9"/>
    <w:rsid w:val="00C576C6"/>
    <w:rsid w:val="00C57C07"/>
    <w:rsid w:val="00C60366"/>
    <w:rsid w:val="00C613CA"/>
    <w:rsid w:val="00C61E79"/>
    <w:rsid w:val="00C62062"/>
    <w:rsid w:val="00C622D4"/>
    <w:rsid w:val="00C64590"/>
    <w:rsid w:val="00C6473E"/>
    <w:rsid w:val="00C64CDC"/>
    <w:rsid w:val="00C6573B"/>
    <w:rsid w:val="00C65FF2"/>
    <w:rsid w:val="00C674F9"/>
    <w:rsid w:val="00C6D96A"/>
    <w:rsid w:val="00C7083B"/>
    <w:rsid w:val="00C70C9A"/>
    <w:rsid w:val="00C7149A"/>
    <w:rsid w:val="00C71664"/>
    <w:rsid w:val="00C71C27"/>
    <w:rsid w:val="00C73662"/>
    <w:rsid w:val="00C77A98"/>
    <w:rsid w:val="00C81CBF"/>
    <w:rsid w:val="00C81FC4"/>
    <w:rsid w:val="00C82E66"/>
    <w:rsid w:val="00C84309"/>
    <w:rsid w:val="00C8443B"/>
    <w:rsid w:val="00C85D75"/>
    <w:rsid w:val="00C86433"/>
    <w:rsid w:val="00C866E8"/>
    <w:rsid w:val="00C867D7"/>
    <w:rsid w:val="00C86E63"/>
    <w:rsid w:val="00C929A4"/>
    <w:rsid w:val="00C95E1C"/>
    <w:rsid w:val="00C9619A"/>
    <w:rsid w:val="00C96578"/>
    <w:rsid w:val="00CA19E9"/>
    <w:rsid w:val="00CA1DC4"/>
    <w:rsid w:val="00CA1E3F"/>
    <w:rsid w:val="00CA22E7"/>
    <w:rsid w:val="00CA2776"/>
    <w:rsid w:val="00CA2CBA"/>
    <w:rsid w:val="00CA35A0"/>
    <w:rsid w:val="00CA4284"/>
    <w:rsid w:val="00CA4352"/>
    <w:rsid w:val="00CA47B2"/>
    <w:rsid w:val="00CA495E"/>
    <w:rsid w:val="00CA5753"/>
    <w:rsid w:val="00CA6087"/>
    <w:rsid w:val="00CA6989"/>
    <w:rsid w:val="00CA7226"/>
    <w:rsid w:val="00CB10D7"/>
    <w:rsid w:val="00CB170A"/>
    <w:rsid w:val="00CB1C70"/>
    <w:rsid w:val="00CB3C67"/>
    <w:rsid w:val="00CB5C9A"/>
    <w:rsid w:val="00CC100D"/>
    <w:rsid w:val="00CC29ED"/>
    <w:rsid w:val="00CC2DAC"/>
    <w:rsid w:val="00CC2E0A"/>
    <w:rsid w:val="00CC7B09"/>
    <w:rsid w:val="00CD0F93"/>
    <w:rsid w:val="00CD1DE9"/>
    <w:rsid w:val="00CD33F2"/>
    <w:rsid w:val="00CD5ADC"/>
    <w:rsid w:val="00CD5AFA"/>
    <w:rsid w:val="00CE2F40"/>
    <w:rsid w:val="00CE3D1D"/>
    <w:rsid w:val="00CE4AFF"/>
    <w:rsid w:val="00CE4E2F"/>
    <w:rsid w:val="00CE5567"/>
    <w:rsid w:val="00CE7BDF"/>
    <w:rsid w:val="00CF09FF"/>
    <w:rsid w:val="00CF145E"/>
    <w:rsid w:val="00CF17FB"/>
    <w:rsid w:val="00CF3484"/>
    <w:rsid w:val="00CF36F2"/>
    <w:rsid w:val="00CF4DC9"/>
    <w:rsid w:val="00CF56A2"/>
    <w:rsid w:val="00CF7524"/>
    <w:rsid w:val="00CF7721"/>
    <w:rsid w:val="00D0073E"/>
    <w:rsid w:val="00D02B1A"/>
    <w:rsid w:val="00D03759"/>
    <w:rsid w:val="00D038EF"/>
    <w:rsid w:val="00D03E2A"/>
    <w:rsid w:val="00D04B4A"/>
    <w:rsid w:val="00D05DC4"/>
    <w:rsid w:val="00D071CF"/>
    <w:rsid w:val="00D0728E"/>
    <w:rsid w:val="00D07CCE"/>
    <w:rsid w:val="00D07DEE"/>
    <w:rsid w:val="00D10A8C"/>
    <w:rsid w:val="00D1104F"/>
    <w:rsid w:val="00D11FE4"/>
    <w:rsid w:val="00D12A57"/>
    <w:rsid w:val="00D1555D"/>
    <w:rsid w:val="00D2072F"/>
    <w:rsid w:val="00D208E5"/>
    <w:rsid w:val="00D247FB"/>
    <w:rsid w:val="00D272A9"/>
    <w:rsid w:val="00D27362"/>
    <w:rsid w:val="00D273A2"/>
    <w:rsid w:val="00D27556"/>
    <w:rsid w:val="00D27822"/>
    <w:rsid w:val="00D30283"/>
    <w:rsid w:val="00D33163"/>
    <w:rsid w:val="00D33B96"/>
    <w:rsid w:val="00D34B09"/>
    <w:rsid w:val="00D3722F"/>
    <w:rsid w:val="00D3725C"/>
    <w:rsid w:val="00D40DDD"/>
    <w:rsid w:val="00D41057"/>
    <w:rsid w:val="00D42B33"/>
    <w:rsid w:val="00D43DF8"/>
    <w:rsid w:val="00D45F23"/>
    <w:rsid w:val="00D46B64"/>
    <w:rsid w:val="00D47CC4"/>
    <w:rsid w:val="00D50749"/>
    <w:rsid w:val="00D52672"/>
    <w:rsid w:val="00D52C51"/>
    <w:rsid w:val="00D54FA8"/>
    <w:rsid w:val="00D561D8"/>
    <w:rsid w:val="00D565EF"/>
    <w:rsid w:val="00D5789E"/>
    <w:rsid w:val="00D64EAE"/>
    <w:rsid w:val="00D6685E"/>
    <w:rsid w:val="00D672CE"/>
    <w:rsid w:val="00D67B22"/>
    <w:rsid w:val="00D67B25"/>
    <w:rsid w:val="00D7164E"/>
    <w:rsid w:val="00D723AB"/>
    <w:rsid w:val="00D724A7"/>
    <w:rsid w:val="00D73EB6"/>
    <w:rsid w:val="00D76568"/>
    <w:rsid w:val="00D77518"/>
    <w:rsid w:val="00D7766B"/>
    <w:rsid w:val="00D77B33"/>
    <w:rsid w:val="00D80214"/>
    <w:rsid w:val="00D806C6"/>
    <w:rsid w:val="00D80CC6"/>
    <w:rsid w:val="00D82EF7"/>
    <w:rsid w:val="00D84031"/>
    <w:rsid w:val="00D8438E"/>
    <w:rsid w:val="00D85901"/>
    <w:rsid w:val="00D85B09"/>
    <w:rsid w:val="00D863EC"/>
    <w:rsid w:val="00D87724"/>
    <w:rsid w:val="00D87BB7"/>
    <w:rsid w:val="00D87BFE"/>
    <w:rsid w:val="00D87D54"/>
    <w:rsid w:val="00D9078F"/>
    <w:rsid w:val="00D90AD4"/>
    <w:rsid w:val="00D92D18"/>
    <w:rsid w:val="00D93E57"/>
    <w:rsid w:val="00D967D4"/>
    <w:rsid w:val="00D970CC"/>
    <w:rsid w:val="00DA259C"/>
    <w:rsid w:val="00DA3ED7"/>
    <w:rsid w:val="00DA4580"/>
    <w:rsid w:val="00DA4E1E"/>
    <w:rsid w:val="00DA742D"/>
    <w:rsid w:val="00DB2878"/>
    <w:rsid w:val="00DB4997"/>
    <w:rsid w:val="00DB5D1E"/>
    <w:rsid w:val="00DB5E7C"/>
    <w:rsid w:val="00DB63D5"/>
    <w:rsid w:val="00DB716A"/>
    <w:rsid w:val="00DB7F1E"/>
    <w:rsid w:val="00DC1A2D"/>
    <w:rsid w:val="00DC24AA"/>
    <w:rsid w:val="00DC2F24"/>
    <w:rsid w:val="00DC4ACE"/>
    <w:rsid w:val="00DC4F26"/>
    <w:rsid w:val="00DC5496"/>
    <w:rsid w:val="00DC5752"/>
    <w:rsid w:val="00DC5C72"/>
    <w:rsid w:val="00DC6F7F"/>
    <w:rsid w:val="00DC7A87"/>
    <w:rsid w:val="00DD06B3"/>
    <w:rsid w:val="00DD18E4"/>
    <w:rsid w:val="00DD3C7D"/>
    <w:rsid w:val="00DD4870"/>
    <w:rsid w:val="00DD48B2"/>
    <w:rsid w:val="00DD4BA5"/>
    <w:rsid w:val="00DD4EF1"/>
    <w:rsid w:val="00DD55C6"/>
    <w:rsid w:val="00DD5FF9"/>
    <w:rsid w:val="00DE11AD"/>
    <w:rsid w:val="00DE4F0D"/>
    <w:rsid w:val="00DE6517"/>
    <w:rsid w:val="00DF10EC"/>
    <w:rsid w:val="00DF3E16"/>
    <w:rsid w:val="00DF42CD"/>
    <w:rsid w:val="00DF43BE"/>
    <w:rsid w:val="00DF51FE"/>
    <w:rsid w:val="00E00101"/>
    <w:rsid w:val="00E00334"/>
    <w:rsid w:val="00E00631"/>
    <w:rsid w:val="00E006CD"/>
    <w:rsid w:val="00E00803"/>
    <w:rsid w:val="00E024B4"/>
    <w:rsid w:val="00E02728"/>
    <w:rsid w:val="00E03C48"/>
    <w:rsid w:val="00E0410B"/>
    <w:rsid w:val="00E041A4"/>
    <w:rsid w:val="00E04BA6"/>
    <w:rsid w:val="00E0767B"/>
    <w:rsid w:val="00E10D12"/>
    <w:rsid w:val="00E1360C"/>
    <w:rsid w:val="00E13976"/>
    <w:rsid w:val="00E13BDC"/>
    <w:rsid w:val="00E1734B"/>
    <w:rsid w:val="00E20814"/>
    <w:rsid w:val="00E2094E"/>
    <w:rsid w:val="00E21927"/>
    <w:rsid w:val="00E236A1"/>
    <w:rsid w:val="00E237C4"/>
    <w:rsid w:val="00E23DAB"/>
    <w:rsid w:val="00E240B7"/>
    <w:rsid w:val="00E32EE8"/>
    <w:rsid w:val="00E3362B"/>
    <w:rsid w:val="00E33849"/>
    <w:rsid w:val="00E339CD"/>
    <w:rsid w:val="00E37A01"/>
    <w:rsid w:val="00E40C97"/>
    <w:rsid w:val="00E41132"/>
    <w:rsid w:val="00E427AA"/>
    <w:rsid w:val="00E43ABE"/>
    <w:rsid w:val="00E45517"/>
    <w:rsid w:val="00E46931"/>
    <w:rsid w:val="00E504F4"/>
    <w:rsid w:val="00E534E1"/>
    <w:rsid w:val="00E567A5"/>
    <w:rsid w:val="00E61424"/>
    <w:rsid w:val="00E6175F"/>
    <w:rsid w:val="00E625AE"/>
    <w:rsid w:val="00E62A96"/>
    <w:rsid w:val="00E638A0"/>
    <w:rsid w:val="00E666D4"/>
    <w:rsid w:val="00E70057"/>
    <w:rsid w:val="00E82111"/>
    <w:rsid w:val="00E837D3"/>
    <w:rsid w:val="00E83BD4"/>
    <w:rsid w:val="00E83E6B"/>
    <w:rsid w:val="00E83FF5"/>
    <w:rsid w:val="00E842FA"/>
    <w:rsid w:val="00E852C5"/>
    <w:rsid w:val="00E87CEF"/>
    <w:rsid w:val="00E90516"/>
    <w:rsid w:val="00E91CF5"/>
    <w:rsid w:val="00E9265D"/>
    <w:rsid w:val="00E92798"/>
    <w:rsid w:val="00E92FF0"/>
    <w:rsid w:val="00E93AB8"/>
    <w:rsid w:val="00E944BA"/>
    <w:rsid w:val="00E96CD8"/>
    <w:rsid w:val="00E970CA"/>
    <w:rsid w:val="00E971FA"/>
    <w:rsid w:val="00EA1259"/>
    <w:rsid w:val="00EA245A"/>
    <w:rsid w:val="00EA4924"/>
    <w:rsid w:val="00EA5A87"/>
    <w:rsid w:val="00EA6FAC"/>
    <w:rsid w:val="00EA7C3C"/>
    <w:rsid w:val="00EB0A19"/>
    <w:rsid w:val="00EB0A1D"/>
    <w:rsid w:val="00EB3126"/>
    <w:rsid w:val="00EB3ADC"/>
    <w:rsid w:val="00EB6052"/>
    <w:rsid w:val="00EB670F"/>
    <w:rsid w:val="00EB6E8B"/>
    <w:rsid w:val="00EC16E1"/>
    <w:rsid w:val="00EC1713"/>
    <w:rsid w:val="00EC21A6"/>
    <w:rsid w:val="00EC2B88"/>
    <w:rsid w:val="00EC4E13"/>
    <w:rsid w:val="00EC7003"/>
    <w:rsid w:val="00ED0D95"/>
    <w:rsid w:val="00ED18D6"/>
    <w:rsid w:val="00EE026C"/>
    <w:rsid w:val="00EE110E"/>
    <w:rsid w:val="00EE1626"/>
    <w:rsid w:val="00EE18B6"/>
    <w:rsid w:val="00EE3114"/>
    <w:rsid w:val="00EE3ABF"/>
    <w:rsid w:val="00EE3DF6"/>
    <w:rsid w:val="00EE43A7"/>
    <w:rsid w:val="00EE4CFD"/>
    <w:rsid w:val="00EE66AA"/>
    <w:rsid w:val="00EE7019"/>
    <w:rsid w:val="00EE771F"/>
    <w:rsid w:val="00EF093D"/>
    <w:rsid w:val="00EF269E"/>
    <w:rsid w:val="00EF31DC"/>
    <w:rsid w:val="00EF6A2F"/>
    <w:rsid w:val="00F00041"/>
    <w:rsid w:val="00F01580"/>
    <w:rsid w:val="00F018A6"/>
    <w:rsid w:val="00F02097"/>
    <w:rsid w:val="00F0217F"/>
    <w:rsid w:val="00F023C4"/>
    <w:rsid w:val="00F024B8"/>
    <w:rsid w:val="00F03853"/>
    <w:rsid w:val="00F041BC"/>
    <w:rsid w:val="00F05561"/>
    <w:rsid w:val="00F05E5A"/>
    <w:rsid w:val="00F06996"/>
    <w:rsid w:val="00F07018"/>
    <w:rsid w:val="00F11331"/>
    <w:rsid w:val="00F12C66"/>
    <w:rsid w:val="00F147B4"/>
    <w:rsid w:val="00F148E8"/>
    <w:rsid w:val="00F14E12"/>
    <w:rsid w:val="00F15FD7"/>
    <w:rsid w:val="00F167A0"/>
    <w:rsid w:val="00F20160"/>
    <w:rsid w:val="00F2332E"/>
    <w:rsid w:val="00F237F9"/>
    <w:rsid w:val="00F23E18"/>
    <w:rsid w:val="00F245A7"/>
    <w:rsid w:val="00F30AF3"/>
    <w:rsid w:val="00F315B0"/>
    <w:rsid w:val="00F323E4"/>
    <w:rsid w:val="00F33580"/>
    <w:rsid w:val="00F33ACE"/>
    <w:rsid w:val="00F34E72"/>
    <w:rsid w:val="00F34FC8"/>
    <w:rsid w:val="00F369B7"/>
    <w:rsid w:val="00F37E11"/>
    <w:rsid w:val="00F41171"/>
    <w:rsid w:val="00F41BE4"/>
    <w:rsid w:val="00F4259A"/>
    <w:rsid w:val="00F4277E"/>
    <w:rsid w:val="00F42F3B"/>
    <w:rsid w:val="00F42FCE"/>
    <w:rsid w:val="00F43D71"/>
    <w:rsid w:val="00F4510E"/>
    <w:rsid w:val="00F457C2"/>
    <w:rsid w:val="00F4771E"/>
    <w:rsid w:val="00F47F80"/>
    <w:rsid w:val="00F5058B"/>
    <w:rsid w:val="00F50718"/>
    <w:rsid w:val="00F50E00"/>
    <w:rsid w:val="00F543B2"/>
    <w:rsid w:val="00F555CF"/>
    <w:rsid w:val="00F55942"/>
    <w:rsid w:val="00F56A92"/>
    <w:rsid w:val="00F57C7F"/>
    <w:rsid w:val="00F57E64"/>
    <w:rsid w:val="00F601A7"/>
    <w:rsid w:val="00F606B7"/>
    <w:rsid w:val="00F60FF3"/>
    <w:rsid w:val="00F620A8"/>
    <w:rsid w:val="00F646BA"/>
    <w:rsid w:val="00F653BB"/>
    <w:rsid w:val="00F72322"/>
    <w:rsid w:val="00F73188"/>
    <w:rsid w:val="00F739E6"/>
    <w:rsid w:val="00F73B01"/>
    <w:rsid w:val="00F7466F"/>
    <w:rsid w:val="00F75341"/>
    <w:rsid w:val="00F7642A"/>
    <w:rsid w:val="00F764C1"/>
    <w:rsid w:val="00F76F7F"/>
    <w:rsid w:val="00F80602"/>
    <w:rsid w:val="00F81919"/>
    <w:rsid w:val="00F83356"/>
    <w:rsid w:val="00F8402B"/>
    <w:rsid w:val="00F84447"/>
    <w:rsid w:val="00F85DC2"/>
    <w:rsid w:val="00F921B5"/>
    <w:rsid w:val="00F92911"/>
    <w:rsid w:val="00F9493B"/>
    <w:rsid w:val="00F959B5"/>
    <w:rsid w:val="00F966BE"/>
    <w:rsid w:val="00F970F2"/>
    <w:rsid w:val="00F9740B"/>
    <w:rsid w:val="00FA01F4"/>
    <w:rsid w:val="00FA1319"/>
    <w:rsid w:val="00FA57C1"/>
    <w:rsid w:val="00FA5EDD"/>
    <w:rsid w:val="00FA5F3D"/>
    <w:rsid w:val="00FA669F"/>
    <w:rsid w:val="00FA7205"/>
    <w:rsid w:val="00FB14FF"/>
    <w:rsid w:val="00FB1572"/>
    <w:rsid w:val="00FB17EA"/>
    <w:rsid w:val="00FB1894"/>
    <w:rsid w:val="00FB324F"/>
    <w:rsid w:val="00FB5390"/>
    <w:rsid w:val="00FB77F4"/>
    <w:rsid w:val="00FC0D48"/>
    <w:rsid w:val="00FC111F"/>
    <w:rsid w:val="00FC14FD"/>
    <w:rsid w:val="00FC517C"/>
    <w:rsid w:val="00FC674D"/>
    <w:rsid w:val="00FC740A"/>
    <w:rsid w:val="00FC75AE"/>
    <w:rsid w:val="00FC7ABF"/>
    <w:rsid w:val="00FC7B29"/>
    <w:rsid w:val="00FC7DC5"/>
    <w:rsid w:val="00FD01CE"/>
    <w:rsid w:val="00FD33CA"/>
    <w:rsid w:val="00FD367C"/>
    <w:rsid w:val="00FD4514"/>
    <w:rsid w:val="00FD4627"/>
    <w:rsid w:val="00FD623E"/>
    <w:rsid w:val="00FD7D75"/>
    <w:rsid w:val="00FE04FE"/>
    <w:rsid w:val="00FE0886"/>
    <w:rsid w:val="00FE2217"/>
    <w:rsid w:val="00FE2B19"/>
    <w:rsid w:val="00FE304D"/>
    <w:rsid w:val="00FE369B"/>
    <w:rsid w:val="00FE4B78"/>
    <w:rsid w:val="00FE5E1C"/>
    <w:rsid w:val="00FE6048"/>
    <w:rsid w:val="00FE7623"/>
    <w:rsid w:val="00FF185E"/>
    <w:rsid w:val="00FF2374"/>
    <w:rsid w:val="00FF2440"/>
    <w:rsid w:val="00FF26A0"/>
    <w:rsid w:val="00FF342F"/>
    <w:rsid w:val="00FF4F8A"/>
    <w:rsid w:val="00FF53DC"/>
    <w:rsid w:val="00FF564A"/>
    <w:rsid w:val="00FF62C7"/>
    <w:rsid w:val="00FF65B5"/>
    <w:rsid w:val="00FF7B9B"/>
    <w:rsid w:val="01413BE4"/>
    <w:rsid w:val="014EBD03"/>
    <w:rsid w:val="01A12362"/>
    <w:rsid w:val="026882EA"/>
    <w:rsid w:val="02743456"/>
    <w:rsid w:val="02E2D430"/>
    <w:rsid w:val="034147A5"/>
    <w:rsid w:val="03495031"/>
    <w:rsid w:val="03E4A41E"/>
    <w:rsid w:val="03F3488B"/>
    <w:rsid w:val="049AB9BB"/>
    <w:rsid w:val="0808F42A"/>
    <w:rsid w:val="08252F2C"/>
    <w:rsid w:val="08FAF9CD"/>
    <w:rsid w:val="0914F2AF"/>
    <w:rsid w:val="0AF67BFE"/>
    <w:rsid w:val="0BA4C57A"/>
    <w:rsid w:val="0BF1AA47"/>
    <w:rsid w:val="0C3560A6"/>
    <w:rsid w:val="0CE3C996"/>
    <w:rsid w:val="0D7999F0"/>
    <w:rsid w:val="0F07F8B8"/>
    <w:rsid w:val="0F7D5C58"/>
    <w:rsid w:val="0F9840DE"/>
    <w:rsid w:val="106F2600"/>
    <w:rsid w:val="11BDE1A8"/>
    <w:rsid w:val="1242AF95"/>
    <w:rsid w:val="1303F313"/>
    <w:rsid w:val="13A187A0"/>
    <w:rsid w:val="13EA5F05"/>
    <w:rsid w:val="1501B9F6"/>
    <w:rsid w:val="15310522"/>
    <w:rsid w:val="153D5801"/>
    <w:rsid w:val="15988C8D"/>
    <w:rsid w:val="15F8BD24"/>
    <w:rsid w:val="164D0AD2"/>
    <w:rsid w:val="1663C0C3"/>
    <w:rsid w:val="16F84A06"/>
    <w:rsid w:val="170707F2"/>
    <w:rsid w:val="17487D65"/>
    <w:rsid w:val="18A827FB"/>
    <w:rsid w:val="18AEDAFE"/>
    <w:rsid w:val="18C42F5E"/>
    <w:rsid w:val="1910CDD9"/>
    <w:rsid w:val="195692CE"/>
    <w:rsid w:val="1A726806"/>
    <w:rsid w:val="1CE7B04C"/>
    <w:rsid w:val="1D3EE5C4"/>
    <w:rsid w:val="1D4B3989"/>
    <w:rsid w:val="1E160BC7"/>
    <w:rsid w:val="1E99BE70"/>
    <w:rsid w:val="1EA89C3C"/>
    <w:rsid w:val="1FDFCFDB"/>
    <w:rsid w:val="2032BED8"/>
    <w:rsid w:val="22F9FCD1"/>
    <w:rsid w:val="23BE1E55"/>
    <w:rsid w:val="24A4A5F4"/>
    <w:rsid w:val="250FF03A"/>
    <w:rsid w:val="25DA7603"/>
    <w:rsid w:val="2620FA34"/>
    <w:rsid w:val="26FA7DD1"/>
    <w:rsid w:val="27817AFB"/>
    <w:rsid w:val="280F9A5F"/>
    <w:rsid w:val="2912D9BE"/>
    <w:rsid w:val="2A5C7AB8"/>
    <w:rsid w:val="2B360CEA"/>
    <w:rsid w:val="2C93D577"/>
    <w:rsid w:val="2DC18ECE"/>
    <w:rsid w:val="2E866BC4"/>
    <w:rsid w:val="2EAE1D74"/>
    <w:rsid w:val="301DE12B"/>
    <w:rsid w:val="30381AB9"/>
    <w:rsid w:val="3057F51E"/>
    <w:rsid w:val="3062D329"/>
    <w:rsid w:val="31C400D3"/>
    <w:rsid w:val="31FD02CF"/>
    <w:rsid w:val="32C8D16A"/>
    <w:rsid w:val="33BDC75C"/>
    <w:rsid w:val="33C4A7B8"/>
    <w:rsid w:val="34C13F2F"/>
    <w:rsid w:val="34DB5D2E"/>
    <w:rsid w:val="35535839"/>
    <w:rsid w:val="35AB227A"/>
    <w:rsid w:val="35FB51C5"/>
    <w:rsid w:val="367F1357"/>
    <w:rsid w:val="36921822"/>
    <w:rsid w:val="37D0C7F3"/>
    <w:rsid w:val="3824BDC7"/>
    <w:rsid w:val="386A94C9"/>
    <w:rsid w:val="3877B204"/>
    <w:rsid w:val="38AC5A10"/>
    <w:rsid w:val="3959653F"/>
    <w:rsid w:val="3AA590D0"/>
    <w:rsid w:val="3AB84A4F"/>
    <w:rsid w:val="3B4C23E9"/>
    <w:rsid w:val="3C5E78D9"/>
    <w:rsid w:val="3C85E212"/>
    <w:rsid w:val="3E664BBB"/>
    <w:rsid w:val="3FB4F024"/>
    <w:rsid w:val="40BE61F4"/>
    <w:rsid w:val="412A45DD"/>
    <w:rsid w:val="41EBD1A2"/>
    <w:rsid w:val="42AA53B1"/>
    <w:rsid w:val="42BDE9C1"/>
    <w:rsid w:val="44411FC8"/>
    <w:rsid w:val="455C9C29"/>
    <w:rsid w:val="4637E847"/>
    <w:rsid w:val="46A7A1D4"/>
    <w:rsid w:val="4705C77F"/>
    <w:rsid w:val="47673D27"/>
    <w:rsid w:val="48301091"/>
    <w:rsid w:val="48402602"/>
    <w:rsid w:val="494525D5"/>
    <w:rsid w:val="49B14F1F"/>
    <w:rsid w:val="4A13C79B"/>
    <w:rsid w:val="4B706384"/>
    <w:rsid w:val="4C639E3A"/>
    <w:rsid w:val="4C6E4261"/>
    <w:rsid w:val="4C71FADF"/>
    <w:rsid w:val="4C7CC697"/>
    <w:rsid w:val="4D1B4850"/>
    <w:rsid w:val="4D2A8646"/>
    <w:rsid w:val="4D612D71"/>
    <w:rsid w:val="4F4B619A"/>
    <w:rsid w:val="4F63DF17"/>
    <w:rsid w:val="502DBC70"/>
    <w:rsid w:val="51C13AA4"/>
    <w:rsid w:val="51E70A51"/>
    <w:rsid w:val="51F566F6"/>
    <w:rsid w:val="520583F0"/>
    <w:rsid w:val="532435BE"/>
    <w:rsid w:val="535A998A"/>
    <w:rsid w:val="53D4DD2A"/>
    <w:rsid w:val="541F8A51"/>
    <w:rsid w:val="549B134A"/>
    <w:rsid w:val="555091A4"/>
    <w:rsid w:val="56BC0BEE"/>
    <w:rsid w:val="5743E856"/>
    <w:rsid w:val="5761A92B"/>
    <w:rsid w:val="5835CE65"/>
    <w:rsid w:val="599FF252"/>
    <w:rsid w:val="59BB7659"/>
    <w:rsid w:val="5B32B80B"/>
    <w:rsid w:val="5B42CDAB"/>
    <w:rsid w:val="5BCE7F6F"/>
    <w:rsid w:val="5BDE27D4"/>
    <w:rsid w:val="5D011594"/>
    <w:rsid w:val="5D30897F"/>
    <w:rsid w:val="5D5A3714"/>
    <w:rsid w:val="5DCA0519"/>
    <w:rsid w:val="5EE64838"/>
    <w:rsid w:val="5EFA12BF"/>
    <w:rsid w:val="6203D2AE"/>
    <w:rsid w:val="6242B44F"/>
    <w:rsid w:val="626168F2"/>
    <w:rsid w:val="62E1AE75"/>
    <w:rsid w:val="63E6075F"/>
    <w:rsid w:val="640BA814"/>
    <w:rsid w:val="64440F43"/>
    <w:rsid w:val="648CC16F"/>
    <w:rsid w:val="64C11107"/>
    <w:rsid w:val="656CA3AA"/>
    <w:rsid w:val="659807F7"/>
    <w:rsid w:val="65DC208F"/>
    <w:rsid w:val="664330B4"/>
    <w:rsid w:val="6866AEBD"/>
    <w:rsid w:val="69098841"/>
    <w:rsid w:val="69DA8D44"/>
    <w:rsid w:val="69E16809"/>
    <w:rsid w:val="6AF4156D"/>
    <w:rsid w:val="6BF11186"/>
    <w:rsid w:val="6C594E30"/>
    <w:rsid w:val="6D2E310E"/>
    <w:rsid w:val="6D3502EA"/>
    <w:rsid w:val="6EA5561A"/>
    <w:rsid w:val="6EDEA009"/>
    <w:rsid w:val="6F9CE6EE"/>
    <w:rsid w:val="7024B174"/>
    <w:rsid w:val="709FD8DA"/>
    <w:rsid w:val="7112B3A2"/>
    <w:rsid w:val="718DA548"/>
    <w:rsid w:val="719FC9DD"/>
    <w:rsid w:val="72A4A896"/>
    <w:rsid w:val="72E9202B"/>
    <w:rsid w:val="735A5969"/>
    <w:rsid w:val="74A52A9E"/>
    <w:rsid w:val="753632C4"/>
    <w:rsid w:val="75911CAE"/>
    <w:rsid w:val="770A0D97"/>
    <w:rsid w:val="777DF03B"/>
    <w:rsid w:val="783F71D0"/>
    <w:rsid w:val="783FC91E"/>
    <w:rsid w:val="78F7AE5C"/>
    <w:rsid w:val="797F91F5"/>
    <w:rsid w:val="79EFB7F0"/>
    <w:rsid w:val="79FF9B6D"/>
    <w:rsid w:val="7B7DE978"/>
    <w:rsid w:val="7BFDFC2A"/>
    <w:rsid w:val="7C328190"/>
    <w:rsid w:val="7CC48432"/>
    <w:rsid w:val="7D3D9CDB"/>
    <w:rsid w:val="7D7FD262"/>
    <w:rsid w:val="7E23458C"/>
    <w:rsid w:val="7E632C4A"/>
    <w:rsid w:val="7EFC5CC1"/>
    <w:rsid w:val="7F6000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B2E89"/>
  <w15:chartTrackingRefBased/>
  <w15:docId w15:val="{F18FEDBF-336F-441C-A03D-F195A15D3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EastAsia" w:hAnsiTheme="majorHAnsi" w:cstheme="minorBidi"/>
        <w:lang w:val="en-US" w:eastAsia="en-US" w:bidi="ar-SA"/>
      </w:rPr>
    </w:rPrDefault>
    <w:pPrDefault/>
  </w:docDefaults>
  <w:latentStyles w:defLockedState="0" w:defUIPriority="99" w:defSemiHidden="0" w:defUnhideWhenUsed="0" w:defQFormat="0" w:count="376">
    <w:lsdException w:name="Normal" w:qFormat="1"/>
    <w:lsdException w:name="heading 1" w:semiHidden="1" w:uiPriority="0" w:unhideWhenUsed="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1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EE7019"/>
    <w:rPr>
      <w:rFonts w:asciiTheme="minorHAnsi" w:hAnsiTheme="minorHAnsi"/>
    </w:rPr>
  </w:style>
  <w:style w:type="paragraph" w:styleId="Heading1">
    <w:name w:val="heading 1"/>
    <w:basedOn w:val="Normal"/>
    <w:next w:val="BodyText"/>
    <w:link w:val="Heading1Char"/>
    <w:qFormat/>
    <w:rsid w:val="009813C0"/>
    <w:pPr>
      <w:keepNext/>
      <w:keepLines/>
      <w:pageBreakBefore/>
      <w:numPr>
        <w:numId w:val="18"/>
      </w:numPr>
      <w:spacing w:before="240" w:after="120"/>
      <w:outlineLvl w:val="0"/>
    </w:pPr>
    <w:rPr>
      <w:rFonts w:ascii="Arial" w:eastAsiaTheme="majorEastAsia" w:hAnsi="Arial" w:cstheme="majorBidi"/>
      <w:b/>
      <w:color w:val="231EDC" w:themeColor="accent1"/>
      <w:sz w:val="32"/>
      <w:szCs w:val="32"/>
    </w:rPr>
  </w:style>
  <w:style w:type="paragraph" w:styleId="Heading2">
    <w:name w:val="heading 2"/>
    <w:basedOn w:val="Normal"/>
    <w:next w:val="BodyText"/>
    <w:link w:val="Heading2Char"/>
    <w:qFormat/>
    <w:rsid w:val="005F196F"/>
    <w:pPr>
      <w:keepNext/>
      <w:keepLines/>
      <w:numPr>
        <w:ilvl w:val="1"/>
        <w:numId w:val="18"/>
      </w:numPr>
      <w:spacing w:before="240" w:after="120"/>
      <w:outlineLvl w:val="1"/>
    </w:pPr>
    <w:rPr>
      <w:rFonts w:ascii="Arial" w:eastAsiaTheme="majorEastAsia" w:hAnsi="Arial" w:cstheme="majorBidi"/>
      <w:b/>
      <w:sz w:val="28"/>
      <w:szCs w:val="26"/>
    </w:rPr>
  </w:style>
  <w:style w:type="paragraph" w:styleId="Heading3">
    <w:name w:val="heading 3"/>
    <w:basedOn w:val="Normal"/>
    <w:next w:val="BodyText"/>
    <w:link w:val="Heading3Char"/>
    <w:qFormat/>
    <w:rsid w:val="00A043EF"/>
    <w:pPr>
      <w:keepNext/>
      <w:keepLines/>
      <w:numPr>
        <w:ilvl w:val="2"/>
        <w:numId w:val="18"/>
      </w:numPr>
      <w:spacing w:before="240" w:after="120"/>
      <w:outlineLvl w:val="2"/>
    </w:pPr>
    <w:rPr>
      <w:rFonts w:ascii="Arial" w:eastAsiaTheme="majorEastAsia" w:hAnsi="Arial" w:cstheme="majorBidi"/>
      <w:b/>
      <w:sz w:val="26"/>
      <w:szCs w:val="24"/>
    </w:rPr>
  </w:style>
  <w:style w:type="paragraph" w:styleId="Heading4">
    <w:name w:val="heading 4"/>
    <w:basedOn w:val="Normal"/>
    <w:next w:val="BodyText"/>
    <w:link w:val="Heading4Char"/>
    <w:qFormat/>
    <w:rsid w:val="00A043EF"/>
    <w:pPr>
      <w:keepNext/>
      <w:keepLines/>
      <w:numPr>
        <w:ilvl w:val="3"/>
        <w:numId w:val="18"/>
      </w:numPr>
      <w:spacing w:before="240" w:after="120"/>
      <w:outlineLvl w:val="3"/>
    </w:pPr>
    <w:rPr>
      <w:rFonts w:ascii="Arial" w:eastAsiaTheme="majorEastAsia" w:hAnsi="Arial" w:cstheme="majorBidi"/>
      <w:b/>
      <w:iCs/>
      <w:sz w:val="24"/>
    </w:rPr>
  </w:style>
  <w:style w:type="paragraph" w:styleId="Heading5">
    <w:name w:val="heading 5"/>
    <w:basedOn w:val="Normal"/>
    <w:next w:val="BodyText"/>
    <w:link w:val="Heading5Char"/>
    <w:qFormat/>
    <w:rsid w:val="00A043EF"/>
    <w:pPr>
      <w:keepNext/>
      <w:keepLines/>
      <w:numPr>
        <w:ilvl w:val="4"/>
        <w:numId w:val="18"/>
      </w:numPr>
      <w:spacing w:before="240" w:after="120"/>
      <w:outlineLvl w:val="4"/>
    </w:pPr>
    <w:rPr>
      <w:rFonts w:ascii="Arial" w:eastAsiaTheme="majorEastAsia" w:hAnsi="Arial" w:cstheme="majorBidi"/>
      <w:b/>
      <w:sz w:val="22"/>
    </w:rPr>
  </w:style>
  <w:style w:type="paragraph" w:styleId="Heading6">
    <w:name w:val="heading 6"/>
    <w:basedOn w:val="Normal"/>
    <w:next w:val="BodyText"/>
    <w:link w:val="Heading6Char"/>
    <w:qFormat/>
    <w:rsid w:val="00A043EF"/>
    <w:pPr>
      <w:keepNext/>
      <w:keepLines/>
      <w:numPr>
        <w:ilvl w:val="5"/>
        <w:numId w:val="18"/>
      </w:numPr>
      <w:spacing w:before="240" w:after="120"/>
      <w:outlineLvl w:val="5"/>
    </w:pPr>
    <w:rPr>
      <w:rFonts w:ascii="Arial" w:eastAsiaTheme="majorEastAsia" w:hAnsi="Arial" w:cstheme="majorBidi"/>
      <w:b/>
    </w:rPr>
  </w:style>
  <w:style w:type="paragraph" w:styleId="Heading7">
    <w:name w:val="heading 7"/>
    <w:basedOn w:val="Normal"/>
    <w:next w:val="Normal"/>
    <w:link w:val="Heading7Char"/>
    <w:semiHidden/>
    <w:rsid w:val="008E4D10"/>
    <w:pPr>
      <w:keepNext/>
      <w:keepLines/>
      <w:numPr>
        <w:ilvl w:val="6"/>
        <w:numId w:val="18"/>
      </w:numPr>
      <w:spacing w:before="240" w:after="120"/>
      <w:outlineLvl w:val="6"/>
    </w:pPr>
    <w:rPr>
      <w:rFonts w:asciiTheme="majorHAnsi" w:eastAsiaTheme="majorEastAsia" w:hAnsiTheme="majorHAnsi" w:cstheme="majorBidi"/>
      <w:b/>
      <w:iCs/>
    </w:rPr>
  </w:style>
  <w:style w:type="paragraph" w:styleId="Heading8">
    <w:name w:val="heading 8"/>
    <w:basedOn w:val="Normal"/>
    <w:next w:val="Normal"/>
    <w:link w:val="Heading8Char"/>
    <w:semiHidden/>
    <w:rsid w:val="008E4D10"/>
    <w:pPr>
      <w:keepNext/>
      <w:keepLines/>
      <w:numPr>
        <w:ilvl w:val="7"/>
        <w:numId w:val="18"/>
      </w:numPr>
      <w:spacing w:before="240" w:after="120"/>
      <w:outlineLvl w:val="7"/>
    </w:pPr>
    <w:rPr>
      <w:rFonts w:asciiTheme="majorHAnsi" w:eastAsiaTheme="majorEastAsia" w:hAnsiTheme="majorHAnsi" w:cstheme="majorBidi"/>
      <w:b/>
      <w:sz w:val="21"/>
      <w:szCs w:val="21"/>
    </w:rPr>
  </w:style>
  <w:style w:type="paragraph" w:styleId="Heading9">
    <w:name w:val="heading 9"/>
    <w:aliases w:val="Appendix Heading 1"/>
    <w:basedOn w:val="Normal"/>
    <w:next w:val="BodyText"/>
    <w:link w:val="Heading9Char"/>
    <w:uiPriority w:val="19"/>
    <w:semiHidden/>
    <w:rsid w:val="008E4D10"/>
    <w:pPr>
      <w:keepNext/>
      <w:keepLines/>
      <w:pageBreakBefore/>
      <w:numPr>
        <w:numId w:val="20"/>
      </w:numPr>
      <w:spacing w:before="240" w:after="120"/>
      <w:outlineLvl w:val="8"/>
    </w:pPr>
    <w:rPr>
      <w:rFonts w:asciiTheme="majorHAnsi" w:eastAsiaTheme="majorEastAsia" w:hAnsiTheme="majorHAnsi" w:cstheme="majorBidi"/>
      <w:b/>
      <w:iCs/>
      <w:color w:val="231EDC" w:themeColor="accent1"/>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E4D10"/>
    <w:rPr>
      <w:rFonts w:ascii="Jacobs Chronos Light" w:hAnsi="Jacobs Chronos Light"/>
      <w:color w:val="333333" w:themeColor="text2"/>
      <w:sz w:val="24"/>
    </w:rPr>
  </w:style>
  <w:style w:type="character" w:customStyle="1" w:styleId="HeaderChar">
    <w:name w:val="Header Char"/>
    <w:basedOn w:val="DefaultParagraphFont"/>
    <w:link w:val="Header"/>
    <w:uiPriority w:val="99"/>
    <w:semiHidden/>
    <w:rsid w:val="008E4D10"/>
    <w:rPr>
      <w:rFonts w:ascii="Jacobs Chronos Light" w:hAnsi="Jacobs Chronos Light"/>
      <w:color w:val="333333" w:themeColor="text2"/>
      <w:sz w:val="24"/>
    </w:rPr>
  </w:style>
  <w:style w:type="paragraph" w:styleId="Footer">
    <w:name w:val="footer"/>
    <w:basedOn w:val="Normal"/>
    <w:link w:val="FooterChar"/>
    <w:uiPriority w:val="99"/>
    <w:semiHidden/>
    <w:rsid w:val="00F970F2"/>
    <w:rPr>
      <w:rFonts w:ascii="Arial" w:hAnsi="Arial"/>
      <w:color w:val="333333" w:themeColor="text2"/>
      <w:sz w:val="18"/>
    </w:rPr>
  </w:style>
  <w:style w:type="character" w:customStyle="1" w:styleId="FooterChar">
    <w:name w:val="Footer Char"/>
    <w:basedOn w:val="DefaultParagraphFont"/>
    <w:link w:val="Footer"/>
    <w:uiPriority w:val="99"/>
    <w:semiHidden/>
    <w:rsid w:val="00F970F2"/>
    <w:rPr>
      <w:rFonts w:ascii="Arial" w:hAnsi="Arial"/>
      <w:color w:val="333333" w:themeColor="text2"/>
      <w:sz w:val="18"/>
    </w:rPr>
  </w:style>
  <w:style w:type="table" w:styleId="TableGrid">
    <w:name w:val="Table Grid"/>
    <w:basedOn w:val="TableNormal"/>
    <w:uiPriority w:val="39"/>
    <w:rsid w:val="008E4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2Letter">
    <w:name w:val="Table Text 2 Letter"/>
    <w:basedOn w:val="TableText1Number"/>
    <w:uiPriority w:val="99"/>
    <w:semiHidden/>
    <w:rsid w:val="00F92911"/>
    <w:pPr>
      <w:numPr>
        <w:ilvl w:val="1"/>
      </w:numPr>
    </w:pPr>
  </w:style>
  <w:style w:type="character" w:styleId="PlaceholderText">
    <w:name w:val="Placeholder Text"/>
    <w:basedOn w:val="DefaultParagraphFont"/>
    <w:uiPriority w:val="99"/>
    <w:semiHidden/>
    <w:rsid w:val="008E4D10"/>
    <w:rPr>
      <w:i/>
      <w:color w:val="auto"/>
      <w:bdr w:val="none" w:sz="0" w:space="0" w:color="auto"/>
      <w:shd w:val="clear" w:color="auto" w:fill="auto"/>
    </w:rPr>
  </w:style>
  <w:style w:type="paragraph" w:customStyle="1" w:styleId="TableSubHeading">
    <w:name w:val="Table Sub Heading"/>
    <w:basedOn w:val="TableHeading"/>
    <w:uiPriority w:val="99"/>
    <w:semiHidden/>
    <w:rsid w:val="005074AE"/>
    <w:rPr>
      <w:rFonts w:ascii="Jacobs Chronos" w:hAnsi="Jacobs Chronos"/>
    </w:rPr>
  </w:style>
  <w:style w:type="paragraph" w:customStyle="1" w:styleId="DocumentSubject">
    <w:name w:val="Document Subject"/>
    <w:basedOn w:val="Normal"/>
    <w:uiPriority w:val="99"/>
    <w:semiHidden/>
    <w:rsid w:val="008E4D10"/>
    <w:pPr>
      <w:spacing w:before="360" w:after="240"/>
    </w:pPr>
    <w:rPr>
      <w:rFonts w:ascii="Jacobs Chronos Light" w:hAnsi="Jacobs Chronos Light"/>
      <w:b/>
      <w:color w:val="231EDC" w:themeColor="accent1"/>
      <w:sz w:val="24"/>
    </w:rPr>
  </w:style>
  <w:style w:type="paragraph" w:customStyle="1" w:styleId="TableHeading">
    <w:name w:val="Table Heading"/>
    <w:basedOn w:val="Normal"/>
    <w:uiPriority w:val="3"/>
    <w:qFormat/>
    <w:rsid w:val="008E4D10"/>
    <w:pPr>
      <w:keepNext/>
      <w:spacing w:before="60" w:after="60"/>
    </w:pPr>
    <w:rPr>
      <w:rFonts w:ascii="Jacobs Chronos Cd" w:hAnsi="Jacobs Chronos Cd"/>
      <w:b/>
      <w:sz w:val="24"/>
    </w:rPr>
  </w:style>
  <w:style w:type="table" w:customStyle="1" w:styleId="Notes">
    <w:name w:val="Notes"/>
    <w:basedOn w:val="TableNormal"/>
    <w:uiPriority w:val="99"/>
    <w:semiHidden/>
    <w:rsid w:val="00BA23FF"/>
    <w:tblPr>
      <w:tblStyleRowBandSize w:val="1"/>
    </w:tblPr>
    <w:tcPr>
      <w:shd w:val="clear" w:color="auto" w:fill="auto"/>
    </w:tcPr>
    <w:tblStylePr w:type="firstRow">
      <w:rPr>
        <w:b/>
      </w:rPr>
    </w:tblStylePr>
    <w:tblStylePr w:type="band1Horz">
      <w:tblPr/>
      <w:tcPr>
        <w:shd w:val="clear" w:color="auto" w:fill="F0F0F0"/>
      </w:tcPr>
    </w:tblStylePr>
  </w:style>
  <w:style w:type="paragraph" w:customStyle="1" w:styleId="TableText">
    <w:name w:val="Table Text"/>
    <w:basedOn w:val="BodyText"/>
    <w:uiPriority w:val="4"/>
    <w:qFormat/>
    <w:rsid w:val="008E4D10"/>
    <w:pPr>
      <w:spacing w:before="40" w:after="40"/>
    </w:pPr>
    <w:rPr>
      <w:rFonts w:ascii="Jacobs Chronos Cd" w:hAnsi="Jacobs Chronos Cd"/>
    </w:rPr>
  </w:style>
  <w:style w:type="paragraph" w:customStyle="1" w:styleId="TableText1Number">
    <w:name w:val="Table Text 1 Number"/>
    <w:basedOn w:val="TableText"/>
    <w:uiPriority w:val="99"/>
    <w:semiHidden/>
    <w:rsid w:val="00F92911"/>
    <w:pPr>
      <w:numPr>
        <w:numId w:val="5"/>
      </w:numPr>
      <w:contextualSpacing/>
    </w:pPr>
  </w:style>
  <w:style w:type="paragraph" w:styleId="BalloonText">
    <w:name w:val="Balloon Text"/>
    <w:basedOn w:val="Normal"/>
    <w:link w:val="BalloonTextChar"/>
    <w:uiPriority w:val="99"/>
    <w:semiHidden/>
    <w:unhideWhenUsed/>
    <w:rsid w:val="008E4D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D10"/>
    <w:rPr>
      <w:rFonts w:ascii="Segoe UI" w:hAnsi="Segoe UI" w:cs="Segoe UI"/>
      <w:sz w:val="18"/>
      <w:szCs w:val="18"/>
    </w:rPr>
  </w:style>
  <w:style w:type="paragraph" w:customStyle="1" w:styleId="TabletBullet">
    <w:name w:val="Tablet Bullet"/>
    <w:basedOn w:val="TableText1Number"/>
    <w:uiPriority w:val="99"/>
    <w:semiHidden/>
    <w:rsid w:val="00BD1FAC"/>
    <w:pPr>
      <w:numPr>
        <w:numId w:val="1"/>
      </w:numPr>
      <w:ind w:left="170" w:hanging="170"/>
    </w:pPr>
  </w:style>
  <w:style w:type="character" w:styleId="CommentReference">
    <w:name w:val="annotation reference"/>
    <w:basedOn w:val="DefaultParagraphFont"/>
    <w:uiPriority w:val="99"/>
    <w:semiHidden/>
    <w:unhideWhenUsed/>
    <w:rsid w:val="008E4D10"/>
    <w:rPr>
      <w:sz w:val="16"/>
      <w:szCs w:val="16"/>
    </w:rPr>
  </w:style>
  <w:style w:type="paragraph" w:styleId="CommentText">
    <w:name w:val="annotation text"/>
    <w:basedOn w:val="Normal"/>
    <w:link w:val="CommentTextChar"/>
    <w:uiPriority w:val="99"/>
    <w:unhideWhenUsed/>
    <w:rsid w:val="008E4D10"/>
  </w:style>
  <w:style w:type="character" w:customStyle="1" w:styleId="CommentTextChar">
    <w:name w:val="Comment Text Char"/>
    <w:basedOn w:val="DefaultParagraphFont"/>
    <w:link w:val="CommentText"/>
    <w:uiPriority w:val="99"/>
    <w:rsid w:val="008E4D10"/>
    <w:rPr>
      <w:rFonts w:asciiTheme="minorHAnsi" w:hAnsiTheme="minorHAnsi"/>
    </w:rPr>
  </w:style>
  <w:style w:type="paragraph" w:styleId="CommentSubject">
    <w:name w:val="annotation subject"/>
    <w:basedOn w:val="CommentText"/>
    <w:next w:val="CommentText"/>
    <w:link w:val="CommentSubjectChar"/>
    <w:uiPriority w:val="99"/>
    <w:semiHidden/>
    <w:unhideWhenUsed/>
    <w:rsid w:val="008E4D10"/>
    <w:rPr>
      <w:b/>
      <w:bCs/>
    </w:rPr>
  </w:style>
  <w:style w:type="character" w:customStyle="1" w:styleId="CommentSubjectChar">
    <w:name w:val="Comment Subject Char"/>
    <w:basedOn w:val="CommentTextChar"/>
    <w:link w:val="CommentSubject"/>
    <w:uiPriority w:val="99"/>
    <w:semiHidden/>
    <w:rsid w:val="008E4D10"/>
    <w:rPr>
      <w:rFonts w:asciiTheme="minorHAnsi" w:hAnsiTheme="minorHAnsi"/>
      <w:b/>
      <w:bCs/>
    </w:rPr>
  </w:style>
  <w:style w:type="paragraph" w:customStyle="1" w:styleId="Heading1unnumbered">
    <w:name w:val="Heading 1 (unnumbered)"/>
    <w:basedOn w:val="Normal"/>
    <w:next w:val="Normal"/>
    <w:uiPriority w:val="99"/>
    <w:semiHidden/>
    <w:rsid w:val="006E2126"/>
    <w:pPr>
      <w:spacing w:before="120" w:after="120"/>
    </w:pPr>
    <w:rPr>
      <w:b/>
      <w:color w:val="231EDC" w:themeColor="accent1"/>
      <w:sz w:val="28"/>
    </w:rPr>
  </w:style>
  <w:style w:type="paragraph" w:customStyle="1" w:styleId="TableDash2ndLevel">
    <w:name w:val="Table Dash 2nd Level"/>
    <w:basedOn w:val="TabletBullet"/>
    <w:uiPriority w:val="99"/>
    <w:semiHidden/>
    <w:rsid w:val="003560D3"/>
    <w:pPr>
      <w:numPr>
        <w:numId w:val="2"/>
      </w:numPr>
      <w:ind w:left="340" w:hanging="170"/>
    </w:pPr>
  </w:style>
  <w:style w:type="paragraph" w:customStyle="1" w:styleId="BodyTextBold">
    <w:name w:val="Body Text Bold"/>
    <w:basedOn w:val="Normal"/>
    <w:uiPriority w:val="99"/>
    <w:semiHidden/>
    <w:rsid w:val="00BD3FA6"/>
    <w:pPr>
      <w:spacing w:before="180" w:after="60"/>
    </w:pPr>
    <w:rPr>
      <w:b/>
    </w:rPr>
  </w:style>
  <w:style w:type="character" w:styleId="Hyperlink">
    <w:name w:val="Hyperlink"/>
    <w:basedOn w:val="DefaultParagraphFont"/>
    <w:uiPriority w:val="99"/>
    <w:rsid w:val="008E4D10"/>
    <w:rPr>
      <w:color w:val="231EDC" w:themeColor="hyperlink"/>
      <w:u w:val="single"/>
    </w:rPr>
  </w:style>
  <w:style w:type="character" w:styleId="UnresolvedMention">
    <w:name w:val="Unresolved Mention"/>
    <w:basedOn w:val="DefaultParagraphFont"/>
    <w:uiPriority w:val="99"/>
    <w:unhideWhenUsed/>
    <w:rsid w:val="008E4D10"/>
    <w:rPr>
      <w:color w:val="808080"/>
      <w:shd w:val="clear" w:color="auto" w:fill="E6E6E6"/>
    </w:rPr>
  </w:style>
  <w:style w:type="paragraph" w:customStyle="1" w:styleId="TableTextBold">
    <w:name w:val="Table Text Bold"/>
    <w:basedOn w:val="TableText"/>
    <w:uiPriority w:val="99"/>
    <w:semiHidden/>
    <w:rsid w:val="008C134F"/>
    <w:rPr>
      <w:b/>
    </w:rPr>
  </w:style>
  <w:style w:type="paragraph" w:customStyle="1" w:styleId="HeaderSpacer">
    <w:name w:val="Header Spacer"/>
    <w:basedOn w:val="Header"/>
    <w:uiPriority w:val="99"/>
    <w:semiHidden/>
    <w:rsid w:val="008E4D10"/>
    <w:rPr>
      <w:sz w:val="16"/>
    </w:rPr>
  </w:style>
  <w:style w:type="paragraph" w:styleId="BodyText">
    <w:name w:val="Body Text"/>
    <w:basedOn w:val="Normal"/>
    <w:link w:val="BodyTextChar"/>
    <w:qFormat/>
    <w:rsid w:val="004A1C7A"/>
    <w:pPr>
      <w:spacing w:before="180" w:after="60"/>
    </w:pPr>
    <w:rPr>
      <w:rFonts w:ascii="Arial" w:hAnsi="Arial"/>
      <w:sz w:val="22"/>
    </w:rPr>
  </w:style>
  <w:style w:type="character" w:customStyle="1" w:styleId="BodyTextChar">
    <w:name w:val="Body Text Char"/>
    <w:basedOn w:val="DefaultParagraphFont"/>
    <w:link w:val="BodyText"/>
    <w:rsid w:val="004A1C7A"/>
    <w:rPr>
      <w:rFonts w:ascii="Arial" w:hAnsi="Arial"/>
      <w:sz w:val="22"/>
    </w:rPr>
  </w:style>
  <w:style w:type="paragraph" w:customStyle="1" w:styleId="TableText3Roman">
    <w:name w:val="Table Text 3 Roman"/>
    <w:basedOn w:val="TableText1Number"/>
    <w:uiPriority w:val="99"/>
    <w:semiHidden/>
    <w:rsid w:val="00F92911"/>
    <w:pPr>
      <w:numPr>
        <w:ilvl w:val="2"/>
      </w:numPr>
    </w:pPr>
  </w:style>
  <w:style w:type="paragraph" w:customStyle="1" w:styleId="TableTextItlaic">
    <w:name w:val="Table Text Itlaic"/>
    <w:basedOn w:val="TableText"/>
    <w:uiPriority w:val="99"/>
    <w:semiHidden/>
    <w:rsid w:val="008C134F"/>
    <w:rPr>
      <w:i/>
    </w:rPr>
  </w:style>
  <w:style w:type="paragraph" w:customStyle="1" w:styleId="TableBullet">
    <w:name w:val="Table Bullet"/>
    <w:basedOn w:val="Normal"/>
    <w:uiPriority w:val="6"/>
    <w:qFormat/>
    <w:rsid w:val="008E4D10"/>
    <w:pPr>
      <w:numPr>
        <w:numId w:val="28"/>
      </w:numPr>
      <w:spacing w:before="40" w:after="40"/>
    </w:pPr>
    <w:rPr>
      <w:rFonts w:ascii="Jacobs Chronos Cd" w:hAnsi="Jacobs Chronos Cd"/>
      <w:sz w:val="22"/>
    </w:rPr>
  </w:style>
  <w:style w:type="paragraph" w:customStyle="1" w:styleId="TableBullet2ndLevel">
    <w:name w:val="Table Bullet 2nd Level"/>
    <w:basedOn w:val="TableBullet"/>
    <w:uiPriority w:val="99"/>
    <w:semiHidden/>
    <w:rsid w:val="008C134F"/>
    <w:pPr>
      <w:numPr>
        <w:numId w:val="4"/>
      </w:numPr>
      <w:ind w:left="340" w:hanging="170"/>
    </w:pPr>
  </w:style>
  <w:style w:type="paragraph" w:customStyle="1" w:styleId="TableHeading2">
    <w:name w:val="Table Heading 2"/>
    <w:basedOn w:val="Normal"/>
    <w:uiPriority w:val="4"/>
    <w:qFormat/>
    <w:rsid w:val="008E4D10"/>
    <w:pPr>
      <w:spacing w:before="60" w:after="60"/>
    </w:pPr>
    <w:rPr>
      <w:rFonts w:ascii="Jacobs Chronos Cd" w:hAnsi="Jacobs Chronos Cd"/>
      <w:b/>
      <w:sz w:val="22"/>
    </w:rPr>
  </w:style>
  <w:style w:type="paragraph" w:customStyle="1" w:styleId="TableBullet3rdLevel">
    <w:name w:val="Table Bullet 3rd Level"/>
    <w:basedOn w:val="TableBullet2ndLevel"/>
    <w:uiPriority w:val="99"/>
    <w:semiHidden/>
    <w:rsid w:val="008C134F"/>
    <w:pPr>
      <w:numPr>
        <w:numId w:val="3"/>
      </w:numPr>
      <w:ind w:left="510" w:hanging="170"/>
    </w:pPr>
  </w:style>
  <w:style w:type="character" w:customStyle="1" w:styleId="Heading1Char">
    <w:name w:val="Heading 1 Char"/>
    <w:basedOn w:val="DefaultParagraphFont"/>
    <w:link w:val="Heading1"/>
    <w:rsid w:val="009813C0"/>
    <w:rPr>
      <w:rFonts w:ascii="Arial" w:eastAsiaTheme="majorEastAsia" w:hAnsi="Arial" w:cstheme="majorBidi"/>
      <w:b/>
      <w:color w:val="231EDC" w:themeColor="accent1"/>
      <w:sz w:val="32"/>
      <w:szCs w:val="32"/>
    </w:rPr>
  </w:style>
  <w:style w:type="character" w:customStyle="1" w:styleId="Heading2Char">
    <w:name w:val="Heading 2 Char"/>
    <w:basedOn w:val="DefaultParagraphFont"/>
    <w:link w:val="Heading2"/>
    <w:rsid w:val="008E4D10"/>
    <w:rPr>
      <w:rFonts w:ascii="Arial" w:eastAsiaTheme="majorEastAsia" w:hAnsi="Arial" w:cstheme="majorBidi"/>
      <w:b/>
      <w:sz w:val="28"/>
      <w:szCs w:val="26"/>
    </w:rPr>
  </w:style>
  <w:style w:type="character" w:customStyle="1" w:styleId="Heading3Char">
    <w:name w:val="Heading 3 Char"/>
    <w:basedOn w:val="DefaultParagraphFont"/>
    <w:link w:val="Heading3"/>
    <w:rsid w:val="008E4D10"/>
    <w:rPr>
      <w:rFonts w:ascii="Arial" w:eastAsiaTheme="majorEastAsia" w:hAnsi="Arial" w:cstheme="majorBidi"/>
      <w:b/>
      <w:sz w:val="26"/>
      <w:szCs w:val="24"/>
    </w:rPr>
  </w:style>
  <w:style w:type="character" w:customStyle="1" w:styleId="Heading4Char">
    <w:name w:val="Heading 4 Char"/>
    <w:basedOn w:val="DefaultParagraphFont"/>
    <w:link w:val="Heading4"/>
    <w:rsid w:val="008E4D10"/>
    <w:rPr>
      <w:rFonts w:ascii="Arial" w:eastAsiaTheme="majorEastAsia" w:hAnsi="Arial" w:cstheme="majorBidi"/>
      <w:b/>
      <w:iCs/>
      <w:sz w:val="24"/>
    </w:rPr>
  </w:style>
  <w:style w:type="character" w:customStyle="1" w:styleId="Heading5Char">
    <w:name w:val="Heading 5 Char"/>
    <w:basedOn w:val="DefaultParagraphFont"/>
    <w:link w:val="Heading5"/>
    <w:rsid w:val="008E4D10"/>
    <w:rPr>
      <w:rFonts w:ascii="Arial" w:eastAsiaTheme="majorEastAsia" w:hAnsi="Arial" w:cstheme="majorBidi"/>
      <w:b/>
      <w:sz w:val="22"/>
    </w:rPr>
  </w:style>
  <w:style w:type="character" w:customStyle="1" w:styleId="Heading6Char">
    <w:name w:val="Heading 6 Char"/>
    <w:basedOn w:val="DefaultParagraphFont"/>
    <w:link w:val="Heading6"/>
    <w:rsid w:val="008E4D10"/>
    <w:rPr>
      <w:rFonts w:ascii="Arial" w:eastAsiaTheme="majorEastAsia" w:hAnsi="Arial" w:cstheme="majorBidi"/>
      <w:b/>
    </w:rPr>
  </w:style>
  <w:style w:type="character" w:customStyle="1" w:styleId="Heading7Char">
    <w:name w:val="Heading 7 Char"/>
    <w:basedOn w:val="DefaultParagraphFont"/>
    <w:link w:val="Heading7"/>
    <w:semiHidden/>
    <w:rsid w:val="008E4D10"/>
    <w:rPr>
      <w:rFonts w:eastAsiaTheme="majorEastAsia" w:cstheme="majorBidi"/>
      <w:b/>
      <w:iCs/>
    </w:rPr>
  </w:style>
  <w:style w:type="character" w:customStyle="1" w:styleId="Heading8Char">
    <w:name w:val="Heading 8 Char"/>
    <w:basedOn w:val="DefaultParagraphFont"/>
    <w:link w:val="Heading8"/>
    <w:semiHidden/>
    <w:rsid w:val="008E4D10"/>
    <w:rPr>
      <w:rFonts w:eastAsiaTheme="majorEastAsia" w:cstheme="majorBidi"/>
      <w:b/>
      <w:sz w:val="21"/>
      <w:szCs w:val="21"/>
    </w:rPr>
  </w:style>
  <w:style w:type="character" w:customStyle="1" w:styleId="Heading9Char">
    <w:name w:val="Heading 9 Char"/>
    <w:aliases w:val="Appendix Heading 1 Char"/>
    <w:basedOn w:val="DefaultParagraphFont"/>
    <w:link w:val="Heading9"/>
    <w:uiPriority w:val="19"/>
    <w:semiHidden/>
    <w:rsid w:val="008E4D10"/>
    <w:rPr>
      <w:rFonts w:eastAsiaTheme="majorEastAsia" w:cstheme="majorBidi"/>
      <w:b/>
      <w:iCs/>
      <w:color w:val="231EDC" w:themeColor="accent1"/>
      <w:sz w:val="32"/>
      <w:szCs w:val="21"/>
    </w:rPr>
  </w:style>
  <w:style w:type="paragraph" w:styleId="NoSpacing">
    <w:name w:val="No Spacing"/>
    <w:uiPriority w:val="99"/>
    <w:semiHidden/>
    <w:rsid w:val="008E4D10"/>
  </w:style>
  <w:style w:type="numbering" w:customStyle="1" w:styleId="Headings">
    <w:name w:val="Headings"/>
    <w:uiPriority w:val="99"/>
    <w:rsid w:val="008E4D10"/>
    <w:pPr>
      <w:numPr>
        <w:numId w:val="9"/>
      </w:numPr>
    </w:pPr>
  </w:style>
  <w:style w:type="paragraph" w:customStyle="1" w:styleId="TableHeadingWhite">
    <w:name w:val="Table Heading White"/>
    <w:basedOn w:val="Normal"/>
    <w:uiPriority w:val="3"/>
    <w:semiHidden/>
    <w:rsid w:val="008E4D10"/>
    <w:pPr>
      <w:keepNext/>
      <w:spacing w:before="60" w:after="60"/>
    </w:pPr>
    <w:rPr>
      <w:rFonts w:ascii="Jacobs Chronos Cd" w:hAnsi="Jacobs Chronos Cd"/>
      <w:b/>
      <w:color w:val="FFFFFF" w:themeColor="background1"/>
      <w:sz w:val="24"/>
    </w:rPr>
  </w:style>
  <w:style w:type="paragraph" w:customStyle="1" w:styleId="TableNumber">
    <w:name w:val="Table Number"/>
    <w:basedOn w:val="Normal"/>
    <w:uiPriority w:val="5"/>
    <w:qFormat/>
    <w:rsid w:val="008E4D10"/>
    <w:pPr>
      <w:numPr>
        <w:numId w:val="19"/>
      </w:numPr>
      <w:spacing w:before="40" w:after="40"/>
    </w:pPr>
    <w:rPr>
      <w:rFonts w:ascii="Jacobs Chronos Cd" w:hAnsi="Jacobs Chronos Cd"/>
      <w:sz w:val="22"/>
    </w:rPr>
  </w:style>
  <w:style w:type="paragraph" w:styleId="Title">
    <w:name w:val="Title"/>
    <w:basedOn w:val="Normal"/>
    <w:next w:val="Normal"/>
    <w:link w:val="TitleChar"/>
    <w:uiPriority w:val="99"/>
    <w:semiHidden/>
    <w:rsid w:val="008E4D1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8E4D10"/>
    <w:rPr>
      <w:rFonts w:eastAsiaTheme="majorEastAsia" w:cstheme="majorBidi"/>
      <w:spacing w:val="-10"/>
      <w:kern w:val="28"/>
      <w:sz w:val="56"/>
      <w:szCs w:val="56"/>
    </w:rPr>
  </w:style>
  <w:style w:type="paragraph" w:styleId="Bibliography">
    <w:name w:val="Bibliography"/>
    <w:basedOn w:val="Normal"/>
    <w:next w:val="Normal"/>
    <w:uiPriority w:val="99"/>
    <w:semiHidden/>
    <w:unhideWhenUsed/>
    <w:rsid w:val="008E4D10"/>
  </w:style>
  <w:style w:type="paragraph" w:styleId="BlockText">
    <w:name w:val="Block Text"/>
    <w:basedOn w:val="Normal"/>
    <w:uiPriority w:val="99"/>
    <w:semiHidden/>
    <w:unhideWhenUsed/>
    <w:rsid w:val="008E4D10"/>
    <w:pPr>
      <w:pBdr>
        <w:top w:val="single" w:sz="2" w:space="10" w:color="231EDC" w:themeColor="accent1" w:frame="1"/>
        <w:left w:val="single" w:sz="2" w:space="10" w:color="231EDC" w:themeColor="accent1" w:frame="1"/>
        <w:bottom w:val="single" w:sz="2" w:space="10" w:color="231EDC" w:themeColor="accent1" w:frame="1"/>
        <w:right w:val="single" w:sz="2" w:space="10" w:color="231EDC" w:themeColor="accent1" w:frame="1"/>
      </w:pBdr>
      <w:ind w:left="1152" w:right="1152"/>
    </w:pPr>
    <w:rPr>
      <w:i/>
      <w:iCs/>
      <w:color w:val="231EDC" w:themeColor="accent1"/>
    </w:rPr>
  </w:style>
  <w:style w:type="paragraph" w:styleId="BodyText2">
    <w:name w:val="Body Text 2"/>
    <w:basedOn w:val="Normal"/>
    <w:link w:val="BodyText2Char"/>
    <w:uiPriority w:val="99"/>
    <w:semiHidden/>
    <w:unhideWhenUsed/>
    <w:rsid w:val="008E4D10"/>
    <w:pPr>
      <w:spacing w:after="120" w:line="480" w:lineRule="auto"/>
    </w:pPr>
  </w:style>
  <w:style w:type="character" w:customStyle="1" w:styleId="BodyText2Char">
    <w:name w:val="Body Text 2 Char"/>
    <w:basedOn w:val="DefaultParagraphFont"/>
    <w:link w:val="BodyText2"/>
    <w:uiPriority w:val="99"/>
    <w:semiHidden/>
    <w:rsid w:val="008E4D10"/>
    <w:rPr>
      <w:rFonts w:asciiTheme="minorHAnsi" w:hAnsiTheme="minorHAnsi"/>
    </w:rPr>
  </w:style>
  <w:style w:type="paragraph" w:styleId="BodyText3">
    <w:name w:val="Body Text 3"/>
    <w:basedOn w:val="Normal"/>
    <w:link w:val="BodyText3Char"/>
    <w:uiPriority w:val="99"/>
    <w:semiHidden/>
    <w:unhideWhenUsed/>
    <w:rsid w:val="008E4D10"/>
    <w:pPr>
      <w:spacing w:after="120"/>
    </w:pPr>
    <w:rPr>
      <w:sz w:val="16"/>
      <w:szCs w:val="16"/>
    </w:rPr>
  </w:style>
  <w:style w:type="character" w:customStyle="1" w:styleId="BodyText3Char">
    <w:name w:val="Body Text 3 Char"/>
    <w:basedOn w:val="DefaultParagraphFont"/>
    <w:link w:val="BodyText3"/>
    <w:uiPriority w:val="99"/>
    <w:semiHidden/>
    <w:rsid w:val="008E4D10"/>
    <w:rPr>
      <w:rFonts w:asciiTheme="minorHAnsi" w:hAnsiTheme="minorHAnsi"/>
      <w:sz w:val="16"/>
      <w:szCs w:val="16"/>
    </w:rPr>
  </w:style>
  <w:style w:type="paragraph" w:styleId="BodyTextFirstIndent">
    <w:name w:val="Body Text First Indent"/>
    <w:basedOn w:val="BodyText"/>
    <w:link w:val="BodyTextFirstIndentChar"/>
    <w:uiPriority w:val="99"/>
    <w:semiHidden/>
    <w:unhideWhenUsed/>
    <w:rsid w:val="008E4D10"/>
    <w:pPr>
      <w:spacing w:after="0"/>
      <w:ind w:firstLine="360"/>
    </w:pPr>
  </w:style>
  <w:style w:type="character" w:customStyle="1" w:styleId="BodyTextFirstIndentChar">
    <w:name w:val="Body Text First Indent Char"/>
    <w:basedOn w:val="BodyTextChar"/>
    <w:link w:val="BodyTextFirstIndent"/>
    <w:uiPriority w:val="99"/>
    <w:semiHidden/>
    <w:rsid w:val="008E4D10"/>
    <w:rPr>
      <w:rFonts w:asciiTheme="minorHAnsi" w:hAnsiTheme="minorHAnsi"/>
      <w:sz w:val="22"/>
    </w:rPr>
  </w:style>
  <w:style w:type="paragraph" w:styleId="BodyTextIndent">
    <w:name w:val="Body Text Indent"/>
    <w:basedOn w:val="Normal"/>
    <w:link w:val="BodyTextIndentChar"/>
    <w:uiPriority w:val="99"/>
    <w:semiHidden/>
    <w:unhideWhenUsed/>
    <w:rsid w:val="005D1D0A"/>
    <w:pPr>
      <w:spacing w:after="120"/>
      <w:ind w:left="283"/>
    </w:pPr>
  </w:style>
  <w:style w:type="character" w:customStyle="1" w:styleId="BodyTextIndentChar">
    <w:name w:val="Body Text Indent Char"/>
    <w:basedOn w:val="DefaultParagraphFont"/>
    <w:link w:val="BodyTextIndent"/>
    <w:uiPriority w:val="99"/>
    <w:semiHidden/>
    <w:rsid w:val="005D1D0A"/>
    <w:rPr>
      <w:rFonts w:ascii="Jacobs Chronos" w:eastAsiaTheme="minorEastAsia" w:hAnsi="Jacobs Chronos"/>
      <w:sz w:val="20"/>
    </w:rPr>
  </w:style>
  <w:style w:type="paragraph" w:styleId="BodyTextFirstIndent2">
    <w:name w:val="Body Text First Indent 2"/>
    <w:basedOn w:val="Normal"/>
    <w:link w:val="BodyTextFirstIndent2Char"/>
    <w:uiPriority w:val="99"/>
    <w:semiHidden/>
    <w:unhideWhenUsed/>
    <w:rsid w:val="008E4D10"/>
    <w:pPr>
      <w:ind w:left="360" w:firstLine="360"/>
    </w:pPr>
  </w:style>
  <w:style w:type="character" w:customStyle="1" w:styleId="BodyTextFirstIndent2Char">
    <w:name w:val="Body Text First Indent 2 Char"/>
    <w:basedOn w:val="DefaultParagraphFont"/>
    <w:link w:val="BodyTextFirstIndent2"/>
    <w:uiPriority w:val="99"/>
    <w:semiHidden/>
    <w:rsid w:val="008E4D10"/>
    <w:rPr>
      <w:rFonts w:asciiTheme="minorHAnsi" w:hAnsiTheme="minorHAnsi"/>
    </w:rPr>
  </w:style>
  <w:style w:type="paragraph" w:styleId="BodyTextIndent2">
    <w:name w:val="Body Text Indent 2"/>
    <w:basedOn w:val="Normal"/>
    <w:link w:val="BodyTextIndent2Char"/>
    <w:uiPriority w:val="99"/>
    <w:semiHidden/>
    <w:unhideWhenUsed/>
    <w:rsid w:val="008E4D10"/>
    <w:pPr>
      <w:spacing w:after="120" w:line="276" w:lineRule="auto"/>
      <w:ind w:left="1418"/>
    </w:pPr>
  </w:style>
  <w:style w:type="character" w:customStyle="1" w:styleId="BodyTextIndent2Char">
    <w:name w:val="Body Text Indent 2 Char"/>
    <w:basedOn w:val="DefaultParagraphFont"/>
    <w:link w:val="BodyTextIndent2"/>
    <w:uiPriority w:val="99"/>
    <w:semiHidden/>
    <w:rsid w:val="008E4D10"/>
    <w:rPr>
      <w:rFonts w:asciiTheme="minorHAnsi" w:hAnsiTheme="minorHAnsi"/>
    </w:rPr>
  </w:style>
  <w:style w:type="paragraph" w:styleId="BodyTextIndent3">
    <w:name w:val="Body Text Indent 3"/>
    <w:basedOn w:val="Normal"/>
    <w:link w:val="BodyTextIndent3Char"/>
    <w:uiPriority w:val="99"/>
    <w:semiHidden/>
    <w:unhideWhenUsed/>
    <w:rsid w:val="008E4D1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E4D10"/>
    <w:rPr>
      <w:rFonts w:asciiTheme="minorHAnsi" w:hAnsiTheme="minorHAnsi"/>
      <w:sz w:val="16"/>
      <w:szCs w:val="16"/>
    </w:rPr>
  </w:style>
  <w:style w:type="character" w:styleId="BookTitle">
    <w:name w:val="Book Title"/>
    <w:basedOn w:val="DefaultParagraphFont"/>
    <w:uiPriority w:val="99"/>
    <w:semiHidden/>
    <w:rsid w:val="008E4D10"/>
    <w:rPr>
      <w:b/>
      <w:bCs/>
      <w:i/>
      <w:iCs/>
      <w:spacing w:val="5"/>
    </w:rPr>
  </w:style>
  <w:style w:type="paragraph" w:styleId="Caption">
    <w:name w:val="caption"/>
    <w:basedOn w:val="Normal"/>
    <w:next w:val="BodyText"/>
    <w:uiPriority w:val="99"/>
    <w:semiHidden/>
    <w:rsid w:val="008E4D10"/>
    <w:pPr>
      <w:spacing w:before="120" w:after="40"/>
    </w:pPr>
    <w:rPr>
      <w:b/>
      <w:iCs/>
      <w:color w:val="333333" w:themeColor="text2"/>
      <w:szCs w:val="18"/>
    </w:rPr>
  </w:style>
  <w:style w:type="paragraph" w:styleId="Closing">
    <w:name w:val="Closing"/>
    <w:basedOn w:val="Normal"/>
    <w:link w:val="ClosingChar"/>
    <w:uiPriority w:val="99"/>
    <w:semiHidden/>
    <w:unhideWhenUsed/>
    <w:rsid w:val="008E4D10"/>
    <w:pPr>
      <w:ind w:left="4252"/>
    </w:pPr>
  </w:style>
  <w:style w:type="character" w:customStyle="1" w:styleId="ClosingChar">
    <w:name w:val="Closing Char"/>
    <w:basedOn w:val="DefaultParagraphFont"/>
    <w:link w:val="Closing"/>
    <w:uiPriority w:val="99"/>
    <w:semiHidden/>
    <w:rsid w:val="008E4D10"/>
    <w:rPr>
      <w:rFonts w:asciiTheme="minorHAnsi" w:hAnsiTheme="minorHAnsi"/>
    </w:rPr>
  </w:style>
  <w:style w:type="table" w:styleId="ColorfulGrid">
    <w:name w:val="Colorful Grid"/>
    <w:basedOn w:val="TableNormal"/>
    <w:uiPriority w:val="73"/>
    <w:semiHidden/>
    <w:unhideWhenUsed/>
    <w:rsid w:val="008E4D1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E4D10"/>
    <w:rPr>
      <w:color w:val="000000" w:themeColor="text1"/>
    </w:rPr>
    <w:tblPr>
      <w:tblStyleRowBandSize w:val="1"/>
      <w:tblStyleColBandSize w:val="1"/>
      <w:tblBorders>
        <w:insideH w:val="single" w:sz="4" w:space="0" w:color="FFFFFF" w:themeColor="background1"/>
      </w:tblBorders>
    </w:tblPr>
    <w:tcPr>
      <w:shd w:val="clear" w:color="auto" w:fill="D2D1F8" w:themeFill="accent1" w:themeFillTint="33"/>
    </w:tcPr>
    <w:tblStylePr w:type="firstRow">
      <w:rPr>
        <w:b/>
        <w:bCs/>
      </w:rPr>
      <w:tblPr/>
      <w:tcPr>
        <w:shd w:val="clear" w:color="auto" w:fill="A5A3F2" w:themeFill="accent1" w:themeFillTint="66"/>
      </w:tcPr>
    </w:tblStylePr>
    <w:tblStylePr w:type="lastRow">
      <w:rPr>
        <w:b/>
        <w:bCs/>
        <w:color w:val="000000" w:themeColor="text1"/>
      </w:rPr>
      <w:tblPr/>
      <w:tcPr>
        <w:shd w:val="clear" w:color="auto" w:fill="A5A3F2" w:themeFill="accent1" w:themeFillTint="66"/>
      </w:tcPr>
    </w:tblStylePr>
    <w:tblStylePr w:type="firstCol">
      <w:rPr>
        <w:color w:val="FFFFFF" w:themeColor="background1"/>
      </w:rPr>
      <w:tblPr/>
      <w:tcPr>
        <w:shd w:val="clear" w:color="auto" w:fill="1916A4" w:themeFill="accent1" w:themeFillShade="BF"/>
      </w:tcPr>
    </w:tblStylePr>
    <w:tblStylePr w:type="lastCol">
      <w:rPr>
        <w:color w:val="FFFFFF" w:themeColor="background1"/>
      </w:rPr>
      <w:tblPr/>
      <w:tcPr>
        <w:shd w:val="clear" w:color="auto" w:fill="1916A4" w:themeFill="accent1" w:themeFillShade="BF"/>
      </w:tcPr>
    </w:tblStylePr>
    <w:tblStylePr w:type="band1Vert">
      <w:tblPr/>
      <w:tcPr>
        <w:shd w:val="clear" w:color="auto" w:fill="8F8CEF" w:themeFill="accent1" w:themeFillTint="7F"/>
      </w:tcPr>
    </w:tblStylePr>
    <w:tblStylePr w:type="band1Horz">
      <w:tblPr/>
      <w:tcPr>
        <w:shd w:val="clear" w:color="auto" w:fill="8F8CEF" w:themeFill="accent1" w:themeFillTint="7F"/>
      </w:tcPr>
    </w:tblStylePr>
  </w:style>
  <w:style w:type="table" w:styleId="ColorfulGrid-Accent2">
    <w:name w:val="Colorful Grid Accent 2"/>
    <w:basedOn w:val="TableNormal"/>
    <w:uiPriority w:val="73"/>
    <w:semiHidden/>
    <w:unhideWhenUsed/>
    <w:rsid w:val="008E4D10"/>
    <w:rPr>
      <w:color w:val="000000" w:themeColor="text1"/>
    </w:rPr>
    <w:tblPr>
      <w:tblStyleRowBandSize w:val="1"/>
      <w:tblStyleColBandSize w:val="1"/>
      <w:tblBorders>
        <w:insideH w:val="single" w:sz="4" w:space="0" w:color="FFFFFF" w:themeColor="background1"/>
      </w:tblBorders>
    </w:tblPr>
    <w:tcPr>
      <w:shd w:val="clear" w:color="auto" w:fill="CEE4FF" w:themeFill="accent2" w:themeFillTint="33"/>
    </w:tcPr>
    <w:tblStylePr w:type="firstRow">
      <w:rPr>
        <w:b/>
        <w:bCs/>
      </w:rPr>
      <w:tblPr/>
      <w:tcPr>
        <w:shd w:val="clear" w:color="auto" w:fill="9DCAFF" w:themeFill="accent2" w:themeFillTint="66"/>
      </w:tcPr>
    </w:tblStylePr>
    <w:tblStylePr w:type="lastRow">
      <w:rPr>
        <w:b/>
        <w:bCs/>
        <w:color w:val="000000" w:themeColor="text1"/>
      </w:rPr>
      <w:tblPr/>
      <w:tcPr>
        <w:shd w:val="clear" w:color="auto" w:fill="9DCAFF" w:themeFill="accent2" w:themeFillTint="66"/>
      </w:tcPr>
    </w:tblStylePr>
    <w:tblStylePr w:type="firstCol">
      <w:rPr>
        <w:color w:val="FFFFFF" w:themeColor="background1"/>
      </w:rPr>
      <w:tblPr/>
      <w:tcPr>
        <w:shd w:val="clear" w:color="auto" w:fill="005CC6" w:themeFill="accent2" w:themeFillShade="BF"/>
      </w:tcPr>
    </w:tblStylePr>
    <w:tblStylePr w:type="lastCol">
      <w:rPr>
        <w:color w:val="FFFFFF" w:themeColor="background1"/>
      </w:rPr>
      <w:tblPr/>
      <w:tcPr>
        <w:shd w:val="clear" w:color="auto" w:fill="005CC6" w:themeFill="accent2" w:themeFillShade="BF"/>
      </w:tcPr>
    </w:tblStylePr>
    <w:tblStylePr w:type="band1Vert">
      <w:tblPr/>
      <w:tcPr>
        <w:shd w:val="clear" w:color="auto" w:fill="84BDFF" w:themeFill="accent2" w:themeFillTint="7F"/>
      </w:tcPr>
    </w:tblStylePr>
    <w:tblStylePr w:type="band1Horz">
      <w:tblPr/>
      <w:tcPr>
        <w:shd w:val="clear" w:color="auto" w:fill="84BDFF" w:themeFill="accent2" w:themeFillTint="7F"/>
      </w:tcPr>
    </w:tblStylePr>
  </w:style>
  <w:style w:type="table" w:styleId="ColorfulGrid-Accent3">
    <w:name w:val="Colorful Grid Accent 3"/>
    <w:basedOn w:val="TableNormal"/>
    <w:uiPriority w:val="73"/>
    <w:semiHidden/>
    <w:unhideWhenUsed/>
    <w:rsid w:val="008E4D10"/>
    <w:rPr>
      <w:color w:val="000000" w:themeColor="text1"/>
    </w:rPr>
    <w:tblPr>
      <w:tblStyleRowBandSize w:val="1"/>
      <w:tblStyleColBandSize w:val="1"/>
      <w:tblBorders>
        <w:insideH w:val="single" w:sz="4" w:space="0" w:color="FFFFFF" w:themeColor="background1"/>
      </w:tblBorders>
    </w:tblPr>
    <w:tcPr>
      <w:shd w:val="clear" w:color="auto" w:fill="DEF9FF" w:themeFill="accent3" w:themeFillTint="33"/>
    </w:tcPr>
    <w:tblStylePr w:type="firstRow">
      <w:rPr>
        <w:b/>
        <w:bCs/>
      </w:rPr>
      <w:tblPr/>
      <w:tcPr>
        <w:shd w:val="clear" w:color="auto" w:fill="BDF4FF" w:themeFill="accent3" w:themeFillTint="66"/>
      </w:tcPr>
    </w:tblStylePr>
    <w:tblStylePr w:type="lastRow">
      <w:rPr>
        <w:b/>
        <w:bCs/>
        <w:color w:val="000000" w:themeColor="text1"/>
      </w:rPr>
      <w:tblPr/>
      <w:tcPr>
        <w:shd w:val="clear" w:color="auto" w:fill="BDF4FF" w:themeFill="accent3" w:themeFillTint="66"/>
      </w:tcPr>
    </w:tblStylePr>
    <w:tblStylePr w:type="firstCol">
      <w:rPr>
        <w:color w:val="FFFFFF" w:themeColor="background1"/>
      </w:rPr>
      <w:tblPr/>
      <w:tcPr>
        <w:shd w:val="clear" w:color="auto" w:fill="03D8FF" w:themeFill="accent3" w:themeFillShade="BF"/>
      </w:tcPr>
    </w:tblStylePr>
    <w:tblStylePr w:type="lastCol">
      <w:rPr>
        <w:color w:val="FFFFFF" w:themeColor="background1"/>
      </w:rPr>
      <w:tblPr/>
      <w:tcPr>
        <w:shd w:val="clear" w:color="auto" w:fill="03D8FF" w:themeFill="accent3" w:themeFillShade="BF"/>
      </w:tcPr>
    </w:tblStylePr>
    <w:tblStylePr w:type="band1Vert">
      <w:tblPr/>
      <w:tcPr>
        <w:shd w:val="clear" w:color="auto" w:fill="ACF2FF" w:themeFill="accent3" w:themeFillTint="7F"/>
      </w:tcPr>
    </w:tblStylePr>
    <w:tblStylePr w:type="band1Horz">
      <w:tblPr/>
      <w:tcPr>
        <w:shd w:val="clear" w:color="auto" w:fill="ACF2FF" w:themeFill="accent3" w:themeFillTint="7F"/>
      </w:tcPr>
    </w:tblStylePr>
  </w:style>
  <w:style w:type="table" w:styleId="ColorfulGrid-Accent4">
    <w:name w:val="Colorful Grid Accent 4"/>
    <w:basedOn w:val="TableNormal"/>
    <w:uiPriority w:val="73"/>
    <w:semiHidden/>
    <w:unhideWhenUsed/>
    <w:rsid w:val="008E4D10"/>
    <w:rPr>
      <w:color w:val="000000" w:themeColor="text1"/>
    </w:rPr>
    <w:tblPr>
      <w:tblStyleRowBandSize w:val="1"/>
      <w:tblStyleColBandSize w:val="1"/>
      <w:tblBorders>
        <w:insideH w:val="single" w:sz="4" w:space="0" w:color="FFFFFF" w:themeColor="background1"/>
      </w:tblBorders>
    </w:tblPr>
    <w:tcPr>
      <w:shd w:val="clear" w:color="auto" w:fill="AAC8FF" w:themeFill="accent4" w:themeFillTint="33"/>
    </w:tcPr>
    <w:tblStylePr w:type="firstRow">
      <w:rPr>
        <w:b/>
        <w:bCs/>
      </w:rPr>
      <w:tblPr/>
      <w:tcPr>
        <w:shd w:val="clear" w:color="auto" w:fill="5591FF" w:themeFill="accent4" w:themeFillTint="66"/>
      </w:tcPr>
    </w:tblStylePr>
    <w:tblStylePr w:type="lastRow">
      <w:rPr>
        <w:b/>
        <w:bCs/>
        <w:color w:val="000000" w:themeColor="text1"/>
      </w:rPr>
      <w:tblPr/>
      <w:tcPr>
        <w:shd w:val="clear" w:color="auto" w:fill="5591FF" w:themeFill="accent4" w:themeFillTint="66"/>
      </w:tcPr>
    </w:tblStylePr>
    <w:tblStylePr w:type="firstCol">
      <w:rPr>
        <w:color w:val="FFFFFF" w:themeColor="background1"/>
      </w:rPr>
      <w:tblPr/>
      <w:tcPr>
        <w:shd w:val="clear" w:color="auto" w:fill="00163F" w:themeFill="accent4" w:themeFillShade="BF"/>
      </w:tcPr>
    </w:tblStylePr>
    <w:tblStylePr w:type="lastCol">
      <w:rPr>
        <w:color w:val="FFFFFF" w:themeColor="background1"/>
      </w:rPr>
      <w:tblPr/>
      <w:tcPr>
        <w:shd w:val="clear" w:color="auto" w:fill="00163F" w:themeFill="accent4" w:themeFillShade="BF"/>
      </w:tcPr>
    </w:tblStylePr>
    <w:tblStylePr w:type="band1Vert">
      <w:tblPr/>
      <w:tcPr>
        <w:shd w:val="clear" w:color="auto" w:fill="2B76FF" w:themeFill="accent4" w:themeFillTint="7F"/>
      </w:tcPr>
    </w:tblStylePr>
    <w:tblStylePr w:type="band1Horz">
      <w:tblPr/>
      <w:tcPr>
        <w:shd w:val="clear" w:color="auto" w:fill="2B76FF" w:themeFill="accent4" w:themeFillTint="7F"/>
      </w:tcPr>
    </w:tblStylePr>
  </w:style>
  <w:style w:type="table" w:styleId="ColorfulGrid-Accent5">
    <w:name w:val="Colorful Grid Accent 5"/>
    <w:basedOn w:val="TableNormal"/>
    <w:uiPriority w:val="73"/>
    <w:semiHidden/>
    <w:unhideWhenUsed/>
    <w:rsid w:val="008E4D10"/>
    <w:rPr>
      <w:color w:val="000000" w:themeColor="text1"/>
    </w:rPr>
    <w:tblPr>
      <w:tblStyleRowBandSize w:val="1"/>
      <w:tblStyleColBandSize w:val="1"/>
      <w:tblBorders>
        <w:insideH w:val="single" w:sz="4" w:space="0" w:color="FFFFFF" w:themeColor="background1"/>
      </w:tblBorders>
    </w:tblPr>
    <w:tcPr>
      <w:shd w:val="clear" w:color="auto" w:fill="EDEDED" w:themeFill="accent5" w:themeFillTint="33"/>
    </w:tcPr>
    <w:tblStylePr w:type="firstRow">
      <w:rPr>
        <w:b/>
        <w:bCs/>
      </w:rPr>
      <w:tblPr/>
      <w:tcPr>
        <w:shd w:val="clear" w:color="auto" w:fill="DBDBDB" w:themeFill="accent5" w:themeFillTint="66"/>
      </w:tcPr>
    </w:tblStylePr>
    <w:tblStylePr w:type="lastRow">
      <w:rPr>
        <w:b/>
        <w:bCs/>
        <w:color w:val="000000" w:themeColor="text1"/>
      </w:rPr>
      <w:tblPr/>
      <w:tcPr>
        <w:shd w:val="clear" w:color="auto" w:fill="DBDBDB" w:themeFill="accent5" w:themeFillTint="66"/>
      </w:tcPr>
    </w:tblStylePr>
    <w:tblStylePr w:type="firstCol">
      <w:rPr>
        <w:color w:val="FFFFFF" w:themeColor="background1"/>
      </w:rPr>
      <w:tblPr/>
      <w:tcPr>
        <w:shd w:val="clear" w:color="auto" w:fill="7B7B7B" w:themeFill="accent5" w:themeFillShade="BF"/>
      </w:tcPr>
    </w:tblStylePr>
    <w:tblStylePr w:type="lastCol">
      <w:rPr>
        <w:color w:val="FFFFFF" w:themeColor="background1"/>
      </w:rPr>
      <w:tblPr/>
      <w:tcPr>
        <w:shd w:val="clear" w:color="auto" w:fill="7B7B7B" w:themeFill="accent5" w:themeFillShade="BF"/>
      </w:tcPr>
    </w:tblStylePr>
    <w:tblStylePr w:type="band1Vert">
      <w:tblPr/>
      <w:tcPr>
        <w:shd w:val="clear" w:color="auto" w:fill="D2D2D2" w:themeFill="accent5" w:themeFillTint="7F"/>
      </w:tcPr>
    </w:tblStylePr>
    <w:tblStylePr w:type="band1Horz">
      <w:tblPr/>
      <w:tcPr>
        <w:shd w:val="clear" w:color="auto" w:fill="D2D2D2" w:themeFill="accent5" w:themeFillTint="7F"/>
      </w:tcPr>
    </w:tblStylePr>
  </w:style>
  <w:style w:type="table" w:styleId="ColorfulGrid-Accent6">
    <w:name w:val="Colorful Grid Accent 6"/>
    <w:basedOn w:val="TableNormal"/>
    <w:uiPriority w:val="73"/>
    <w:semiHidden/>
    <w:unhideWhenUsed/>
    <w:rsid w:val="008E4D10"/>
    <w:rPr>
      <w:color w:val="000000" w:themeColor="text1"/>
    </w:rPr>
    <w:tblPr>
      <w:tblStyleRowBandSize w:val="1"/>
      <w:tblStyleColBandSize w:val="1"/>
      <w:tblBorders>
        <w:insideH w:val="single" w:sz="4" w:space="0" w:color="FFFFFF" w:themeColor="background1"/>
      </w:tblBorders>
    </w:tblPr>
    <w:tcPr>
      <w:shd w:val="clear" w:color="auto" w:fill="F4F4F4" w:themeFill="accent6" w:themeFillTint="33"/>
    </w:tcPr>
    <w:tblStylePr w:type="firstRow">
      <w:rPr>
        <w:b/>
        <w:bCs/>
      </w:rPr>
      <w:tblPr/>
      <w:tcPr>
        <w:shd w:val="clear" w:color="auto" w:fill="E9E9E9" w:themeFill="accent6" w:themeFillTint="66"/>
      </w:tcPr>
    </w:tblStylePr>
    <w:tblStylePr w:type="lastRow">
      <w:rPr>
        <w:b/>
        <w:bCs/>
        <w:color w:val="000000" w:themeColor="text1"/>
      </w:rPr>
      <w:tblPr/>
      <w:tcPr>
        <w:shd w:val="clear" w:color="auto" w:fill="E9E9E9" w:themeFill="accent6" w:themeFillTint="66"/>
      </w:tcPr>
    </w:tblStylePr>
    <w:tblStylePr w:type="firstCol">
      <w:rPr>
        <w:color w:val="FFFFFF" w:themeColor="background1"/>
      </w:rPr>
      <w:tblPr/>
      <w:tcPr>
        <w:shd w:val="clear" w:color="auto" w:fill="959595" w:themeFill="accent6" w:themeFillShade="BF"/>
      </w:tcPr>
    </w:tblStylePr>
    <w:tblStylePr w:type="lastCol">
      <w:rPr>
        <w:color w:val="FFFFFF" w:themeColor="background1"/>
      </w:rPr>
      <w:tblPr/>
      <w:tcPr>
        <w:shd w:val="clear" w:color="auto" w:fill="959595" w:themeFill="accent6" w:themeFillShade="BF"/>
      </w:tcPr>
    </w:tblStylePr>
    <w:tblStylePr w:type="band1Vert">
      <w:tblPr/>
      <w:tcPr>
        <w:shd w:val="clear" w:color="auto" w:fill="E3E3E3" w:themeFill="accent6" w:themeFillTint="7F"/>
      </w:tcPr>
    </w:tblStylePr>
    <w:tblStylePr w:type="band1Horz">
      <w:tblPr/>
      <w:tcPr>
        <w:shd w:val="clear" w:color="auto" w:fill="E3E3E3" w:themeFill="accent6" w:themeFillTint="7F"/>
      </w:tcPr>
    </w:tblStylePr>
  </w:style>
  <w:style w:type="table" w:styleId="ColorfulList">
    <w:name w:val="Colorful List"/>
    <w:basedOn w:val="TableNormal"/>
    <w:uiPriority w:val="72"/>
    <w:semiHidden/>
    <w:unhideWhenUsed/>
    <w:rsid w:val="008E4D1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62D4" w:themeFill="accent2" w:themeFillShade="CC"/>
      </w:tcPr>
    </w:tblStylePr>
    <w:tblStylePr w:type="lastRow">
      <w:rPr>
        <w:b/>
        <w:bCs/>
        <w:color w:val="0062D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E4D10"/>
    <w:rPr>
      <w:color w:val="000000" w:themeColor="text1"/>
    </w:rPr>
    <w:tblPr>
      <w:tblStyleRowBandSize w:val="1"/>
      <w:tblStyleColBandSize w:val="1"/>
    </w:tblPr>
    <w:tcPr>
      <w:shd w:val="clear" w:color="auto" w:fill="E8E8FC" w:themeFill="accent1" w:themeFillTint="19"/>
    </w:tcPr>
    <w:tblStylePr w:type="firstRow">
      <w:rPr>
        <w:b/>
        <w:bCs/>
        <w:color w:val="FFFFFF" w:themeColor="background1"/>
      </w:rPr>
      <w:tblPr/>
      <w:tcPr>
        <w:tcBorders>
          <w:bottom w:val="single" w:sz="12" w:space="0" w:color="FFFFFF" w:themeColor="background1"/>
        </w:tcBorders>
        <w:shd w:val="clear" w:color="auto" w:fill="0062D4" w:themeFill="accent2" w:themeFillShade="CC"/>
      </w:tcPr>
    </w:tblStylePr>
    <w:tblStylePr w:type="lastRow">
      <w:rPr>
        <w:b/>
        <w:bCs/>
        <w:color w:val="0062D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C6F7" w:themeFill="accent1" w:themeFillTint="3F"/>
      </w:tcPr>
    </w:tblStylePr>
    <w:tblStylePr w:type="band1Horz">
      <w:tblPr/>
      <w:tcPr>
        <w:shd w:val="clear" w:color="auto" w:fill="D2D1F8" w:themeFill="accent1" w:themeFillTint="33"/>
      </w:tcPr>
    </w:tblStylePr>
  </w:style>
  <w:style w:type="table" w:styleId="ColorfulList-Accent2">
    <w:name w:val="Colorful List Accent 2"/>
    <w:basedOn w:val="TableNormal"/>
    <w:uiPriority w:val="72"/>
    <w:semiHidden/>
    <w:unhideWhenUsed/>
    <w:rsid w:val="008E4D10"/>
    <w:rPr>
      <w:color w:val="000000" w:themeColor="text1"/>
    </w:rPr>
    <w:tblPr>
      <w:tblStyleRowBandSize w:val="1"/>
      <w:tblStyleColBandSize w:val="1"/>
    </w:tblPr>
    <w:tcPr>
      <w:shd w:val="clear" w:color="auto" w:fill="E6F2FF" w:themeFill="accent2" w:themeFillTint="19"/>
    </w:tcPr>
    <w:tblStylePr w:type="firstRow">
      <w:rPr>
        <w:b/>
        <w:bCs/>
        <w:color w:val="FFFFFF" w:themeColor="background1"/>
      </w:rPr>
      <w:tblPr/>
      <w:tcPr>
        <w:tcBorders>
          <w:bottom w:val="single" w:sz="12" w:space="0" w:color="FFFFFF" w:themeColor="background1"/>
        </w:tcBorders>
        <w:shd w:val="clear" w:color="auto" w:fill="0062D4" w:themeFill="accent2" w:themeFillShade="CC"/>
      </w:tcPr>
    </w:tblStylePr>
    <w:tblStylePr w:type="lastRow">
      <w:rPr>
        <w:b/>
        <w:bCs/>
        <w:color w:val="0062D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EFF" w:themeFill="accent2" w:themeFillTint="3F"/>
      </w:tcPr>
    </w:tblStylePr>
    <w:tblStylePr w:type="band1Horz">
      <w:tblPr/>
      <w:tcPr>
        <w:shd w:val="clear" w:color="auto" w:fill="CEE4FF" w:themeFill="accent2" w:themeFillTint="33"/>
      </w:tcPr>
    </w:tblStylePr>
  </w:style>
  <w:style w:type="table" w:styleId="ColorfulList-Accent3">
    <w:name w:val="Colorful List Accent 3"/>
    <w:basedOn w:val="TableNormal"/>
    <w:uiPriority w:val="72"/>
    <w:semiHidden/>
    <w:unhideWhenUsed/>
    <w:rsid w:val="008E4D10"/>
    <w:rPr>
      <w:color w:val="000000" w:themeColor="text1"/>
    </w:rPr>
    <w:tblPr>
      <w:tblStyleRowBandSize w:val="1"/>
      <w:tblStyleColBandSize w:val="1"/>
    </w:tblPr>
    <w:tcPr>
      <w:shd w:val="clear" w:color="auto" w:fill="EEFCFF" w:themeFill="accent3" w:themeFillTint="19"/>
    </w:tcPr>
    <w:tblStylePr w:type="firstRow">
      <w:rPr>
        <w:b/>
        <w:bCs/>
        <w:color w:val="FFFFFF" w:themeColor="background1"/>
      </w:rPr>
      <w:tblPr/>
      <w:tcPr>
        <w:tcBorders>
          <w:bottom w:val="single" w:sz="12" w:space="0" w:color="FFFFFF" w:themeColor="background1"/>
        </w:tcBorders>
        <w:shd w:val="clear" w:color="auto" w:fill="001844" w:themeFill="accent4" w:themeFillShade="CC"/>
      </w:tcPr>
    </w:tblStylePr>
    <w:tblStylePr w:type="lastRow">
      <w:rPr>
        <w:b/>
        <w:bCs/>
        <w:color w:val="00184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8FF" w:themeFill="accent3" w:themeFillTint="3F"/>
      </w:tcPr>
    </w:tblStylePr>
    <w:tblStylePr w:type="band1Horz">
      <w:tblPr/>
      <w:tcPr>
        <w:shd w:val="clear" w:color="auto" w:fill="DEF9FF" w:themeFill="accent3" w:themeFillTint="33"/>
      </w:tcPr>
    </w:tblStylePr>
  </w:style>
  <w:style w:type="table" w:styleId="ColorfulList-Accent4">
    <w:name w:val="Colorful List Accent 4"/>
    <w:basedOn w:val="TableNormal"/>
    <w:uiPriority w:val="72"/>
    <w:semiHidden/>
    <w:unhideWhenUsed/>
    <w:rsid w:val="008E4D10"/>
    <w:rPr>
      <w:color w:val="000000" w:themeColor="text1"/>
    </w:rPr>
    <w:tblPr>
      <w:tblStyleRowBandSize w:val="1"/>
      <w:tblStyleColBandSize w:val="1"/>
    </w:tblPr>
    <w:tcPr>
      <w:shd w:val="clear" w:color="auto" w:fill="D5E4FF" w:themeFill="accent4" w:themeFillTint="19"/>
    </w:tcPr>
    <w:tblStylePr w:type="firstRow">
      <w:rPr>
        <w:b/>
        <w:bCs/>
        <w:color w:val="FFFFFF" w:themeColor="background1"/>
      </w:rPr>
      <w:tblPr/>
      <w:tcPr>
        <w:tcBorders>
          <w:bottom w:val="single" w:sz="12" w:space="0" w:color="FFFFFF" w:themeColor="background1"/>
        </w:tcBorders>
        <w:shd w:val="clear" w:color="auto" w:fill="15DBFF" w:themeFill="accent3" w:themeFillShade="CC"/>
      </w:tcPr>
    </w:tblStylePr>
    <w:tblStylePr w:type="lastRow">
      <w:rPr>
        <w:b/>
        <w:bCs/>
        <w:color w:val="15DBF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BBFF" w:themeFill="accent4" w:themeFillTint="3F"/>
      </w:tcPr>
    </w:tblStylePr>
    <w:tblStylePr w:type="band1Horz">
      <w:tblPr/>
      <w:tcPr>
        <w:shd w:val="clear" w:color="auto" w:fill="AAC8FF" w:themeFill="accent4" w:themeFillTint="33"/>
      </w:tcPr>
    </w:tblStylePr>
  </w:style>
  <w:style w:type="table" w:styleId="ColorfulList-Accent5">
    <w:name w:val="Colorful List Accent 5"/>
    <w:basedOn w:val="TableNormal"/>
    <w:uiPriority w:val="72"/>
    <w:semiHidden/>
    <w:unhideWhenUsed/>
    <w:rsid w:val="008E4D10"/>
    <w:rPr>
      <w:color w:val="000000" w:themeColor="text1"/>
    </w:rPr>
    <w:tblPr>
      <w:tblStyleRowBandSize w:val="1"/>
      <w:tblStyleColBandSize w:val="1"/>
    </w:tblPr>
    <w:tcPr>
      <w:shd w:val="clear" w:color="auto" w:fill="F6F6F6" w:themeFill="accent5" w:themeFillTint="19"/>
    </w:tcPr>
    <w:tblStylePr w:type="firstRow">
      <w:rPr>
        <w:b/>
        <w:bCs/>
        <w:color w:val="FFFFFF" w:themeColor="background1"/>
      </w:rPr>
      <w:tblPr/>
      <w:tcPr>
        <w:tcBorders>
          <w:bottom w:val="single" w:sz="12" w:space="0" w:color="FFFFFF" w:themeColor="background1"/>
        </w:tcBorders>
        <w:shd w:val="clear" w:color="auto" w:fill="A0A0A0" w:themeFill="accent6" w:themeFillShade="CC"/>
      </w:tcPr>
    </w:tblStylePr>
    <w:tblStylePr w:type="lastRow">
      <w:rPr>
        <w:b/>
        <w:bCs/>
        <w:color w:val="A0A0A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5" w:themeFillTint="3F"/>
      </w:tcPr>
    </w:tblStylePr>
    <w:tblStylePr w:type="band1Horz">
      <w:tblPr/>
      <w:tcPr>
        <w:shd w:val="clear" w:color="auto" w:fill="EDEDED" w:themeFill="accent5" w:themeFillTint="33"/>
      </w:tcPr>
    </w:tblStylePr>
  </w:style>
  <w:style w:type="table" w:styleId="ColorfulList-Accent6">
    <w:name w:val="Colorful List Accent 6"/>
    <w:basedOn w:val="TableNormal"/>
    <w:uiPriority w:val="72"/>
    <w:semiHidden/>
    <w:unhideWhenUsed/>
    <w:rsid w:val="008E4D10"/>
    <w:rPr>
      <w:color w:val="000000" w:themeColor="text1"/>
    </w:rPr>
    <w:tblPr>
      <w:tblStyleRowBandSize w:val="1"/>
      <w:tblStyleColBandSize w:val="1"/>
    </w:tblPr>
    <w:tcPr>
      <w:shd w:val="clear" w:color="auto" w:fill="F9F9F9" w:themeFill="accent6" w:themeFillTint="19"/>
    </w:tcPr>
    <w:tblStylePr w:type="firstRow">
      <w:rPr>
        <w:b/>
        <w:bCs/>
        <w:color w:val="FFFFFF" w:themeColor="background1"/>
      </w:rPr>
      <w:tblPr/>
      <w:tcPr>
        <w:tcBorders>
          <w:bottom w:val="single" w:sz="12" w:space="0" w:color="FFFFFF" w:themeColor="background1"/>
        </w:tcBorders>
        <w:shd w:val="clear" w:color="auto" w:fill="848484" w:themeFill="accent5" w:themeFillShade="CC"/>
      </w:tcPr>
    </w:tblStylePr>
    <w:tblStylePr w:type="lastRow">
      <w:rPr>
        <w:b/>
        <w:bCs/>
        <w:color w:val="8484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F1F1" w:themeFill="accent6" w:themeFillTint="3F"/>
      </w:tcPr>
    </w:tblStylePr>
    <w:tblStylePr w:type="band1Horz">
      <w:tblPr/>
      <w:tcPr>
        <w:shd w:val="clear" w:color="auto" w:fill="F4F4F4" w:themeFill="accent6" w:themeFillTint="33"/>
      </w:tcPr>
    </w:tblStylePr>
  </w:style>
  <w:style w:type="table" w:styleId="ColorfulShading">
    <w:name w:val="Colorful Shading"/>
    <w:basedOn w:val="TableNormal"/>
    <w:uiPriority w:val="71"/>
    <w:semiHidden/>
    <w:unhideWhenUsed/>
    <w:rsid w:val="008E4D10"/>
    <w:rPr>
      <w:color w:val="000000" w:themeColor="text1"/>
    </w:rPr>
    <w:tblPr>
      <w:tblStyleRowBandSize w:val="1"/>
      <w:tblStyleColBandSize w:val="1"/>
      <w:tblBorders>
        <w:top w:val="single" w:sz="24" w:space="0" w:color="0A7DF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A7D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E4D10"/>
    <w:rPr>
      <w:color w:val="000000" w:themeColor="text1"/>
    </w:rPr>
    <w:tblPr>
      <w:tblStyleRowBandSize w:val="1"/>
      <w:tblStyleColBandSize w:val="1"/>
      <w:tblBorders>
        <w:top w:val="single" w:sz="24" w:space="0" w:color="0A7DFF" w:themeColor="accent2"/>
        <w:left w:val="single" w:sz="4" w:space="0" w:color="231EDC" w:themeColor="accent1"/>
        <w:bottom w:val="single" w:sz="4" w:space="0" w:color="231EDC" w:themeColor="accent1"/>
        <w:right w:val="single" w:sz="4" w:space="0" w:color="231EDC" w:themeColor="accent1"/>
        <w:insideH w:val="single" w:sz="4" w:space="0" w:color="FFFFFF" w:themeColor="background1"/>
        <w:insideV w:val="single" w:sz="4" w:space="0" w:color="FFFFFF" w:themeColor="background1"/>
      </w:tblBorders>
    </w:tblPr>
    <w:tcPr>
      <w:shd w:val="clear" w:color="auto" w:fill="E8E8FC" w:themeFill="accent1" w:themeFillTint="19"/>
    </w:tcPr>
    <w:tblStylePr w:type="firstRow">
      <w:rPr>
        <w:b/>
        <w:bCs/>
      </w:rPr>
      <w:tblPr/>
      <w:tcPr>
        <w:tcBorders>
          <w:top w:val="nil"/>
          <w:left w:val="nil"/>
          <w:bottom w:val="single" w:sz="24" w:space="0" w:color="0A7D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83" w:themeFill="accent1" w:themeFillShade="99"/>
      </w:tcPr>
    </w:tblStylePr>
    <w:tblStylePr w:type="firstCol">
      <w:rPr>
        <w:color w:val="FFFFFF" w:themeColor="background1"/>
      </w:rPr>
      <w:tblPr/>
      <w:tcPr>
        <w:tcBorders>
          <w:top w:val="nil"/>
          <w:left w:val="nil"/>
          <w:bottom w:val="nil"/>
          <w:right w:val="nil"/>
          <w:insideH w:val="single" w:sz="4" w:space="0" w:color="141283" w:themeColor="accent1" w:themeShade="99"/>
          <w:insideV w:val="nil"/>
        </w:tcBorders>
        <w:shd w:val="clear" w:color="auto" w:fill="14128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41283" w:themeFill="accent1" w:themeFillShade="99"/>
      </w:tcPr>
    </w:tblStylePr>
    <w:tblStylePr w:type="band1Vert">
      <w:tblPr/>
      <w:tcPr>
        <w:shd w:val="clear" w:color="auto" w:fill="A5A3F2" w:themeFill="accent1" w:themeFillTint="66"/>
      </w:tcPr>
    </w:tblStylePr>
    <w:tblStylePr w:type="band1Horz">
      <w:tblPr/>
      <w:tcPr>
        <w:shd w:val="clear" w:color="auto" w:fill="8F8CE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E4D10"/>
    <w:rPr>
      <w:color w:val="000000" w:themeColor="text1"/>
    </w:rPr>
    <w:tblPr>
      <w:tblStyleRowBandSize w:val="1"/>
      <w:tblStyleColBandSize w:val="1"/>
      <w:tblBorders>
        <w:top w:val="single" w:sz="24" w:space="0" w:color="0A7DFF" w:themeColor="accent2"/>
        <w:left w:val="single" w:sz="4" w:space="0" w:color="0A7DFF" w:themeColor="accent2"/>
        <w:bottom w:val="single" w:sz="4" w:space="0" w:color="0A7DFF" w:themeColor="accent2"/>
        <w:right w:val="single" w:sz="4" w:space="0" w:color="0A7DFF" w:themeColor="accent2"/>
        <w:insideH w:val="single" w:sz="4" w:space="0" w:color="FFFFFF" w:themeColor="background1"/>
        <w:insideV w:val="single" w:sz="4" w:space="0" w:color="FFFFFF" w:themeColor="background1"/>
      </w:tblBorders>
    </w:tblPr>
    <w:tcPr>
      <w:shd w:val="clear" w:color="auto" w:fill="E6F2FF" w:themeFill="accent2" w:themeFillTint="19"/>
    </w:tcPr>
    <w:tblStylePr w:type="firstRow">
      <w:rPr>
        <w:b/>
        <w:bCs/>
      </w:rPr>
      <w:tblPr/>
      <w:tcPr>
        <w:tcBorders>
          <w:top w:val="nil"/>
          <w:left w:val="nil"/>
          <w:bottom w:val="single" w:sz="24" w:space="0" w:color="0A7D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A9F" w:themeFill="accent2" w:themeFillShade="99"/>
      </w:tcPr>
    </w:tblStylePr>
    <w:tblStylePr w:type="firstCol">
      <w:rPr>
        <w:color w:val="FFFFFF" w:themeColor="background1"/>
      </w:rPr>
      <w:tblPr/>
      <w:tcPr>
        <w:tcBorders>
          <w:top w:val="nil"/>
          <w:left w:val="nil"/>
          <w:bottom w:val="nil"/>
          <w:right w:val="nil"/>
          <w:insideH w:val="single" w:sz="4" w:space="0" w:color="004A9F" w:themeColor="accent2" w:themeShade="99"/>
          <w:insideV w:val="nil"/>
        </w:tcBorders>
        <w:shd w:val="clear" w:color="auto" w:fill="004A9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4A9F" w:themeFill="accent2" w:themeFillShade="99"/>
      </w:tcPr>
    </w:tblStylePr>
    <w:tblStylePr w:type="band1Vert">
      <w:tblPr/>
      <w:tcPr>
        <w:shd w:val="clear" w:color="auto" w:fill="9DCAFF" w:themeFill="accent2" w:themeFillTint="66"/>
      </w:tcPr>
    </w:tblStylePr>
    <w:tblStylePr w:type="band1Horz">
      <w:tblPr/>
      <w:tcPr>
        <w:shd w:val="clear" w:color="auto" w:fill="84BD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E4D10"/>
    <w:rPr>
      <w:color w:val="000000" w:themeColor="text1"/>
    </w:rPr>
    <w:tblPr>
      <w:tblStyleRowBandSize w:val="1"/>
      <w:tblStyleColBandSize w:val="1"/>
      <w:tblBorders>
        <w:top w:val="single" w:sz="24" w:space="0" w:color="001E55" w:themeColor="accent4"/>
        <w:left w:val="single" w:sz="4" w:space="0" w:color="5AE6FF" w:themeColor="accent3"/>
        <w:bottom w:val="single" w:sz="4" w:space="0" w:color="5AE6FF" w:themeColor="accent3"/>
        <w:right w:val="single" w:sz="4" w:space="0" w:color="5AE6FF" w:themeColor="accent3"/>
        <w:insideH w:val="single" w:sz="4" w:space="0" w:color="FFFFFF" w:themeColor="background1"/>
        <w:insideV w:val="single" w:sz="4" w:space="0" w:color="FFFFFF" w:themeColor="background1"/>
      </w:tblBorders>
    </w:tblPr>
    <w:tcPr>
      <w:shd w:val="clear" w:color="auto" w:fill="EEFCFF" w:themeFill="accent3" w:themeFillTint="19"/>
    </w:tcPr>
    <w:tblStylePr w:type="firstRow">
      <w:rPr>
        <w:b/>
        <w:bCs/>
      </w:rPr>
      <w:tblPr/>
      <w:tcPr>
        <w:tcBorders>
          <w:top w:val="nil"/>
          <w:left w:val="nil"/>
          <w:bottom w:val="single" w:sz="24" w:space="0" w:color="001E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AFCF" w:themeFill="accent3" w:themeFillShade="99"/>
      </w:tcPr>
    </w:tblStylePr>
    <w:tblStylePr w:type="firstCol">
      <w:rPr>
        <w:color w:val="FFFFFF" w:themeColor="background1"/>
      </w:rPr>
      <w:tblPr/>
      <w:tcPr>
        <w:tcBorders>
          <w:top w:val="nil"/>
          <w:left w:val="nil"/>
          <w:bottom w:val="nil"/>
          <w:right w:val="nil"/>
          <w:insideH w:val="single" w:sz="4" w:space="0" w:color="00AFCF" w:themeColor="accent3" w:themeShade="99"/>
          <w:insideV w:val="nil"/>
        </w:tcBorders>
        <w:shd w:val="clear" w:color="auto" w:fill="00AFC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AFCF" w:themeFill="accent3" w:themeFillShade="99"/>
      </w:tcPr>
    </w:tblStylePr>
    <w:tblStylePr w:type="band1Vert">
      <w:tblPr/>
      <w:tcPr>
        <w:shd w:val="clear" w:color="auto" w:fill="BDF4FF" w:themeFill="accent3" w:themeFillTint="66"/>
      </w:tcPr>
    </w:tblStylePr>
    <w:tblStylePr w:type="band1Horz">
      <w:tblPr/>
      <w:tcPr>
        <w:shd w:val="clear" w:color="auto" w:fill="ACF2FF" w:themeFill="accent3" w:themeFillTint="7F"/>
      </w:tcPr>
    </w:tblStylePr>
  </w:style>
  <w:style w:type="table" w:styleId="ColorfulShading-Accent4">
    <w:name w:val="Colorful Shading Accent 4"/>
    <w:basedOn w:val="TableNormal"/>
    <w:uiPriority w:val="71"/>
    <w:semiHidden/>
    <w:unhideWhenUsed/>
    <w:rsid w:val="008E4D10"/>
    <w:rPr>
      <w:color w:val="000000" w:themeColor="text1"/>
    </w:rPr>
    <w:tblPr>
      <w:tblStyleRowBandSize w:val="1"/>
      <w:tblStyleColBandSize w:val="1"/>
      <w:tblBorders>
        <w:top w:val="single" w:sz="24" w:space="0" w:color="5AE6FF" w:themeColor="accent3"/>
        <w:left w:val="single" w:sz="4" w:space="0" w:color="001E55" w:themeColor="accent4"/>
        <w:bottom w:val="single" w:sz="4" w:space="0" w:color="001E55" w:themeColor="accent4"/>
        <w:right w:val="single" w:sz="4" w:space="0" w:color="001E55" w:themeColor="accent4"/>
        <w:insideH w:val="single" w:sz="4" w:space="0" w:color="FFFFFF" w:themeColor="background1"/>
        <w:insideV w:val="single" w:sz="4" w:space="0" w:color="FFFFFF" w:themeColor="background1"/>
      </w:tblBorders>
    </w:tblPr>
    <w:tcPr>
      <w:shd w:val="clear" w:color="auto" w:fill="D5E4FF" w:themeFill="accent4" w:themeFillTint="19"/>
    </w:tcPr>
    <w:tblStylePr w:type="firstRow">
      <w:rPr>
        <w:b/>
        <w:bCs/>
      </w:rPr>
      <w:tblPr/>
      <w:tcPr>
        <w:tcBorders>
          <w:top w:val="nil"/>
          <w:left w:val="nil"/>
          <w:bottom w:val="single" w:sz="24" w:space="0" w:color="5AE6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233" w:themeFill="accent4" w:themeFillShade="99"/>
      </w:tcPr>
    </w:tblStylePr>
    <w:tblStylePr w:type="firstCol">
      <w:rPr>
        <w:color w:val="FFFFFF" w:themeColor="background1"/>
      </w:rPr>
      <w:tblPr/>
      <w:tcPr>
        <w:tcBorders>
          <w:top w:val="nil"/>
          <w:left w:val="nil"/>
          <w:bottom w:val="nil"/>
          <w:right w:val="nil"/>
          <w:insideH w:val="single" w:sz="4" w:space="0" w:color="001233" w:themeColor="accent4" w:themeShade="99"/>
          <w:insideV w:val="nil"/>
        </w:tcBorders>
        <w:shd w:val="clear" w:color="auto" w:fill="00123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1233" w:themeFill="accent4" w:themeFillShade="99"/>
      </w:tcPr>
    </w:tblStylePr>
    <w:tblStylePr w:type="band1Vert">
      <w:tblPr/>
      <w:tcPr>
        <w:shd w:val="clear" w:color="auto" w:fill="5591FF" w:themeFill="accent4" w:themeFillTint="66"/>
      </w:tcPr>
    </w:tblStylePr>
    <w:tblStylePr w:type="band1Horz">
      <w:tblPr/>
      <w:tcPr>
        <w:shd w:val="clear" w:color="auto" w:fill="2B76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E4D10"/>
    <w:rPr>
      <w:color w:val="000000" w:themeColor="text1"/>
    </w:rPr>
    <w:tblPr>
      <w:tblStyleRowBandSize w:val="1"/>
      <w:tblStyleColBandSize w:val="1"/>
      <w:tblBorders>
        <w:top w:val="single" w:sz="24" w:space="0" w:color="C8C8C8" w:themeColor="accent6"/>
        <w:left w:val="single" w:sz="4" w:space="0" w:color="A5A5A5" w:themeColor="accent5"/>
        <w:bottom w:val="single" w:sz="4" w:space="0" w:color="A5A5A5" w:themeColor="accent5"/>
        <w:right w:val="single" w:sz="4" w:space="0" w:color="A5A5A5" w:themeColor="accent5"/>
        <w:insideH w:val="single" w:sz="4" w:space="0" w:color="FFFFFF" w:themeColor="background1"/>
        <w:insideV w:val="single" w:sz="4" w:space="0" w:color="FFFFFF" w:themeColor="background1"/>
      </w:tblBorders>
    </w:tblPr>
    <w:tcPr>
      <w:shd w:val="clear" w:color="auto" w:fill="F6F6F6" w:themeFill="accent5" w:themeFillTint="19"/>
    </w:tcPr>
    <w:tblStylePr w:type="firstRow">
      <w:rPr>
        <w:b/>
        <w:bCs/>
      </w:rPr>
      <w:tblPr/>
      <w:tcPr>
        <w:tcBorders>
          <w:top w:val="nil"/>
          <w:left w:val="nil"/>
          <w:bottom w:val="single" w:sz="24" w:space="0" w:color="C8C8C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5" w:themeFillShade="99"/>
      </w:tcPr>
    </w:tblStylePr>
    <w:tblStylePr w:type="firstCol">
      <w:rPr>
        <w:color w:val="FFFFFF" w:themeColor="background1"/>
      </w:rPr>
      <w:tblPr/>
      <w:tcPr>
        <w:tcBorders>
          <w:top w:val="nil"/>
          <w:left w:val="nil"/>
          <w:bottom w:val="nil"/>
          <w:right w:val="nil"/>
          <w:insideH w:val="single" w:sz="4" w:space="0" w:color="636363" w:themeColor="accent5" w:themeShade="99"/>
          <w:insideV w:val="nil"/>
        </w:tcBorders>
        <w:shd w:val="clear" w:color="auto" w:fill="6363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5" w:themeFillShade="99"/>
      </w:tcPr>
    </w:tblStylePr>
    <w:tblStylePr w:type="band1Vert">
      <w:tblPr/>
      <w:tcPr>
        <w:shd w:val="clear" w:color="auto" w:fill="DBDBDB" w:themeFill="accent5" w:themeFillTint="66"/>
      </w:tcPr>
    </w:tblStylePr>
    <w:tblStylePr w:type="band1Horz">
      <w:tblPr/>
      <w:tcPr>
        <w:shd w:val="clear" w:color="auto" w:fill="D2D2D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E4D10"/>
    <w:rPr>
      <w:color w:val="000000" w:themeColor="text1"/>
    </w:rPr>
    <w:tblPr>
      <w:tblStyleRowBandSize w:val="1"/>
      <w:tblStyleColBandSize w:val="1"/>
      <w:tblBorders>
        <w:top w:val="single" w:sz="24" w:space="0" w:color="A5A5A5" w:themeColor="accent5"/>
        <w:left w:val="single" w:sz="4" w:space="0" w:color="C8C8C8" w:themeColor="accent6"/>
        <w:bottom w:val="single" w:sz="4" w:space="0" w:color="C8C8C8" w:themeColor="accent6"/>
        <w:right w:val="single" w:sz="4" w:space="0" w:color="C8C8C8" w:themeColor="accent6"/>
        <w:insideH w:val="single" w:sz="4" w:space="0" w:color="FFFFFF" w:themeColor="background1"/>
        <w:insideV w:val="single" w:sz="4" w:space="0" w:color="FFFFFF" w:themeColor="background1"/>
      </w:tblBorders>
    </w:tblPr>
    <w:tcPr>
      <w:shd w:val="clear" w:color="auto" w:fill="F9F9F9" w:themeFill="accent6" w:themeFillTint="19"/>
    </w:tcPr>
    <w:tblStylePr w:type="firstRow">
      <w:rPr>
        <w:b/>
        <w:bCs/>
      </w:rPr>
      <w:tblPr/>
      <w:tcPr>
        <w:tcBorders>
          <w:top w:val="nil"/>
          <w:left w:val="nil"/>
          <w:bottom w:val="single" w:sz="24" w:space="0" w:color="A5A5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7878" w:themeFill="accent6" w:themeFillShade="99"/>
      </w:tcPr>
    </w:tblStylePr>
    <w:tblStylePr w:type="firstCol">
      <w:rPr>
        <w:color w:val="FFFFFF" w:themeColor="background1"/>
      </w:rPr>
      <w:tblPr/>
      <w:tcPr>
        <w:tcBorders>
          <w:top w:val="nil"/>
          <w:left w:val="nil"/>
          <w:bottom w:val="nil"/>
          <w:right w:val="nil"/>
          <w:insideH w:val="single" w:sz="4" w:space="0" w:color="787878" w:themeColor="accent6" w:themeShade="99"/>
          <w:insideV w:val="nil"/>
        </w:tcBorders>
        <w:shd w:val="clear" w:color="auto" w:fill="78787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87878" w:themeFill="accent6" w:themeFillShade="99"/>
      </w:tcPr>
    </w:tblStylePr>
    <w:tblStylePr w:type="band1Vert">
      <w:tblPr/>
      <w:tcPr>
        <w:shd w:val="clear" w:color="auto" w:fill="E9E9E9" w:themeFill="accent6" w:themeFillTint="66"/>
      </w:tcPr>
    </w:tblStylePr>
    <w:tblStylePr w:type="band1Horz">
      <w:tblPr/>
      <w:tcPr>
        <w:shd w:val="clear" w:color="auto" w:fill="E3E3E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8E4D1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E4D10"/>
    <w:rPr>
      <w:color w:val="FFFFFF" w:themeColor="background1"/>
    </w:rPr>
    <w:tblPr>
      <w:tblStyleRowBandSize w:val="1"/>
      <w:tblStyleColBandSize w:val="1"/>
    </w:tblPr>
    <w:tcPr>
      <w:shd w:val="clear" w:color="auto" w:fill="231ED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10F6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916A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916A4" w:themeFill="accent1" w:themeFillShade="BF"/>
      </w:tcPr>
    </w:tblStylePr>
    <w:tblStylePr w:type="band1Vert">
      <w:tblPr/>
      <w:tcPr>
        <w:tcBorders>
          <w:top w:val="nil"/>
          <w:left w:val="nil"/>
          <w:bottom w:val="nil"/>
          <w:right w:val="nil"/>
          <w:insideH w:val="nil"/>
          <w:insideV w:val="nil"/>
        </w:tcBorders>
        <w:shd w:val="clear" w:color="auto" w:fill="1916A4" w:themeFill="accent1" w:themeFillShade="BF"/>
      </w:tcPr>
    </w:tblStylePr>
    <w:tblStylePr w:type="band1Horz">
      <w:tblPr/>
      <w:tcPr>
        <w:tcBorders>
          <w:top w:val="nil"/>
          <w:left w:val="nil"/>
          <w:bottom w:val="nil"/>
          <w:right w:val="nil"/>
          <w:insideH w:val="nil"/>
          <w:insideV w:val="nil"/>
        </w:tcBorders>
        <w:shd w:val="clear" w:color="auto" w:fill="1916A4" w:themeFill="accent1" w:themeFillShade="BF"/>
      </w:tcPr>
    </w:tblStylePr>
  </w:style>
  <w:style w:type="table" w:styleId="DarkList-Accent2">
    <w:name w:val="Dark List Accent 2"/>
    <w:basedOn w:val="TableNormal"/>
    <w:uiPriority w:val="70"/>
    <w:semiHidden/>
    <w:unhideWhenUsed/>
    <w:rsid w:val="008E4D10"/>
    <w:rPr>
      <w:color w:val="FFFFFF" w:themeColor="background1"/>
    </w:rPr>
    <w:tblPr>
      <w:tblStyleRowBandSize w:val="1"/>
      <w:tblStyleColBandSize w:val="1"/>
    </w:tblPr>
    <w:tcPr>
      <w:shd w:val="clear" w:color="auto" w:fill="0A7DF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D8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5CC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5CC6" w:themeFill="accent2" w:themeFillShade="BF"/>
      </w:tcPr>
    </w:tblStylePr>
    <w:tblStylePr w:type="band1Vert">
      <w:tblPr/>
      <w:tcPr>
        <w:tcBorders>
          <w:top w:val="nil"/>
          <w:left w:val="nil"/>
          <w:bottom w:val="nil"/>
          <w:right w:val="nil"/>
          <w:insideH w:val="nil"/>
          <w:insideV w:val="nil"/>
        </w:tcBorders>
        <w:shd w:val="clear" w:color="auto" w:fill="005CC6" w:themeFill="accent2" w:themeFillShade="BF"/>
      </w:tcPr>
    </w:tblStylePr>
    <w:tblStylePr w:type="band1Horz">
      <w:tblPr/>
      <w:tcPr>
        <w:tcBorders>
          <w:top w:val="nil"/>
          <w:left w:val="nil"/>
          <w:bottom w:val="nil"/>
          <w:right w:val="nil"/>
          <w:insideH w:val="nil"/>
          <w:insideV w:val="nil"/>
        </w:tcBorders>
        <w:shd w:val="clear" w:color="auto" w:fill="005CC6" w:themeFill="accent2" w:themeFillShade="BF"/>
      </w:tcPr>
    </w:tblStylePr>
  </w:style>
  <w:style w:type="table" w:styleId="DarkList-Accent3">
    <w:name w:val="Dark List Accent 3"/>
    <w:basedOn w:val="TableNormal"/>
    <w:uiPriority w:val="70"/>
    <w:semiHidden/>
    <w:unhideWhenUsed/>
    <w:rsid w:val="008E4D10"/>
    <w:rPr>
      <w:color w:val="FFFFFF" w:themeColor="background1"/>
    </w:rPr>
    <w:tblPr>
      <w:tblStyleRowBandSize w:val="1"/>
      <w:tblStyleColBandSize w:val="1"/>
    </w:tblPr>
    <w:tcPr>
      <w:shd w:val="clear" w:color="auto" w:fill="5AE6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91A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D8F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D8FF" w:themeFill="accent3" w:themeFillShade="BF"/>
      </w:tcPr>
    </w:tblStylePr>
    <w:tblStylePr w:type="band1Vert">
      <w:tblPr/>
      <w:tcPr>
        <w:tcBorders>
          <w:top w:val="nil"/>
          <w:left w:val="nil"/>
          <w:bottom w:val="nil"/>
          <w:right w:val="nil"/>
          <w:insideH w:val="nil"/>
          <w:insideV w:val="nil"/>
        </w:tcBorders>
        <w:shd w:val="clear" w:color="auto" w:fill="03D8FF" w:themeFill="accent3" w:themeFillShade="BF"/>
      </w:tcPr>
    </w:tblStylePr>
    <w:tblStylePr w:type="band1Horz">
      <w:tblPr/>
      <w:tcPr>
        <w:tcBorders>
          <w:top w:val="nil"/>
          <w:left w:val="nil"/>
          <w:bottom w:val="nil"/>
          <w:right w:val="nil"/>
          <w:insideH w:val="nil"/>
          <w:insideV w:val="nil"/>
        </w:tcBorders>
        <w:shd w:val="clear" w:color="auto" w:fill="03D8FF" w:themeFill="accent3" w:themeFillShade="BF"/>
      </w:tcPr>
    </w:tblStylePr>
  </w:style>
  <w:style w:type="table" w:styleId="DarkList-Accent4">
    <w:name w:val="Dark List Accent 4"/>
    <w:basedOn w:val="TableNormal"/>
    <w:uiPriority w:val="70"/>
    <w:semiHidden/>
    <w:unhideWhenUsed/>
    <w:rsid w:val="008E4D10"/>
    <w:rPr>
      <w:color w:val="FFFFFF" w:themeColor="background1"/>
    </w:rPr>
    <w:tblPr>
      <w:tblStyleRowBandSize w:val="1"/>
      <w:tblStyleColBandSize w:val="1"/>
    </w:tblPr>
    <w:tcPr>
      <w:shd w:val="clear" w:color="auto" w:fill="001E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E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163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163F" w:themeFill="accent4" w:themeFillShade="BF"/>
      </w:tcPr>
    </w:tblStylePr>
    <w:tblStylePr w:type="band1Vert">
      <w:tblPr/>
      <w:tcPr>
        <w:tcBorders>
          <w:top w:val="nil"/>
          <w:left w:val="nil"/>
          <w:bottom w:val="nil"/>
          <w:right w:val="nil"/>
          <w:insideH w:val="nil"/>
          <w:insideV w:val="nil"/>
        </w:tcBorders>
        <w:shd w:val="clear" w:color="auto" w:fill="00163F" w:themeFill="accent4" w:themeFillShade="BF"/>
      </w:tcPr>
    </w:tblStylePr>
    <w:tblStylePr w:type="band1Horz">
      <w:tblPr/>
      <w:tcPr>
        <w:tcBorders>
          <w:top w:val="nil"/>
          <w:left w:val="nil"/>
          <w:bottom w:val="nil"/>
          <w:right w:val="nil"/>
          <w:insideH w:val="nil"/>
          <w:insideV w:val="nil"/>
        </w:tcBorders>
        <w:shd w:val="clear" w:color="auto" w:fill="00163F" w:themeFill="accent4" w:themeFillShade="BF"/>
      </w:tcPr>
    </w:tblStylePr>
  </w:style>
  <w:style w:type="table" w:styleId="DarkList-Accent5">
    <w:name w:val="Dark List Accent 5"/>
    <w:basedOn w:val="TableNormal"/>
    <w:uiPriority w:val="70"/>
    <w:semiHidden/>
    <w:unhideWhenUsed/>
    <w:rsid w:val="008E4D10"/>
    <w:rPr>
      <w:color w:val="FFFFFF" w:themeColor="background1"/>
    </w:rPr>
    <w:tblPr>
      <w:tblStyleRowBandSize w:val="1"/>
      <w:tblStyleColBandSize w:val="1"/>
    </w:tblPr>
    <w:tcPr>
      <w:shd w:val="clear" w:color="auto" w:fill="A5A5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5" w:themeFillShade="BF"/>
      </w:tcPr>
    </w:tblStylePr>
    <w:tblStylePr w:type="band1Vert">
      <w:tblPr/>
      <w:tcPr>
        <w:tcBorders>
          <w:top w:val="nil"/>
          <w:left w:val="nil"/>
          <w:bottom w:val="nil"/>
          <w:right w:val="nil"/>
          <w:insideH w:val="nil"/>
          <w:insideV w:val="nil"/>
        </w:tcBorders>
        <w:shd w:val="clear" w:color="auto" w:fill="7B7B7B" w:themeFill="accent5" w:themeFillShade="BF"/>
      </w:tcPr>
    </w:tblStylePr>
    <w:tblStylePr w:type="band1Horz">
      <w:tblPr/>
      <w:tcPr>
        <w:tcBorders>
          <w:top w:val="nil"/>
          <w:left w:val="nil"/>
          <w:bottom w:val="nil"/>
          <w:right w:val="nil"/>
          <w:insideH w:val="nil"/>
          <w:insideV w:val="nil"/>
        </w:tcBorders>
        <w:shd w:val="clear" w:color="auto" w:fill="7B7B7B" w:themeFill="accent5" w:themeFillShade="BF"/>
      </w:tcPr>
    </w:tblStylePr>
  </w:style>
  <w:style w:type="table" w:styleId="DarkList-Accent6">
    <w:name w:val="Dark List Accent 6"/>
    <w:basedOn w:val="TableNormal"/>
    <w:uiPriority w:val="70"/>
    <w:semiHidden/>
    <w:unhideWhenUsed/>
    <w:rsid w:val="008E4D10"/>
    <w:rPr>
      <w:color w:val="FFFFFF" w:themeColor="background1"/>
    </w:rPr>
    <w:tblPr>
      <w:tblStyleRowBandSize w:val="1"/>
      <w:tblStyleColBandSize w:val="1"/>
    </w:tblPr>
    <w:tcPr>
      <w:shd w:val="clear" w:color="auto" w:fill="C8C8C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636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959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9595" w:themeFill="accent6" w:themeFillShade="BF"/>
      </w:tcPr>
    </w:tblStylePr>
    <w:tblStylePr w:type="band1Vert">
      <w:tblPr/>
      <w:tcPr>
        <w:tcBorders>
          <w:top w:val="nil"/>
          <w:left w:val="nil"/>
          <w:bottom w:val="nil"/>
          <w:right w:val="nil"/>
          <w:insideH w:val="nil"/>
          <w:insideV w:val="nil"/>
        </w:tcBorders>
        <w:shd w:val="clear" w:color="auto" w:fill="959595" w:themeFill="accent6" w:themeFillShade="BF"/>
      </w:tcPr>
    </w:tblStylePr>
    <w:tblStylePr w:type="band1Horz">
      <w:tblPr/>
      <w:tcPr>
        <w:tcBorders>
          <w:top w:val="nil"/>
          <w:left w:val="nil"/>
          <w:bottom w:val="nil"/>
          <w:right w:val="nil"/>
          <w:insideH w:val="nil"/>
          <w:insideV w:val="nil"/>
        </w:tcBorders>
        <w:shd w:val="clear" w:color="auto" w:fill="959595" w:themeFill="accent6" w:themeFillShade="BF"/>
      </w:tcPr>
    </w:tblStylePr>
  </w:style>
  <w:style w:type="paragraph" w:styleId="Date">
    <w:name w:val="Date"/>
    <w:basedOn w:val="Normal"/>
    <w:next w:val="Normal"/>
    <w:link w:val="DateChar"/>
    <w:uiPriority w:val="99"/>
    <w:semiHidden/>
    <w:unhideWhenUsed/>
    <w:rsid w:val="008E4D10"/>
  </w:style>
  <w:style w:type="character" w:customStyle="1" w:styleId="DateChar">
    <w:name w:val="Date Char"/>
    <w:basedOn w:val="DefaultParagraphFont"/>
    <w:link w:val="Date"/>
    <w:uiPriority w:val="99"/>
    <w:semiHidden/>
    <w:rsid w:val="008E4D10"/>
    <w:rPr>
      <w:rFonts w:asciiTheme="minorHAnsi" w:hAnsiTheme="minorHAnsi"/>
    </w:rPr>
  </w:style>
  <w:style w:type="paragraph" w:styleId="DocumentMap">
    <w:name w:val="Document Map"/>
    <w:basedOn w:val="Normal"/>
    <w:link w:val="DocumentMapChar"/>
    <w:uiPriority w:val="99"/>
    <w:semiHidden/>
    <w:unhideWhenUsed/>
    <w:rsid w:val="008E4D1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E4D10"/>
    <w:rPr>
      <w:rFonts w:ascii="Segoe UI" w:hAnsi="Segoe UI" w:cs="Segoe UI"/>
      <w:sz w:val="16"/>
      <w:szCs w:val="16"/>
    </w:rPr>
  </w:style>
  <w:style w:type="paragraph" w:styleId="E-mailSignature">
    <w:name w:val="E-mail Signature"/>
    <w:basedOn w:val="Normal"/>
    <w:link w:val="E-mailSignatureChar"/>
    <w:uiPriority w:val="99"/>
    <w:semiHidden/>
    <w:rsid w:val="008E4D10"/>
    <w:pPr>
      <w:tabs>
        <w:tab w:val="left" w:pos="425"/>
      </w:tabs>
      <w:spacing w:after="120"/>
    </w:pPr>
    <w:rPr>
      <w:noProof/>
    </w:rPr>
  </w:style>
  <w:style w:type="character" w:customStyle="1" w:styleId="E-mailSignatureChar">
    <w:name w:val="E-mail Signature Char"/>
    <w:basedOn w:val="DefaultParagraphFont"/>
    <w:link w:val="E-mailSignature"/>
    <w:uiPriority w:val="99"/>
    <w:semiHidden/>
    <w:rsid w:val="008E4D10"/>
    <w:rPr>
      <w:rFonts w:asciiTheme="minorHAnsi" w:hAnsiTheme="minorHAnsi"/>
      <w:noProof/>
    </w:rPr>
  </w:style>
  <w:style w:type="character" w:styleId="Emphasis">
    <w:name w:val="Emphasis"/>
    <w:basedOn w:val="DefaultParagraphFont"/>
    <w:uiPriority w:val="99"/>
    <w:semiHidden/>
    <w:rsid w:val="008E4D10"/>
    <w:rPr>
      <w:i/>
      <w:iCs/>
    </w:rPr>
  </w:style>
  <w:style w:type="character" w:styleId="EndnoteReference">
    <w:name w:val="endnote reference"/>
    <w:basedOn w:val="DefaultParagraphFont"/>
    <w:uiPriority w:val="99"/>
    <w:unhideWhenUsed/>
    <w:rsid w:val="008E4D10"/>
    <w:rPr>
      <w:vertAlign w:val="superscript"/>
    </w:rPr>
  </w:style>
  <w:style w:type="paragraph" w:styleId="EndnoteText">
    <w:name w:val="endnote text"/>
    <w:basedOn w:val="Normal"/>
    <w:link w:val="EndnoteTextChar"/>
    <w:uiPriority w:val="99"/>
    <w:semiHidden/>
    <w:unhideWhenUsed/>
    <w:rsid w:val="008E4D10"/>
  </w:style>
  <w:style w:type="character" w:customStyle="1" w:styleId="EndnoteTextChar">
    <w:name w:val="Endnote Text Char"/>
    <w:basedOn w:val="DefaultParagraphFont"/>
    <w:link w:val="EndnoteText"/>
    <w:uiPriority w:val="99"/>
    <w:semiHidden/>
    <w:rsid w:val="008E4D10"/>
    <w:rPr>
      <w:rFonts w:asciiTheme="minorHAnsi" w:hAnsiTheme="minorHAnsi"/>
    </w:rPr>
  </w:style>
  <w:style w:type="paragraph" w:styleId="EnvelopeAddress">
    <w:name w:val="envelope address"/>
    <w:basedOn w:val="Normal"/>
    <w:uiPriority w:val="99"/>
    <w:semiHidden/>
    <w:unhideWhenUsed/>
    <w:rsid w:val="008E4D10"/>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8E4D10"/>
    <w:rPr>
      <w:rFonts w:eastAsiaTheme="majorEastAsia" w:cstheme="majorBidi"/>
    </w:rPr>
  </w:style>
  <w:style w:type="character" w:styleId="FollowedHyperlink">
    <w:name w:val="FollowedHyperlink"/>
    <w:basedOn w:val="DefaultParagraphFont"/>
    <w:uiPriority w:val="99"/>
    <w:semiHidden/>
    <w:rsid w:val="008E4D10"/>
    <w:rPr>
      <w:color w:val="0A7DFF" w:themeColor="accent2"/>
      <w:u w:val="single"/>
    </w:rPr>
  </w:style>
  <w:style w:type="character" w:styleId="FootnoteReference">
    <w:name w:val="footnote reference"/>
    <w:basedOn w:val="DefaultParagraphFont"/>
    <w:unhideWhenUsed/>
    <w:rsid w:val="008E4D10"/>
    <w:rPr>
      <w:vertAlign w:val="superscript"/>
    </w:rPr>
  </w:style>
  <w:style w:type="paragraph" w:styleId="FootnoteText">
    <w:name w:val="footnote text"/>
    <w:basedOn w:val="Normal"/>
    <w:link w:val="FootnoteTextChar"/>
    <w:rsid w:val="008E4D10"/>
    <w:pPr>
      <w:spacing w:before="60" w:after="60"/>
      <w:ind w:left="176" w:hanging="176"/>
    </w:pPr>
    <w:rPr>
      <w:sz w:val="16"/>
    </w:rPr>
  </w:style>
  <w:style w:type="character" w:customStyle="1" w:styleId="FootnoteTextChar">
    <w:name w:val="Footnote Text Char"/>
    <w:basedOn w:val="DefaultParagraphFont"/>
    <w:link w:val="FootnoteText"/>
    <w:rsid w:val="008E4D10"/>
    <w:rPr>
      <w:rFonts w:asciiTheme="minorHAnsi" w:hAnsiTheme="minorHAnsi"/>
      <w:sz w:val="16"/>
    </w:rPr>
  </w:style>
  <w:style w:type="table" w:styleId="GridTable1Light">
    <w:name w:val="Grid Table 1 Light"/>
    <w:basedOn w:val="TableNormal"/>
    <w:uiPriority w:val="46"/>
    <w:rsid w:val="008E4D1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E4D10"/>
    <w:tblPr>
      <w:tblStyleRowBandSize w:val="1"/>
      <w:tblStyleColBandSize w:val="1"/>
      <w:tblBorders>
        <w:top w:val="single" w:sz="4" w:space="0" w:color="A5A3F2" w:themeColor="accent1" w:themeTint="66"/>
        <w:left w:val="single" w:sz="4" w:space="0" w:color="A5A3F2" w:themeColor="accent1" w:themeTint="66"/>
        <w:bottom w:val="single" w:sz="4" w:space="0" w:color="A5A3F2" w:themeColor="accent1" w:themeTint="66"/>
        <w:right w:val="single" w:sz="4" w:space="0" w:color="A5A3F2" w:themeColor="accent1" w:themeTint="66"/>
        <w:insideH w:val="single" w:sz="4" w:space="0" w:color="A5A3F2" w:themeColor="accent1" w:themeTint="66"/>
        <w:insideV w:val="single" w:sz="4" w:space="0" w:color="A5A3F2" w:themeColor="accent1" w:themeTint="66"/>
      </w:tblBorders>
    </w:tblPr>
    <w:tblStylePr w:type="firstRow">
      <w:rPr>
        <w:b/>
        <w:bCs/>
      </w:rPr>
      <w:tblPr/>
      <w:tcPr>
        <w:tcBorders>
          <w:bottom w:val="single" w:sz="12" w:space="0" w:color="7875EC" w:themeColor="accent1" w:themeTint="99"/>
        </w:tcBorders>
      </w:tcPr>
    </w:tblStylePr>
    <w:tblStylePr w:type="lastRow">
      <w:rPr>
        <w:b/>
        <w:bCs/>
      </w:rPr>
      <w:tblPr/>
      <w:tcPr>
        <w:tcBorders>
          <w:top w:val="double" w:sz="2" w:space="0" w:color="7875EC"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E4D10"/>
    <w:tblPr>
      <w:tblStyleRowBandSize w:val="1"/>
      <w:tblStyleColBandSize w:val="1"/>
      <w:tblBorders>
        <w:top w:val="single" w:sz="4" w:space="0" w:color="9DCAFF" w:themeColor="accent2" w:themeTint="66"/>
        <w:left w:val="single" w:sz="4" w:space="0" w:color="9DCAFF" w:themeColor="accent2" w:themeTint="66"/>
        <w:bottom w:val="single" w:sz="4" w:space="0" w:color="9DCAFF" w:themeColor="accent2" w:themeTint="66"/>
        <w:right w:val="single" w:sz="4" w:space="0" w:color="9DCAFF" w:themeColor="accent2" w:themeTint="66"/>
        <w:insideH w:val="single" w:sz="4" w:space="0" w:color="9DCAFF" w:themeColor="accent2" w:themeTint="66"/>
        <w:insideV w:val="single" w:sz="4" w:space="0" w:color="9DCAFF" w:themeColor="accent2" w:themeTint="66"/>
      </w:tblBorders>
    </w:tblPr>
    <w:tblStylePr w:type="firstRow">
      <w:rPr>
        <w:b/>
        <w:bCs/>
      </w:rPr>
      <w:tblPr/>
      <w:tcPr>
        <w:tcBorders>
          <w:bottom w:val="single" w:sz="12" w:space="0" w:color="6CB0FF" w:themeColor="accent2" w:themeTint="99"/>
        </w:tcBorders>
      </w:tcPr>
    </w:tblStylePr>
    <w:tblStylePr w:type="lastRow">
      <w:rPr>
        <w:b/>
        <w:bCs/>
      </w:rPr>
      <w:tblPr/>
      <w:tcPr>
        <w:tcBorders>
          <w:top w:val="double" w:sz="2" w:space="0" w:color="6CB0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E4D10"/>
    <w:tblPr>
      <w:tblStyleRowBandSize w:val="1"/>
      <w:tblStyleColBandSize w:val="1"/>
      <w:tblBorders>
        <w:top w:val="single" w:sz="4" w:space="0" w:color="BDF4FF" w:themeColor="accent3" w:themeTint="66"/>
        <w:left w:val="single" w:sz="4" w:space="0" w:color="BDF4FF" w:themeColor="accent3" w:themeTint="66"/>
        <w:bottom w:val="single" w:sz="4" w:space="0" w:color="BDF4FF" w:themeColor="accent3" w:themeTint="66"/>
        <w:right w:val="single" w:sz="4" w:space="0" w:color="BDF4FF" w:themeColor="accent3" w:themeTint="66"/>
        <w:insideH w:val="single" w:sz="4" w:space="0" w:color="BDF4FF" w:themeColor="accent3" w:themeTint="66"/>
        <w:insideV w:val="single" w:sz="4" w:space="0" w:color="BDF4FF" w:themeColor="accent3" w:themeTint="66"/>
      </w:tblBorders>
    </w:tblPr>
    <w:tblStylePr w:type="firstRow">
      <w:rPr>
        <w:b/>
        <w:bCs/>
      </w:rPr>
      <w:tblPr/>
      <w:tcPr>
        <w:tcBorders>
          <w:bottom w:val="single" w:sz="12" w:space="0" w:color="9CEFFF" w:themeColor="accent3" w:themeTint="99"/>
        </w:tcBorders>
      </w:tcPr>
    </w:tblStylePr>
    <w:tblStylePr w:type="lastRow">
      <w:rPr>
        <w:b/>
        <w:bCs/>
      </w:rPr>
      <w:tblPr/>
      <w:tcPr>
        <w:tcBorders>
          <w:top w:val="double" w:sz="2" w:space="0" w:color="9CEF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E4D10"/>
    <w:tblPr>
      <w:tblStyleRowBandSize w:val="1"/>
      <w:tblStyleColBandSize w:val="1"/>
      <w:tblBorders>
        <w:top w:val="single" w:sz="4" w:space="0" w:color="5591FF" w:themeColor="accent4" w:themeTint="66"/>
        <w:left w:val="single" w:sz="4" w:space="0" w:color="5591FF" w:themeColor="accent4" w:themeTint="66"/>
        <w:bottom w:val="single" w:sz="4" w:space="0" w:color="5591FF" w:themeColor="accent4" w:themeTint="66"/>
        <w:right w:val="single" w:sz="4" w:space="0" w:color="5591FF" w:themeColor="accent4" w:themeTint="66"/>
        <w:insideH w:val="single" w:sz="4" w:space="0" w:color="5591FF" w:themeColor="accent4" w:themeTint="66"/>
        <w:insideV w:val="single" w:sz="4" w:space="0" w:color="5591FF" w:themeColor="accent4" w:themeTint="66"/>
      </w:tblBorders>
    </w:tblPr>
    <w:tblStylePr w:type="firstRow">
      <w:rPr>
        <w:b/>
        <w:bCs/>
      </w:rPr>
      <w:tblPr/>
      <w:tcPr>
        <w:tcBorders>
          <w:bottom w:val="single" w:sz="12" w:space="0" w:color="005AFF" w:themeColor="accent4" w:themeTint="99"/>
        </w:tcBorders>
      </w:tcPr>
    </w:tblStylePr>
    <w:tblStylePr w:type="lastRow">
      <w:rPr>
        <w:b/>
        <w:bCs/>
      </w:rPr>
      <w:tblPr/>
      <w:tcPr>
        <w:tcBorders>
          <w:top w:val="double" w:sz="2" w:space="0" w:color="005A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E4D10"/>
    <w:tblPr>
      <w:tblStyleRowBandSize w:val="1"/>
      <w:tblStyleColBandSize w:val="1"/>
      <w:tblBorders>
        <w:top w:val="single" w:sz="4" w:space="0" w:color="DBDBDB" w:themeColor="accent5" w:themeTint="66"/>
        <w:left w:val="single" w:sz="4" w:space="0" w:color="DBDBDB" w:themeColor="accent5" w:themeTint="66"/>
        <w:bottom w:val="single" w:sz="4" w:space="0" w:color="DBDBDB" w:themeColor="accent5" w:themeTint="66"/>
        <w:right w:val="single" w:sz="4" w:space="0" w:color="DBDBDB" w:themeColor="accent5" w:themeTint="66"/>
        <w:insideH w:val="single" w:sz="4" w:space="0" w:color="DBDBDB" w:themeColor="accent5" w:themeTint="66"/>
        <w:insideV w:val="single" w:sz="4" w:space="0" w:color="DBDBDB" w:themeColor="accent5" w:themeTint="66"/>
      </w:tblBorders>
    </w:tblPr>
    <w:tblStylePr w:type="firstRow">
      <w:rPr>
        <w:b/>
        <w:bCs/>
      </w:rPr>
      <w:tblPr/>
      <w:tcPr>
        <w:tcBorders>
          <w:bottom w:val="single" w:sz="12" w:space="0" w:color="C9C9C9" w:themeColor="accent5" w:themeTint="99"/>
        </w:tcBorders>
      </w:tcPr>
    </w:tblStylePr>
    <w:tblStylePr w:type="lastRow">
      <w:rPr>
        <w:b/>
        <w:bCs/>
      </w:rPr>
      <w:tblPr/>
      <w:tcPr>
        <w:tcBorders>
          <w:top w:val="double" w:sz="2" w:space="0" w:color="C9C9C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E4D10"/>
    <w:tblPr>
      <w:tblStyleRowBandSize w:val="1"/>
      <w:tblStyleColBandSize w:val="1"/>
      <w:tblBorders>
        <w:top w:val="single" w:sz="4" w:space="0" w:color="E9E9E9" w:themeColor="accent6" w:themeTint="66"/>
        <w:left w:val="single" w:sz="4" w:space="0" w:color="E9E9E9" w:themeColor="accent6" w:themeTint="66"/>
        <w:bottom w:val="single" w:sz="4" w:space="0" w:color="E9E9E9" w:themeColor="accent6" w:themeTint="66"/>
        <w:right w:val="single" w:sz="4" w:space="0" w:color="E9E9E9" w:themeColor="accent6" w:themeTint="66"/>
        <w:insideH w:val="single" w:sz="4" w:space="0" w:color="E9E9E9" w:themeColor="accent6" w:themeTint="66"/>
        <w:insideV w:val="single" w:sz="4" w:space="0" w:color="E9E9E9" w:themeColor="accent6" w:themeTint="66"/>
      </w:tblBorders>
    </w:tblPr>
    <w:tblStylePr w:type="firstRow">
      <w:rPr>
        <w:b/>
        <w:bCs/>
      </w:rPr>
      <w:tblPr/>
      <w:tcPr>
        <w:tcBorders>
          <w:bottom w:val="single" w:sz="12" w:space="0" w:color="DEDEDE" w:themeColor="accent6" w:themeTint="99"/>
        </w:tcBorders>
      </w:tcPr>
    </w:tblStylePr>
    <w:tblStylePr w:type="lastRow">
      <w:rPr>
        <w:b/>
        <w:bCs/>
      </w:rPr>
      <w:tblPr/>
      <w:tcPr>
        <w:tcBorders>
          <w:top w:val="double" w:sz="2" w:space="0" w:color="DEDEDE"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E4D1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E4D10"/>
    <w:tblPr>
      <w:tblStyleRowBandSize w:val="1"/>
      <w:tblStyleColBandSize w:val="1"/>
      <w:tblBorders>
        <w:top w:val="single" w:sz="2" w:space="0" w:color="7875EC" w:themeColor="accent1" w:themeTint="99"/>
        <w:bottom w:val="single" w:sz="2" w:space="0" w:color="7875EC" w:themeColor="accent1" w:themeTint="99"/>
        <w:insideH w:val="single" w:sz="2" w:space="0" w:color="7875EC" w:themeColor="accent1" w:themeTint="99"/>
        <w:insideV w:val="single" w:sz="2" w:space="0" w:color="7875EC" w:themeColor="accent1" w:themeTint="99"/>
      </w:tblBorders>
    </w:tblPr>
    <w:tblStylePr w:type="firstRow">
      <w:rPr>
        <w:b/>
        <w:bCs/>
      </w:rPr>
      <w:tblPr/>
      <w:tcPr>
        <w:tcBorders>
          <w:top w:val="nil"/>
          <w:bottom w:val="single" w:sz="12" w:space="0" w:color="7875EC" w:themeColor="accent1" w:themeTint="99"/>
          <w:insideH w:val="nil"/>
          <w:insideV w:val="nil"/>
        </w:tcBorders>
        <w:shd w:val="clear" w:color="auto" w:fill="FFFFFF" w:themeFill="background1"/>
      </w:tcPr>
    </w:tblStylePr>
    <w:tblStylePr w:type="lastRow">
      <w:rPr>
        <w:b/>
        <w:bCs/>
      </w:rPr>
      <w:tblPr/>
      <w:tcPr>
        <w:tcBorders>
          <w:top w:val="double" w:sz="2" w:space="0" w:color="7875E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GridTable2-Accent2">
    <w:name w:val="Grid Table 2 Accent 2"/>
    <w:basedOn w:val="TableNormal"/>
    <w:uiPriority w:val="47"/>
    <w:rsid w:val="008E4D10"/>
    <w:tblPr>
      <w:tblStyleRowBandSize w:val="1"/>
      <w:tblStyleColBandSize w:val="1"/>
      <w:tblBorders>
        <w:top w:val="single" w:sz="2" w:space="0" w:color="6CB0FF" w:themeColor="accent2" w:themeTint="99"/>
        <w:bottom w:val="single" w:sz="2" w:space="0" w:color="6CB0FF" w:themeColor="accent2" w:themeTint="99"/>
        <w:insideH w:val="single" w:sz="2" w:space="0" w:color="6CB0FF" w:themeColor="accent2" w:themeTint="99"/>
        <w:insideV w:val="single" w:sz="2" w:space="0" w:color="6CB0FF" w:themeColor="accent2" w:themeTint="99"/>
      </w:tblBorders>
    </w:tblPr>
    <w:tblStylePr w:type="firstRow">
      <w:rPr>
        <w:b/>
        <w:bCs/>
      </w:rPr>
      <w:tblPr/>
      <w:tcPr>
        <w:tcBorders>
          <w:top w:val="nil"/>
          <w:bottom w:val="single" w:sz="12" w:space="0" w:color="6CB0FF" w:themeColor="accent2" w:themeTint="99"/>
          <w:insideH w:val="nil"/>
          <w:insideV w:val="nil"/>
        </w:tcBorders>
        <w:shd w:val="clear" w:color="auto" w:fill="FFFFFF" w:themeFill="background1"/>
      </w:tcPr>
    </w:tblStylePr>
    <w:tblStylePr w:type="lastRow">
      <w:rPr>
        <w:b/>
        <w:bCs/>
      </w:rPr>
      <w:tblPr/>
      <w:tcPr>
        <w:tcBorders>
          <w:top w:val="double" w:sz="2" w:space="0" w:color="6CB0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GridTable2-Accent3">
    <w:name w:val="Grid Table 2 Accent 3"/>
    <w:basedOn w:val="TableNormal"/>
    <w:uiPriority w:val="47"/>
    <w:rsid w:val="008E4D10"/>
    <w:tblPr>
      <w:tblStyleRowBandSize w:val="1"/>
      <w:tblStyleColBandSize w:val="1"/>
      <w:tblBorders>
        <w:top w:val="single" w:sz="2" w:space="0" w:color="9CEFFF" w:themeColor="accent3" w:themeTint="99"/>
        <w:bottom w:val="single" w:sz="2" w:space="0" w:color="9CEFFF" w:themeColor="accent3" w:themeTint="99"/>
        <w:insideH w:val="single" w:sz="2" w:space="0" w:color="9CEFFF" w:themeColor="accent3" w:themeTint="99"/>
        <w:insideV w:val="single" w:sz="2" w:space="0" w:color="9CEFFF" w:themeColor="accent3" w:themeTint="99"/>
      </w:tblBorders>
    </w:tblPr>
    <w:tblStylePr w:type="firstRow">
      <w:rPr>
        <w:b/>
        <w:bCs/>
      </w:rPr>
      <w:tblPr/>
      <w:tcPr>
        <w:tcBorders>
          <w:top w:val="nil"/>
          <w:bottom w:val="single" w:sz="12" w:space="0" w:color="9CEFFF" w:themeColor="accent3" w:themeTint="99"/>
          <w:insideH w:val="nil"/>
          <w:insideV w:val="nil"/>
        </w:tcBorders>
        <w:shd w:val="clear" w:color="auto" w:fill="FFFFFF" w:themeFill="background1"/>
      </w:tcPr>
    </w:tblStylePr>
    <w:tblStylePr w:type="lastRow">
      <w:rPr>
        <w:b/>
        <w:bCs/>
      </w:rPr>
      <w:tblPr/>
      <w:tcPr>
        <w:tcBorders>
          <w:top w:val="double" w:sz="2" w:space="0" w:color="9CEF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GridTable2-Accent4">
    <w:name w:val="Grid Table 2 Accent 4"/>
    <w:basedOn w:val="TableNormal"/>
    <w:uiPriority w:val="47"/>
    <w:rsid w:val="008E4D10"/>
    <w:tblPr>
      <w:tblStyleRowBandSize w:val="1"/>
      <w:tblStyleColBandSize w:val="1"/>
      <w:tblBorders>
        <w:top w:val="single" w:sz="2" w:space="0" w:color="005AFF" w:themeColor="accent4" w:themeTint="99"/>
        <w:bottom w:val="single" w:sz="2" w:space="0" w:color="005AFF" w:themeColor="accent4" w:themeTint="99"/>
        <w:insideH w:val="single" w:sz="2" w:space="0" w:color="005AFF" w:themeColor="accent4" w:themeTint="99"/>
        <w:insideV w:val="single" w:sz="2" w:space="0" w:color="005AFF" w:themeColor="accent4" w:themeTint="99"/>
      </w:tblBorders>
    </w:tblPr>
    <w:tblStylePr w:type="firstRow">
      <w:rPr>
        <w:b/>
        <w:bCs/>
      </w:rPr>
      <w:tblPr/>
      <w:tcPr>
        <w:tcBorders>
          <w:top w:val="nil"/>
          <w:bottom w:val="single" w:sz="12" w:space="0" w:color="005AFF" w:themeColor="accent4" w:themeTint="99"/>
          <w:insideH w:val="nil"/>
          <w:insideV w:val="nil"/>
        </w:tcBorders>
        <w:shd w:val="clear" w:color="auto" w:fill="FFFFFF" w:themeFill="background1"/>
      </w:tcPr>
    </w:tblStylePr>
    <w:tblStylePr w:type="lastRow">
      <w:rPr>
        <w:b/>
        <w:bCs/>
      </w:rPr>
      <w:tblPr/>
      <w:tcPr>
        <w:tcBorders>
          <w:top w:val="double" w:sz="2" w:space="0" w:color="005A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GridTable2-Accent5">
    <w:name w:val="Grid Table 2 Accent 5"/>
    <w:basedOn w:val="TableNormal"/>
    <w:uiPriority w:val="47"/>
    <w:rsid w:val="008E4D10"/>
    <w:tblPr>
      <w:tblStyleRowBandSize w:val="1"/>
      <w:tblStyleColBandSize w:val="1"/>
      <w:tblBorders>
        <w:top w:val="single" w:sz="2" w:space="0" w:color="C9C9C9" w:themeColor="accent5" w:themeTint="99"/>
        <w:bottom w:val="single" w:sz="2" w:space="0" w:color="C9C9C9" w:themeColor="accent5" w:themeTint="99"/>
        <w:insideH w:val="single" w:sz="2" w:space="0" w:color="C9C9C9" w:themeColor="accent5" w:themeTint="99"/>
        <w:insideV w:val="single" w:sz="2" w:space="0" w:color="C9C9C9" w:themeColor="accent5" w:themeTint="99"/>
      </w:tblBorders>
    </w:tblPr>
    <w:tblStylePr w:type="firstRow">
      <w:rPr>
        <w:b/>
        <w:bCs/>
      </w:rPr>
      <w:tblPr/>
      <w:tcPr>
        <w:tcBorders>
          <w:top w:val="nil"/>
          <w:bottom w:val="single" w:sz="12" w:space="0" w:color="C9C9C9" w:themeColor="accent5" w:themeTint="99"/>
          <w:insideH w:val="nil"/>
          <w:insideV w:val="nil"/>
        </w:tcBorders>
        <w:shd w:val="clear" w:color="auto" w:fill="FFFFFF" w:themeFill="background1"/>
      </w:tcPr>
    </w:tblStylePr>
    <w:tblStylePr w:type="lastRow">
      <w:rPr>
        <w:b/>
        <w:bCs/>
      </w:rPr>
      <w:tblPr/>
      <w:tcPr>
        <w:tcBorders>
          <w:top w:val="double" w:sz="2" w:space="0" w:color="C9C9C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GridTable2-Accent6">
    <w:name w:val="Grid Table 2 Accent 6"/>
    <w:basedOn w:val="TableNormal"/>
    <w:uiPriority w:val="47"/>
    <w:rsid w:val="008E4D10"/>
    <w:tblPr>
      <w:tblStyleRowBandSize w:val="1"/>
      <w:tblStyleColBandSize w:val="1"/>
      <w:tblBorders>
        <w:top w:val="single" w:sz="2" w:space="0" w:color="DEDEDE" w:themeColor="accent6" w:themeTint="99"/>
        <w:bottom w:val="single" w:sz="2" w:space="0" w:color="DEDEDE" w:themeColor="accent6" w:themeTint="99"/>
        <w:insideH w:val="single" w:sz="2" w:space="0" w:color="DEDEDE" w:themeColor="accent6" w:themeTint="99"/>
        <w:insideV w:val="single" w:sz="2" w:space="0" w:color="DEDEDE" w:themeColor="accent6" w:themeTint="99"/>
      </w:tblBorders>
    </w:tblPr>
    <w:tblStylePr w:type="firstRow">
      <w:rPr>
        <w:b/>
        <w:bCs/>
      </w:rPr>
      <w:tblPr/>
      <w:tcPr>
        <w:tcBorders>
          <w:top w:val="nil"/>
          <w:bottom w:val="single" w:sz="12" w:space="0" w:color="DEDEDE" w:themeColor="accent6" w:themeTint="99"/>
          <w:insideH w:val="nil"/>
          <w:insideV w:val="nil"/>
        </w:tcBorders>
        <w:shd w:val="clear" w:color="auto" w:fill="FFFFFF" w:themeFill="background1"/>
      </w:tcPr>
    </w:tblStylePr>
    <w:tblStylePr w:type="lastRow">
      <w:rPr>
        <w:b/>
        <w:bCs/>
      </w:rPr>
      <w:tblPr/>
      <w:tcPr>
        <w:tcBorders>
          <w:top w:val="double" w:sz="2" w:space="0" w:color="DEDED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GridTable3">
    <w:name w:val="Grid Table 3"/>
    <w:basedOn w:val="TableNormal"/>
    <w:uiPriority w:val="48"/>
    <w:rsid w:val="008E4D1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E4D10"/>
    <w:tblPr>
      <w:tblStyleRowBandSize w:val="1"/>
      <w:tblStyleColBandSize w:val="1"/>
      <w:tblBorders>
        <w:top w:val="single" w:sz="4" w:space="0" w:color="7875EC" w:themeColor="accent1" w:themeTint="99"/>
        <w:left w:val="single" w:sz="4" w:space="0" w:color="7875EC" w:themeColor="accent1" w:themeTint="99"/>
        <w:bottom w:val="single" w:sz="4" w:space="0" w:color="7875EC" w:themeColor="accent1" w:themeTint="99"/>
        <w:right w:val="single" w:sz="4" w:space="0" w:color="7875EC" w:themeColor="accent1" w:themeTint="99"/>
        <w:insideH w:val="single" w:sz="4" w:space="0" w:color="7875EC" w:themeColor="accent1" w:themeTint="99"/>
        <w:insideV w:val="single" w:sz="4" w:space="0" w:color="7875E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1F8" w:themeFill="accent1" w:themeFillTint="33"/>
      </w:tcPr>
    </w:tblStylePr>
    <w:tblStylePr w:type="band1Horz">
      <w:tblPr/>
      <w:tcPr>
        <w:shd w:val="clear" w:color="auto" w:fill="D2D1F8" w:themeFill="accent1" w:themeFillTint="33"/>
      </w:tcPr>
    </w:tblStylePr>
    <w:tblStylePr w:type="neCell">
      <w:tblPr/>
      <w:tcPr>
        <w:tcBorders>
          <w:bottom w:val="single" w:sz="4" w:space="0" w:color="7875EC" w:themeColor="accent1" w:themeTint="99"/>
        </w:tcBorders>
      </w:tcPr>
    </w:tblStylePr>
    <w:tblStylePr w:type="nwCell">
      <w:tblPr/>
      <w:tcPr>
        <w:tcBorders>
          <w:bottom w:val="single" w:sz="4" w:space="0" w:color="7875EC" w:themeColor="accent1" w:themeTint="99"/>
        </w:tcBorders>
      </w:tcPr>
    </w:tblStylePr>
    <w:tblStylePr w:type="seCell">
      <w:tblPr/>
      <w:tcPr>
        <w:tcBorders>
          <w:top w:val="single" w:sz="4" w:space="0" w:color="7875EC" w:themeColor="accent1" w:themeTint="99"/>
        </w:tcBorders>
      </w:tcPr>
    </w:tblStylePr>
    <w:tblStylePr w:type="swCell">
      <w:tblPr/>
      <w:tcPr>
        <w:tcBorders>
          <w:top w:val="single" w:sz="4" w:space="0" w:color="7875EC" w:themeColor="accent1" w:themeTint="99"/>
        </w:tcBorders>
      </w:tcPr>
    </w:tblStylePr>
  </w:style>
  <w:style w:type="table" w:styleId="GridTable3-Accent2">
    <w:name w:val="Grid Table 3 Accent 2"/>
    <w:basedOn w:val="TableNormal"/>
    <w:uiPriority w:val="48"/>
    <w:rsid w:val="008E4D10"/>
    <w:tblPr>
      <w:tblStyleRowBandSize w:val="1"/>
      <w:tblStyleColBandSize w:val="1"/>
      <w:tblBorders>
        <w:top w:val="single" w:sz="4" w:space="0" w:color="6CB0FF" w:themeColor="accent2" w:themeTint="99"/>
        <w:left w:val="single" w:sz="4" w:space="0" w:color="6CB0FF" w:themeColor="accent2" w:themeTint="99"/>
        <w:bottom w:val="single" w:sz="4" w:space="0" w:color="6CB0FF" w:themeColor="accent2" w:themeTint="99"/>
        <w:right w:val="single" w:sz="4" w:space="0" w:color="6CB0FF" w:themeColor="accent2" w:themeTint="99"/>
        <w:insideH w:val="single" w:sz="4" w:space="0" w:color="6CB0FF" w:themeColor="accent2" w:themeTint="99"/>
        <w:insideV w:val="single" w:sz="4" w:space="0" w:color="6CB0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E4FF" w:themeFill="accent2" w:themeFillTint="33"/>
      </w:tcPr>
    </w:tblStylePr>
    <w:tblStylePr w:type="band1Horz">
      <w:tblPr/>
      <w:tcPr>
        <w:shd w:val="clear" w:color="auto" w:fill="CEE4FF" w:themeFill="accent2" w:themeFillTint="33"/>
      </w:tcPr>
    </w:tblStylePr>
    <w:tblStylePr w:type="neCell">
      <w:tblPr/>
      <w:tcPr>
        <w:tcBorders>
          <w:bottom w:val="single" w:sz="4" w:space="0" w:color="6CB0FF" w:themeColor="accent2" w:themeTint="99"/>
        </w:tcBorders>
      </w:tcPr>
    </w:tblStylePr>
    <w:tblStylePr w:type="nwCell">
      <w:tblPr/>
      <w:tcPr>
        <w:tcBorders>
          <w:bottom w:val="single" w:sz="4" w:space="0" w:color="6CB0FF" w:themeColor="accent2" w:themeTint="99"/>
        </w:tcBorders>
      </w:tcPr>
    </w:tblStylePr>
    <w:tblStylePr w:type="seCell">
      <w:tblPr/>
      <w:tcPr>
        <w:tcBorders>
          <w:top w:val="single" w:sz="4" w:space="0" w:color="6CB0FF" w:themeColor="accent2" w:themeTint="99"/>
        </w:tcBorders>
      </w:tcPr>
    </w:tblStylePr>
    <w:tblStylePr w:type="swCell">
      <w:tblPr/>
      <w:tcPr>
        <w:tcBorders>
          <w:top w:val="single" w:sz="4" w:space="0" w:color="6CB0FF" w:themeColor="accent2" w:themeTint="99"/>
        </w:tcBorders>
      </w:tcPr>
    </w:tblStylePr>
  </w:style>
  <w:style w:type="table" w:styleId="GridTable3-Accent3">
    <w:name w:val="Grid Table 3 Accent 3"/>
    <w:basedOn w:val="TableNormal"/>
    <w:uiPriority w:val="48"/>
    <w:rsid w:val="008E4D10"/>
    <w:tblPr>
      <w:tblStyleRowBandSize w:val="1"/>
      <w:tblStyleColBandSize w:val="1"/>
      <w:tblBorders>
        <w:top w:val="single" w:sz="4" w:space="0" w:color="9CEFFF" w:themeColor="accent3" w:themeTint="99"/>
        <w:left w:val="single" w:sz="4" w:space="0" w:color="9CEFFF" w:themeColor="accent3" w:themeTint="99"/>
        <w:bottom w:val="single" w:sz="4" w:space="0" w:color="9CEFFF" w:themeColor="accent3" w:themeTint="99"/>
        <w:right w:val="single" w:sz="4" w:space="0" w:color="9CEFFF" w:themeColor="accent3" w:themeTint="99"/>
        <w:insideH w:val="single" w:sz="4" w:space="0" w:color="9CEFFF" w:themeColor="accent3" w:themeTint="99"/>
        <w:insideV w:val="single" w:sz="4" w:space="0" w:color="9CE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9FF" w:themeFill="accent3" w:themeFillTint="33"/>
      </w:tcPr>
    </w:tblStylePr>
    <w:tblStylePr w:type="band1Horz">
      <w:tblPr/>
      <w:tcPr>
        <w:shd w:val="clear" w:color="auto" w:fill="DEF9FF" w:themeFill="accent3" w:themeFillTint="33"/>
      </w:tcPr>
    </w:tblStylePr>
    <w:tblStylePr w:type="neCell">
      <w:tblPr/>
      <w:tcPr>
        <w:tcBorders>
          <w:bottom w:val="single" w:sz="4" w:space="0" w:color="9CEFFF" w:themeColor="accent3" w:themeTint="99"/>
        </w:tcBorders>
      </w:tcPr>
    </w:tblStylePr>
    <w:tblStylePr w:type="nwCell">
      <w:tblPr/>
      <w:tcPr>
        <w:tcBorders>
          <w:bottom w:val="single" w:sz="4" w:space="0" w:color="9CEFFF" w:themeColor="accent3" w:themeTint="99"/>
        </w:tcBorders>
      </w:tcPr>
    </w:tblStylePr>
    <w:tblStylePr w:type="seCell">
      <w:tblPr/>
      <w:tcPr>
        <w:tcBorders>
          <w:top w:val="single" w:sz="4" w:space="0" w:color="9CEFFF" w:themeColor="accent3" w:themeTint="99"/>
        </w:tcBorders>
      </w:tcPr>
    </w:tblStylePr>
    <w:tblStylePr w:type="swCell">
      <w:tblPr/>
      <w:tcPr>
        <w:tcBorders>
          <w:top w:val="single" w:sz="4" w:space="0" w:color="9CEFFF" w:themeColor="accent3" w:themeTint="99"/>
        </w:tcBorders>
      </w:tcPr>
    </w:tblStylePr>
  </w:style>
  <w:style w:type="table" w:styleId="GridTable3-Accent4">
    <w:name w:val="Grid Table 3 Accent 4"/>
    <w:basedOn w:val="TableNormal"/>
    <w:uiPriority w:val="48"/>
    <w:rsid w:val="008E4D10"/>
    <w:tblPr>
      <w:tblStyleRowBandSize w:val="1"/>
      <w:tblStyleColBandSize w:val="1"/>
      <w:tblBorders>
        <w:top w:val="single" w:sz="4" w:space="0" w:color="005AFF" w:themeColor="accent4" w:themeTint="99"/>
        <w:left w:val="single" w:sz="4" w:space="0" w:color="005AFF" w:themeColor="accent4" w:themeTint="99"/>
        <w:bottom w:val="single" w:sz="4" w:space="0" w:color="005AFF" w:themeColor="accent4" w:themeTint="99"/>
        <w:right w:val="single" w:sz="4" w:space="0" w:color="005AFF" w:themeColor="accent4" w:themeTint="99"/>
        <w:insideH w:val="single" w:sz="4" w:space="0" w:color="005AFF" w:themeColor="accent4" w:themeTint="99"/>
        <w:insideV w:val="single" w:sz="4" w:space="0" w:color="005A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C8FF" w:themeFill="accent4" w:themeFillTint="33"/>
      </w:tcPr>
    </w:tblStylePr>
    <w:tblStylePr w:type="band1Horz">
      <w:tblPr/>
      <w:tcPr>
        <w:shd w:val="clear" w:color="auto" w:fill="AAC8FF" w:themeFill="accent4" w:themeFillTint="33"/>
      </w:tcPr>
    </w:tblStylePr>
    <w:tblStylePr w:type="neCell">
      <w:tblPr/>
      <w:tcPr>
        <w:tcBorders>
          <w:bottom w:val="single" w:sz="4" w:space="0" w:color="005AFF" w:themeColor="accent4" w:themeTint="99"/>
        </w:tcBorders>
      </w:tcPr>
    </w:tblStylePr>
    <w:tblStylePr w:type="nwCell">
      <w:tblPr/>
      <w:tcPr>
        <w:tcBorders>
          <w:bottom w:val="single" w:sz="4" w:space="0" w:color="005AFF" w:themeColor="accent4" w:themeTint="99"/>
        </w:tcBorders>
      </w:tcPr>
    </w:tblStylePr>
    <w:tblStylePr w:type="seCell">
      <w:tblPr/>
      <w:tcPr>
        <w:tcBorders>
          <w:top w:val="single" w:sz="4" w:space="0" w:color="005AFF" w:themeColor="accent4" w:themeTint="99"/>
        </w:tcBorders>
      </w:tcPr>
    </w:tblStylePr>
    <w:tblStylePr w:type="swCell">
      <w:tblPr/>
      <w:tcPr>
        <w:tcBorders>
          <w:top w:val="single" w:sz="4" w:space="0" w:color="005AFF" w:themeColor="accent4" w:themeTint="99"/>
        </w:tcBorders>
      </w:tcPr>
    </w:tblStylePr>
  </w:style>
  <w:style w:type="table" w:styleId="GridTable3-Accent5">
    <w:name w:val="Grid Table 3 Accent 5"/>
    <w:basedOn w:val="TableNormal"/>
    <w:uiPriority w:val="48"/>
    <w:rsid w:val="008E4D10"/>
    <w:tblPr>
      <w:tblStyleRowBandSize w:val="1"/>
      <w:tblStyleColBandSize w:val="1"/>
      <w:tblBorders>
        <w:top w:val="single" w:sz="4" w:space="0" w:color="C9C9C9" w:themeColor="accent5" w:themeTint="99"/>
        <w:left w:val="single" w:sz="4" w:space="0" w:color="C9C9C9" w:themeColor="accent5" w:themeTint="99"/>
        <w:bottom w:val="single" w:sz="4" w:space="0" w:color="C9C9C9" w:themeColor="accent5" w:themeTint="99"/>
        <w:right w:val="single" w:sz="4" w:space="0" w:color="C9C9C9" w:themeColor="accent5" w:themeTint="99"/>
        <w:insideH w:val="single" w:sz="4" w:space="0" w:color="C9C9C9" w:themeColor="accent5" w:themeTint="99"/>
        <w:insideV w:val="single" w:sz="4" w:space="0" w:color="C9C9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5" w:themeFillTint="33"/>
      </w:tcPr>
    </w:tblStylePr>
    <w:tblStylePr w:type="band1Horz">
      <w:tblPr/>
      <w:tcPr>
        <w:shd w:val="clear" w:color="auto" w:fill="EDEDED" w:themeFill="accent5" w:themeFillTint="33"/>
      </w:tcPr>
    </w:tblStylePr>
    <w:tblStylePr w:type="neCell">
      <w:tblPr/>
      <w:tcPr>
        <w:tcBorders>
          <w:bottom w:val="single" w:sz="4" w:space="0" w:color="C9C9C9" w:themeColor="accent5" w:themeTint="99"/>
        </w:tcBorders>
      </w:tcPr>
    </w:tblStylePr>
    <w:tblStylePr w:type="nwCell">
      <w:tblPr/>
      <w:tcPr>
        <w:tcBorders>
          <w:bottom w:val="single" w:sz="4" w:space="0" w:color="C9C9C9" w:themeColor="accent5" w:themeTint="99"/>
        </w:tcBorders>
      </w:tcPr>
    </w:tblStylePr>
    <w:tblStylePr w:type="seCell">
      <w:tblPr/>
      <w:tcPr>
        <w:tcBorders>
          <w:top w:val="single" w:sz="4" w:space="0" w:color="C9C9C9" w:themeColor="accent5" w:themeTint="99"/>
        </w:tcBorders>
      </w:tcPr>
    </w:tblStylePr>
    <w:tblStylePr w:type="swCell">
      <w:tblPr/>
      <w:tcPr>
        <w:tcBorders>
          <w:top w:val="single" w:sz="4" w:space="0" w:color="C9C9C9" w:themeColor="accent5" w:themeTint="99"/>
        </w:tcBorders>
      </w:tcPr>
    </w:tblStylePr>
  </w:style>
  <w:style w:type="table" w:styleId="GridTable3-Accent6">
    <w:name w:val="Grid Table 3 Accent 6"/>
    <w:basedOn w:val="TableNormal"/>
    <w:uiPriority w:val="48"/>
    <w:rsid w:val="008E4D10"/>
    <w:tblPr>
      <w:tblStyleRowBandSize w:val="1"/>
      <w:tblStyleColBandSize w:val="1"/>
      <w:tblBorders>
        <w:top w:val="single" w:sz="4" w:space="0" w:color="DEDEDE" w:themeColor="accent6" w:themeTint="99"/>
        <w:left w:val="single" w:sz="4" w:space="0" w:color="DEDEDE" w:themeColor="accent6" w:themeTint="99"/>
        <w:bottom w:val="single" w:sz="4" w:space="0" w:color="DEDEDE" w:themeColor="accent6" w:themeTint="99"/>
        <w:right w:val="single" w:sz="4" w:space="0" w:color="DEDEDE" w:themeColor="accent6" w:themeTint="99"/>
        <w:insideH w:val="single" w:sz="4" w:space="0" w:color="DEDEDE" w:themeColor="accent6" w:themeTint="99"/>
        <w:insideV w:val="single" w:sz="4" w:space="0" w:color="DEDED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4F4" w:themeFill="accent6" w:themeFillTint="33"/>
      </w:tcPr>
    </w:tblStylePr>
    <w:tblStylePr w:type="band1Horz">
      <w:tblPr/>
      <w:tcPr>
        <w:shd w:val="clear" w:color="auto" w:fill="F4F4F4" w:themeFill="accent6" w:themeFillTint="33"/>
      </w:tcPr>
    </w:tblStylePr>
    <w:tblStylePr w:type="neCell">
      <w:tblPr/>
      <w:tcPr>
        <w:tcBorders>
          <w:bottom w:val="single" w:sz="4" w:space="0" w:color="DEDEDE" w:themeColor="accent6" w:themeTint="99"/>
        </w:tcBorders>
      </w:tcPr>
    </w:tblStylePr>
    <w:tblStylePr w:type="nwCell">
      <w:tblPr/>
      <w:tcPr>
        <w:tcBorders>
          <w:bottom w:val="single" w:sz="4" w:space="0" w:color="DEDEDE" w:themeColor="accent6" w:themeTint="99"/>
        </w:tcBorders>
      </w:tcPr>
    </w:tblStylePr>
    <w:tblStylePr w:type="seCell">
      <w:tblPr/>
      <w:tcPr>
        <w:tcBorders>
          <w:top w:val="single" w:sz="4" w:space="0" w:color="DEDEDE" w:themeColor="accent6" w:themeTint="99"/>
        </w:tcBorders>
      </w:tcPr>
    </w:tblStylePr>
    <w:tblStylePr w:type="swCell">
      <w:tblPr/>
      <w:tcPr>
        <w:tcBorders>
          <w:top w:val="single" w:sz="4" w:space="0" w:color="DEDEDE" w:themeColor="accent6" w:themeTint="99"/>
        </w:tcBorders>
      </w:tcPr>
    </w:tblStylePr>
  </w:style>
  <w:style w:type="table" w:styleId="GridTable4">
    <w:name w:val="Grid Table 4"/>
    <w:basedOn w:val="TableNormal"/>
    <w:uiPriority w:val="49"/>
    <w:rsid w:val="008E4D1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E4D10"/>
    <w:tblPr>
      <w:tblStyleRowBandSize w:val="1"/>
      <w:tblStyleColBandSize w:val="1"/>
      <w:tblBorders>
        <w:top w:val="single" w:sz="4" w:space="0" w:color="7875EC" w:themeColor="accent1" w:themeTint="99"/>
        <w:left w:val="single" w:sz="4" w:space="0" w:color="7875EC" w:themeColor="accent1" w:themeTint="99"/>
        <w:bottom w:val="single" w:sz="4" w:space="0" w:color="7875EC" w:themeColor="accent1" w:themeTint="99"/>
        <w:right w:val="single" w:sz="4" w:space="0" w:color="7875EC" w:themeColor="accent1" w:themeTint="99"/>
        <w:insideH w:val="single" w:sz="4" w:space="0" w:color="7875EC" w:themeColor="accent1" w:themeTint="99"/>
        <w:insideV w:val="single" w:sz="4" w:space="0" w:color="7875EC" w:themeColor="accent1" w:themeTint="99"/>
      </w:tblBorders>
    </w:tblPr>
    <w:tblStylePr w:type="firstRow">
      <w:rPr>
        <w:b/>
        <w:bCs/>
        <w:color w:val="FFFFFF" w:themeColor="background1"/>
      </w:rPr>
      <w:tblPr/>
      <w:tcPr>
        <w:tcBorders>
          <w:top w:val="single" w:sz="4" w:space="0" w:color="231EDC" w:themeColor="accent1"/>
          <w:left w:val="single" w:sz="4" w:space="0" w:color="231EDC" w:themeColor="accent1"/>
          <w:bottom w:val="single" w:sz="4" w:space="0" w:color="231EDC" w:themeColor="accent1"/>
          <w:right w:val="single" w:sz="4" w:space="0" w:color="231EDC" w:themeColor="accent1"/>
          <w:insideH w:val="nil"/>
          <w:insideV w:val="nil"/>
        </w:tcBorders>
        <w:shd w:val="clear" w:color="auto" w:fill="231EDC" w:themeFill="accent1"/>
      </w:tcPr>
    </w:tblStylePr>
    <w:tblStylePr w:type="lastRow">
      <w:rPr>
        <w:b/>
        <w:bCs/>
      </w:rPr>
      <w:tblPr/>
      <w:tcPr>
        <w:tcBorders>
          <w:top w:val="double" w:sz="4" w:space="0" w:color="231EDC" w:themeColor="accent1"/>
        </w:tcBorders>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GridTable4-Accent2">
    <w:name w:val="Grid Table 4 Accent 2"/>
    <w:basedOn w:val="TableNormal"/>
    <w:uiPriority w:val="49"/>
    <w:rsid w:val="008E4D10"/>
    <w:tblPr>
      <w:tblStyleRowBandSize w:val="1"/>
      <w:tblStyleColBandSize w:val="1"/>
      <w:tblBorders>
        <w:top w:val="single" w:sz="4" w:space="0" w:color="6CB0FF" w:themeColor="accent2" w:themeTint="99"/>
        <w:left w:val="single" w:sz="4" w:space="0" w:color="6CB0FF" w:themeColor="accent2" w:themeTint="99"/>
        <w:bottom w:val="single" w:sz="4" w:space="0" w:color="6CB0FF" w:themeColor="accent2" w:themeTint="99"/>
        <w:right w:val="single" w:sz="4" w:space="0" w:color="6CB0FF" w:themeColor="accent2" w:themeTint="99"/>
        <w:insideH w:val="single" w:sz="4" w:space="0" w:color="6CB0FF" w:themeColor="accent2" w:themeTint="99"/>
        <w:insideV w:val="single" w:sz="4" w:space="0" w:color="6CB0FF" w:themeColor="accent2" w:themeTint="99"/>
      </w:tblBorders>
    </w:tblPr>
    <w:tblStylePr w:type="firstRow">
      <w:rPr>
        <w:b/>
        <w:bCs/>
        <w:color w:val="FFFFFF" w:themeColor="background1"/>
      </w:rPr>
      <w:tblPr/>
      <w:tcPr>
        <w:tcBorders>
          <w:top w:val="single" w:sz="4" w:space="0" w:color="0A7DFF" w:themeColor="accent2"/>
          <w:left w:val="single" w:sz="4" w:space="0" w:color="0A7DFF" w:themeColor="accent2"/>
          <w:bottom w:val="single" w:sz="4" w:space="0" w:color="0A7DFF" w:themeColor="accent2"/>
          <w:right w:val="single" w:sz="4" w:space="0" w:color="0A7DFF" w:themeColor="accent2"/>
          <w:insideH w:val="nil"/>
          <w:insideV w:val="nil"/>
        </w:tcBorders>
        <w:shd w:val="clear" w:color="auto" w:fill="0A7DFF" w:themeFill="accent2"/>
      </w:tcPr>
    </w:tblStylePr>
    <w:tblStylePr w:type="lastRow">
      <w:rPr>
        <w:b/>
        <w:bCs/>
      </w:rPr>
      <w:tblPr/>
      <w:tcPr>
        <w:tcBorders>
          <w:top w:val="double" w:sz="4" w:space="0" w:color="0A7DFF" w:themeColor="accent2"/>
        </w:tcBorders>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GridTable4-Accent3">
    <w:name w:val="Grid Table 4 Accent 3"/>
    <w:basedOn w:val="TableNormal"/>
    <w:uiPriority w:val="49"/>
    <w:rsid w:val="008E4D10"/>
    <w:tblPr>
      <w:tblStyleRowBandSize w:val="1"/>
      <w:tblStyleColBandSize w:val="1"/>
      <w:tblBorders>
        <w:top w:val="single" w:sz="4" w:space="0" w:color="9CEFFF" w:themeColor="accent3" w:themeTint="99"/>
        <w:left w:val="single" w:sz="4" w:space="0" w:color="9CEFFF" w:themeColor="accent3" w:themeTint="99"/>
        <w:bottom w:val="single" w:sz="4" w:space="0" w:color="9CEFFF" w:themeColor="accent3" w:themeTint="99"/>
        <w:right w:val="single" w:sz="4" w:space="0" w:color="9CEFFF" w:themeColor="accent3" w:themeTint="99"/>
        <w:insideH w:val="single" w:sz="4" w:space="0" w:color="9CEFFF" w:themeColor="accent3" w:themeTint="99"/>
        <w:insideV w:val="single" w:sz="4" w:space="0" w:color="9CEFFF" w:themeColor="accent3" w:themeTint="99"/>
      </w:tblBorders>
    </w:tblPr>
    <w:tblStylePr w:type="firstRow">
      <w:rPr>
        <w:b/>
        <w:bCs/>
        <w:color w:val="FFFFFF" w:themeColor="background1"/>
      </w:rPr>
      <w:tblPr/>
      <w:tcPr>
        <w:tcBorders>
          <w:top w:val="single" w:sz="4" w:space="0" w:color="5AE6FF" w:themeColor="accent3"/>
          <w:left w:val="single" w:sz="4" w:space="0" w:color="5AE6FF" w:themeColor="accent3"/>
          <w:bottom w:val="single" w:sz="4" w:space="0" w:color="5AE6FF" w:themeColor="accent3"/>
          <w:right w:val="single" w:sz="4" w:space="0" w:color="5AE6FF" w:themeColor="accent3"/>
          <w:insideH w:val="nil"/>
          <w:insideV w:val="nil"/>
        </w:tcBorders>
        <w:shd w:val="clear" w:color="auto" w:fill="5AE6FF" w:themeFill="accent3"/>
      </w:tcPr>
    </w:tblStylePr>
    <w:tblStylePr w:type="lastRow">
      <w:rPr>
        <w:b/>
        <w:bCs/>
      </w:rPr>
      <w:tblPr/>
      <w:tcPr>
        <w:tcBorders>
          <w:top w:val="double" w:sz="4" w:space="0" w:color="5AE6FF" w:themeColor="accent3"/>
        </w:tcBorders>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GridTable4-Accent4">
    <w:name w:val="Grid Table 4 Accent 4"/>
    <w:basedOn w:val="TableNormal"/>
    <w:uiPriority w:val="49"/>
    <w:rsid w:val="008E4D10"/>
    <w:tblPr>
      <w:tblStyleRowBandSize w:val="1"/>
      <w:tblStyleColBandSize w:val="1"/>
      <w:tblBorders>
        <w:top w:val="single" w:sz="4" w:space="0" w:color="005AFF" w:themeColor="accent4" w:themeTint="99"/>
        <w:left w:val="single" w:sz="4" w:space="0" w:color="005AFF" w:themeColor="accent4" w:themeTint="99"/>
        <w:bottom w:val="single" w:sz="4" w:space="0" w:color="005AFF" w:themeColor="accent4" w:themeTint="99"/>
        <w:right w:val="single" w:sz="4" w:space="0" w:color="005AFF" w:themeColor="accent4" w:themeTint="99"/>
        <w:insideH w:val="single" w:sz="4" w:space="0" w:color="005AFF" w:themeColor="accent4" w:themeTint="99"/>
        <w:insideV w:val="single" w:sz="4" w:space="0" w:color="005AFF" w:themeColor="accent4" w:themeTint="99"/>
      </w:tblBorders>
    </w:tblPr>
    <w:tblStylePr w:type="firstRow">
      <w:rPr>
        <w:b/>
        <w:bCs/>
        <w:color w:val="FFFFFF" w:themeColor="background1"/>
      </w:rPr>
      <w:tblPr/>
      <w:tcPr>
        <w:tcBorders>
          <w:top w:val="single" w:sz="4" w:space="0" w:color="001E55" w:themeColor="accent4"/>
          <w:left w:val="single" w:sz="4" w:space="0" w:color="001E55" w:themeColor="accent4"/>
          <w:bottom w:val="single" w:sz="4" w:space="0" w:color="001E55" w:themeColor="accent4"/>
          <w:right w:val="single" w:sz="4" w:space="0" w:color="001E55" w:themeColor="accent4"/>
          <w:insideH w:val="nil"/>
          <w:insideV w:val="nil"/>
        </w:tcBorders>
        <w:shd w:val="clear" w:color="auto" w:fill="001E55" w:themeFill="accent4"/>
      </w:tcPr>
    </w:tblStylePr>
    <w:tblStylePr w:type="lastRow">
      <w:rPr>
        <w:b/>
        <w:bCs/>
      </w:rPr>
      <w:tblPr/>
      <w:tcPr>
        <w:tcBorders>
          <w:top w:val="double" w:sz="4" w:space="0" w:color="001E55" w:themeColor="accent4"/>
        </w:tcBorders>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GridTable4-Accent5">
    <w:name w:val="Grid Table 4 Accent 5"/>
    <w:basedOn w:val="TableNormal"/>
    <w:uiPriority w:val="49"/>
    <w:rsid w:val="008E4D10"/>
    <w:tblPr>
      <w:tblStyleRowBandSize w:val="1"/>
      <w:tblStyleColBandSize w:val="1"/>
      <w:tblBorders>
        <w:top w:val="single" w:sz="4" w:space="0" w:color="C9C9C9" w:themeColor="accent5" w:themeTint="99"/>
        <w:left w:val="single" w:sz="4" w:space="0" w:color="C9C9C9" w:themeColor="accent5" w:themeTint="99"/>
        <w:bottom w:val="single" w:sz="4" w:space="0" w:color="C9C9C9" w:themeColor="accent5" w:themeTint="99"/>
        <w:right w:val="single" w:sz="4" w:space="0" w:color="C9C9C9" w:themeColor="accent5" w:themeTint="99"/>
        <w:insideH w:val="single" w:sz="4" w:space="0" w:color="C9C9C9" w:themeColor="accent5" w:themeTint="99"/>
        <w:insideV w:val="single" w:sz="4" w:space="0" w:color="C9C9C9" w:themeColor="accent5" w:themeTint="99"/>
      </w:tblBorders>
    </w:tblPr>
    <w:tblStylePr w:type="firstRow">
      <w:rPr>
        <w:b/>
        <w:bCs/>
        <w:color w:val="FFFFFF" w:themeColor="background1"/>
      </w:rPr>
      <w:tblPr/>
      <w:tcPr>
        <w:tcBorders>
          <w:top w:val="single" w:sz="4" w:space="0" w:color="A5A5A5" w:themeColor="accent5"/>
          <w:left w:val="single" w:sz="4" w:space="0" w:color="A5A5A5" w:themeColor="accent5"/>
          <w:bottom w:val="single" w:sz="4" w:space="0" w:color="A5A5A5" w:themeColor="accent5"/>
          <w:right w:val="single" w:sz="4" w:space="0" w:color="A5A5A5" w:themeColor="accent5"/>
          <w:insideH w:val="nil"/>
          <w:insideV w:val="nil"/>
        </w:tcBorders>
        <w:shd w:val="clear" w:color="auto" w:fill="A5A5A5" w:themeFill="accent5"/>
      </w:tcPr>
    </w:tblStylePr>
    <w:tblStylePr w:type="lastRow">
      <w:rPr>
        <w:b/>
        <w:bCs/>
      </w:rPr>
      <w:tblPr/>
      <w:tcPr>
        <w:tcBorders>
          <w:top w:val="double" w:sz="4" w:space="0" w:color="A5A5A5" w:themeColor="accent5"/>
        </w:tcBorders>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GridTable4-Accent6">
    <w:name w:val="Grid Table 4 Accent 6"/>
    <w:basedOn w:val="TableNormal"/>
    <w:uiPriority w:val="49"/>
    <w:rsid w:val="008E4D10"/>
    <w:tblPr>
      <w:tblStyleRowBandSize w:val="1"/>
      <w:tblStyleColBandSize w:val="1"/>
      <w:tblBorders>
        <w:top w:val="single" w:sz="4" w:space="0" w:color="DEDEDE" w:themeColor="accent6" w:themeTint="99"/>
        <w:left w:val="single" w:sz="4" w:space="0" w:color="DEDEDE" w:themeColor="accent6" w:themeTint="99"/>
        <w:bottom w:val="single" w:sz="4" w:space="0" w:color="DEDEDE" w:themeColor="accent6" w:themeTint="99"/>
        <w:right w:val="single" w:sz="4" w:space="0" w:color="DEDEDE" w:themeColor="accent6" w:themeTint="99"/>
        <w:insideH w:val="single" w:sz="4" w:space="0" w:color="DEDEDE" w:themeColor="accent6" w:themeTint="99"/>
        <w:insideV w:val="single" w:sz="4" w:space="0" w:color="DEDEDE" w:themeColor="accent6" w:themeTint="99"/>
      </w:tblBorders>
    </w:tblPr>
    <w:tblStylePr w:type="firstRow">
      <w:rPr>
        <w:b/>
        <w:bCs/>
        <w:color w:val="FFFFFF" w:themeColor="background1"/>
      </w:rPr>
      <w:tblPr/>
      <w:tcPr>
        <w:tcBorders>
          <w:top w:val="single" w:sz="4" w:space="0" w:color="C8C8C8" w:themeColor="accent6"/>
          <w:left w:val="single" w:sz="4" w:space="0" w:color="C8C8C8" w:themeColor="accent6"/>
          <w:bottom w:val="single" w:sz="4" w:space="0" w:color="C8C8C8" w:themeColor="accent6"/>
          <w:right w:val="single" w:sz="4" w:space="0" w:color="C8C8C8" w:themeColor="accent6"/>
          <w:insideH w:val="nil"/>
          <w:insideV w:val="nil"/>
        </w:tcBorders>
        <w:shd w:val="clear" w:color="auto" w:fill="C8C8C8" w:themeFill="accent6"/>
      </w:tcPr>
    </w:tblStylePr>
    <w:tblStylePr w:type="lastRow">
      <w:rPr>
        <w:b/>
        <w:bCs/>
      </w:rPr>
      <w:tblPr/>
      <w:tcPr>
        <w:tcBorders>
          <w:top w:val="double" w:sz="4" w:space="0" w:color="C8C8C8" w:themeColor="accent6"/>
        </w:tcBorders>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GridTable5Dark">
    <w:name w:val="Grid Table 5 Dark"/>
    <w:basedOn w:val="TableNormal"/>
    <w:uiPriority w:val="50"/>
    <w:rsid w:val="008E4D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E4D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1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ED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ED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ED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EDC" w:themeFill="accent1"/>
      </w:tcPr>
    </w:tblStylePr>
    <w:tblStylePr w:type="band1Vert">
      <w:tblPr/>
      <w:tcPr>
        <w:shd w:val="clear" w:color="auto" w:fill="A5A3F2" w:themeFill="accent1" w:themeFillTint="66"/>
      </w:tcPr>
    </w:tblStylePr>
    <w:tblStylePr w:type="band1Horz">
      <w:tblPr/>
      <w:tcPr>
        <w:shd w:val="clear" w:color="auto" w:fill="A5A3F2" w:themeFill="accent1" w:themeFillTint="66"/>
      </w:tcPr>
    </w:tblStylePr>
  </w:style>
  <w:style w:type="table" w:styleId="GridTable5Dark-Accent2">
    <w:name w:val="Grid Table 5 Dark Accent 2"/>
    <w:basedOn w:val="TableNormal"/>
    <w:uiPriority w:val="50"/>
    <w:rsid w:val="008E4D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E4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7DF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7DF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7DF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7DFF" w:themeFill="accent2"/>
      </w:tcPr>
    </w:tblStylePr>
    <w:tblStylePr w:type="band1Vert">
      <w:tblPr/>
      <w:tcPr>
        <w:shd w:val="clear" w:color="auto" w:fill="9DCAFF" w:themeFill="accent2" w:themeFillTint="66"/>
      </w:tcPr>
    </w:tblStylePr>
    <w:tblStylePr w:type="band1Horz">
      <w:tblPr/>
      <w:tcPr>
        <w:shd w:val="clear" w:color="auto" w:fill="9DCAFF" w:themeFill="accent2" w:themeFillTint="66"/>
      </w:tcPr>
    </w:tblStylePr>
  </w:style>
  <w:style w:type="table" w:styleId="GridTable5Dark-Accent3">
    <w:name w:val="Grid Table 5 Dark Accent 3"/>
    <w:basedOn w:val="TableNormal"/>
    <w:uiPriority w:val="50"/>
    <w:rsid w:val="008E4D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E6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E6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E6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E6FF" w:themeFill="accent3"/>
      </w:tcPr>
    </w:tblStylePr>
    <w:tblStylePr w:type="band1Vert">
      <w:tblPr/>
      <w:tcPr>
        <w:shd w:val="clear" w:color="auto" w:fill="BDF4FF" w:themeFill="accent3" w:themeFillTint="66"/>
      </w:tcPr>
    </w:tblStylePr>
    <w:tblStylePr w:type="band1Horz">
      <w:tblPr/>
      <w:tcPr>
        <w:shd w:val="clear" w:color="auto" w:fill="BDF4FF" w:themeFill="accent3" w:themeFillTint="66"/>
      </w:tcPr>
    </w:tblStylePr>
  </w:style>
  <w:style w:type="table" w:styleId="GridTable5Dark-Accent4">
    <w:name w:val="Grid Table 5 Dark Accent 4"/>
    <w:basedOn w:val="TableNormal"/>
    <w:uiPriority w:val="50"/>
    <w:rsid w:val="008E4D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C8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E5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E5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E5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E55" w:themeFill="accent4"/>
      </w:tcPr>
    </w:tblStylePr>
    <w:tblStylePr w:type="band1Vert">
      <w:tblPr/>
      <w:tcPr>
        <w:shd w:val="clear" w:color="auto" w:fill="5591FF" w:themeFill="accent4" w:themeFillTint="66"/>
      </w:tcPr>
    </w:tblStylePr>
    <w:tblStylePr w:type="band1Horz">
      <w:tblPr/>
      <w:tcPr>
        <w:shd w:val="clear" w:color="auto" w:fill="5591FF" w:themeFill="accent4" w:themeFillTint="66"/>
      </w:tcPr>
    </w:tblStylePr>
  </w:style>
  <w:style w:type="table" w:styleId="GridTable5Dark-Accent5">
    <w:name w:val="Grid Table 5 Dark Accent 5"/>
    <w:basedOn w:val="TableNormal"/>
    <w:uiPriority w:val="50"/>
    <w:rsid w:val="008E4D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5"/>
      </w:tcPr>
    </w:tblStylePr>
    <w:tblStylePr w:type="band1Vert">
      <w:tblPr/>
      <w:tcPr>
        <w:shd w:val="clear" w:color="auto" w:fill="DBDBDB" w:themeFill="accent5" w:themeFillTint="66"/>
      </w:tcPr>
    </w:tblStylePr>
    <w:tblStylePr w:type="band1Horz">
      <w:tblPr/>
      <w:tcPr>
        <w:shd w:val="clear" w:color="auto" w:fill="DBDBDB" w:themeFill="accent5" w:themeFillTint="66"/>
      </w:tcPr>
    </w:tblStylePr>
  </w:style>
  <w:style w:type="table" w:styleId="GridTable5Dark-Accent6">
    <w:name w:val="Grid Table 5 Dark Accent 6"/>
    <w:basedOn w:val="TableNormal"/>
    <w:uiPriority w:val="50"/>
    <w:rsid w:val="008E4D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4F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C8C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C8C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C8C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C8C8" w:themeFill="accent6"/>
      </w:tcPr>
    </w:tblStylePr>
    <w:tblStylePr w:type="band1Vert">
      <w:tblPr/>
      <w:tcPr>
        <w:shd w:val="clear" w:color="auto" w:fill="E9E9E9" w:themeFill="accent6" w:themeFillTint="66"/>
      </w:tcPr>
    </w:tblStylePr>
    <w:tblStylePr w:type="band1Horz">
      <w:tblPr/>
      <w:tcPr>
        <w:shd w:val="clear" w:color="auto" w:fill="E9E9E9" w:themeFill="accent6" w:themeFillTint="66"/>
      </w:tcPr>
    </w:tblStylePr>
  </w:style>
  <w:style w:type="table" w:styleId="GridTable6Colorful">
    <w:name w:val="Grid Table 6 Colorful"/>
    <w:basedOn w:val="TableNormal"/>
    <w:uiPriority w:val="51"/>
    <w:rsid w:val="008E4D1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E4D10"/>
    <w:rPr>
      <w:color w:val="1916A4" w:themeColor="accent1" w:themeShade="BF"/>
    </w:rPr>
    <w:tblPr>
      <w:tblStyleRowBandSize w:val="1"/>
      <w:tblStyleColBandSize w:val="1"/>
      <w:tblBorders>
        <w:top w:val="single" w:sz="4" w:space="0" w:color="7875EC" w:themeColor="accent1" w:themeTint="99"/>
        <w:left w:val="single" w:sz="4" w:space="0" w:color="7875EC" w:themeColor="accent1" w:themeTint="99"/>
        <w:bottom w:val="single" w:sz="4" w:space="0" w:color="7875EC" w:themeColor="accent1" w:themeTint="99"/>
        <w:right w:val="single" w:sz="4" w:space="0" w:color="7875EC" w:themeColor="accent1" w:themeTint="99"/>
        <w:insideH w:val="single" w:sz="4" w:space="0" w:color="7875EC" w:themeColor="accent1" w:themeTint="99"/>
        <w:insideV w:val="single" w:sz="4" w:space="0" w:color="7875EC" w:themeColor="accent1" w:themeTint="99"/>
      </w:tblBorders>
    </w:tblPr>
    <w:tblStylePr w:type="firstRow">
      <w:rPr>
        <w:b/>
        <w:bCs/>
      </w:rPr>
      <w:tblPr/>
      <w:tcPr>
        <w:tcBorders>
          <w:bottom w:val="single" w:sz="12" w:space="0" w:color="7875EC" w:themeColor="accent1" w:themeTint="99"/>
        </w:tcBorders>
      </w:tcPr>
    </w:tblStylePr>
    <w:tblStylePr w:type="lastRow">
      <w:rPr>
        <w:b/>
        <w:bCs/>
      </w:rPr>
      <w:tblPr/>
      <w:tcPr>
        <w:tcBorders>
          <w:top w:val="double" w:sz="4" w:space="0" w:color="7875EC" w:themeColor="accent1" w:themeTint="99"/>
        </w:tcBorders>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GridTable6Colorful-Accent2">
    <w:name w:val="Grid Table 6 Colorful Accent 2"/>
    <w:basedOn w:val="TableNormal"/>
    <w:uiPriority w:val="51"/>
    <w:rsid w:val="008E4D10"/>
    <w:rPr>
      <w:color w:val="005CC6" w:themeColor="accent2" w:themeShade="BF"/>
    </w:rPr>
    <w:tblPr>
      <w:tblStyleRowBandSize w:val="1"/>
      <w:tblStyleColBandSize w:val="1"/>
      <w:tblBorders>
        <w:top w:val="single" w:sz="4" w:space="0" w:color="6CB0FF" w:themeColor="accent2" w:themeTint="99"/>
        <w:left w:val="single" w:sz="4" w:space="0" w:color="6CB0FF" w:themeColor="accent2" w:themeTint="99"/>
        <w:bottom w:val="single" w:sz="4" w:space="0" w:color="6CB0FF" w:themeColor="accent2" w:themeTint="99"/>
        <w:right w:val="single" w:sz="4" w:space="0" w:color="6CB0FF" w:themeColor="accent2" w:themeTint="99"/>
        <w:insideH w:val="single" w:sz="4" w:space="0" w:color="6CB0FF" w:themeColor="accent2" w:themeTint="99"/>
        <w:insideV w:val="single" w:sz="4" w:space="0" w:color="6CB0FF" w:themeColor="accent2" w:themeTint="99"/>
      </w:tblBorders>
    </w:tblPr>
    <w:tblStylePr w:type="firstRow">
      <w:rPr>
        <w:b/>
        <w:bCs/>
      </w:rPr>
      <w:tblPr/>
      <w:tcPr>
        <w:tcBorders>
          <w:bottom w:val="single" w:sz="12" w:space="0" w:color="6CB0FF" w:themeColor="accent2" w:themeTint="99"/>
        </w:tcBorders>
      </w:tcPr>
    </w:tblStylePr>
    <w:tblStylePr w:type="lastRow">
      <w:rPr>
        <w:b/>
        <w:bCs/>
      </w:rPr>
      <w:tblPr/>
      <w:tcPr>
        <w:tcBorders>
          <w:top w:val="double" w:sz="4" w:space="0" w:color="6CB0FF" w:themeColor="accent2" w:themeTint="99"/>
        </w:tcBorders>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GridTable6Colorful-Accent3">
    <w:name w:val="Grid Table 6 Colorful Accent 3"/>
    <w:basedOn w:val="TableNormal"/>
    <w:uiPriority w:val="51"/>
    <w:rsid w:val="008E4D10"/>
    <w:rPr>
      <w:color w:val="03D8FF" w:themeColor="accent3" w:themeShade="BF"/>
    </w:rPr>
    <w:tblPr>
      <w:tblStyleRowBandSize w:val="1"/>
      <w:tblStyleColBandSize w:val="1"/>
      <w:tblBorders>
        <w:top w:val="single" w:sz="4" w:space="0" w:color="9CEFFF" w:themeColor="accent3" w:themeTint="99"/>
        <w:left w:val="single" w:sz="4" w:space="0" w:color="9CEFFF" w:themeColor="accent3" w:themeTint="99"/>
        <w:bottom w:val="single" w:sz="4" w:space="0" w:color="9CEFFF" w:themeColor="accent3" w:themeTint="99"/>
        <w:right w:val="single" w:sz="4" w:space="0" w:color="9CEFFF" w:themeColor="accent3" w:themeTint="99"/>
        <w:insideH w:val="single" w:sz="4" w:space="0" w:color="9CEFFF" w:themeColor="accent3" w:themeTint="99"/>
        <w:insideV w:val="single" w:sz="4" w:space="0" w:color="9CEFFF" w:themeColor="accent3" w:themeTint="99"/>
      </w:tblBorders>
    </w:tblPr>
    <w:tblStylePr w:type="firstRow">
      <w:rPr>
        <w:b/>
        <w:bCs/>
      </w:rPr>
      <w:tblPr/>
      <w:tcPr>
        <w:tcBorders>
          <w:bottom w:val="single" w:sz="12" w:space="0" w:color="9CEFFF" w:themeColor="accent3" w:themeTint="99"/>
        </w:tcBorders>
      </w:tcPr>
    </w:tblStylePr>
    <w:tblStylePr w:type="lastRow">
      <w:rPr>
        <w:b/>
        <w:bCs/>
      </w:rPr>
      <w:tblPr/>
      <w:tcPr>
        <w:tcBorders>
          <w:top w:val="double" w:sz="4" w:space="0" w:color="9CEFFF" w:themeColor="accent3" w:themeTint="99"/>
        </w:tcBorders>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GridTable6Colorful-Accent4">
    <w:name w:val="Grid Table 6 Colorful Accent 4"/>
    <w:basedOn w:val="TableNormal"/>
    <w:uiPriority w:val="51"/>
    <w:rsid w:val="008E4D10"/>
    <w:rPr>
      <w:color w:val="00163F" w:themeColor="accent4" w:themeShade="BF"/>
    </w:rPr>
    <w:tblPr>
      <w:tblStyleRowBandSize w:val="1"/>
      <w:tblStyleColBandSize w:val="1"/>
      <w:tblBorders>
        <w:top w:val="single" w:sz="4" w:space="0" w:color="005AFF" w:themeColor="accent4" w:themeTint="99"/>
        <w:left w:val="single" w:sz="4" w:space="0" w:color="005AFF" w:themeColor="accent4" w:themeTint="99"/>
        <w:bottom w:val="single" w:sz="4" w:space="0" w:color="005AFF" w:themeColor="accent4" w:themeTint="99"/>
        <w:right w:val="single" w:sz="4" w:space="0" w:color="005AFF" w:themeColor="accent4" w:themeTint="99"/>
        <w:insideH w:val="single" w:sz="4" w:space="0" w:color="005AFF" w:themeColor="accent4" w:themeTint="99"/>
        <w:insideV w:val="single" w:sz="4" w:space="0" w:color="005AFF" w:themeColor="accent4" w:themeTint="99"/>
      </w:tblBorders>
    </w:tblPr>
    <w:tblStylePr w:type="firstRow">
      <w:rPr>
        <w:b/>
        <w:bCs/>
      </w:rPr>
      <w:tblPr/>
      <w:tcPr>
        <w:tcBorders>
          <w:bottom w:val="single" w:sz="12" w:space="0" w:color="005AFF" w:themeColor="accent4" w:themeTint="99"/>
        </w:tcBorders>
      </w:tcPr>
    </w:tblStylePr>
    <w:tblStylePr w:type="lastRow">
      <w:rPr>
        <w:b/>
        <w:bCs/>
      </w:rPr>
      <w:tblPr/>
      <w:tcPr>
        <w:tcBorders>
          <w:top w:val="double" w:sz="4" w:space="0" w:color="005AFF" w:themeColor="accent4" w:themeTint="99"/>
        </w:tcBorders>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GridTable6Colorful-Accent5">
    <w:name w:val="Grid Table 6 Colorful Accent 5"/>
    <w:basedOn w:val="TableNormal"/>
    <w:uiPriority w:val="51"/>
    <w:rsid w:val="008E4D10"/>
    <w:rPr>
      <w:color w:val="7B7B7B" w:themeColor="accent5" w:themeShade="BF"/>
    </w:rPr>
    <w:tblPr>
      <w:tblStyleRowBandSize w:val="1"/>
      <w:tblStyleColBandSize w:val="1"/>
      <w:tblBorders>
        <w:top w:val="single" w:sz="4" w:space="0" w:color="C9C9C9" w:themeColor="accent5" w:themeTint="99"/>
        <w:left w:val="single" w:sz="4" w:space="0" w:color="C9C9C9" w:themeColor="accent5" w:themeTint="99"/>
        <w:bottom w:val="single" w:sz="4" w:space="0" w:color="C9C9C9" w:themeColor="accent5" w:themeTint="99"/>
        <w:right w:val="single" w:sz="4" w:space="0" w:color="C9C9C9" w:themeColor="accent5" w:themeTint="99"/>
        <w:insideH w:val="single" w:sz="4" w:space="0" w:color="C9C9C9" w:themeColor="accent5" w:themeTint="99"/>
        <w:insideV w:val="single" w:sz="4" w:space="0" w:color="C9C9C9" w:themeColor="accent5" w:themeTint="99"/>
      </w:tblBorders>
    </w:tblPr>
    <w:tblStylePr w:type="firstRow">
      <w:rPr>
        <w:b/>
        <w:bCs/>
      </w:rPr>
      <w:tblPr/>
      <w:tcPr>
        <w:tcBorders>
          <w:bottom w:val="single" w:sz="12" w:space="0" w:color="C9C9C9" w:themeColor="accent5" w:themeTint="99"/>
        </w:tcBorders>
      </w:tcPr>
    </w:tblStylePr>
    <w:tblStylePr w:type="lastRow">
      <w:rPr>
        <w:b/>
        <w:bCs/>
      </w:rPr>
      <w:tblPr/>
      <w:tcPr>
        <w:tcBorders>
          <w:top w:val="double" w:sz="4" w:space="0" w:color="C9C9C9" w:themeColor="accent5" w:themeTint="99"/>
        </w:tcBorders>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GridTable6Colorful-Accent6">
    <w:name w:val="Grid Table 6 Colorful Accent 6"/>
    <w:basedOn w:val="TableNormal"/>
    <w:uiPriority w:val="51"/>
    <w:rsid w:val="008E4D10"/>
    <w:rPr>
      <w:color w:val="959595" w:themeColor="accent6" w:themeShade="BF"/>
    </w:rPr>
    <w:tblPr>
      <w:tblStyleRowBandSize w:val="1"/>
      <w:tblStyleColBandSize w:val="1"/>
      <w:tblBorders>
        <w:top w:val="single" w:sz="4" w:space="0" w:color="DEDEDE" w:themeColor="accent6" w:themeTint="99"/>
        <w:left w:val="single" w:sz="4" w:space="0" w:color="DEDEDE" w:themeColor="accent6" w:themeTint="99"/>
        <w:bottom w:val="single" w:sz="4" w:space="0" w:color="DEDEDE" w:themeColor="accent6" w:themeTint="99"/>
        <w:right w:val="single" w:sz="4" w:space="0" w:color="DEDEDE" w:themeColor="accent6" w:themeTint="99"/>
        <w:insideH w:val="single" w:sz="4" w:space="0" w:color="DEDEDE" w:themeColor="accent6" w:themeTint="99"/>
        <w:insideV w:val="single" w:sz="4" w:space="0" w:color="DEDEDE" w:themeColor="accent6" w:themeTint="99"/>
      </w:tblBorders>
    </w:tblPr>
    <w:tblStylePr w:type="firstRow">
      <w:rPr>
        <w:b/>
        <w:bCs/>
      </w:rPr>
      <w:tblPr/>
      <w:tcPr>
        <w:tcBorders>
          <w:bottom w:val="single" w:sz="12" w:space="0" w:color="DEDEDE" w:themeColor="accent6" w:themeTint="99"/>
        </w:tcBorders>
      </w:tcPr>
    </w:tblStylePr>
    <w:tblStylePr w:type="lastRow">
      <w:rPr>
        <w:b/>
        <w:bCs/>
      </w:rPr>
      <w:tblPr/>
      <w:tcPr>
        <w:tcBorders>
          <w:top w:val="double" w:sz="4" w:space="0" w:color="DEDEDE" w:themeColor="accent6" w:themeTint="99"/>
        </w:tcBorders>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GridTable7Colorful">
    <w:name w:val="Grid Table 7 Colorful"/>
    <w:basedOn w:val="TableNormal"/>
    <w:uiPriority w:val="52"/>
    <w:rsid w:val="008E4D1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E4D10"/>
    <w:rPr>
      <w:color w:val="1916A4" w:themeColor="accent1" w:themeShade="BF"/>
    </w:rPr>
    <w:tblPr>
      <w:tblStyleRowBandSize w:val="1"/>
      <w:tblStyleColBandSize w:val="1"/>
      <w:tblBorders>
        <w:top w:val="single" w:sz="4" w:space="0" w:color="7875EC" w:themeColor="accent1" w:themeTint="99"/>
        <w:left w:val="single" w:sz="4" w:space="0" w:color="7875EC" w:themeColor="accent1" w:themeTint="99"/>
        <w:bottom w:val="single" w:sz="4" w:space="0" w:color="7875EC" w:themeColor="accent1" w:themeTint="99"/>
        <w:right w:val="single" w:sz="4" w:space="0" w:color="7875EC" w:themeColor="accent1" w:themeTint="99"/>
        <w:insideH w:val="single" w:sz="4" w:space="0" w:color="7875EC" w:themeColor="accent1" w:themeTint="99"/>
        <w:insideV w:val="single" w:sz="4" w:space="0" w:color="7875E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1F8" w:themeFill="accent1" w:themeFillTint="33"/>
      </w:tcPr>
    </w:tblStylePr>
    <w:tblStylePr w:type="band1Horz">
      <w:tblPr/>
      <w:tcPr>
        <w:shd w:val="clear" w:color="auto" w:fill="D2D1F8" w:themeFill="accent1" w:themeFillTint="33"/>
      </w:tcPr>
    </w:tblStylePr>
    <w:tblStylePr w:type="neCell">
      <w:tblPr/>
      <w:tcPr>
        <w:tcBorders>
          <w:bottom w:val="single" w:sz="4" w:space="0" w:color="7875EC" w:themeColor="accent1" w:themeTint="99"/>
        </w:tcBorders>
      </w:tcPr>
    </w:tblStylePr>
    <w:tblStylePr w:type="nwCell">
      <w:tblPr/>
      <w:tcPr>
        <w:tcBorders>
          <w:bottom w:val="single" w:sz="4" w:space="0" w:color="7875EC" w:themeColor="accent1" w:themeTint="99"/>
        </w:tcBorders>
      </w:tcPr>
    </w:tblStylePr>
    <w:tblStylePr w:type="seCell">
      <w:tblPr/>
      <w:tcPr>
        <w:tcBorders>
          <w:top w:val="single" w:sz="4" w:space="0" w:color="7875EC" w:themeColor="accent1" w:themeTint="99"/>
        </w:tcBorders>
      </w:tcPr>
    </w:tblStylePr>
    <w:tblStylePr w:type="swCell">
      <w:tblPr/>
      <w:tcPr>
        <w:tcBorders>
          <w:top w:val="single" w:sz="4" w:space="0" w:color="7875EC" w:themeColor="accent1" w:themeTint="99"/>
        </w:tcBorders>
      </w:tcPr>
    </w:tblStylePr>
  </w:style>
  <w:style w:type="table" w:styleId="GridTable7Colorful-Accent2">
    <w:name w:val="Grid Table 7 Colorful Accent 2"/>
    <w:basedOn w:val="TableNormal"/>
    <w:uiPriority w:val="52"/>
    <w:rsid w:val="008E4D10"/>
    <w:rPr>
      <w:color w:val="005CC6" w:themeColor="accent2" w:themeShade="BF"/>
    </w:rPr>
    <w:tblPr>
      <w:tblStyleRowBandSize w:val="1"/>
      <w:tblStyleColBandSize w:val="1"/>
      <w:tblBorders>
        <w:top w:val="single" w:sz="4" w:space="0" w:color="6CB0FF" w:themeColor="accent2" w:themeTint="99"/>
        <w:left w:val="single" w:sz="4" w:space="0" w:color="6CB0FF" w:themeColor="accent2" w:themeTint="99"/>
        <w:bottom w:val="single" w:sz="4" w:space="0" w:color="6CB0FF" w:themeColor="accent2" w:themeTint="99"/>
        <w:right w:val="single" w:sz="4" w:space="0" w:color="6CB0FF" w:themeColor="accent2" w:themeTint="99"/>
        <w:insideH w:val="single" w:sz="4" w:space="0" w:color="6CB0FF" w:themeColor="accent2" w:themeTint="99"/>
        <w:insideV w:val="single" w:sz="4" w:space="0" w:color="6CB0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E4FF" w:themeFill="accent2" w:themeFillTint="33"/>
      </w:tcPr>
    </w:tblStylePr>
    <w:tblStylePr w:type="band1Horz">
      <w:tblPr/>
      <w:tcPr>
        <w:shd w:val="clear" w:color="auto" w:fill="CEE4FF" w:themeFill="accent2" w:themeFillTint="33"/>
      </w:tcPr>
    </w:tblStylePr>
    <w:tblStylePr w:type="neCell">
      <w:tblPr/>
      <w:tcPr>
        <w:tcBorders>
          <w:bottom w:val="single" w:sz="4" w:space="0" w:color="6CB0FF" w:themeColor="accent2" w:themeTint="99"/>
        </w:tcBorders>
      </w:tcPr>
    </w:tblStylePr>
    <w:tblStylePr w:type="nwCell">
      <w:tblPr/>
      <w:tcPr>
        <w:tcBorders>
          <w:bottom w:val="single" w:sz="4" w:space="0" w:color="6CB0FF" w:themeColor="accent2" w:themeTint="99"/>
        </w:tcBorders>
      </w:tcPr>
    </w:tblStylePr>
    <w:tblStylePr w:type="seCell">
      <w:tblPr/>
      <w:tcPr>
        <w:tcBorders>
          <w:top w:val="single" w:sz="4" w:space="0" w:color="6CB0FF" w:themeColor="accent2" w:themeTint="99"/>
        </w:tcBorders>
      </w:tcPr>
    </w:tblStylePr>
    <w:tblStylePr w:type="swCell">
      <w:tblPr/>
      <w:tcPr>
        <w:tcBorders>
          <w:top w:val="single" w:sz="4" w:space="0" w:color="6CB0FF" w:themeColor="accent2" w:themeTint="99"/>
        </w:tcBorders>
      </w:tcPr>
    </w:tblStylePr>
  </w:style>
  <w:style w:type="table" w:styleId="GridTable7Colorful-Accent3">
    <w:name w:val="Grid Table 7 Colorful Accent 3"/>
    <w:basedOn w:val="TableNormal"/>
    <w:uiPriority w:val="52"/>
    <w:rsid w:val="008E4D10"/>
    <w:rPr>
      <w:color w:val="03D8FF" w:themeColor="accent3" w:themeShade="BF"/>
    </w:rPr>
    <w:tblPr>
      <w:tblStyleRowBandSize w:val="1"/>
      <w:tblStyleColBandSize w:val="1"/>
      <w:tblBorders>
        <w:top w:val="single" w:sz="4" w:space="0" w:color="9CEFFF" w:themeColor="accent3" w:themeTint="99"/>
        <w:left w:val="single" w:sz="4" w:space="0" w:color="9CEFFF" w:themeColor="accent3" w:themeTint="99"/>
        <w:bottom w:val="single" w:sz="4" w:space="0" w:color="9CEFFF" w:themeColor="accent3" w:themeTint="99"/>
        <w:right w:val="single" w:sz="4" w:space="0" w:color="9CEFFF" w:themeColor="accent3" w:themeTint="99"/>
        <w:insideH w:val="single" w:sz="4" w:space="0" w:color="9CEFFF" w:themeColor="accent3" w:themeTint="99"/>
        <w:insideV w:val="single" w:sz="4" w:space="0" w:color="9CE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9FF" w:themeFill="accent3" w:themeFillTint="33"/>
      </w:tcPr>
    </w:tblStylePr>
    <w:tblStylePr w:type="band1Horz">
      <w:tblPr/>
      <w:tcPr>
        <w:shd w:val="clear" w:color="auto" w:fill="DEF9FF" w:themeFill="accent3" w:themeFillTint="33"/>
      </w:tcPr>
    </w:tblStylePr>
    <w:tblStylePr w:type="neCell">
      <w:tblPr/>
      <w:tcPr>
        <w:tcBorders>
          <w:bottom w:val="single" w:sz="4" w:space="0" w:color="9CEFFF" w:themeColor="accent3" w:themeTint="99"/>
        </w:tcBorders>
      </w:tcPr>
    </w:tblStylePr>
    <w:tblStylePr w:type="nwCell">
      <w:tblPr/>
      <w:tcPr>
        <w:tcBorders>
          <w:bottom w:val="single" w:sz="4" w:space="0" w:color="9CEFFF" w:themeColor="accent3" w:themeTint="99"/>
        </w:tcBorders>
      </w:tcPr>
    </w:tblStylePr>
    <w:tblStylePr w:type="seCell">
      <w:tblPr/>
      <w:tcPr>
        <w:tcBorders>
          <w:top w:val="single" w:sz="4" w:space="0" w:color="9CEFFF" w:themeColor="accent3" w:themeTint="99"/>
        </w:tcBorders>
      </w:tcPr>
    </w:tblStylePr>
    <w:tblStylePr w:type="swCell">
      <w:tblPr/>
      <w:tcPr>
        <w:tcBorders>
          <w:top w:val="single" w:sz="4" w:space="0" w:color="9CEFFF" w:themeColor="accent3" w:themeTint="99"/>
        </w:tcBorders>
      </w:tcPr>
    </w:tblStylePr>
  </w:style>
  <w:style w:type="table" w:styleId="GridTable7Colorful-Accent4">
    <w:name w:val="Grid Table 7 Colorful Accent 4"/>
    <w:basedOn w:val="TableNormal"/>
    <w:uiPriority w:val="52"/>
    <w:rsid w:val="008E4D10"/>
    <w:rPr>
      <w:color w:val="00163F" w:themeColor="accent4" w:themeShade="BF"/>
    </w:rPr>
    <w:tblPr>
      <w:tblStyleRowBandSize w:val="1"/>
      <w:tblStyleColBandSize w:val="1"/>
      <w:tblBorders>
        <w:top w:val="single" w:sz="4" w:space="0" w:color="005AFF" w:themeColor="accent4" w:themeTint="99"/>
        <w:left w:val="single" w:sz="4" w:space="0" w:color="005AFF" w:themeColor="accent4" w:themeTint="99"/>
        <w:bottom w:val="single" w:sz="4" w:space="0" w:color="005AFF" w:themeColor="accent4" w:themeTint="99"/>
        <w:right w:val="single" w:sz="4" w:space="0" w:color="005AFF" w:themeColor="accent4" w:themeTint="99"/>
        <w:insideH w:val="single" w:sz="4" w:space="0" w:color="005AFF" w:themeColor="accent4" w:themeTint="99"/>
        <w:insideV w:val="single" w:sz="4" w:space="0" w:color="005A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C8FF" w:themeFill="accent4" w:themeFillTint="33"/>
      </w:tcPr>
    </w:tblStylePr>
    <w:tblStylePr w:type="band1Horz">
      <w:tblPr/>
      <w:tcPr>
        <w:shd w:val="clear" w:color="auto" w:fill="AAC8FF" w:themeFill="accent4" w:themeFillTint="33"/>
      </w:tcPr>
    </w:tblStylePr>
    <w:tblStylePr w:type="neCell">
      <w:tblPr/>
      <w:tcPr>
        <w:tcBorders>
          <w:bottom w:val="single" w:sz="4" w:space="0" w:color="005AFF" w:themeColor="accent4" w:themeTint="99"/>
        </w:tcBorders>
      </w:tcPr>
    </w:tblStylePr>
    <w:tblStylePr w:type="nwCell">
      <w:tblPr/>
      <w:tcPr>
        <w:tcBorders>
          <w:bottom w:val="single" w:sz="4" w:space="0" w:color="005AFF" w:themeColor="accent4" w:themeTint="99"/>
        </w:tcBorders>
      </w:tcPr>
    </w:tblStylePr>
    <w:tblStylePr w:type="seCell">
      <w:tblPr/>
      <w:tcPr>
        <w:tcBorders>
          <w:top w:val="single" w:sz="4" w:space="0" w:color="005AFF" w:themeColor="accent4" w:themeTint="99"/>
        </w:tcBorders>
      </w:tcPr>
    </w:tblStylePr>
    <w:tblStylePr w:type="swCell">
      <w:tblPr/>
      <w:tcPr>
        <w:tcBorders>
          <w:top w:val="single" w:sz="4" w:space="0" w:color="005AFF" w:themeColor="accent4" w:themeTint="99"/>
        </w:tcBorders>
      </w:tcPr>
    </w:tblStylePr>
  </w:style>
  <w:style w:type="table" w:styleId="GridTable7Colorful-Accent5">
    <w:name w:val="Grid Table 7 Colorful Accent 5"/>
    <w:basedOn w:val="TableNormal"/>
    <w:uiPriority w:val="52"/>
    <w:rsid w:val="008E4D10"/>
    <w:rPr>
      <w:color w:val="7B7B7B" w:themeColor="accent5" w:themeShade="BF"/>
    </w:rPr>
    <w:tblPr>
      <w:tblStyleRowBandSize w:val="1"/>
      <w:tblStyleColBandSize w:val="1"/>
      <w:tblBorders>
        <w:top w:val="single" w:sz="4" w:space="0" w:color="C9C9C9" w:themeColor="accent5" w:themeTint="99"/>
        <w:left w:val="single" w:sz="4" w:space="0" w:color="C9C9C9" w:themeColor="accent5" w:themeTint="99"/>
        <w:bottom w:val="single" w:sz="4" w:space="0" w:color="C9C9C9" w:themeColor="accent5" w:themeTint="99"/>
        <w:right w:val="single" w:sz="4" w:space="0" w:color="C9C9C9" w:themeColor="accent5" w:themeTint="99"/>
        <w:insideH w:val="single" w:sz="4" w:space="0" w:color="C9C9C9" w:themeColor="accent5" w:themeTint="99"/>
        <w:insideV w:val="single" w:sz="4" w:space="0" w:color="C9C9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5" w:themeFillTint="33"/>
      </w:tcPr>
    </w:tblStylePr>
    <w:tblStylePr w:type="band1Horz">
      <w:tblPr/>
      <w:tcPr>
        <w:shd w:val="clear" w:color="auto" w:fill="EDEDED" w:themeFill="accent5" w:themeFillTint="33"/>
      </w:tcPr>
    </w:tblStylePr>
    <w:tblStylePr w:type="neCell">
      <w:tblPr/>
      <w:tcPr>
        <w:tcBorders>
          <w:bottom w:val="single" w:sz="4" w:space="0" w:color="C9C9C9" w:themeColor="accent5" w:themeTint="99"/>
        </w:tcBorders>
      </w:tcPr>
    </w:tblStylePr>
    <w:tblStylePr w:type="nwCell">
      <w:tblPr/>
      <w:tcPr>
        <w:tcBorders>
          <w:bottom w:val="single" w:sz="4" w:space="0" w:color="C9C9C9" w:themeColor="accent5" w:themeTint="99"/>
        </w:tcBorders>
      </w:tcPr>
    </w:tblStylePr>
    <w:tblStylePr w:type="seCell">
      <w:tblPr/>
      <w:tcPr>
        <w:tcBorders>
          <w:top w:val="single" w:sz="4" w:space="0" w:color="C9C9C9" w:themeColor="accent5" w:themeTint="99"/>
        </w:tcBorders>
      </w:tcPr>
    </w:tblStylePr>
    <w:tblStylePr w:type="swCell">
      <w:tblPr/>
      <w:tcPr>
        <w:tcBorders>
          <w:top w:val="single" w:sz="4" w:space="0" w:color="C9C9C9" w:themeColor="accent5" w:themeTint="99"/>
        </w:tcBorders>
      </w:tcPr>
    </w:tblStylePr>
  </w:style>
  <w:style w:type="table" w:styleId="GridTable7Colorful-Accent6">
    <w:name w:val="Grid Table 7 Colorful Accent 6"/>
    <w:basedOn w:val="TableNormal"/>
    <w:uiPriority w:val="52"/>
    <w:rsid w:val="008E4D10"/>
    <w:rPr>
      <w:color w:val="959595" w:themeColor="accent6" w:themeShade="BF"/>
    </w:rPr>
    <w:tblPr>
      <w:tblStyleRowBandSize w:val="1"/>
      <w:tblStyleColBandSize w:val="1"/>
      <w:tblBorders>
        <w:top w:val="single" w:sz="4" w:space="0" w:color="DEDEDE" w:themeColor="accent6" w:themeTint="99"/>
        <w:left w:val="single" w:sz="4" w:space="0" w:color="DEDEDE" w:themeColor="accent6" w:themeTint="99"/>
        <w:bottom w:val="single" w:sz="4" w:space="0" w:color="DEDEDE" w:themeColor="accent6" w:themeTint="99"/>
        <w:right w:val="single" w:sz="4" w:space="0" w:color="DEDEDE" w:themeColor="accent6" w:themeTint="99"/>
        <w:insideH w:val="single" w:sz="4" w:space="0" w:color="DEDEDE" w:themeColor="accent6" w:themeTint="99"/>
        <w:insideV w:val="single" w:sz="4" w:space="0" w:color="DEDED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4F4" w:themeFill="accent6" w:themeFillTint="33"/>
      </w:tcPr>
    </w:tblStylePr>
    <w:tblStylePr w:type="band1Horz">
      <w:tblPr/>
      <w:tcPr>
        <w:shd w:val="clear" w:color="auto" w:fill="F4F4F4" w:themeFill="accent6" w:themeFillTint="33"/>
      </w:tcPr>
    </w:tblStylePr>
    <w:tblStylePr w:type="neCell">
      <w:tblPr/>
      <w:tcPr>
        <w:tcBorders>
          <w:bottom w:val="single" w:sz="4" w:space="0" w:color="DEDEDE" w:themeColor="accent6" w:themeTint="99"/>
        </w:tcBorders>
      </w:tcPr>
    </w:tblStylePr>
    <w:tblStylePr w:type="nwCell">
      <w:tblPr/>
      <w:tcPr>
        <w:tcBorders>
          <w:bottom w:val="single" w:sz="4" w:space="0" w:color="DEDEDE" w:themeColor="accent6" w:themeTint="99"/>
        </w:tcBorders>
      </w:tcPr>
    </w:tblStylePr>
    <w:tblStylePr w:type="seCell">
      <w:tblPr/>
      <w:tcPr>
        <w:tcBorders>
          <w:top w:val="single" w:sz="4" w:space="0" w:color="DEDEDE" w:themeColor="accent6" w:themeTint="99"/>
        </w:tcBorders>
      </w:tcPr>
    </w:tblStylePr>
    <w:tblStylePr w:type="swCell">
      <w:tblPr/>
      <w:tcPr>
        <w:tcBorders>
          <w:top w:val="single" w:sz="4" w:space="0" w:color="DEDEDE" w:themeColor="accent6" w:themeTint="99"/>
        </w:tcBorders>
      </w:tcPr>
    </w:tblStylePr>
  </w:style>
  <w:style w:type="character" w:styleId="Hashtag">
    <w:name w:val="Hashtag"/>
    <w:basedOn w:val="DefaultParagraphFont"/>
    <w:uiPriority w:val="99"/>
    <w:semiHidden/>
    <w:unhideWhenUsed/>
    <w:rsid w:val="008E4D10"/>
    <w:rPr>
      <w:color w:val="2B579A"/>
      <w:shd w:val="clear" w:color="auto" w:fill="E6E6E6"/>
    </w:rPr>
  </w:style>
  <w:style w:type="character" w:styleId="HTMLAcronym">
    <w:name w:val="HTML Acronym"/>
    <w:basedOn w:val="DefaultParagraphFont"/>
    <w:uiPriority w:val="99"/>
    <w:semiHidden/>
    <w:unhideWhenUsed/>
    <w:rsid w:val="008E4D10"/>
  </w:style>
  <w:style w:type="paragraph" w:styleId="HTMLAddress">
    <w:name w:val="HTML Address"/>
    <w:basedOn w:val="Normal"/>
    <w:link w:val="HTMLAddressChar"/>
    <w:uiPriority w:val="99"/>
    <w:semiHidden/>
    <w:unhideWhenUsed/>
    <w:rsid w:val="008E4D10"/>
    <w:rPr>
      <w:i/>
      <w:iCs/>
    </w:rPr>
  </w:style>
  <w:style w:type="character" w:customStyle="1" w:styleId="HTMLAddressChar">
    <w:name w:val="HTML Address Char"/>
    <w:basedOn w:val="DefaultParagraphFont"/>
    <w:link w:val="HTMLAddress"/>
    <w:uiPriority w:val="99"/>
    <w:semiHidden/>
    <w:rsid w:val="008E4D10"/>
    <w:rPr>
      <w:rFonts w:asciiTheme="minorHAnsi" w:hAnsiTheme="minorHAnsi"/>
      <w:i/>
      <w:iCs/>
    </w:rPr>
  </w:style>
  <w:style w:type="character" w:styleId="HTMLCite">
    <w:name w:val="HTML Cite"/>
    <w:basedOn w:val="DefaultParagraphFont"/>
    <w:uiPriority w:val="99"/>
    <w:semiHidden/>
    <w:unhideWhenUsed/>
    <w:rsid w:val="008E4D10"/>
    <w:rPr>
      <w:i/>
      <w:iCs/>
    </w:rPr>
  </w:style>
  <w:style w:type="character" w:styleId="HTMLCode">
    <w:name w:val="HTML Code"/>
    <w:basedOn w:val="DefaultParagraphFont"/>
    <w:uiPriority w:val="99"/>
    <w:semiHidden/>
    <w:unhideWhenUsed/>
    <w:rsid w:val="008E4D10"/>
    <w:rPr>
      <w:rFonts w:ascii="Consolas" w:hAnsi="Consolas"/>
      <w:sz w:val="20"/>
      <w:szCs w:val="20"/>
    </w:rPr>
  </w:style>
  <w:style w:type="character" w:styleId="HTMLDefinition">
    <w:name w:val="HTML Definition"/>
    <w:basedOn w:val="DefaultParagraphFont"/>
    <w:uiPriority w:val="99"/>
    <w:semiHidden/>
    <w:unhideWhenUsed/>
    <w:rsid w:val="008E4D10"/>
    <w:rPr>
      <w:i/>
      <w:iCs/>
    </w:rPr>
  </w:style>
  <w:style w:type="character" w:styleId="HTMLKeyboard">
    <w:name w:val="HTML Keyboard"/>
    <w:basedOn w:val="DefaultParagraphFont"/>
    <w:uiPriority w:val="99"/>
    <w:semiHidden/>
    <w:unhideWhenUsed/>
    <w:rsid w:val="008E4D10"/>
    <w:rPr>
      <w:rFonts w:ascii="Consolas" w:hAnsi="Consolas"/>
      <w:sz w:val="20"/>
      <w:szCs w:val="20"/>
    </w:rPr>
  </w:style>
  <w:style w:type="paragraph" w:styleId="HTMLPreformatted">
    <w:name w:val="HTML Preformatted"/>
    <w:basedOn w:val="Normal"/>
    <w:link w:val="HTMLPreformattedChar"/>
    <w:uiPriority w:val="99"/>
    <w:semiHidden/>
    <w:unhideWhenUsed/>
    <w:rsid w:val="008E4D10"/>
    <w:rPr>
      <w:rFonts w:ascii="Consolas" w:hAnsi="Consolas"/>
    </w:rPr>
  </w:style>
  <w:style w:type="character" w:customStyle="1" w:styleId="HTMLPreformattedChar">
    <w:name w:val="HTML Preformatted Char"/>
    <w:basedOn w:val="DefaultParagraphFont"/>
    <w:link w:val="HTMLPreformatted"/>
    <w:uiPriority w:val="99"/>
    <w:semiHidden/>
    <w:rsid w:val="008E4D10"/>
    <w:rPr>
      <w:rFonts w:ascii="Consolas" w:hAnsi="Consolas"/>
    </w:rPr>
  </w:style>
  <w:style w:type="character" w:styleId="HTMLSample">
    <w:name w:val="HTML Sample"/>
    <w:basedOn w:val="DefaultParagraphFont"/>
    <w:uiPriority w:val="99"/>
    <w:semiHidden/>
    <w:unhideWhenUsed/>
    <w:rsid w:val="008E4D10"/>
    <w:rPr>
      <w:rFonts w:ascii="Consolas" w:hAnsi="Consolas"/>
      <w:sz w:val="24"/>
      <w:szCs w:val="24"/>
    </w:rPr>
  </w:style>
  <w:style w:type="character" w:styleId="HTMLTypewriter">
    <w:name w:val="HTML Typewriter"/>
    <w:basedOn w:val="DefaultParagraphFont"/>
    <w:uiPriority w:val="99"/>
    <w:semiHidden/>
    <w:unhideWhenUsed/>
    <w:rsid w:val="008E4D10"/>
    <w:rPr>
      <w:rFonts w:ascii="Consolas" w:hAnsi="Consolas"/>
      <w:sz w:val="20"/>
      <w:szCs w:val="20"/>
    </w:rPr>
  </w:style>
  <w:style w:type="character" w:styleId="HTMLVariable">
    <w:name w:val="HTML Variable"/>
    <w:basedOn w:val="DefaultParagraphFont"/>
    <w:uiPriority w:val="99"/>
    <w:semiHidden/>
    <w:unhideWhenUsed/>
    <w:rsid w:val="008E4D10"/>
    <w:rPr>
      <w:i/>
      <w:iCs/>
    </w:rPr>
  </w:style>
  <w:style w:type="paragraph" w:styleId="Index1">
    <w:name w:val="index 1"/>
    <w:basedOn w:val="Normal"/>
    <w:next w:val="Normal"/>
    <w:autoRedefine/>
    <w:uiPriority w:val="99"/>
    <w:semiHidden/>
    <w:unhideWhenUsed/>
    <w:rsid w:val="008E4D10"/>
    <w:pPr>
      <w:ind w:left="220" w:hanging="220"/>
    </w:pPr>
  </w:style>
  <w:style w:type="paragraph" w:styleId="Index2">
    <w:name w:val="index 2"/>
    <w:basedOn w:val="Normal"/>
    <w:next w:val="Normal"/>
    <w:autoRedefine/>
    <w:uiPriority w:val="99"/>
    <w:semiHidden/>
    <w:unhideWhenUsed/>
    <w:rsid w:val="008E4D10"/>
    <w:pPr>
      <w:ind w:left="440" w:hanging="220"/>
    </w:pPr>
  </w:style>
  <w:style w:type="paragraph" w:styleId="Index3">
    <w:name w:val="index 3"/>
    <w:basedOn w:val="Normal"/>
    <w:next w:val="Normal"/>
    <w:autoRedefine/>
    <w:uiPriority w:val="99"/>
    <w:semiHidden/>
    <w:unhideWhenUsed/>
    <w:rsid w:val="008E4D10"/>
    <w:pPr>
      <w:ind w:left="660" w:hanging="220"/>
    </w:pPr>
  </w:style>
  <w:style w:type="paragraph" w:styleId="Index4">
    <w:name w:val="index 4"/>
    <w:basedOn w:val="Normal"/>
    <w:next w:val="Normal"/>
    <w:autoRedefine/>
    <w:uiPriority w:val="99"/>
    <w:semiHidden/>
    <w:unhideWhenUsed/>
    <w:rsid w:val="008E4D10"/>
    <w:pPr>
      <w:ind w:left="880" w:hanging="220"/>
    </w:pPr>
  </w:style>
  <w:style w:type="paragraph" w:styleId="Index5">
    <w:name w:val="index 5"/>
    <w:basedOn w:val="Normal"/>
    <w:next w:val="Normal"/>
    <w:autoRedefine/>
    <w:uiPriority w:val="99"/>
    <w:semiHidden/>
    <w:unhideWhenUsed/>
    <w:rsid w:val="008E4D10"/>
    <w:pPr>
      <w:ind w:left="1100" w:hanging="220"/>
    </w:pPr>
  </w:style>
  <w:style w:type="paragraph" w:styleId="Index6">
    <w:name w:val="index 6"/>
    <w:basedOn w:val="Normal"/>
    <w:next w:val="Normal"/>
    <w:autoRedefine/>
    <w:uiPriority w:val="99"/>
    <w:semiHidden/>
    <w:unhideWhenUsed/>
    <w:rsid w:val="008E4D10"/>
    <w:pPr>
      <w:ind w:left="1320" w:hanging="220"/>
    </w:pPr>
  </w:style>
  <w:style w:type="paragraph" w:styleId="Index7">
    <w:name w:val="index 7"/>
    <w:basedOn w:val="Normal"/>
    <w:next w:val="Normal"/>
    <w:autoRedefine/>
    <w:uiPriority w:val="99"/>
    <w:semiHidden/>
    <w:unhideWhenUsed/>
    <w:rsid w:val="008E4D10"/>
    <w:pPr>
      <w:ind w:left="1540" w:hanging="220"/>
    </w:pPr>
  </w:style>
  <w:style w:type="paragraph" w:styleId="Index8">
    <w:name w:val="index 8"/>
    <w:basedOn w:val="Normal"/>
    <w:next w:val="Normal"/>
    <w:autoRedefine/>
    <w:uiPriority w:val="99"/>
    <w:semiHidden/>
    <w:unhideWhenUsed/>
    <w:rsid w:val="008E4D10"/>
    <w:pPr>
      <w:ind w:left="1760" w:hanging="220"/>
    </w:pPr>
  </w:style>
  <w:style w:type="paragraph" w:styleId="Index9">
    <w:name w:val="index 9"/>
    <w:basedOn w:val="Normal"/>
    <w:next w:val="Normal"/>
    <w:autoRedefine/>
    <w:uiPriority w:val="99"/>
    <w:semiHidden/>
    <w:unhideWhenUsed/>
    <w:rsid w:val="008E4D10"/>
    <w:pPr>
      <w:ind w:left="1980" w:hanging="220"/>
    </w:pPr>
  </w:style>
  <w:style w:type="paragraph" w:styleId="IndexHeading">
    <w:name w:val="index heading"/>
    <w:basedOn w:val="Normal"/>
    <w:next w:val="Index1"/>
    <w:uiPriority w:val="99"/>
    <w:semiHidden/>
    <w:unhideWhenUsed/>
    <w:rsid w:val="008E4D10"/>
    <w:rPr>
      <w:rFonts w:eastAsiaTheme="majorEastAsia" w:cstheme="majorBidi"/>
      <w:b/>
      <w:bCs/>
    </w:rPr>
  </w:style>
  <w:style w:type="character" w:styleId="IntenseEmphasis">
    <w:name w:val="Intense Emphasis"/>
    <w:basedOn w:val="DefaultParagraphFont"/>
    <w:uiPriority w:val="99"/>
    <w:semiHidden/>
    <w:rsid w:val="008E4D10"/>
    <w:rPr>
      <w:i/>
      <w:iCs/>
      <w:color w:val="231EDC" w:themeColor="accent1"/>
    </w:rPr>
  </w:style>
  <w:style w:type="paragraph" w:styleId="IntenseQuote">
    <w:name w:val="Intense Quote"/>
    <w:basedOn w:val="Normal"/>
    <w:next w:val="Normal"/>
    <w:link w:val="IntenseQuoteChar"/>
    <w:uiPriority w:val="99"/>
    <w:semiHidden/>
    <w:rsid w:val="008E4D10"/>
    <w:pPr>
      <w:pBdr>
        <w:top w:val="single" w:sz="4" w:space="10" w:color="231EDC" w:themeColor="accent1"/>
        <w:bottom w:val="single" w:sz="4" w:space="10" w:color="231EDC" w:themeColor="accent1"/>
      </w:pBdr>
      <w:spacing w:before="360" w:after="360"/>
      <w:ind w:left="864" w:right="864"/>
      <w:jc w:val="center"/>
    </w:pPr>
    <w:rPr>
      <w:i/>
      <w:iCs/>
      <w:color w:val="231EDC" w:themeColor="accent1"/>
    </w:rPr>
  </w:style>
  <w:style w:type="character" w:customStyle="1" w:styleId="IntenseQuoteChar">
    <w:name w:val="Intense Quote Char"/>
    <w:basedOn w:val="DefaultParagraphFont"/>
    <w:link w:val="IntenseQuote"/>
    <w:uiPriority w:val="30"/>
    <w:semiHidden/>
    <w:rsid w:val="008E4D10"/>
    <w:rPr>
      <w:rFonts w:asciiTheme="minorHAnsi" w:hAnsiTheme="minorHAnsi"/>
      <w:i/>
      <w:iCs/>
      <w:color w:val="231EDC" w:themeColor="accent1"/>
    </w:rPr>
  </w:style>
  <w:style w:type="character" w:styleId="IntenseReference">
    <w:name w:val="Intense Reference"/>
    <w:basedOn w:val="DefaultParagraphFont"/>
    <w:uiPriority w:val="99"/>
    <w:semiHidden/>
    <w:rsid w:val="008E4D10"/>
    <w:rPr>
      <w:b/>
      <w:bCs/>
      <w:smallCaps/>
      <w:color w:val="231EDC" w:themeColor="accent1"/>
      <w:spacing w:val="5"/>
    </w:rPr>
  </w:style>
  <w:style w:type="table" w:styleId="LightGrid">
    <w:name w:val="Light Grid"/>
    <w:basedOn w:val="TableNormal"/>
    <w:uiPriority w:val="62"/>
    <w:semiHidden/>
    <w:unhideWhenUsed/>
    <w:rsid w:val="008E4D1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E4D10"/>
    <w:tblPr>
      <w:tblStyleRowBandSize w:val="1"/>
      <w:tblStyleColBandSize w:val="1"/>
      <w:tblBorders>
        <w:top w:val="single" w:sz="8" w:space="0" w:color="231EDC" w:themeColor="accent1"/>
        <w:left w:val="single" w:sz="8" w:space="0" w:color="231EDC" w:themeColor="accent1"/>
        <w:bottom w:val="single" w:sz="8" w:space="0" w:color="231EDC" w:themeColor="accent1"/>
        <w:right w:val="single" w:sz="8" w:space="0" w:color="231EDC" w:themeColor="accent1"/>
        <w:insideH w:val="single" w:sz="8" w:space="0" w:color="231EDC" w:themeColor="accent1"/>
        <w:insideV w:val="single" w:sz="8" w:space="0" w:color="231ED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EDC" w:themeColor="accent1"/>
          <w:left w:val="single" w:sz="8" w:space="0" w:color="231EDC" w:themeColor="accent1"/>
          <w:bottom w:val="single" w:sz="18" w:space="0" w:color="231EDC" w:themeColor="accent1"/>
          <w:right w:val="single" w:sz="8" w:space="0" w:color="231EDC" w:themeColor="accent1"/>
          <w:insideH w:val="nil"/>
          <w:insideV w:val="single" w:sz="8" w:space="0" w:color="231ED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EDC" w:themeColor="accent1"/>
          <w:left w:val="single" w:sz="8" w:space="0" w:color="231EDC" w:themeColor="accent1"/>
          <w:bottom w:val="single" w:sz="8" w:space="0" w:color="231EDC" w:themeColor="accent1"/>
          <w:right w:val="single" w:sz="8" w:space="0" w:color="231EDC" w:themeColor="accent1"/>
          <w:insideH w:val="nil"/>
          <w:insideV w:val="single" w:sz="8" w:space="0" w:color="231ED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EDC" w:themeColor="accent1"/>
          <w:left w:val="single" w:sz="8" w:space="0" w:color="231EDC" w:themeColor="accent1"/>
          <w:bottom w:val="single" w:sz="8" w:space="0" w:color="231EDC" w:themeColor="accent1"/>
          <w:right w:val="single" w:sz="8" w:space="0" w:color="231EDC" w:themeColor="accent1"/>
        </w:tcBorders>
      </w:tcPr>
    </w:tblStylePr>
    <w:tblStylePr w:type="band1Vert">
      <w:tblPr/>
      <w:tcPr>
        <w:tcBorders>
          <w:top w:val="single" w:sz="8" w:space="0" w:color="231EDC" w:themeColor="accent1"/>
          <w:left w:val="single" w:sz="8" w:space="0" w:color="231EDC" w:themeColor="accent1"/>
          <w:bottom w:val="single" w:sz="8" w:space="0" w:color="231EDC" w:themeColor="accent1"/>
          <w:right w:val="single" w:sz="8" w:space="0" w:color="231EDC" w:themeColor="accent1"/>
        </w:tcBorders>
        <w:shd w:val="clear" w:color="auto" w:fill="C7C6F7" w:themeFill="accent1" w:themeFillTint="3F"/>
      </w:tcPr>
    </w:tblStylePr>
    <w:tblStylePr w:type="band1Horz">
      <w:tblPr/>
      <w:tcPr>
        <w:tcBorders>
          <w:top w:val="single" w:sz="8" w:space="0" w:color="231EDC" w:themeColor="accent1"/>
          <w:left w:val="single" w:sz="8" w:space="0" w:color="231EDC" w:themeColor="accent1"/>
          <w:bottom w:val="single" w:sz="8" w:space="0" w:color="231EDC" w:themeColor="accent1"/>
          <w:right w:val="single" w:sz="8" w:space="0" w:color="231EDC" w:themeColor="accent1"/>
          <w:insideV w:val="single" w:sz="8" w:space="0" w:color="231EDC" w:themeColor="accent1"/>
        </w:tcBorders>
        <w:shd w:val="clear" w:color="auto" w:fill="C7C6F7" w:themeFill="accent1" w:themeFillTint="3F"/>
      </w:tcPr>
    </w:tblStylePr>
    <w:tblStylePr w:type="band2Horz">
      <w:tblPr/>
      <w:tcPr>
        <w:tcBorders>
          <w:top w:val="single" w:sz="8" w:space="0" w:color="231EDC" w:themeColor="accent1"/>
          <w:left w:val="single" w:sz="8" w:space="0" w:color="231EDC" w:themeColor="accent1"/>
          <w:bottom w:val="single" w:sz="8" w:space="0" w:color="231EDC" w:themeColor="accent1"/>
          <w:right w:val="single" w:sz="8" w:space="0" w:color="231EDC" w:themeColor="accent1"/>
          <w:insideV w:val="single" w:sz="8" w:space="0" w:color="231EDC" w:themeColor="accent1"/>
        </w:tcBorders>
      </w:tcPr>
    </w:tblStylePr>
  </w:style>
  <w:style w:type="table" w:styleId="LightGrid-Accent2">
    <w:name w:val="Light Grid Accent 2"/>
    <w:basedOn w:val="TableNormal"/>
    <w:uiPriority w:val="62"/>
    <w:semiHidden/>
    <w:unhideWhenUsed/>
    <w:rsid w:val="008E4D10"/>
    <w:tblPr>
      <w:tblStyleRowBandSize w:val="1"/>
      <w:tblStyleColBandSize w:val="1"/>
      <w:tblBorders>
        <w:top w:val="single" w:sz="8" w:space="0" w:color="0A7DFF" w:themeColor="accent2"/>
        <w:left w:val="single" w:sz="8" w:space="0" w:color="0A7DFF" w:themeColor="accent2"/>
        <w:bottom w:val="single" w:sz="8" w:space="0" w:color="0A7DFF" w:themeColor="accent2"/>
        <w:right w:val="single" w:sz="8" w:space="0" w:color="0A7DFF" w:themeColor="accent2"/>
        <w:insideH w:val="single" w:sz="8" w:space="0" w:color="0A7DFF" w:themeColor="accent2"/>
        <w:insideV w:val="single" w:sz="8" w:space="0" w:color="0A7DF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7DFF" w:themeColor="accent2"/>
          <w:left w:val="single" w:sz="8" w:space="0" w:color="0A7DFF" w:themeColor="accent2"/>
          <w:bottom w:val="single" w:sz="18" w:space="0" w:color="0A7DFF" w:themeColor="accent2"/>
          <w:right w:val="single" w:sz="8" w:space="0" w:color="0A7DFF" w:themeColor="accent2"/>
          <w:insideH w:val="nil"/>
          <w:insideV w:val="single" w:sz="8" w:space="0" w:color="0A7DF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7DFF" w:themeColor="accent2"/>
          <w:left w:val="single" w:sz="8" w:space="0" w:color="0A7DFF" w:themeColor="accent2"/>
          <w:bottom w:val="single" w:sz="8" w:space="0" w:color="0A7DFF" w:themeColor="accent2"/>
          <w:right w:val="single" w:sz="8" w:space="0" w:color="0A7DFF" w:themeColor="accent2"/>
          <w:insideH w:val="nil"/>
          <w:insideV w:val="single" w:sz="8" w:space="0" w:color="0A7DF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7DFF" w:themeColor="accent2"/>
          <w:left w:val="single" w:sz="8" w:space="0" w:color="0A7DFF" w:themeColor="accent2"/>
          <w:bottom w:val="single" w:sz="8" w:space="0" w:color="0A7DFF" w:themeColor="accent2"/>
          <w:right w:val="single" w:sz="8" w:space="0" w:color="0A7DFF" w:themeColor="accent2"/>
        </w:tcBorders>
      </w:tcPr>
    </w:tblStylePr>
    <w:tblStylePr w:type="band1Vert">
      <w:tblPr/>
      <w:tcPr>
        <w:tcBorders>
          <w:top w:val="single" w:sz="8" w:space="0" w:color="0A7DFF" w:themeColor="accent2"/>
          <w:left w:val="single" w:sz="8" w:space="0" w:color="0A7DFF" w:themeColor="accent2"/>
          <w:bottom w:val="single" w:sz="8" w:space="0" w:color="0A7DFF" w:themeColor="accent2"/>
          <w:right w:val="single" w:sz="8" w:space="0" w:color="0A7DFF" w:themeColor="accent2"/>
        </w:tcBorders>
        <w:shd w:val="clear" w:color="auto" w:fill="C2DEFF" w:themeFill="accent2" w:themeFillTint="3F"/>
      </w:tcPr>
    </w:tblStylePr>
    <w:tblStylePr w:type="band1Horz">
      <w:tblPr/>
      <w:tcPr>
        <w:tcBorders>
          <w:top w:val="single" w:sz="8" w:space="0" w:color="0A7DFF" w:themeColor="accent2"/>
          <w:left w:val="single" w:sz="8" w:space="0" w:color="0A7DFF" w:themeColor="accent2"/>
          <w:bottom w:val="single" w:sz="8" w:space="0" w:color="0A7DFF" w:themeColor="accent2"/>
          <w:right w:val="single" w:sz="8" w:space="0" w:color="0A7DFF" w:themeColor="accent2"/>
          <w:insideV w:val="single" w:sz="8" w:space="0" w:color="0A7DFF" w:themeColor="accent2"/>
        </w:tcBorders>
        <w:shd w:val="clear" w:color="auto" w:fill="C2DEFF" w:themeFill="accent2" w:themeFillTint="3F"/>
      </w:tcPr>
    </w:tblStylePr>
    <w:tblStylePr w:type="band2Horz">
      <w:tblPr/>
      <w:tcPr>
        <w:tcBorders>
          <w:top w:val="single" w:sz="8" w:space="0" w:color="0A7DFF" w:themeColor="accent2"/>
          <w:left w:val="single" w:sz="8" w:space="0" w:color="0A7DFF" w:themeColor="accent2"/>
          <w:bottom w:val="single" w:sz="8" w:space="0" w:color="0A7DFF" w:themeColor="accent2"/>
          <w:right w:val="single" w:sz="8" w:space="0" w:color="0A7DFF" w:themeColor="accent2"/>
          <w:insideV w:val="single" w:sz="8" w:space="0" w:color="0A7DFF" w:themeColor="accent2"/>
        </w:tcBorders>
      </w:tcPr>
    </w:tblStylePr>
  </w:style>
  <w:style w:type="table" w:styleId="LightGrid-Accent3">
    <w:name w:val="Light Grid Accent 3"/>
    <w:basedOn w:val="TableNormal"/>
    <w:uiPriority w:val="62"/>
    <w:semiHidden/>
    <w:unhideWhenUsed/>
    <w:rsid w:val="008E4D10"/>
    <w:tblPr>
      <w:tblStyleRowBandSize w:val="1"/>
      <w:tblStyleColBandSize w:val="1"/>
      <w:tblBorders>
        <w:top w:val="single" w:sz="8" w:space="0" w:color="5AE6FF" w:themeColor="accent3"/>
        <w:left w:val="single" w:sz="8" w:space="0" w:color="5AE6FF" w:themeColor="accent3"/>
        <w:bottom w:val="single" w:sz="8" w:space="0" w:color="5AE6FF" w:themeColor="accent3"/>
        <w:right w:val="single" w:sz="8" w:space="0" w:color="5AE6FF" w:themeColor="accent3"/>
        <w:insideH w:val="single" w:sz="8" w:space="0" w:color="5AE6FF" w:themeColor="accent3"/>
        <w:insideV w:val="single" w:sz="8" w:space="0" w:color="5AE6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E6FF" w:themeColor="accent3"/>
          <w:left w:val="single" w:sz="8" w:space="0" w:color="5AE6FF" w:themeColor="accent3"/>
          <w:bottom w:val="single" w:sz="18" w:space="0" w:color="5AE6FF" w:themeColor="accent3"/>
          <w:right w:val="single" w:sz="8" w:space="0" w:color="5AE6FF" w:themeColor="accent3"/>
          <w:insideH w:val="nil"/>
          <w:insideV w:val="single" w:sz="8" w:space="0" w:color="5AE6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E6FF" w:themeColor="accent3"/>
          <w:left w:val="single" w:sz="8" w:space="0" w:color="5AE6FF" w:themeColor="accent3"/>
          <w:bottom w:val="single" w:sz="8" w:space="0" w:color="5AE6FF" w:themeColor="accent3"/>
          <w:right w:val="single" w:sz="8" w:space="0" w:color="5AE6FF" w:themeColor="accent3"/>
          <w:insideH w:val="nil"/>
          <w:insideV w:val="single" w:sz="8" w:space="0" w:color="5AE6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E6FF" w:themeColor="accent3"/>
          <w:left w:val="single" w:sz="8" w:space="0" w:color="5AE6FF" w:themeColor="accent3"/>
          <w:bottom w:val="single" w:sz="8" w:space="0" w:color="5AE6FF" w:themeColor="accent3"/>
          <w:right w:val="single" w:sz="8" w:space="0" w:color="5AE6FF" w:themeColor="accent3"/>
        </w:tcBorders>
      </w:tcPr>
    </w:tblStylePr>
    <w:tblStylePr w:type="band1Vert">
      <w:tblPr/>
      <w:tcPr>
        <w:tcBorders>
          <w:top w:val="single" w:sz="8" w:space="0" w:color="5AE6FF" w:themeColor="accent3"/>
          <w:left w:val="single" w:sz="8" w:space="0" w:color="5AE6FF" w:themeColor="accent3"/>
          <w:bottom w:val="single" w:sz="8" w:space="0" w:color="5AE6FF" w:themeColor="accent3"/>
          <w:right w:val="single" w:sz="8" w:space="0" w:color="5AE6FF" w:themeColor="accent3"/>
        </w:tcBorders>
        <w:shd w:val="clear" w:color="auto" w:fill="D6F8FF" w:themeFill="accent3" w:themeFillTint="3F"/>
      </w:tcPr>
    </w:tblStylePr>
    <w:tblStylePr w:type="band1Horz">
      <w:tblPr/>
      <w:tcPr>
        <w:tcBorders>
          <w:top w:val="single" w:sz="8" w:space="0" w:color="5AE6FF" w:themeColor="accent3"/>
          <w:left w:val="single" w:sz="8" w:space="0" w:color="5AE6FF" w:themeColor="accent3"/>
          <w:bottom w:val="single" w:sz="8" w:space="0" w:color="5AE6FF" w:themeColor="accent3"/>
          <w:right w:val="single" w:sz="8" w:space="0" w:color="5AE6FF" w:themeColor="accent3"/>
          <w:insideV w:val="single" w:sz="8" w:space="0" w:color="5AE6FF" w:themeColor="accent3"/>
        </w:tcBorders>
        <w:shd w:val="clear" w:color="auto" w:fill="D6F8FF" w:themeFill="accent3" w:themeFillTint="3F"/>
      </w:tcPr>
    </w:tblStylePr>
    <w:tblStylePr w:type="band2Horz">
      <w:tblPr/>
      <w:tcPr>
        <w:tcBorders>
          <w:top w:val="single" w:sz="8" w:space="0" w:color="5AE6FF" w:themeColor="accent3"/>
          <w:left w:val="single" w:sz="8" w:space="0" w:color="5AE6FF" w:themeColor="accent3"/>
          <w:bottom w:val="single" w:sz="8" w:space="0" w:color="5AE6FF" w:themeColor="accent3"/>
          <w:right w:val="single" w:sz="8" w:space="0" w:color="5AE6FF" w:themeColor="accent3"/>
          <w:insideV w:val="single" w:sz="8" w:space="0" w:color="5AE6FF" w:themeColor="accent3"/>
        </w:tcBorders>
      </w:tcPr>
    </w:tblStylePr>
  </w:style>
  <w:style w:type="table" w:styleId="LightGrid-Accent4">
    <w:name w:val="Light Grid Accent 4"/>
    <w:basedOn w:val="TableNormal"/>
    <w:uiPriority w:val="62"/>
    <w:semiHidden/>
    <w:unhideWhenUsed/>
    <w:rsid w:val="008E4D10"/>
    <w:tblPr>
      <w:tblStyleRowBandSize w:val="1"/>
      <w:tblStyleColBandSize w:val="1"/>
      <w:tblBorders>
        <w:top w:val="single" w:sz="8" w:space="0" w:color="001E55" w:themeColor="accent4"/>
        <w:left w:val="single" w:sz="8" w:space="0" w:color="001E55" w:themeColor="accent4"/>
        <w:bottom w:val="single" w:sz="8" w:space="0" w:color="001E55" w:themeColor="accent4"/>
        <w:right w:val="single" w:sz="8" w:space="0" w:color="001E55" w:themeColor="accent4"/>
        <w:insideH w:val="single" w:sz="8" w:space="0" w:color="001E55" w:themeColor="accent4"/>
        <w:insideV w:val="single" w:sz="8" w:space="0" w:color="001E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E55" w:themeColor="accent4"/>
          <w:left w:val="single" w:sz="8" w:space="0" w:color="001E55" w:themeColor="accent4"/>
          <w:bottom w:val="single" w:sz="18" w:space="0" w:color="001E55" w:themeColor="accent4"/>
          <w:right w:val="single" w:sz="8" w:space="0" w:color="001E55" w:themeColor="accent4"/>
          <w:insideH w:val="nil"/>
          <w:insideV w:val="single" w:sz="8" w:space="0" w:color="001E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E55" w:themeColor="accent4"/>
          <w:left w:val="single" w:sz="8" w:space="0" w:color="001E55" w:themeColor="accent4"/>
          <w:bottom w:val="single" w:sz="8" w:space="0" w:color="001E55" w:themeColor="accent4"/>
          <w:right w:val="single" w:sz="8" w:space="0" w:color="001E55" w:themeColor="accent4"/>
          <w:insideH w:val="nil"/>
          <w:insideV w:val="single" w:sz="8" w:space="0" w:color="001E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E55" w:themeColor="accent4"/>
          <w:left w:val="single" w:sz="8" w:space="0" w:color="001E55" w:themeColor="accent4"/>
          <w:bottom w:val="single" w:sz="8" w:space="0" w:color="001E55" w:themeColor="accent4"/>
          <w:right w:val="single" w:sz="8" w:space="0" w:color="001E55" w:themeColor="accent4"/>
        </w:tcBorders>
      </w:tcPr>
    </w:tblStylePr>
    <w:tblStylePr w:type="band1Vert">
      <w:tblPr/>
      <w:tcPr>
        <w:tcBorders>
          <w:top w:val="single" w:sz="8" w:space="0" w:color="001E55" w:themeColor="accent4"/>
          <w:left w:val="single" w:sz="8" w:space="0" w:color="001E55" w:themeColor="accent4"/>
          <w:bottom w:val="single" w:sz="8" w:space="0" w:color="001E55" w:themeColor="accent4"/>
          <w:right w:val="single" w:sz="8" w:space="0" w:color="001E55" w:themeColor="accent4"/>
        </w:tcBorders>
        <w:shd w:val="clear" w:color="auto" w:fill="96BBFF" w:themeFill="accent4" w:themeFillTint="3F"/>
      </w:tcPr>
    </w:tblStylePr>
    <w:tblStylePr w:type="band1Horz">
      <w:tblPr/>
      <w:tcPr>
        <w:tcBorders>
          <w:top w:val="single" w:sz="8" w:space="0" w:color="001E55" w:themeColor="accent4"/>
          <w:left w:val="single" w:sz="8" w:space="0" w:color="001E55" w:themeColor="accent4"/>
          <w:bottom w:val="single" w:sz="8" w:space="0" w:color="001E55" w:themeColor="accent4"/>
          <w:right w:val="single" w:sz="8" w:space="0" w:color="001E55" w:themeColor="accent4"/>
          <w:insideV w:val="single" w:sz="8" w:space="0" w:color="001E55" w:themeColor="accent4"/>
        </w:tcBorders>
        <w:shd w:val="clear" w:color="auto" w:fill="96BBFF" w:themeFill="accent4" w:themeFillTint="3F"/>
      </w:tcPr>
    </w:tblStylePr>
    <w:tblStylePr w:type="band2Horz">
      <w:tblPr/>
      <w:tcPr>
        <w:tcBorders>
          <w:top w:val="single" w:sz="8" w:space="0" w:color="001E55" w:themeColor="accent4"/>
          <w:left w:val="single" w:sz="8" w:space="0" w:color="001E55" w:themeColor="accent4"/>
          <w:bottom w:val="single" w:sz="8" w:space="0" w:color="001E55" w:themeColor="accent4"/>
          <w:right w:val="single" w:sz="8" w:space="0" w:color="001E55" w:themeColor="accent4"/>
          <w:insideV w:val="single" w:sz="8" w:space="0" w:color="001E55" w:themeColor="accent4"/>
        </w:tcBorders>
      </w:tcPr>
    </w:tblStylePr>
  </w:style>
  <w:style w:type="table" w:styleId="LightGrid-Accent5">
    <w:name w:val="Light Grid Accent 5"/>
    <w:basedOn w:val="TableNormal"/>
    <w:uiPriority w:val="62"/>
    <w:semiHidden/>
    <w:unhideWhenUsed/>
    <w:rsid w:val="008E4D10"/>
    <w:tblPr>
      <w:tblStyleRowBandSize w:val="1"/>
      <w:tblStyleColBandSize w:val="1"/>
      <w:tblBorders>
        <w:top w:val="single" w:sz="8" w:space="0" w:color="A5A5A5" w:themeColor="accent5"/>
        <w:left w:val="single" w:sz="8" w:space="0" w:color="A5A5A5" w:themeColor="accent5"/>
        <w:bottom w:val="single" w:sz="8" w:space="0" w:color="A5A5A5" w:themeColor="accent5"/>
        <w:right w:val="single" w:sz="8" w:space="0" w:color="A5A5A5" w:themeColor="accent5"/>
        <w:insideH w:val="single" w:sz="8" w:space="0" w:color="A5A5A5" w:themeColor="accent5"/>
        <w:insideV w:val="single" w:sz="8" w:space="0" w:color="A5A5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5"/>
          <w:left w:val="single" w:sz="8" w:space="0" w:color="A5A5A5" w:themeColor="accent5"/>
          <w:bottom w:val="single" w:sz="18" w:space="0" w:color="A5A5A5" w:themeColor="accent5"/>
          <w:right w:val="single" w:sz="8" w:space="0" w:color="A5A5A5" w:themeColor="accent5"/>
          <w:insideH w:val="nil"/>
          <w:insideV w:val="single" w:sz="8" w:space="0" w:color="A5A5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5"/>
          <w:left w:val="single" w:sz="8" w:space="0" w:color="A5A5A5" w:themeColor="accent5"/>
          <w:bottom w:val="single" w:sz="8" w:space="0" w:color="A5A5A5" w:themeColor="accent5"/>
          <w:right w:val="single" w:sz="8" w:space="0" w:color="A5A5A5" w:themeColor="accent5"/>
          <w:insideH w:val="nil"/>
          <w:insideV w:val="single" w:sz="8" w:space="0" w:color="A5A5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5"/>
          <w:left w:val="single" w:sz="8" w:space="0" w:color="A5A5A5" w:themeColor="accent5"/>
          <w:bottom w:val="single" w:sz="8" w:space="0" w:color="A5A5A5" w:themeColor="accent5"/>
          <w:right w:val="single" w:sz="8" w:space="0" w:color="A5A5A5" w:themeColor="accent5"/>
        </w:tcBorders>
      </w:tcPr>
    </w:tblStylePr>
    <w:tblStylePr w:type="band1Vert">
      <w:tblPr/>
      <w:tcPr>
        <w:tcBorders>
          <w:top w:val="single" w:sz="8" w:space="0" w:color="A5A5A5" w:themeColor="accent5"/>
          <w:left w:val="single" w:sz="8" w:space="0" w:color="A5A5A5" w:themeColor="accent5"/>
          <w:bottom w:val="single" w:sz="8" w:space="0" w:color="A5A5A5" w:themeColor="accent5"/>
          <w:right w:val="single" w:sz="8" w:space="0" w:color="A5A5A5" w:themeColor="accent5"/>
        </w:tcBorders>
        <w:shd w:val="clear" w:color="auto" w:fill="E8E8E8" w:themeFill="accent5" w:themeFillTint="3F"/>
      </w:tcPr>
    </w:tblStylePr>
    <w:tblStylePr w:type="band1Horz">
      <w:tblPr/>
      <w:tcPr>
        <w:tcBorders>
          <w:top w:val="single" w:sz="8" w:space="0" w:color="A5A5A5" w:themeColor="accent5"/>
          <w:left w:val="single" w:sz="8" w:space="0" w:color="A5A5A5" w:themeColor="accent5"/>
          <w:bottom w:val="single" w:sz="8" w:space="0" w:color="A5A5A5" w:themeColor="accent5"/>
          <w:right w:val="single" w:sz="8" w:space="0" w:color="A5A5A5" w:themeColor="accent5"/>
          <w:insideV w:val="single" w:sz="8" w:space="0" w:color="A5A5A5" w:themeColor="accent5"/>
        </w:tcBorders>
        <w:shd w:val="clear" w:color="auto" w:fill="E8E8E8" w:themeFill="accent5" w:themeFillTint="3F"/>
      </w:tcPr>
    </w:tblStylePr>
    <w:tblStylePr w:type="band2Horz">
      <w:tblPr/>
      <w:tcPr>
        <w:tcBorders>
          <w:top w:val="single" w:sz="8" w:space="0" w:color="A5A5A5" w:themeColor="accent5"/>
          <w:left w:val="single" w:sz="8" w:space="0" w:color="A5A5A5" w:themeColor="accent5"/>
          <w:bottom w:val="single" w:sz="8" w:space="0" w:color="A5A5A5" w:themeColor="accent5"/>
          <w:right w:val="single" w:sz="8" w:space="0" w:color="A5A5A5" w:themeColor="accent5"/>
          <w:insideV w:val="single" w:sz="8" w:space="0" w:color="A5A5A5" w:themeColor="accent5"/>
        </w:tcBorders>
      </w:tcPr>
    </w:tblStylePr>
  </w:style>
  <w:style w:type="table" w:styleId="LightGrid-Accent6">
    <w:name w:val="Light Grid Accent 6"/>
    <w:basedOn w:val="TableNormal"/>
    <w:uiPriority w:val="62"/>
    <w:semiHidden/>
    <w:unhideWhenUsed/>
    <w:rsid w:val="008E4D10"/>
    <w:tblPr>
      <w:tblStyleRowBandSize w:val="1"/>
      <w:tblStyleColBandSize w:val="1"/>
      <w:tblBorders>
        <w:top w:val="single" w:sz="8" w:space="0" w:color="C8C8C8" w:themeColor="accent6"/>
        <w:left w:val="single" w:sz="8" w:space="0" w:color="C8C8C8" w:themeColor="accent6"/>
        <w:bottom w:val="single" w:sz="8" w:space="0" w:color="C8C8C8" w:themeColor="accent6"/>
        <w:right w:val="single" w:sz="8" w:space="0" w:color="C8C8C8" w:themeColor="accent6"/>
        <w:insideH w:val="single" w:sz="8" w:space="0" w:color="C8C8C8" w:themeColor="accent6"/>
        <w:insideV w:val="single" w:sz="8" w:space="0" w:color="C8C8C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C8C8" w:themeColor="accent6"/>
          <w:left w:val="single" w:sz="8" w:space="0" w:color="C8C8C8" w:themeColor="accent6"/>
          <w:bottom w:val="single" w:sz="18" w:space="0" w:color="C8C8C8" w:themeColor="accent6"/>
          <w:right w:val="single" w:sz="8" w:space="0" w:color="C8C8C8" w:themeColor="accent6"/>
          <w:insideH w:val="nil"/>
          <w:insideV w:val="single" w:sz="8" w:space="0" w:color="C8C8C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C8C8" w:themeColor="accent6"/>
          <w:left w:val="single" w:sz="8" w:space="0" w:color="C8C8C8" w:themeColor="accent6"/>
          <w:bottom w:val="single" w:sz="8" w:space="0" w:color="C8C8C8" w:themeColor="accent6"/>
          <w:right w:val="single" w:sz="8" w:space="0" w:color="C8C8C8" w:themeColor="accent6"/>
          <w:insideH w:val="nil"/>
          <w:insideV w:val="single" w:sz="8" w:space="0" w:color="C8C8C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C8C8" w:themeColor="accent6"/>
          <w:left w:val="single" w:sz="8" w:space="0" w:color="C8C8C8" w:themeColor="accent6"/>
          <w:bottom w:val="single" w:sz="8" w:space="0" w:color="C8C8C8" w:themeColor="accent6"/>
          <w:right w:val="single" w:sz="8" w:space="0" w:color="C8C8C8" w:themeColor="accent6"/>
        </w:tcBorders>
      </w:tcPr>
    </w:tblStylePr>
    <w:tblStylePr w:type="band1Vert">
      <w:tblPr/>
      <w:tcPr>
        <w:tcBorders>
          <w:top w:val="single" w:sz="8" w:space="0" w:color="C8C8C8" w:themeColor="accent6"/>
          <w:left w:val="single" w:sz="8" w:space="0" w:color="C8C8C8" w:themeColor="accent6"/>
          <w:bottom w:val="single" w:sz="8" w:space="0" w:color="C8C8C8" w:themeColor="accent6"/>
          <w:right w:val="single" w:sz="8" w:space="0" w:color="C8C8C8" w:themeColor="accent6"/>
        </w:tcBorders>
        <w:shd w:val="clear" w:color="auto" w:fill="F1F1F1" w:themeFill="accent6" w:themeFillTint="3F"/>
      </w:tcPr>
    </w:tblStylePr>
    <w:tblStylePr w:type="band1Horz">
      <w:tblPr/>
      <w:tcPr>
        <w:tcBorders>
          <w:top w:val="single" w:sz="8" w:space="0" w:color="C8C8C8" w:themeColor="accent6"/>
          <w:left w:val="single" w:sz="8" w:space="0" w:color="C8C8C8" w:themeColor="accent6"/>
          <w:bottom w:val="single" w:sz="8" w:space="0" w:color="C8C8C8" w:themeColor="accent6"/>
          <w:right w:val="single" w:sz="8" w:space="0" w:color="C8C8C8" w:themeColor="accent6"/>
          <w:insideV w:val="single" w:sz="8" w:space="0" w:color="C8C8C8" w:themeColor="accent6"/>
        </w:tcBorders>
        <w:shd w:val="clear" w:color="auto" w:fill="F1F1F1" w:themeFill="accent6" w:themeFillTint="3F"/>
      </w:tcPr>
    </w:tblStylePr>
    <w:tblStylePr w:type="band2Horz">
      <w:tblPr/>
      <w:tcPr>
        <w:tcBorders>
          <w:top w:val="single" w:sz="8" w:space="0" w:color="C8C8C8" w:themeColor="accent6"/>
          <w:left w:val="single" w:sz="8" w:space="0" w:color="C8C8C8" w:themeColor="accent6"/>
          <w:bottom w:val="single" w:sz="8" w:space="0" w:color="C8C8C8" w:themeColor="accent6"/>
          <w:right w:val="single" w:sz="8" w:space="0" w:color="C8C8C8" w:themeColor="accent6"/>
          <w:insideV w:val="single" w:sz="8" w:space="0" w:color="C8C8C8" w:themeColor="accent6"/>
        </w:tcBorders>
      </w:tcPr>
    </w:tblStylePr>
  </w:style>
  <w:style w:type="table" w:styleId="LightList">
    <w:name w:val="Light List"/>
    <w:basedOn w:val="TableNormal"/>
    <w:uiPriority w:val="61"/>
    <w:semiHidden/>
    <w:unhideWhenUsed/>
    <w:rsid w:val="008E4D1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E4D10"/>
    <w:tblPr>
      <w:tblStyleRowBandSize w:val="1"/>
      <w:tblStyleColBandSize w:val="1"/>
      <w:tblBorders>
        <w:top w:val="single" w:sz="8" w:space="0" w:color="231EDC" w:themeColor="accent1"/>
        <w:left w:val="single" w:sz="8" w:space="0" w:color="231EDC" w:themeColor="accent1"/>
        <w:bottom w:val="single" w:sz="8" w:space="0" w:color="231EDC" w:themeColor="accent1"/>
        <w:right w:val="single" w:sz="8" w:space="0" w:color="231EDC" w:themeColor="accent1"/>
      </w:tblBorders>
    </w:tblPr>
    <w:tblStylePr w:type="firstRow">
      <w:pPr>
        <w:spacing w:before="0" w:after="0" w:line="240" w:lineRule="auto"/>
      </w:pPr>
      <w:rPr>
        <w:b/>
        <w:bCs/>
        <w:color w:val="FFFFFF" w:themeColor="background1"/>
      </w:rPr>
      <w:tblPr/>
      <w:tcPr>
        <w:shd w:val="clear" w:color="auto" w:fill="231EDC" w:themeFill="accent1"/>
      </w:tcPr>
    </w:tblStylePr>
    <w:tblStylePr w:type="lastRow">
      <w:pPr>
        <w:spacing w:before="0" w:after="0" w:line="240" w:lineRule="auto"/>
      </w:pPr>
      <w:rPr>
        <w:b/>
        <w:bCs/>
      </w:rPr>
      <w:tblPr/>
      <w:tcPr>
        <w:tcBorders>
          <w:top w:val="double" w:sz="6" w:space="0" w:color="231EDC" w:themeColor="accent1"/>
          <w:left w:val="single" w:sz="8" w:space="0" w:color="231EDC" w:themeColor="accent1"/>
          <w:bottom w:val="single" w:sz="8" w:space="0" w:color="231EDC" w:themeColor="accent1"/>
          <w:right w:val="single" w:sz="8" w:space="0" w:color="231EDC" w:themeColor="accent1"/>
        </w:tcBorders>
      </w:tcPr>
    </w:tblStylePr>
    <w:tblStylePr w:type="firstCol">
      <w:rPr>
        <w:b/>
        <w:bCs/>
      </w:rPr>
    </w:tblStylePr>
    <w:tblStylePr w:type="lastCol">
      <w:rPr>
        <w:b/>
        <w:bCs/>
      </w:rPr>
    </w:tblStylePr>
    <w:tblStylePr w:type="band1Vert">
      <w:tblPr/>
      <w:tcPr>
        <w:tcBorders>
          <w:top w:val="single" w:sz="8" w:space="0" w:color="231EDC" w:themeColor="accent1"/>
          <w:left w:val="single" w:sz="8" w:space="0" w:color="231EDC" w:themeColor="accent1"/>
          <w:bottom w:val="single" w:sz="8" w:space="0" w:color="231EDC" w:themeColor="accent1"/>
          <w:right w:val="single" w:sz="8" w:space="0" w:color="231EDC" w:themeColor="accent1"/>
        </w:tcBorders>
      </w:tcPr>
    </w:tblStylePr>
    <w:tblStylePr w:type="band1Horz">
      <w:tblPr/>
      <w:tcPr>
        <w:tcBorders>
          <w:top w:val="single" w:sz="8" w:space="0" w:color="231EDC" w:themeColor="accent1"/>
          <w:left w:val="single" w:sz="8" w:space="0" w:color="231EDC" w:themeColor="accent1"/>
          <w:bottom w:val="single" w:sz="8" w:space="0" w:color="231EDC" w:themeColor="accent1"/>
          <w:right w:val="single" w:sz="8" w:space="0" w:color="231EDC" w:themeColor="accent1"/>
        </w:tcBorders>
      </w:tcPr>
    </w:tblStylePr>
  </w:style>
  <w:style w:type="table" w:styleId="LightList-Accent2">
    <w:name w:val="Light List Accent 2"/>
    <w:basedOn w:val="TableNormal"/>
    <w:uiPriority w:val="61"/>
    <w:semiHidden/>
    <w:unhideWhenUsed/>
    <w:rsid w:val="008E4D10"/>
    <w:tblPr>
      <w:tblStyleRowBandSize w:val="1"/>
      <w:tblStyleColBandSize w:val="1"/>
      <w:tblBorders>
        <w:top w:val="single" w:sz="8" w:space="0" w:color="0A7DFF" w:themeColor="accent2"/>
        <w:left w:val="single" w:sz="8" w:space="0" w:color="0A7DFF" w:themeColor="accent2"/>
        <w:bottom w:val="single" w:sz="8" w:space="0" w:color="0A7DFF" w:themeColor="accent2"/>
        <w:right w:val="single" w:sz="8" w:space="0" w:color="0A7DFF" w:themeColor="accent2"/>
      </w:tblBorders>
    </w:tblPr>
    <w:tblStylePr w:type="firstRow">
      <w:pPr>
        <w:spacing w:before="0" w:after="0" w:line="240" w:lineRule="auto"/>
      </w:pPr>
      <w:rPr>
        <w:b/>
        <w:bCs/>
        <w:color w:val="FFFFFF" w:themeColor="background1"/>
      </w:rPr>
      <w:tblPr/>
      <w:tcPr>
        <w:shd w:val="clear" w:color="auto" w:fill="0A7DFF" w:themeFill="accent2"/>
      </w:tcPr>
    </w:tblStylePr>
    <w:tblStylePr w:type="lastRow">
      <w:pPr>
        <w:spacing w:before="0" w:after="0" w:line="240" w:lineRule="auto"/>
      </w:pPr>
      <w:rPr>
        <w:b/>
        <w:bCs/>
      </w:rPr>
      <w:tblPr/>
      <w:tcPr>
        <w:tcBorders>
          <w:top w:val="double" w:sz="6" w:space="0" w:color="0A7DFF" w:themeColor="accent2"/>
          <w:left w:val="single" w:sz="8" w:space="0" w:color="0A7DFF" w:themeColor="accent2"/>
          <w:bottom w:val="single" w:sz="8" w:space="0" w:color="0A7DFF" w:themeColor="accent2"/>
          <w:right w:val="single" w:sz="8" w:space="0" w:color="0A7DFF" w:themeColor="accent2"/>
        </w:tcBorders>
      </w:tcPr>
    </w:tblStylePr>
    <w:tblStylePr w:type="firstCol">
      <w:rPr>
        <w:b/>
        <w:bCs/>
      </w:rPr>
    </w:tblStylePr>
    <w:tblStylePr w:type="lastCol">
      <w:rPr>
        <w:b/>
        <w:bCs/>
      </w:rPr>
    </w:tblStylePr>
    <w:tblStylePr w:type="band1Vert">
      <w:tblPr/>
      <w:tcPr>
        <w:tcBorders>
          <w:top w:val="single" w:sz="8" w:space="0" w:color="0A7DFF" w:themeColor="accent2"/>
          <w:left w:val="single" w:sz="8" w:space="0" w:color="0A7DFF" w:themeColor="accent2"/>
          <w:bottom w:val="single" w:sz="8" w:space="0" w:color="0A7DFF" w:themeColor="accent2"/>
          <w:right w:val="single" w:sz="8" w:space="0" w:color="0A7DFF" w:themeColor="accent2"/>
        </w:tcBorders>
      </w:tcPr>
    </w:tblStylePr>
    <w:tblStylePr w:type="band1Horz">
      <w:tblPr/>
      <w:tcPr>
        <w:tcBorders>
          <w:top w:val="single" w:sz="8" w:space="0" w:color="0A7DFF" w:themeColor="accent2"/>
          <w:left w:val="single" w:sz="8" w:space="0" w:color="0A7DFF" w:themeColor="accent2"/>
          <w:bottom w:val="single" w:sz="8" w:space="0" w:color="0A7DFF" w:themeColor="accent2"/>
          <w:right w:val="single" w:sz="8" w:space="0" w:color="0A7DFF" w:themeColor="accent2"/>
        </w:tcBorders>
      </w:tcPr>
    </w:tblStylePr>
  </w:style>
  <w:style w:type="table" w:styleId="LightList-Accent3">
    <w:name w:val="Light List Accent 3"/>
    <w:basedOn w:val="TableNormal"/>
    <w:uiPriority w:val="61"/>
    <w:semiHidden/>
    <w:unhideWhenUsed/>
    <w:rsid w:val="008E4D10"/>
    <w:tblPr>
      <w:tblStyleRowBandSize w:val="1"/>
      <w:tblStyleColBandSize w:val="1"/>
      <w:tblBorders>
        <w:top w:val="single" w:sz="8" w:space="0" w:color="5AE6FF" w:themeColor="accent3"/>
        <w:left w:val="single" w:sz="8" w:space="0" w:color="5AE6FF" w:themeColor="accent3"/>
        <w:bottom w:val="single" w:sz="8" w:space="0" w:color="5AE6FF" w:themeColor="accent3"/>
        <w:right w:val="single" w:sz="8" w:space="0" w:color="5AE6FF" w:themeColor="accent3"/>
      </w:tblBorders>
    </w:tblPr>
    <w:tblStylePr w:type="firstRow">
      <w:pPr>
        <w:spacing w:before="0" w:after="0" w:line="240" w:lineRule="auto"/>
      </w:pPr>
      <w:rPr>
        <w:b/>
        <w:bCs/>
        <w:color w:val="FFFFFF" w:themeColor="background1"/>
      </w:rPr>
      <w:tblPr/>
      <w:tcPr>
        <w:shd w:val="clear" w:color="auto" w:fill="5AE6FF" w:themeFill="accent3"/>
      </w:tcPr>
    </w:tblStylePr>
    <w:tblStylePr w:type="lastRow">
      <w:pPr>
        <w:spacing w:before="0" w:after="0" w:line="240" w:lineRule="auto"/>
      </w:pPr>
      <w:rPr>
        <w:b/>
        <w:bCs/>
      </w:rPr>
      <w:tblPr/>
      <w:tcPr>
        <w:tcBorders>
          <w:top w:val="double" w:sz="6" w:space="0" w:color="5AE6FF" w:themeColor="accent3"/>
          <w:left w:val="single" w:sz="8" w:space="0" w:color="5AE6FF" w:themeColor="accent3"/>
          <w:bottom w:val="single" w:sz="8" w:space="0" w:color="5AE6FF" w:themeColor="accent3"/>
          <w:right w:val="single" w:sz="8" w:space="0" w:color="5AE6FF" w:themeColor="accent3"/>
        </w:tcBorders>
      </w:tcPr>
    </w:tblStylePr>
    <w:tblStylePr w:type="firstCol">
      <w:rPr>
        <w:b/>
        <w:bCs/>
      </w:rPr>
    </w:tblStylePr>
    <w:tblStylePr w:type="lastCol">
      <w:rPr>
        <w:b/>
        <w:bCs/>
      </w:rPr>
    </w:tblStylePr>
    <w:tblStylePr w:type="band1Vert">
      <w:tblPr/>
      <w:tcPr>
        <w:tcBorders>
          <w:top w:val="single" w:sz="8" w:space="0" w:color="5AE6FF" w:themeColor="accent3"/>
          <w:left w:val="single" w:sz="8" w:space="0" w:color="5AE6FF" w:themeColor="accent3"/>
          <w:bottom w:val="single" w:sz="8" w:space="0" w:color="5AE6FF" w:themeColor="accent3"/>
          <w:right w:val="single" w:sz="8" w:space="0" w:color="5AE6FF" w:themeColor="accent3"/>
        </w:tcBorders>
      </w:tcPr>
    </w:tblStylePr>
    <w:tblStylePr w:type="band1Horz">
      <w:tblPr/>
      <w:tcPr>
        <w:tcBorders>
          <w:top w:val="single" w:sz="8" w:space="0" w:color="5AE6FF" w:themeColor="accent3"/>
          <w:left w:val="single" w:sz="8" w:space="0" w:color="5AE6FF" w:themeColor="accent3"/>
          <w:bottom w:val="single" w:sz="8" w:space="0" w:color="5AE6FF" w:themeColor="accent3"/>
          <w:right w:val="single" w:sz="8" w:space="0" w:color="5AE6FF" w:themeColor="accent3"/>
        </w:tcBorders>
      </w:tcPr>
    </w:tblStylePr>
  </w:style>
  <w:style w:type="table" w:styleId="LightList-Accent4">
    <w:name w:val="Light List Accent 4"/>
    <w:basedOn w:val="TableNormal"/>
    <w:uiPriority w:val="61"/>
    <w:semiHidden/>
    <w:unhideWhenUsed/>
    <w:rsid w:val="008E4D10"/>
    <w:tblPr>
      <w:tblStyleRowBandSize w:val="1"/>
      <w:tblStyleColBandSize w:val="1"/>
      <w:tblBorders>
        <w:top w:val="single" w:sz="8" w:space="0" w:color="001E55" w:themeColor="accent4"/>
        <w:left w:val="single" w:sz="8" w:space="0" w:color="001E55" w:themeColor="accent4"/>
        <w:bottom w:val="single" w:sz="8" w:space="0" w:color="001E55" w:themeColor="accent4"/>
        <w:right w:val="single" w:sz="8" w:space="0" w:color="001E55" w:themeColor="accent4"/>
      </w:tblBorders>
    </w:tblPr>
    <w:tblStylePr w:type="firstRow">
      <w:pPr>
        <w:spacing w:before="0" w:after="0" w:line="240" w:lineRule="auto"/>
      </w:pPr>
      <w:rPr>
        <w:b/>
        <w:bCs/>
        <w:color w:val="FFFFFF" w:themeColor="background1"/>
      </w:rPr>
      <w:tblPr/>
      <w:tcPr>
        <w:shd w:val="clear" w:color="auto" w:fill="001E55" w:themeFill="accent4"/>
      </w:tcPr>
    </w:tblStylePr>
    <w:tblStylePr w:type="lastRow">
      <w:pPr>
        <w:spacing w:before="0" w:after="0" w:line="240" w:lineRule="auto"/>
      </w:pPr>
      <w:rPr>
        <w:b/>
        <w:bCs/>
      </w:rPr>
      <w:tblPr/>
      <w:tcPr>
        <w:tcBorders>
          <w:top w:val="double" w:sz="6" w:space="0" w:color="001E55" w:themeColor="accent4"/>
          <w:left w:val="single" w:sz="8" w:space="0" w:color="001E55" w:themeColor="accent4"/>
          <w:bottom w:val="single" w:sz="8" w:space="0" w:color="001E55" w:themeColor="accent4"/>
          <w:right w:val="single" w:sz="8" w:space="0" w:color="001E55" w:themeColor="accent4"/>
        </w:tcBorders>
      </w:tcPr>
    </w:tblStylePr>
    <w:tblStylePr w:type="firstCol">
      <w:rPr>
        <w:b/>
        <w:bCs/>
      </w:rPr>
    </w:tblStylePr>
    <w:tblStylePr w:type="lastCol">
      <w:rPr>
        <w:b/>
        <w:bCs/>
      </w:rPr>
    </w:tblStylePr>
    <w:tblStylePr w:type="band1Vert">
      <w:tblPr/>
      <w:tcPr>
        <w:tcBorders>
          <w:top w:val="single" w:sz="8" w:space="0" w:color="001E55" w:themeColor="accent4"/>
          <w:left w:val="single" w:sz="8" w:space="0" w:color="001E55" w:themeColor="accent4"/>
          <w:bottom w:val="single" w:sz="8" w:space="0" w:color="001E55" w:themeColor="accent4"/>
          <w:right w:val="single" w:sz="8" w:space="0" w:color="001E55" w:themeColor="accent4"/>
        </w:tcBorders>
      </w:tcPr>
    </w:tblStylePr>
    <w:tblStylePr w:type="band1Horz">
      <w:tblPr/>
      <w:tcPr>
        <w:tcBorders>
          <w:top w:val="single" w:sz="8" w:space="0" w:color="001E55" w:themeColor="accent4"/>
          <w:left w:val="single" w:sz="8" w:space="0" w:color="001E55" w:themeColor="accent4"/>
          <w:bottom w:val="single" w:sz="8" w:space="0" w:color="001E55" w:themeColor="accent4"/>
          <w:right w:val="single" w:sz="8" w:space="0" w:color="001E55" w:themeColor="accent4"/>
        </w:tcBorders>
      </w:tcPr>
    </w:tblStylePr>
  </w:style>
  <w:style w:type="table" w:styleId="LightList-Accent5">
    <w:name w:val="Light List Accent 5"/>
    <w:basedOn w:val="TableNormal"/>
    <w:uiPriority w:val="61"/>
    <w:semiHidden/>
    <w:unhideWhenUsed/>
    <w:rsid w:val="008E4D10"/>
    <w:tblPr>
      <w:tblStyleRowBandSize w:val="1"/>
      <w:tblStyleColBandSize w:val="1"/>
      <w:tblBorders>
        <w:top w:val="single" w:sz="8" w:space="0" w:color="A5A5A5" w:themeColor="accent5"/>
        <w:left w:val="single" w:sz="8" w:space="0" w:color="A5A5A5" w:themeColor="accent5"/>
        <w:bottom w:val="single" w:sz="8" w:space="0" w:color="A5A5A5" w:themeColor="accent5"/>
        <w:right w:val="single" w:sz="8" w:space="0" w:color="A5A5A5" w:themeColor="accent5"/>
      </w:tblBorders>
    </w:tblPr>
    <w:tblStylePr w:type="firstRow">
      <w:pPr>
        <w:spacing w:before="0" w:after="0" w:line="240" w:lineRule="auto"/>
      </w:pPr>
      <w:rPr>
        <w:b/>
        <w:bCs/>
        <w:color w:val="FFFFFF" w:themeColor="background1"/>
      </w:rPr>
      <w:tblPr/>
      <w:tcPr>
        <w:shd w:val="clear" w:color="auto" w:fill="A5A5A5" w:themeFill="accent5"/>
      </w:tcPr>
    </w:tblStylePr>
    <w:tblStylePr w:type="lastRow">
      <w:pPr>
        <w:spacing w:before="0" w:after="0" w:line="240" w:lineRule="auto"/>
      </w:pPr>
      <w:rPr>
        <w:b/>
        <w:bCs/>
      </w:rPr>
      <w:tblPr/>
      <w:tcPr>
        <w:tcBorders>
          <w:top w:val="double" w:sz="6" w:space="0" w:color="A5A5A5" w:themeColor="accent5"/>
          <w:left w:val="single" w:sz="8" w:space="0" w:color="A5A5A5" w:themeColor="accent5"/>
          <w:bottom w:val="single" w:sz="8" w:space="0" w:color="A5A5A5" w:themeColor="accent5"/>
          <w:right w:val="single" w:sz="8" w:space="0" w:color="A5A5A5" w:themeColor="accent5"/>
        </w:tcBorders>
      </w:tcPr>
    </w:tblStylePr>
    <w:tblStylePr w:type="firstCol">
      <w:rPr>
        <w:b/>
        <w:bCs/>
      </w:rPr>
    </w:tblStylePr>
    <w:tblStylePr w:type="lastCol">
      <w:rPr>
        <w:b/>
        <w:bCs/>
      </w:rPr>
    </w:tblStylePr>
    <w:tblStylePr w:type="band1Vert">
      <w:tblPr/>
      <w:tcPr>
        <w:tcBorders>
          <w:top w:val="single" w:sz="8" w:space="0" w:color="A5A5A5" w:themeColor="accent5"/>
          <w:left w:val="single" w:sz="8" w:space="0" w:color="A5A5A5" w:themeColor="accent5"/>
          <w:bottom w:val="single" w:sz="8" w:space="0" w:color="A5A5A5" w:themeColor="accent5"/>
          <w:right w:val="single" w:sz="8" w:space="0" w:color="A5A5A5" w:themeColor="accent5"/>
        </w:tcBorders>
      </w:tcPr>
    </w:tblStylePr>
    <w:tblStylePr w:type="band1Horz">
      <w:tblPr/>
      <w:tcPr>
        <w:tcBorders>
          <w:top w:val="single" w:sz="8" w:space="0" w:color="A5A5A5" w:themeColor="accent5"/>
          <w:left w:val="single" w:sz="8" w:space="0" w:color="A5A5A5" w:themeColor="accent5"/>
          <w:bottom w:val="single" w:sz="8" w:space="0" w:color="A5A5A5" w:themeColor="accent5"/>
          <w:right w:val="single" w:sz="8" w:space="0" w:color="A5A5A5" w:themeColor="accent5"/>
        </w:tcBorders>
      </w:tcPr>
    </w:tblStylePr>
  </w:style>
  <w:style w:type="table" w:styleId="LightList-Accent6">
    <w:name w:val="Light List Accent 6"/>
    <w:basedOn w:val="TableNormal"/>
    <w:uiPriority w:val="61"/>
    <w:semiHidden/>
    <w:unhideWhenUsed/>
    <w:rsid w:val="008E4D10"/>
    <w:tblPr>
      <w:tblStyleRowBandSize w:val="1"/>
      <w:tblStyleColBandSize w:val="1"/>
      <w:tblBorders>
        <w:top w:val="single" w:sz="8" w:space="0" w:color="C8C8C8" w:themeColor="accent6"/>
        <w:left w:val="single" w:sz="8" w:space="0" w:color="C8C8C8" w:themeColor="accent6"/>
        <w:bottom w:val="single" w:sz="8" w:space="0" w:color="C8C8C8" w:themeColor="accent6"/>
        <w:right w:val="single" w:sz="8" w:space="0" w:color="C8C8C8" w:themeColor="accent6"/>
      </w:tblBorders>
    </w:tblPr>
    <w:tblStylePr w:type="firstRow">
      <w:pPr>
        <w:spacing w:before="0" w:after="0" w:line="240" w:lineRule="auto"/>
      </w:pPr>
      <w:rPr>
        <w:b/>
        <w:bCs/>
        <w:color w:val="FFFFFF" w:themeColor="background1"/>
      </w:rPr>
      <w:tblPr/>
      <w:tcPr>
        <w:shd w:val="clear" w:color="auto" w:fill="C8C8C8" w:themeFill="accent6"/>
      </w:tcPr>
    </w:tblStylePr>
    <w:tblStylePr w:type="lastRow">
      <w:pPr>
        <w:spacing w:before="0" w:after="0" w:line="240" w:lineRule="auto"/>
      </w:pPr>
      <w:rPr>
        <w:b/>
        <w:bCs/>
      </w:rPr>
      <w:tblPr/>
      <w:tcPr>
        <w:tcBorders>
          <w:top w:val="double" w:sz="6" w:space="0" w:color="C8C8C8" w:themeColor="accent6"/>
          <w:left w:val="single" w:sz="8" w:space="0" w:color="C8C8C8" w:themeColor="accent6"/>
          <w:bottom w:val="single" w:sz="8" w:space="0" w:color="C8C8C8" w:themeColor="accent6"/>
          <w:right w:val="single" w:sz="8" w:space="0" w:color="C8C8C8" w:themeColor="accent6"/>
        </w:tcBorders>
      </w:tcPr>
    </w:tblStylePr>
    <w:tblStylePr w:type="firstCol">
      <w:rPr>
        <w:b/>
        <w:bCs/>
      </w:rPr>
    </w:tblStylePr>
    <w:tblStylePr w:type="lastCol">
      <w:rPr>
        <w:b/>
        <w:bCs/>
      </w:rPr>
    </w:tblStylePr>
    <w:tblStylePr w:type="band1Vert">
      <w:tblPr/>
      <w:tcPr>
        <w:tcBorders>
          <w:top w:val="single" w:sz="8" w:space="0" w:color="C8C8C8" w:themeColor="accent6"/>
          <w:left w:val="single" w:sz="8" w:space="0" w:color="C8C8C8" w:themeColor="accent6"/>
          <w:bottom w:val="single" w:sz="8" w:space="0" w:color="C8C8C8" w:themeColor="accent6"/>
          <w:right w:val="single" w:sz="8" w:space="0" w:color="C8C8C8" w:themeColor="accent6"/>
        </w:tcBorders>
      </w:tcPr>
    </w:tblStylePr>
    <w:tblStylePr w:type="band1Horz">
      <w:tblPr/>
      <w:tcPr>
        <w:tcBorders>
          <w:top w:val="single" w:sz="8" w:space="0" w:color="C8C8C8" w:themeColor="accent6"/>
          <w:left w:val="single" w:sz="8" w:space="0" w:color="C8C8C8" w:themeColor="accent6"/>
          <w:bottom w:val="single" w:sz="8" w:space="0" w:color="C8C8C8" w:themeColor="accent6"/>
          <w:right w:val="single" w:sz="8" w:space="0" w:color="C8C8C8" w:themeColor="accent6"/>
        </w:tcBorders>
      </w:tcPr>
    </w:tblStylePr>
  </w:style>
  <w:style w:type="table" w:styleId="LightShading">
    <w:name w:val="Light Shading"/>
    <w:basedOn w:val="TableNormal"/>
    <w:uiPriority w:val="60"/>
    <w:semiHidden/>
    <w:unhideWhenUsed/>
    <w:rsid w:val="008E4D1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E4D10"/>
    <w:rPr>
      <w:color w:val="1916A4" w:themeColor="accent1" w:themeShade="BF"/>
    </w:rPr>
    <w:tblPr>
      <w:tblStyleRowBandSize w:val="1"/>
      <w:tblStyleColBandSize w:val="1"/>
      <w:tblBorders>
        <w:top w:val="single" w:sz="8" w:space="0" w:color="231EDC" w:themeColor="accent1"/>
        <w:bottom w:val="single" w:sz="8" w:space="0" w:color="231EDC" w:themeColor="accent1"/>
      </w:tblBorders>
    </w:tblPr>
    <w:tblStylePr w:type="firstRow">
      <w:pPr>
        <w:spacing w:before="0" w:after="0" w:line="240" w:lineRule="auto"/>
      </w:pPr>
      <w:rPr>
        <w:b/>
        <w:bCs/>
      </w:rPr>
      <w:tblPr/>
      <w:tcPr>
        <w:tcBorders>
          <w:top w:val="single" w:sz="8" w:space="0" w:color="231EDC" w:themeColor="accent1"/>
          <w:left w:val="nil"/>
          <w:bottom w:val="single" w:sz="8" w:space="0" w:color="231EDC" w:themeColor="accent1"/>
          <w:right w:val="nil"/>
          <w:insideH w:val="nil"/>
          <w:insideV w:val="nil"/>
        </w:tcBorders>
      </w:tcPr>
    </w:tblStylePr>
    <w:tblStylePr w:type="lastRow">
      <w:pPr>
        <w:spacing w:before="0" w:after="0" w:line="240" w:lineRule="auto"/>
      </w:pPr>
      <w:rPr>
        <w:b/>
        <w:bCs/>
      </w:rPr>
      <w:tblPr/>
      <w:tcPr>
        <w:tcBorders>
          <w:top w:val="single" w:sz="8" w:space="0" w:color="231EDC" w:themeColor="accent1"/>
          <w:left w:val="nil"/>
          <w:bottom w:val="single" w:sz="8" w:space="0" w:color="231ED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C6F7" w:themeFill="accent1" w:themeFillTint="3F"/>
      </w:tcPr>
    </w:tblStylePr>
    <w:tblStylePr w:type="band1Horz">
      <w:tblPr/>
      <w:tcPr>
        <w:tcBorders>
          <w:left w:val="nil"/>
          <w:right w:val="nil"/>
          <w:insideH w:val="nil"/>
          <w:insideV w:val="nil"/>
        </w:tcBorders>
        <w:shd w:val="clear" w:color="auto" w:fill="C7C6F7" w:themeFill="accent1" w:themeFillTint="3F"/>
      </w:tcPr>
    </w:tblStylePr>
  </w:style>
  <w:style w:type="table" w:styleId="LightShading-Accent2">
    <w:name w:val="Light Shading Accent 2"/>
    <w:basedOn w:val="TableNormal"/>
    <w:uiPriority w:val="60"/>
    <w:semiHidden/>
    <w:unhideWhenUsed/>
    <w:rsid w:val="008E4D10"/>
    <w:rPr>
      <w:color w:val="005CC6" w:themeColor="accent2" w:themeShade="BF"/>
    </w:rPr>
    <w:tblPr>
      <w:tblStyleRowBandSize w:val="1"/>
      <w:tblStyleColBandSize w:val="1"/>
      <w:tblBorders>
        <w:top w:val="single" w:sz="8" w:space="0" w:color="0A7DFF" w:themeColor="accent2"/>
        <w:bottom w:val="single" w:sz="8" w:space="0" w:color="0A7DFF" w:themeColor="accent2"/>
      </w:tblBorders>
    </w:tblPr>
    <w:tblStylePr w:type="firstRow">
      <w:pPr>
        <w:spacing w:before="0" w:after="0" w:line="240" w:lineRule="auto"/>
      </w:pPr>
      <w:rPr>
        <w:b/>
        <w:bCs/>
      </w:rPr>
      <w:tblPr/>
      <w:tcPr>
        <w:tcBorders>
          <w:top w:val="single" w:sz="8" w:space="0" w:color="0A7DFF" w:themeColor="accent2"/>
          <w:left w:val="nil"/>
          <w:bottom w:val="single" w:sz="8" w:space="0" w:color="0A7DFF" w:themeColor="accent2"/>
          <w:right w:val="nil"/>
          <w:insideH w:val="nil"/>
          <w:insideV w:val="nil"/>
        </w:tcBorders>
      </w:tcPr>
    </w:tblStylePr>
    <w:tblStylePr w:type="lastRow">
      <w:pPr>
        <w:spacing w:before="0" w:after="0" w:line="240" w:lineRule="auto"/>
      </w:pPr>
      <w:rPr>
        <w:b/>
        <w:bCs/>
      </w:rPr>
      <w:tblPr/>
      <w:tcPr>
        <w:tcBorders>
          <w:top w:val="single" w:sz="8" w:space="0" w:color="0A7DFF" w:themeColor="accent2"/>
          <w:left w:val="nil"/>
          <w:bottom w:val="single" w:sz="8" w:space="0" w:color="0A7DF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EFF" w:themeFill="accent2" w:themeFillTint="3F"/>
      </w:tcPr>
    </w:tblStylePr>
    <w:tblStylePr w:type="band1Horz">
      <w:tblPr/>
      <w:tcPr>
        <w:tcBorders>
          <w:left w:val="nil"/>
          <w:right w:val="nil"/>
          <w:insideH w:val="nil"/>
          <w:insideV w:val="nil"/>
        </w:tcBorders>
        <w:shd w:val="clear" w:color="auto" w:fill="C2DEFF" w:themeFill="accent2" w:themeFillTint="3F"/>
      </w:tcPr>
    </w:tblStylePr>
  </w:style>
  <w:style w:type="table" w:styleId="LightShading-Accent3">
    <w:name w:val="Light Shading Accent 3"/>
    <w:basedOn w:val="TableNormal"/>
    <w:uiPriority w:val="60"/>
    <w:semiHidden/>
    <w:unhideWhenUsed/>
    <w:rsid w:val="008E4D10"/>
    <w:rPr>
      <w:color w:val="03D8FF" w:themeColor="accent3" w:themeShade="BF"/>
    </w:rPr>
    <w:tblPr>
      <w:tblStyleRowBandSize w:val="1"/>
      <w:tblStyleColBandSize w:val="1"/>
      <w:tblBorders>
        <w:top w:val="single" w:sz="8" w:space="0" w:color="5AE6FF" w:themeColor="accent3"/>
        <w:bottom w:val="single" w:sz="8" w:space="0" w:color="5AE6FF" w:themeColor="accent3"/>
      </w:tblBorders>
    </w:tblPr>
    <w:tblStylePr w:type="firstRow">
      <w:pPr>
        <w:spacing w:before="0" w:after="0" w:line="240" w:lineRule="auto"/>
      </w:pPr>
      <w:rPr>
        <w:b/>
        <w:bCs/>
      </w:rPr>
      <w:tblPr/>
      <w:tcPr>
        <w:tcBorders>
          <w:top w:val="single" w:sz="8" w:space="0" w:color="5AE6FF" w:themeColor="accent3"/>
          <w:left w:val="nil"/>
          <w:bottom w:val="single" w:sz="8" w:space="0" w:color="5AE6FF" w:themeColor="accent3"/>
          <w:right w:val="nil"/>
          <w:insideH w:val="nil"/>
          <w:insideV w:val="nil"/>
        </w:tcBorders>
      </w:tcPr>
    </w:tblStylePr>
    <w:tblStylePr w:type="lastRow">
      <w:pPr>
        <w:spacing w:before="0" w:after="0" w:line="240" w:lineRule="auto"/>
      </w:pPr>
      <w:rPr>
        <w:b/>
        <w:bCs/>
      </w:rPr>
      <w:tblPr/>
      <w:tcPr>
        <w:tcBorders>
          <w:top w:val="single" w:sz="8" w:space="0" w:color="5AE6FF" w:themeColor="accent3"/>
          <w:left w:val="nil"/>
          <w:bottom w:val="single" w:sz="8" w:space="0" w:color="5AE6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8FF" w:themeFill="accent3" w:themeFillTint="3F"/>
      </w:tcPr>
    </w:tblStylePr>
    <w:tblStylePr w:type="band1Horz">
      <w:tblPr/>
      <w:tcPr>
        <w:tcBorders>
          <w:left w:val="nil"/>
          <w:right w:val="nil"/>
          <w:insideH w:val="nil"/>
          <w:insideV w:val="nil"/>
        </w:tcBorders>
        <w:shd w:val="clear" w:color="auto" w:fill="D6F8FF" w:themeFill="accent3" w:themeFillTint="3F"/>
      </w:tcPr>
    </w:tblStylePr>
  </w:style>
  <w:style w:type="table" w:styleId="LightShading-Accent4">
    <w:name w:val="Light Shading Accent 4"/>
    <w:basedOn w:val="TableNormal"/>
    <w:uiPriority w:val="60"/>
    <w:semiHidden/>
    <w:unhideWhenUsed/>
    <w:rsid w:val="008E4D10"/>
    <w:rPr>
      <w:color w:val="00163F" w:themeColor="accent4" w:themeShade="BF"/>
    </w:rPr>
    <w:tblPr>
      <w:tblStyleRowBandSize w:val="1"/>
      <w:tblStyleColBandSize w:val="1"/>
      <w:tblBorders>
        <w:top w:val="single" w:sz="8" w:space="0" w:color="001E55" w:themeColor="accent4"/>
        <w:bottom w:val="single" w:sz="8" w:space="0" w:color="001E55" w:themeColor="accent4"/>
      </w:tblBorders>
    </w:tblPr>
    <w:tblStylePr w:type="firstRow">
      <w:pPr>
        <w:spacing w:before="0" w:after="0" w:line="240" w:lineRule="auto"/>
      </w:pPr>
      <w:rPr>
        <w:b/>
        <w:bCs/>
      </w:rPr>
      <w:tblPr/>
      <w:tcPr>
        <w:tcBorders>
          <w:top w:val="single" w:sz="8" w:space="0" w:color="001E55" w:themeColor="accent4"/>
          <w:left w:val="nil"/>
          <w:bottom w:val="single" w:sz="8" w:space="0" w:color="001E55" w:themeColor="accent4"/>
          <w:right w:val="nil"/>
          <w:insideH w:val="nil"/>
          <w:insideV w:val="nil"/>
        </w:tcBorders>
      </w:tcPr>
    </w:tblStylePr>
    <w:tblStylePr w:type="lastRow">
      <w:pPr>
        <w:spacing w:before="0" w:after="0" w:line="240" w:lineRule="auto"/>
      </w:pPr>
      <w:rPr>
        <w:b/>
        <w:bCs/>
      </w:rPr>
      <w:tblPr/>
      <w:tcPr>
        <w:tcBorders>
          <w:top w:val="single" w:sz="8" w:space="0" w:color="001E55" w:themeColor="accent4"/>
          <w:left w:val="nil"/>
          <w:bottom w:val="single" w:sz="8" w:space="0" w:color="001E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BBFF" w:themeFill="accent4" w:themeFillTint="3F"/>
      </w:tcPr>
    </w:tblStylePr>
    <w:tblStylePr w:type="band1Horz">
      <w:tblPr/>
      <w:tcPr>
        <w:tcBorders>
          <w:left w:val="nil"/>
          <w:right w:val="nil"/>
          <w:insideH w:val="nil"/>
          <w:insideV w:val="nil"/>
        </w:tcBorders>
        <w:shd w:val="clear" w:color="auto" w:fill="96BBFF" w:themeFill="accent4" w:themeFillTint="3F"/>
      </w:tcPr>
    </w:tblStylePr>
  </w:style>
  <w:style w:type="table" w:styleId="LightShading-Accent5">
    <w:name w:val="Light Shading Accent 5"/>
    <w:basedOn w:val="TableNormal"/>
    <w:uiPriority w:val="60"/>
    <w:semiHidden/>
    <w:unhideWhenUsed/>
    <w:rsid w:val="008E4D10"/>
    <w:rPr>
      <w:color w:val="7B7B7B" w:themeColor="accent5" w:themeShade="BF"/>
    </w:rPr>
    <w:tblPr>
      <w:tblStyleRowBandSize w:val="1"/>
      <w:tblStyleColBandSize w:val="1"/>
      <w:tblBorders>
        <w:top w:val="single" w:sz="8" w:space="0" w:color="A5A5A5" w:themeColor="accent5"/>
        <w:bottom w:val="single" w:sz="8" w:space="0" w:color="A5A5A5" w:themeColor="accent5"/>
      </w:tblBorders>
    </w:tblPr>
    <w:tblStylePr w:type="firstRow">
      <w:pPr>
        <w:spacing w:before="0" w:after="0" w:line="240" w:lineRule="auto"/>
      </w:pPr>
      <w:rPr>
        <w:b/>
        <w:bCs/>
      </w:rPr>
      <w:tblPr/>
      <w:tcPr>
        <w:tcBorders>
          <w:top w:val="single" w:sz="8" w:space="0" w:color="A5A5A5" w:themeColor="accent5"/>
          <w:left w:val="nil"/>
          <w:bottom w:val="single" w:sz="8" w:space="0" w:color="A5A5A5" w:themeColor="accent5"/>
          <w:right w:val="nil"/>
          <w:insideH w:val="nil"/>
          <w:insideV w:val="nil"/>
        </w:tcBorders>
      </w:tcPr>
    </w:tblStylePr>
    <w:tblStylePr w:type="lastRow">
      <w:pPr>
        <w:spacing w:before="0" w:after="0" w:line="240" w:lineRule="auto"/>
      </w:pPr>
      <w:rPr>
        <w:b/>
        <w:bCs/>
      </w:rPr>
      <w:tblPr/>
      <w:tcPr>
        <w:tcBorders>
          <w:top w:val="single" w:sz="8" w:space="0" w:color="A5A5A5" w:themeColor="accent5"/>
          <w:left w:val="nil"/>
          <w:bottom w:val="single" w:sz="8" w:space="0" w:color="A5A5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5" w:themeFillTint="3F"/>
      </w:tcPr>
    </w:tblStylePr>
    <w:tblStylePr w:type="band1Horz">
      <w:tblPr/>
      <w:tcPr>
        <w:tcBorders>
          <w:left w:val="nil"/>
          <w:right w:val="nil"/>
          <w:insideH w:val="nil"/>
          <w:insideV w:val="nil"/>
        </w:tcBorders>
        <w:shd w:val="clear" w:color="auto" w:fill="E8E8E8" w:themeFill="accent5" w:themeFillTint="3F"/>
      </w:tcPr>
    </w:tblStylePr>
  </w:style>
  <w:style w:type="table" w:styleId="LightShading-Accent6">
    <w:name w:val="Light Shading Accent 6"/>
    <w:basedOn w:val="TableNormal"/>
    <w:uiPriority w:val="60"/>
    <w:semiHidden/>
    <w:unhideWhenUsed/>
    <w:rsid w:val="008E4D10"/>
    <w:rPr>
      <w:color w:val="959595" w:themeColor="accent6" w:themeShade="BF"/>
    </w:rPr>
    <w:tblPr>
      <w:tblStyleRowBandSize w:val="1"/>
      <w:tblStyleColBandSize w:val="1"/>
      <w:tblBorders>
        <w:top w:val="single" w:sz="8" w:space="0" w:color="C8C8C8" w:themeColor="accent6"/>
        <w:bottom w:val="single" w:sz="8" w:space="0" w:color="C8C8C8" w:themeColor="accent6"/>
      </w:tblBorders>
    </w:tblPr>
    <w:tblStylePr w:type="firstRow">
      <w:pPr>
        <w:spacing w:before="0" w:after="0" w:line="240" w:lineRule="auto"/>
      </w:pPr>
      <w:rPr>
        <w:b/>
        <w:bCs/>
      </w:rPr>
      <w:tblPr/>
      <w:tcPr>
        <w:tcBorders>
          <w:top w:val="single" w:sz="8" w:space="0" w:color="C8C8C8" w:themeColor="accent6"/>
          <w:left w:val="nil"/>
          <w:bottom w:val="single" w:sz="8" w:space="0" w:color="C8C8C8" w:themeColor="accent6"/>
          <w:right w:val="nil"/>
          <w:insideH w:val="nil"/>
          <w:insideV w:val="nil"/>
        </w:tcBorders>
      </w:tcPr>
    </w:tblStylePr>
    <w:tblStylePr w:type="lastRow">
      <w:pPr>
        <w:spacing w:before="0" w:after="0" w:line="240" w:lineRule="auto"/>
      </w:pPr>
      <w:rPr>
        <w:b/>
        <w:bCs/>
      </w:rPr>
      <w:tblPr/>
      <w:tcPr>
        <w:tcBorders>
          <w:top w:val="single" w:sz="8" w:space="0" w:color="C8C8C8" w:themeColor="accent6"/>
          <w:left w:val="nil"/>
          <w:bottom w:val="single" w:sz="8" w:space="0" w:color="C8C8C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1F1" w:themeFill="accent6" w:themeFillTint="3F"/>
      </w:tcPr>
    </w:tblStylePr>
    <w:tblStylePr w:type="band1Horz">
      <w:tblPr/>
      <w:tcPr>
        <w:tcBorders>
          <w:left w:val="nil"/>
          <w:right w:val="nil"/>
          <w:insideH w:val="nil"/>
          <w:insideV w:val="nil"/>
        </w:tcBorders>
        <w:shd w:val="clear" w:color="auto" w:fill="F1F1F1" w:themeFill="accent6" w:themeFillTint="3F"/>
      </w:tcPr>
    </w:tblStylePr>
  </w:style>
  <w:style w:type="character" w:styleId="LineNumber">
    <w:name w:val="line number"/>
    <w:basedOn w:val="DefaultParagraphFont"/>
    <w:uiPriority w:val="99"/>
    <w:semiHidden/>
    <w:unhideWhenUsed/>
    <w:rsid w:val="008E4D10"/>
  </w:style>
  <w:style w:type="paragraph" w:styleId="List">
    <w:name w:val="List"/>
    <w:basedOn w:val="Normal"/>
    <w:uiPriority w:val="99"/>
    <w:semiHidden/>
    <w:unhideWhenUsed/>
    <w:rsid w:val="008E4D10"/>
    <w:pPr>
      <w:ind w:left="283" w:hanging="283"/>
      <w:contextualSpacing/>
    </w:pPr>
  </w:style>
  <w:style w:type="paragraph" w:styleId="List2">
    <w:name w:val="List 2"/>
    <w:basedOn w:val="Normal"/>
    <w:uiPriority w:val="99"/>
    <w:semiHidden/>
    <w:unhideWhenUsed/>
    <w:rsid w:val="008E4D10"/>
    <w:pPr>
      <w:ind w:left="566" w:hanging="283"/>
      <w:contextualSpacing/>
    </w:pPr>
  </w:style>
  <w:style w:type="paragraph" w:styleId="List3">
    <w:name w:val="List 3"/>
    <w:basedOn w:val="Normal"/>
    <w:uiPriority w:val="99"/>
    <w:semiHidden/>
    <w:unhideWhenUsed/>
    <w:rsid w:val="008E4D10"/>
    <w:pPr>
      <w:ind w:left="849" w:hanging="283"/>
      <w:contextualSpacing/>
    </w:pPr>
  </w:style>
  <w:style w:type="paragraph" w:styleId="List4">
    <w:name w:val="List 4"/>
    <w:basedOn w:val="Normal"/>
    <w:uiPriority w:val="99"/>
    <w:semiHidden/>
    <w:unhideWhenUsed/>
    <w:rsid w:val="008E4D10"/>
    <w:pPr>
      <w:ind w:left="1132" w:hanging="283"/>
      <w:contextualSpacing/>
    </w:pPr>
  </w:style>
  <w:style w:type="paragraph" w:styleId="List5">
    <w:name w:val="List 5"/>
    <w:basedOn w:val="Normal"/>
    <w:uiPriority w:val="99"/>
    <w:semiHidden/>
    <w:unhideWhenUsed/>
    <w:rsid w:val="008E4D10"/>
    <w:pPr>
      <w:ind w:left="1415" w:hanging="283"/>
      <w:contextualSpacing/>
    </w:pPr>
  </w:style>
  <w:style w:type="paragraph" w:styleId="ListBullet4">
    <w:name w:val="List Bullet 4"/>
    <w:basedOn w:val="Normal"/>
    <w:uiPriority w:val="99"/>
    <w:semiHidden/>
    <w:unhideWhenUsed/>
    <w:rsid w:val="008E4D10"/>
    <w:pPr>
      <w:tabs>
        <w:tab w:val="num" w:pos="1209"/>
      </w:tabs>
      <w:ind w:left="1209" w:hanging="360"/>
      <w:contextualSpacing/>
    </w:pPr>
  </w:style>
  <w:style w:type="paragraph" w:styleId="ListBullet5">
    <w:name w:val="List Bullet 5"/>
    <w:basedOn w:val="Normal"/>
    <w:uiPriority w:val="99"/>
    <w:semiHidden/>
    <w:unhideWhenUsed/>
    <w:rsid w:val="008E4D10"/>
    <w:pPr>
      <w:tabs>
        <w:tab w:val="num" w:pos="1492"/>
      </w:tabs>
      <w:ind w:left="1492" w:hanging="360"/>
      <w:contextualSpacing/>
    </w:pPr>
  </w:style>
  <w:style w:type="paragraph" w:styleId="ListContinue">
    <w:name w:val="List Continue"/>
    <w:basedOn w:val="Normal"/>
    <w:uiPriority w:val="99"/>
    <w:semiHidden/>
    <w:unhideWhenUsed/>
    <w:rsid w:val="008E4D10"/>
    <w:pPr>
      <w:spacing w:after="120"/>
      <w:ind w:left="283"/>
      <w:contextualSpacing/>
    </w:pPr>
  </w:style>
  <w:style w:type="paragraph" w:styleId="ListContinue2">
    <w:name w:val="List Continue 2"/>
    <w:basedOn w:val="Normal"/>
    <w:uiPriority w:val="99"/>
    <w:semiHidden/>
    <w:unhideWhenUsed/>
    <w:rsid w:val="008E4D10"/>
    <w:pPr>
      <w:spacing w:after="120"/>
      <w:ind w:left="566"/>
      <w:contextualSpacing/>
    </w:pPr>
  </w:style>
  <w:style w:type="paragraph" w:styleId="ListContinue3">
    <w:name w:val="List Continue 3"/>
    <w:basedOn w:val="Normal"/>
    <w:uiPriority w:val="99"/>
    <w:semiHidden/>
    <w:unhideWhenUsed/>
    <w:rsid w:val="008E4D10"/>
    <w:pPr>
      <w:spacing w:after="120"/>
      <w:ind w:left="849"/>
      <w:contextualSpacing/>
    </w:pPr>
  </w:style>
  <w:style w:type="paragraph" w:styleId="ListContinue4">
    <w:name w:val="List Continue 4"/>
    <w:basedOn w:val="Normal"/>
    <w:uiPriority w:val="99"/>
    <w:semiHidden/>
    <w:unhideWhenUsed/>
    <w:rsid w:val="008E4D10"/>
    <w:pPr>
      <w:spacing w:after="120"/>
      <w:ind w:left="1132"/>
      <w:contextualSpacing/>
    </w:pPr>
  </w:style>
  <w:style w:type="paragraph" w:styleId="ListContinue5">
    <w:name w:val="List Continue 5"/>
    <w:basedOn w:val="Normal"/>
    <w:uiPriority w:val="99"/>
    <w:semiHidden/>
    <w:unhideWhenUsed/>
    <w:rsid w:val="008E4D10"/>
    <w:pPr>
      <w:spacing w:after="120"/>
      <w:ind w:left="1415"/>
      <w:contextualSpacing/>
    </w:pPr>
  </w:style>
  <w:style w:type="paragraph" w:styleId="ListNumber5">
    <w:name w:val="List Number 5"/>
    <w:basedOn w:val="Normal"/>
    <w:uiPriority w:val="99"/>
    <w:semiHidden/>
    <w:unhideWhenUsed/>
    <w:rsid w:val="008E4D10"/>
    <w:pPr>
      <w:tabs>
        <w:tab w:val="num" w:pos="1492"/>
      </w:tabs>
      <w:ind w:left="1492" w:hanging="360"/>
      <w:contextualSpacing/>
    </w:pPr>
  </w:style>
  <w:style w:type="paragraph" w:styleId="ListParagraph">
    <w:name w:val="List Paragraph"/>
    <w:aliases w:val="Bullet List,NFP GP Bulleted List,Recommendation,List Paragraph1,L,List Paragraph11,List Paragraph Number,Bullet point,Content descriptions,Bullet Point,bullet point list,List Paragraph2"/>
    <w:basedOn w:val="Normal"/>
    <w:link w:val="ListParagraphChar"/>
    <w:uiPriority w:val="34"/>
    <w:qFormat/>
    <w:rsid w:val="008E4D10"/>
    <w:pPr>
      <w:ind w:left="720"/>
      <w:contextualSpacing/>
    </w:pPr>
  </w:style>
  <w:style w:type="table" w:styleId="ListTable1Light">
    <w:name w:val="List Table 1 Light"/>
    <w:basedOn w:val="TableNormal"/>
    <w:uiPriority w:val="46"/>
    <w:rsid w:val="008E4D1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E4D10"/>
    <w:tblPr>
      <w:tblStyleRowBandSize w:val="1"/>
      <w:tblStyleColBandSize w:val="1"/>
    </w:tblPr>
    <w:tblStylePr w:type="firstRow">
      <w:rPr>
        <w:b/>
        <w:bCs/>
      </w:rPr>
      <w:tblPr/>
      <w:tcPr>
        <w:tcBorders>
          <w:bottom w:val="single" w:sz="4" w:space="0" w:color="7875EC" w:themeColor="accent1" w:themeTint="99"/>
        </w:tcBorders>
      </w:tcPr>
    </w:tblStylePr>
    <w:tblStylePr w:type="lastRow">
      <w:rPr>
        <w:b/>
        <w:bCs/>
      </w:rPr>
      <w:tblPr/>
      <w:tcPr>
        <w:tcBorders>
          <w:top w:val="single" w:sz="4" w:space="0" w:color="7875EC" w:themeColor="accent1" w:themeTint="99"/>
        </w:tcBorders>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ListTable1Light-Accent2">
    <w:name w:val="List Table 1 Light Accent 2"/>
    <w:basedOn w:val="TableNormal"/>
    <w:uiPriority w:val="46"/>
    <w:rsid w:val="008E4D10"/>
    <w:tblPr>
      <w:tblStyleRowBandSize w:val="1"/>
      <w:tblStyleColBandSize w:val="1"/>
    </w:tblPr>
    <w:tblStylePr w:type="firstRow">
      <w:rPr>
        <w:b/>
        <w:bCs/>
      </w:rPr>
      <w:tblPr/>
      <w:tcPr>
        <w:tcBorders>
          <w:bottom w:val="single" w:sz="4" w:space="0" w:color="6CB0FF" w:themeColor="accent2" w:themeTint="99"/>
        </w:tcBorders>
      </w:tcPr>
    </w:tblStylePr>
    <w:tblStylePr w:type="lastRow">
      <w:rPr>
        <w:b/>
        <w:bCs/>
      </w:rPr>
      <w:tblPr/>
      <w:tcPr>
        <w:tcBorders>
          <w:top w:val="single" w:sz="4" w:space="0" w:color="6CB0FF" w:themeColor="accent2" w:themeTint="99"/>
        </w:tcBorders>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ListTable1Light-Accent3">
    <w:name w:val="List Table 1 Light Accent 3"/>
    <w:basedOn w:val="TableNormal"/>
    <w:uiPriority w:val="46"/>
    <w:rsid w:val="008E4D10"/>
    <w:tblPr>
      <w:tblStyleRowBandSize w:val="1"/>
      <w:tblStyleColBandSize w:val="1"/>
    </w:tblPr>
    <w:tblStylePr w:type="firstRow">
      <w:rPr>
        <w:b/>
        <w:bCs/>
      </w:rPr>
      <w:tblPr/>
      <w:tcPr>
        <w:tcBorders>
          <w:bottom w:val="single" w:sz="4" w:space="0" w:color="9CEFFF" w:themeColor="accent3" w:themeTint="99"/>
        </w:tcBorders>
      </w:tcPr>
    </w:tblStylePr>
    <w:tblStylePr w:type="lastRow">
      <w:rPr>
        <w:b/>
        <w:bCs/>
      </w:rPr>
      <w:tblPr/>
      <w:tcPr>
        <w:tcBorders>
          <w:top w:val="single" w:sz="4" w:space="0" w:color="9CEFFF" w:themeColor="accent3" w:themeTint="99"/>
        </w:tcBorders>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ListTable1Light-Accent4">
    <w:name w:val="List Table 1 Light Accent 4"/>
    <w:basedOn w:val="TableNormal"/>
    <w:uiPriority w:val="46"/>
    <w:rsid w:val="008E4D10"/>
    <w:tblPr>
      <w:tblStyleRowBandSize w:val="1"/>
      <w:tblStyleColBandSize w:val="1"/>
    </w:tblPr>
    <w:tblStylePr w:type="firstRow">
      <w:rPr>
        <w:b/>
        <w:bCs/>
      </w:rPr>
      <w:tblPr/>
      <w:tcPr>
        <w:tcBorders>
          <w:bottom w:val="single" w:sz="4" w:space="0" w:color="005AFF" w:themeColor="accent4" w:themeTint="99"/>
        </w:tcBorders>
      </w:tcPr>
    </w:tblStylePr>
    <w:tblStylePr w:type="lastRow">
      <w:rPr>
        <w:b/>
        <w:bCs/>
      </w:rPr>
      <w:tblPr/>
      <w:tcPr>
        <w:tcBorders>
          <w:top w:val="single" w:sz="4" w:space="0" w:color="005AFF" w:themeColor="accent4" w:themeTint="99"/>
        </w:tcBorders>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ListTable1Light-Accent5">
    <w:name w:val="List Table 1 Light Accent 5"/>
    <w:basedOn w:val="TableNormal"/>
    <w:uiPriority w:val="46"/>
    <w:rsid w:val="008E4D10"/>
    <w:tblPr>
      <w:tblStyleRowBandSize w:val="1"/>
      <w:tblStyleColBandSize w:val="1"/>
    </w:tblPr>
    <w:tblStylePr w:type="firstRow">
      <w:rPr>
        <w:b/>
        <w:bCs/>
      </w:rPr>
      <w:tblPr/>
      <w:tcPr>
        <w:tcBorders>
          <w:bottom w:val="single" w:sz="4" w:space="0" w:color="C9C9C9" w:themeColor="accent5" w:themeTint="99"/>
        </w:tcBorders>
      </w:tcPr>
    </w:tblStylePr>
    <w:tblStylePr w:type="lastRow">
      <w:rPr>
        <w:b/>
        <w:bCs/>
      </w:rPr>
      <w:tblPr/>
      <w:tcPr>
        <w:tcBorders>
          <w:top w:val="single" w:sz="4" w:space="0" w:color="C9C9C9" w:themeColor="accent5" w:themeTint="99"/>
        </w:tcBorders>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ListTable1Light-Accent6">
    <w:name w:val="List Table 1 Light Accent 6"/>
    <w:basedOn w:val="TableNormal"/>
    <w:uiPriority w:val="46"/>
    <w:rsid w:val="008E4D10"/>
    <w:tblPr>
      <w:tblStyleRowBandSize w:val="1"/>
      <w:tblStyleColBandSize w:val="1"/>
    </w:tblPr>
    <w:tblStylePr w:type="firstRow">
      <w:rPr>
        <w:b/>
        <w:bCs/>
      </w:rPr>
      <w:tblPr/>
      <w:tcPr>
        <w:tcBorders>
          <w:bottom w:val="single" w:sz="4" w:space="0" w:color="DEDEDE" w:themeColor="accent6" w:themeTint="99"/>
        </w:tcBorders>
      </w:tcPr>
    </w:tblStylePr>
    <w:tblStylePr w:type="lastRow">
      <w:rPr>
        <w:b/>
        <w:bCs/>
      </w:rPr>
      <w:tblPr/>
      <w:tcPr>
        <w:tcBorders>
          <w:top w:val="single" w:sz="4" w:space="0" w:color="DEDEDE" w:themeColor="accent6" w:themeTint="99"/>
        </w:tcBorders>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ListTable2">
    <w:name w:val="List Table 2"/>
    <w:basedOn w:val="TableNormal"/>
    <w:uiPriority w:val="47"/>
    <w:rsid w:val="008E4D1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E4D10"/>
    <w:tblPr>
      <w:tblStyleRowBandSize w:val="1"/>
      <w:tblStyleColBandSize w:val="1"/>
      <w:tblBorders>
        <w:top w:val="single" w:sz="4" w:space="0" w:color="7875EC" w:themeColor="accent1" w:themeTint="99"/>
        <w:bottom w:val="single" w:sz="4" w:space="0" w:color="7875EC" w:themeColor="accent1" w:themeTint="99"/>
        <w:insideH w:val="single" w:sz="4" w:space="0" w:color="7875E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ListTable2-Accent2">
    <w:name w:val="List Table 2 Accent 2"/>
    <w:basedOn w:val="TableNormal"/>
    <w:uiPriority w:val="47"/>
    <w:rsid w:val="008E4D10"/>
    <w:tblPr>
      <w:tblStyleRowBandSize w:val="1"/>
      <w:tblStyleColBandSize w:val="1"/>
      <w:tblBorders>
        <w:top w:val="single" w:sz="4" w:space="0" w:color="6CB0FF" w:themeColor="accent2" w:themeTint="99"/>
        <w:bottom w:val="single" w:sz="4" w:space="0" w:color="6CB0FF" w:themeColor="accent2" w:themeTint="99"/>
        <w:insideH w:val="single" w:sz="4" w:space="0" w:color="6CB0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ListTable2-Accent3">
    <w:name w:val="List Table 2 Accent 3"/>
    <w:basedOn w:val="TableNormal"/>
    <w:uiPriority w:val="47"/>
    <w:rsid w:val="008E4D10"/>
    <w:tblPr>
      <w:tblStyleRowBandSize w:val="1"/>
      <w:tblStyleColBandSize w:val="1"/>
      <w:tblBorders>
        <w:top w:val="single" w:sz="4" w:space="0" w:color="9CEFFF" w:themeColor="accent3" w:themeTint="99"/>
        <w:bottom w:val="single" w:sz="4" w:space="0" w:color="9CEFFF" w:themeColor="accent3" w:themeTint="99"/>
        <w:insideH w:val="single" w:sz="4" w:space="0" w:color="9CEF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ListTable2-Accent4">
    <w:name w:val="List Table 2 Accent 4"/>
    <w:basedOn w:val="TableNormal"/>
    <w:uiPriority w:val="47"/>
    <w:rsid w:val="008E4D10"/>
    <w:tblPr>
      <w:tblStyleRowBandSize w:val="1"/>
      <w:tblStyleColBandSize w:val="1"/>
      <w:tblBorders>
        <w:top w:val="single" w:sz="4" w:space="0" w:color="005AFF" w:themeColor="accent4" w:themeTint="99"/>
        <w:bottom w:val="single" w:sz="4" w:space="0" w:color="005AFF" w:themeColor="accent4" w:themeTint="99"/>
        <w:insideH w:val="single" w:sz="4" w:space="0" w:color="005A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ListTable2-Accent5">
    <w:name w:val="List Table 2 Accent 5"/>
    <w:basedOn w:val="TableNormal"/>
    <w:uiPriority w:val="47"/>
    <w:rsid w:val="008E4D10"/>
    <w:tblPr>
      <w:tblStyleRowBandSize w:val="1"/>
      <w:tblStyleColBandSize w:val="1"/>
      <w:tblBorders>
        <w:top w:val="single" w:sz="4" w:space="0" w:color="C9C9C9" w:themeColor="accent5" w:themeTint="99"/>
        <w:bottom w:val="single" w:sz="4" w:space="0" w:color="C9C9C9" w:themeColor="accent5" w:themeTint="99"/>
        <w:insideH w:val="single" w:sz="4" w:space="0" w:color="C9C9C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ListTable2-Accent6">
    <w:name w:val="List Table 2 Accent 6"/>
    <w:basedOn w:val="TableNormal"/>
    <w:uiPriority w:val="47"/>
    <w:rsid w:val="008E4D10"/>
    <w:tblPr>
      <w:tblStyleRowBandSize w:val="1"/>
      <w:tblStyleColBandSize w:val="1"/>
      <w:tblBorders>
        <w:top w:val="single" w:sz="4" w:space="0" w:color="DEDEDE" w:themeColor="accent6" w:themeTint="99"/>
        <w:bottom w:val="single" w:sz="4" w:space="0" w:color="DEDEDE" w:themeColor="accent6" w:themeTint="99"/>
        <w:insideH w:val="single" w:sz="4" w:space="0" w:color="DEDED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ListTable3">
    <w:name w:val="List Table 3"/>
    <w:basedOn w:val="TableNormal"/>
    <w:uiPriority w:val="48"/>
    <w:rsid w:val="008E4D1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E4D10"/>
    <w:tblPr>
      <w:tblStyleRowBandSize w:val="1"/>
      <w:tblStyleColBandSize w:val="1"/>
      <w:tblBorders>
        <w:top w:val="single" w:sz="4" w:space="0" w:color="231EDC" w:themeColor="accent1"/>
        <w:left w:val="single" w:sz="4" w:space="0" w:color="231EDC" w:themeColor="accent1"/>
        <w:bottom w:val="single" w:sz="4" w:space="0" w:color="231EDC" w:themeColor="accent1"/>
        <w:right w:val="single" w:sz="4" w:space="0" w:color="231EDC" w:themeColor="accent1"/>
      </w:tblBorders>
    </w:tblPr>
    <w:tblStylePr w:type="firstRow">
      <w:rPr>
        <w:b/>
        <w:bCs/>
        <w:color w:val="FFFFFF" w:themeColor="background1"/>
      </w:rPr>
      <w:tblPr/>
      <w:tcPr>
        <w:shd w:val="clear" w:color="auto" w:fill="231EDC" w:themeFill="accent1"/>
      </w:tcPr>
    </w:tblStylePr>
    <w:tblStylePr w:type="lastRow">
      <w:rPr>
        <w:b/>
        <w:bCs/>
      </w:rPr>
      <w:tblPr/>
      <w:tcPr>
        <w:tcBorders>
          <w:top w:val="double" w:sz="4" w:space="0" w:color="231ED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EDC" w:themeColor="accent1"/>
          <w:right w:val="single" w:sz="4" w:space="0" w:color="231EDC" w:themeColor="accent1"/>
        </w:tcBorders>
      </w:tcPr>
    </w:tblStylePr>
    <w:tblStylePr w:type="band1Horz">
      <w:tblPr/>
      <w:tcPr>
        <w:tcBorders>
          <w:top w:val="single" w:sz="4" w:space="0" w:color="231EDC" w:themeColor="accent1"/>
          <w:bottom w:val="single" w:sz="4" w:space="0" w:color="231ED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EDC" w:themeColor="accent1"/>
          <w:left w:val="nil"/>
        </w:tcBorders>
      </w:tcPr>
    </w:tblStylePr>
    <w:tblStylePr w:type="swCell">
      <w:tblPr/>
      <w:tcPr>
        <w:tcBorders>
          <w:top w:val="double" w:sz="4" w:space="0" w:color="231EDC" w:themeColor="accent1"/>
          <w:right w:val="nil"/>
        </w:tcBorders>
      </w:tcPr>
    </w:tblStylePr>
  </w:style>
  <w:style w:type="table" w:styleId="ListTable3-Accent2">
    <w:name w:val="List Table 3 Accent 2"/>
    <w:basedOn w:val="TableNormal"/>
    <w:uiPriority w:val="48"/>
    <w:rsid w:val="008E4D10"/>
    <w:tblPr>
      <w:tblStyleRowBandSize w:val="1"/>
      <w:tblStyleColBandSize w:val="1"/>
      <w:tblBorders>
        <w:top w:val="single" w:sz="4" w:space="0" w:color="0A7DFF" w:themeColor="accent2"/>
        <w:left w:val="single" w:sz="4" w:space="0" w:color="0A7DFF" w:themeColor="accent2"/>
        <w:bottom w:val="single" w:sz="4" w:space="0" w:color="0A7DFF" w:themeColor="accent2"/>
        <w:right w:val="single" w:sz="4" w:space="0" w:color="0A7DFF" w:themeColor="accent2"/>
      </w:tblBorders>
    </w:tblPr>
    <w:tblStylePr w:type="firstRow">
      <w:rPr>
        <w:b/>
        <w:bCs/>
        <w:color w:val="FFFFFF" w:themeColor="background1"/>
      </w:rPr>
      <w:tblPr/>
      <w:tcPr>
        <w:shd w:val="clear" w:color="auto" w:fill="0A7DFF" w:themeFill="accent2"/>
      </w:tcPr>
    </w:tblStylePr>
    <w:tblStylePr w:type="lastRow">
      <w:rPr>
        <w:b/>
        <w:bCs/>
      </w:rPr>
      <w:tblPr/>
      <w:tcPr>
        <w:tcBorders>
          <w:top w:val="double" w:sz="4" w:space="0" w:color="0A7DF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7DFF" w:themeColor="accent2"/>
          <w:right w:val="single" w:sz="4" w:space="0" w:color="0A7DFF" w:themeColor="accent2"/>
        </w:tcBorders>
      </w:tcPr>
    </w:tblStylePr>
    <w:tblStylePr w:type="band1Horz">
      <w:tblPr/>
      <w:tcPr>
        <w:tcBorders>
          <w:top w:val="single" w:sz="4" w:space="0" w:color="0A7DFF" w:themeColor="accent2"/>
          <w:bottom w:val="single" w:sz="4" w:space="0" w:color="0A7DF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7DFF" w:themeColor="accent2"/>
          <w:left w:val="nil"/>
        </w:tcBorders>
      </w:tcPr>
    </w:tblStylePr>
    <w:tblStylePr w:type="swCell">
      <w:tblPr/>
      <w:tcPr>
        <w:tcBorders>
          <w:top w:val="double" w:sz="4" w:space="0" w:color="0A7DFF" w:themeColor="accent2"/>
          <w:right w:val="nil"/>
        </w:tcBorders>
      </w:tcPr>
    </w:tblStylePr>
  </w:style>
  <w:style w:type="table" w:styleId="ListTable3-Accent3">
    <w:name w:val="List Table 3 Accent 3"/>
    <w:basedOn w:val="TableNormal"/>
    <w:uiPriority w:val="48"/>
    <w:rsid w:val="008E4D10"/>
    <w:tblPr>
      <w:tblStyleRowBandSize w:val="1"/>
      <w:tblStyleColBandSize w:val="1"/>
      <w:tblBorders>
        <w:top w:val="single" w:sz="4" w:space="0" w:color="5AE6FF" w:themeColor="accent3"/>
        <w:left w:val="single" w:sz="4" w:space="0" w:color="5AE6FF" w:themeColor="accent3"/>
        <w:bottom w:val="single" w:sz="4" w:space="0" w:color="5AE6FF" w:themeColor="accent3"/>
        <w:right w:val="single" w:sz="4" w:space="0" w:color="5AE6FF" w:themeColor="accent3"/>
      </w:tblBorders>
    </w:tblPr>
    <w:tblStylePr w:type="firstRow">
      <w:rPr>
        <w:b/>
        <w:bCs/>
        <w:color w:val="FFFFFF" w:themeColor="background1"/>
      </w:rPr>
      <w:tblPr/>
      <w:tcPr>
        <w:shd w:val="clear" w:color="auto" w:fill="5AE6FF" w:themeFill="accent3"/>
      </w:tcPr>
    </w:tblStylePr>
    <w:tblStylePr w:type="lastRow">
      <w:rPr>
        <w:b/>
        <w:bCs/>
      </w:rPr>
      <w:tblPr/>
      <w:tcPr>
        <w:tcBorders>
          <w:top w:val="double" w:sz="4" w:space="0" w:color="5AE6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E6FF" w:themeColor="accent3"/>
          <w:right w:val="single" w:sz="4" w:space="0" w:color="5AE6FF" w:themeColor="accent3"/>
        </w:tcBorders>
      </w:tcPr>
    </w:tblStylePr>
    <w:tblStylePr w:type="band1Horz">
      <w:tblPr/>
      <w:tcPr>
        <w:tcBorders>
          <w:top w:val="single" w:sz="4" w:space="0" w:color="5AE6FF" w:themeColor="accent3"/>
          <w:bottom w:val="single" w:sz="4" w:space="0" w:color="5AE6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E6FF" w:themeColor="accent3"/>
          <w:left w:val="nil"/>
        </w:tcBorders>
      </w:tcPr>
    </w:tblStylePr>
    <w:tblStylePr w:type="swCell">
      <w:tblPr/>
      <w:tcPr>
        <w:tcBorders>
          <w:top w:val="double" w:sz="4" w:space="0" w:color="5AE6FF" w:themeColor="accent3"/>
          <w:right w:val="nil"/>
        </w:tcBorders>
      </w:tcPr>
    </w:tblStylePr>
  </w:style>
  <w:style w:type="table" w:styleId="ListTable3-Accent4">
    <w:name w:val="List Table 3 Accent 4"/>
    <w:basedOn w:val="TableNormal"/>
    <w:uiPriority w:val="48"/>
    <w:rsid w:val="008E4D10"/>
    <w:tblPr>
      <w:tblStyleRowBandSize w:val="1"/>
      <w:tblStyleColBandSize w:val="1"/>
      <w:tblBorders>
        <w:top w:val="single" w:sz="4" w:space="0" w:color="001E55" w:themeColor="accent4"/>
        <w:left w:val="single" w:sz="4" w:space="0" w:color="001E55" w:themeColor="accent4"/>
        <w:bottom w:val="single" w:sz="4" w:space="0" w:color="001E55" w:themeColor="accent4"/>
        <w:right w:val="single" w:sz="4" w:space="0" w:color="001E55" w:themeColor="accent4"/>
      </w:tblBorders>
    </w:tblPr>
    <w:tblStylePr w:type="firstRow">
      <w:rPr>
        <w:b/>
        <w:bCs/>
        <w:color w:val="FFFFFF" w:themeColor="background1"/>
      </w:rPr>
      <w:tblPr/>
      <w:tcPr>
        <w:shd w:val="clear" w:color="auto" w:fill="001E55" w:themeFill="accent4"/>
      </w:tcPr>
    </w:tblStylePr>
    <w:tblStylePr w:type="lastRow">
      <w:rPr>
        <w:b/>
        <w:bCs/>
      </w:rPr>
      <w:tblPr/>
      <w:tcPr>
        <w:tcBorders>
          <w:top w:val="double" w:sz="4" w:space="0" w:color="001E5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E55" w:themeColor="accent4"/>
          <w:right w:val="single" w:sz="4" w:space="0" w:color="001E55" w:themeColor="accent4"/>
        </w:tcBorders>
      </w:tcPr>
    </w:tblStylePr>
    <w:tblStylePr w:type="band1Horz">
      <w:tblPr/>
      <w:tcPr>
        <w:tcBorders>
          <w:top w:val="single" w:sz="4" w:space="0" w:color="001E55" w:themeColor="accent4"/>
          <w:bottom w:val="single" w:sz="4" w:space="0" w:color="001E5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E55" w:themeColor="accent4"/>
          <w:left w:val="nil"/>
        </w:tcBorders>
      </w:tcPr>
    </w:tblStylePr>
    <w:tblStylePr w:type="swCell">
      <w:tblPr/>
      <w:tcPr>
        <w:tcBorders>
          <w:top w:val="double" w:sz="4" w:space="0" w:color="001E55" w:themeColor="accent4"/>
          <w:right w:val="nil"/>
        </w:tcBorders>
      </w:tcPr>
    </w:tblStylePr>
  </w:style>
  <w:style w:type="table" w:styleId="ListTable3-Accent5">
    <w:name w:val="List Table 3 Accent 5"/>
    <w:basedOn w:val="TableNormal"/>
    <w:uiPriority w:val="48"/>
    <w:rsid w:val="008E4D10"/>
    <w:tblPr>
      <w:tblStyleRowBandSize w:val="1"/>
      <w:tblStyleColBandSize w:val="1"/>
      <w:tblBorders>
        <w:top w:val="single" w:sz="4" w:space="0" w:color="A5A5A5" w:themeColor="accent5"/>
        <w:left w:val="single" w:sz="4" w:space="0" w:color="A5A5A5" w:themeColor="accent5"/>
        <w:bottom w:val="single" w:sz="4" w:space="0" w:color="A5A5A5" w:themeColor="accent5"/>
        <w:right w:val="single" w:sz="4" w:space="0" w:color="A5A5A5" w:themeColor="accent5"/>
      </w:tblBorders>
    </w:tblPr>
    <w:tblStylePr w:type="firstRow">
      <w:rPr>
        <w:b/>
        <w:bCs/>
        <w:color w:val="FFFFFF" w:themeColor="background1"/>
      </w:rPr>
      <w:tblPr/>
      <w:tcPr>
        <w:shd w:val="clear" w:color="auto" w:fill="A5A5A5" w:themeFill="accent5"/>
      </w:tcPr>
    </w:tblStylePr>
    <w:tblStylePr w:type="lastRow">
      <w:rPr>
        <w:b/>
        <w:bCs/>
      </w:rPr>
      <w:tblPr/>
      <w:tcPr>
        <w:tcBorders>
          <w:top w:val="double" w:sz="4" w:space="0" w:color="A5A5A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5"/>
          <w:right w:val="single" w:sz="4" w:space="0" w:color="A5A5A5" w:themeColor="accent5"/>
        </w:tcBorders>
      </w:tcPr>
    </w:tblStylePr>
    <w:tblStylePr w:type="band1Horz">
      <w:tblPr/>
      <w:tcPr>
        <w:tcBorders>
          <w:top w:val="single" w:sz="4" w:space="0" w:color="A5A5A5" w:themeColor="accent5"/>
          <w:bottom w:val="single" w:sz="4" w:space="0" w:color="A5A5A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5"/>
          <w:left w:val="nil"/>
        </w:tcBorders>
      </w:tcPr>
    </w:tblStylePr>
    <w:tblStylePr w:type="swCell">
      <w:tblPr/>
      <w:tcPr>
        <w:tcBorders>
          <w:top w:val="double" w:sz="4" w:space="0" w:color="A5A5A5" w:themeColor="accent5"/>
          <w:right w:val="nil"/>
        </w:tcBorders>
      </w:tcPr>
    </w:tblStylePr>
  </w:style>
  <w:style w:type="table" w:styleId="ListTable3-Accent6">
    <w:name w:val="List Table 3 Accent 6"/>
    <w:basedOn w:val="TableNormal"/>
    <w:uiPriority w:val="48"/>
    <w:rsid w:val="008E4D10"/>
    <w:tblPr>
      <w:tblStyleRowBandSize w:val="1"/>
      <w:tblStyleColBandSize w:val="1"/>
      <w:tblBorders>
        <w:top w:val="single" w:sz="4" w:space="0" w:color="C8C8C8" w:themeColor="accent6"/>
        <w:left w:val="single" w:sz="4" w:space="0" w:color="C8C8C8" w:themeColor="accent6"/>
        <w:bottom w:val="single" w:sz="4" w:space="0" w:color="C8C8C8" w:themeColor="accent6"/>
        <w:right w:val="single" w:sz="4" w:space="0" w:color="C8C8C8" w:themeColor="accent6"/>
      </w:tblBorders>
    </w:tblPr>
    <w:tblStylePr w:type="firstRow">
      <w:rPr>
        <w:b/>
        <w:bCs/>
        <w:color w:val="FFFFFF" w:themeColor="background1"/>
      </w:rPr>
      <w:tblPr/>
      <w:tcPr>
        <w:shd w:val="clear" w:color="auto" w:fill="C8C8C8" w:themeFill="accent6"/>
      </w:tcPr>
    </w:tblStylePr>
    <w:tblStylePr w:type="lastRow">
      <w:rPr>
        <w:b/>
        <w:bCs/>
      </w:rPr>
      <w:tblPr/>
      <w:tcPr>
        <w:tcBorders>
          <w:top w:val="double" w:sz="4" w:space="0" w:color="C8C8C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C8C8" w:themeColor="accent6"/>
          <w:right w:val="single" w:sz="4" w:space="0" w:color="C8C8C8" w:themeColor="accent6"/>
        </w:tcBorders>
      </w:tcPr>
    </w:tblStylePr>
    <w:tblStylePr w:type="band1Horz">
      <w:tblPr/>
      <w:tcPr>
        <w:tcBorders>
          <w:top w:val="single" w:sz="4" w:space="0" w:color="C8C8C8" w:themeColor="accent6"/>
          <w:bottom w:val="single" w:sz="4" w:space="0" w:color="C8C8C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C8C8" w:themeColor="accent6"/>
          <w:left w:val="nil"/>
        </w:tcBorders>
      </w:tcPr>
    </w:tblStylePr>
    <w:tblStylePr w:type="swCell">
      <w:tblPr/>
      <w:tcPr>
        <w:tcBorders>
          <w:top w:val="double" w:sz="4" w:space="0" w:color="C8C8C8" w:themeColor="accent6"/>
          <w:right w:val="nil"/>
        </w:tcBorders>
      </w:tcPr>
    </w:tblStylePr>
  </w:style>
  <w:style w:type="table" w:styleId="ListTable4">
    <w:name w:val="List Table 4"/>
    <w:basedOn w:val="TableNormal"/>
    <w:uiPriority w:val="49"/>
    <w:rsid w:val="008E4D1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E4D10"/>
    <w:tblPr>
      <w:tblStyleRowBandSize w:val="1"/>
      <w:tblStyleColBandSize w:val="1"/>
      <w:tblBorders>
        <w:top w:val="single" w:sz="4" w:space="0" w:color="7875EC" w:themeColor="accent1" w:themeTint="99"/>
        <w:left w:val="single" w:sz="4" w:space="0" w:color="7875EC" w:themeColor="accent1" w:themeTint="99"/>
        <w:bottom w:val="single" w:sz="4" w:space="0" w:color="7875EC" w:themeColor="accent1" w:themeTint="99"/>
        <w:right w:val="single" w:sz="4" w:space="0" w:color="7875EC" w:themeColor="accent1" w:themeTint="99"/>
        <w:insideH w:val="single" w:sz="4" w:space="0" w:color="7875EC" w:themeColor="accent1" w:themeTint="99"/>
      </w:tblBorders>
    </w:tblPr>
    <w:tblStylePr w:type="firstRow">
      <w:rPr>
        <w:b/>
        <w:bCs/>
        <w:color w:val="FFFFFF" w:themeColor="background1"/>
      </w:rPr>
      <w:tblPr/>
      <w:tcPr>
        <w:tcBorders>
          <w:top w:val="single" w:sz="4" w:space="0" w:color="231EDC" w:themeColor="accent1"/>
          <w:left w:val="single" w:sz="4" w:space="0" w:color="231EDC" w:themeColor="accent1"/>
          <w:bottom w:val="single" w:sz="4" w:space="0" w:color="231EDC" w:themeColor="accent1"/>
          <w:right w:val="single" w:sz="4" w:space="0" w:color="231EDC" w:themeColor="accent1"/>
          <w:insideH w:val="nil"/>
        </w:tcBorders>
        <w:shd w:val="clear" w:color="auto" w:fill="231EDC" w:themeFill="accent1"/>
      </w:tcPr>
    </w:tblStylePr>
    <w:tblStylePr w:type="lastRow">
      <w:rPr>
        <w:b/>
        <w:bCs/>
      </w:rPr>
      <w:tblPr/>
      <w:tcPr>
        <w:tcBorders>
          <w:top w:val="double" w:sz="4" w:space="0" w:color="7875EC" w:themeColor="accent1" w:themeTint="99"/>
        </w:tcBorders>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ListTable4-Accent2">
    <w:name w:val="List Table 4 Accent 2"/>
    <w:basedOn w:val="TableNormal"/>
    <w:uiPriority w:val="49"/>
    <w:rsid w:val="008E4D10"/>
    <w:tblPr>
      <w:tblStyleRowBandSize w:val="1"/>
      <w:tblStyleColBandSize w:val="1"/>
      <w:tblBorders>
        <w:top w:val="single" w:sz="4" w:space="0" w:color="6CB0FF" w:themeColor="accent2" w:themeTint="99"/>
        <w:left w:val="single" w:sz="4" w:space="0" w:color="6CB0FF" w:themeColor="accent2" w:themeTint="99"/>
        <w:bottom w:val="single" w:sz="4" w:space="0" w:color="6CB0FF" w:themeColor="accent2" w:themeTint="99"/>
        <w:right w:val="single" w:sz="4" w:space="0" w:color="6CB0FF" w:themeColor="accent2" w:themeTint="99"/>
        <w:insideH w:val="single" w:sz="4" w:space="0" w:color="6CB0FF" w:themeColor="accent2" w:themeTint="99"/>
      </w:tblBorders>
    </w:tblPr>
    <w:tblStylePr w:type="firstRow">
      <w:rPr>
        <w:b/>
        <w:bCs/>
        <w:color w:val="FFFFFF" w:themeColor="background1"/>
      </w:rPr>
      <w:tblPr/>
      <w:tcPr>
        <w:tcBorders>
          <w:top w:val="single" w:sz="4" w:space="0" w:color="0A7DFF" w:themeColor="accent2"/>
          <w:left w:val="single" w:sz="4" w:space="0" w:color="0A7DFF" w:themeColor="accent2"/>
          <w:bottom w:val="single" w:sz="4" w:space="0" w:color="0A7DFF" w:themeColor="accent2"/>
          <w:right w:val="single" w:sz="4" w:space="0" w:color="0A7DFF" w:themeColor="accent2"/>
          <w:insideH w:val="nil"/>
        </w:tcBorders>
        <w:shd w:val="clear" w:color="auto" w:fill="0A7DFF" w:themeFill="accent2"/>
      </w:tcPr>
    </w:tblStylePr>
    <w:tblStylePr w:type="lastRow">
      <w:rPr>
        <w:b/>
        <w:bCs/>
      </w:rPr>
      <w:tblPr/>
      <w:tcPr>
        <w:tcBorders>
          <w:top w:val="double" w:sz="4" w:space="0" w:color="6CB0FF" w:themeColor="accent2" w:themeTint="99"/>
        </w:tcBorders>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ListTable4-Accent3">
    <w:name w:val="List Table 4 Accent 3"/>
    <w:basedOn w:val="TableNormal"/>
    <w:uiPriority w:val="49"/>
    <w:rsid w:val="008E4D10"/>
    <w:tblPr>
      <w:tblStyleRowBandSize w:val="1"/>
      <w:tblStyleColBandSize w:val="1"/>
      <w:tblBorders>
        <w:top w:val="single" w:sz="4" w:space="0" w:color="9CEFFF" w:themeColor="accent3" w:themeTint="99"/>
        <w:left w:val="single" w:sz="4" w:space="0" w:color="9CEFFF" w:themeColor="accent3" w:themeTint="99"/>
        <w:bottom w:val="single" w:sz="4" w:space="0" w:color="9CEFFF" w:themeColor="accent3" w:themeTint="99"/>
        <w:right w:val="single" w:sz="4" w:space="0" w:color="9CEFFF" w:themeColor="accent3" w:themeTint="99"/>
        <w:insideH w:val="single" w:sz="4" w:space="0" w:color="9CEFFF" w:themeColor="accent3" w:themeTint="99"/>
      </w:tblBorders>
    </w:tblPr>
    <w:tblStylePr w:type="firstRow">
      <w:rPr>
        <w:b/>
        <w:bCs/>
        <w:color w:val="FFFFFF" w:themeColor="background1"/>
      </w:rPr>
      <w:tblPr/>
      <w:tcPr>
        <w:tcBorders>
          <w:top w:val="single" w:sz="4" w:space="0" w:color="5AE6FF" w:themeColor="accent3"/>
          <w:left w:val="single" w:sz="4" w:space="0" w:color="5AE6FF" w:themeColor="accent3"/>
          <w:bottom w:val="single" w:sz="4" w:space="0" w:color="5AE6FF" w:themeColor="accent3"/>
          <w:right w:val="single" w:sz="4" w:space="0" w:color="5AE6FF" w:themeColor="accent3"/>
          <w:insideH w:val="nil"/>
        </w:tcBorders>
        <w:shd w:val="clear" w:color="auto" w:fill="5AE6FF" w:themeFill="accent3"/>
      </w:tcPr>
    </w:tblStylePr>
    <w:tblStylePr w:type="lastRow">
      <w:rPr>
        <w:b/>
        <w:bCs/>
      </w:rPr>
      <w:tblPr/>
      <w:tcPr>
        <w:tcBorders>
          <w:top w:val="double" w:sz="4" w:space="0" w:color="9CEFFF" w:themeColor="accent3" w:themeTint="99"/>
        </w:tcBorders>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ListTable4-Accent4">
    <w:name w:val="List Table 4 Accent 4"/>
    <w:basedOn w:val="TableNormal"/>
    <w:uiPriority w:val="49"/>
    <w:rsid w:val="008E4D10"/>
    <w:tblPr>
      <w:tblStyleRowBandSize w:val="1"/>
      <w:tblStyleColBandSize w:val="1"/>
      <w:tblBorders>
        <w:top w:val="single" w:sz="4" w:space="0" w:color="005AFF" w:themeColor="accent4" w:themeTint="99"/>
        <w:left w:val="single" w:sz="4" w:space="0" w:color="005AFF" w:themeColor="accent4" w:themeTint="99"/>
        <w:bottom w:val="single" w:sz="4" w:space="0" w:color="005AFF" w:themeColor="accent4" w:themeTint="99"/>
        <w:right w:val="single" w:sz="4" w:space="0" w:color="005AFF" w:themeColor="accent4" w:themeTint="99"/>
        <w:insideH w:val="single" w:sz="4" w:space="0" w:color="005AFF" w:themeColor="accent4" w:themeTint="99"/>
      </w:tblBorders>
    </w:tblPr>
    <w:tblStylePr w:type="firstRow">
      <w:rPr>
        <w:b/>
        <w:bCs/>
        <w:color w:val="FFFFFF" w:themeColor="background1"/>
      </w:rPr>
      <w:tblPr/>
      <w:tcPr>
        <w:tcBorders>
          <w:top w:val="single" w:sz="4" w:space="0" w:color="001E55" w:themeColor="accent4"/>
          <w:left w:val="single" w:sz="4" w:space="0" w:color="001E55" w:themeColor="accent4"/>
          <w:bottom w:val="single" w:sz="4" w:space="0" w:color="001E55" w:themeColor="accent4"/>
          <w:right w:val="single" w:sz="4" w:space="0" w:color="001E55" w:themeColor="accent4"/>
          <w:insideH w:val="nil"/>
        </w:tcBorders>
        <w:shd w:val="clear" w:color="auto" w:fill="001E55" w:themeFill="accent4"/>
      </w:tcPr>
    </w:tblStylePr>
    <w:tblStylePr w:type="lastRow">
      <w:rPr>
        <w:b/>
        <w:bCs/>
      </w:rPr>
      <w:tblPr/>
      <w:tcPr>
        <w:tcBorders>
          <w:top w:val="double" w:sz="4" w:space="0" w:color="005AFF" w:themeColor="accent4" w:themeTint="99"/>
        </w:tcBorders>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ListTable4-Accent5">
    <w:name w:val="List Table 4 Accent 5"/>
    <w:basedOn w:val="TableNormal"/>
    <w:uiPriority w:val="49"/>
    <w:rsid w:val="008E4D10"/>
    <w:tblPr>
      <w:tblStyleRowBandSize w:val="1"/>
      <w:tblStyleColBandSize w:val="1"/>
      <w:tblBorders>
        <w:top w:val="single" w:sz="4" w:space="0" w:color="C9C9C9" w:themeColor="accent5" w:themeTint="99"/>
        <w:left w:val="single" w:sz="4" w:space="0" w:color="C9C9C9" w:themeColor="accent5" w:themeTint="99"/>
        <w:bottom w:val="single" w:sz="4" w:space="0" w:color="C9C9C9" w:themeColor="accent5" w:themeTint="99"/>
        <w:right w:val="single" w:sz="4" w:space="0" w:color="C9C9C9" w:themeColor="accent5" w:themeTint="99"/>
        <w:insideH w:val="single" w:sz="4" w:space="0" w:color="C9C9C9" w:themeColor="accent5" w:themeTint="99"/>
      </w:tblBorders>
    </w:tblPr>
    <w:tblStylePr w:type="firstRow">
      <w:rPr>
        <w:b/>
        <w:bCs/>
        <w:color w:val="FFFFFF" w:themeColor="background1"/>
      </w:rPr>
      <w:tblPr/>
      <w:tcPr>
        <w:tcBorders>
          <w:top w:val="single" w:sz="4" w:space="0" w:color="A5A5A5" w:themeColor="accent5"/>
          <w:left w:val="single" w:sz="4" w:space="0" w:color="A5A5A5" w:themeColor="accent5"/>
          <w:bottom w:val="single" w:sz="4" w:space="0" w:color="A5A5A5" w:themeColor="accent5"/>
          <w:right w:val="single" w:sz="4" w:space="0" w:color="A5A5A5" w:themeColor="accent5"/>
          <w:insideH w:val="nil"/>
        </w:tcBorders>
        <w:shd w:val="clear" w:color="auto" w:fill="A5A5A5" w:themeFill="accent5"/>
      </w:tcPr>
    </w:tblStylePr>
    <w:tblStylePr w:type="lastRow">
      <w:rPr>
        <w:b/>
        <w:bCs/>
      </w:rPr>
      <w:tblPr/>
      <w:tcPr>
        <w:tcBorders>
          <w:top w:val="double" w:sz="4" w:space="0" w:color="C9C9C9" w:themeColor="accent5" w:themeTint="99"/>
        </w:tcBorders>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ListTable4-Accent6">
    <w:name w:val="List Table 4 Accent 6"/>
    <w:basedOn w:val="TableNormal"/>
    <w:uiPriority w:val="49"/>
    <w:rsid w:val="008E4D10"/>
    <w:tblPr>
      <w:tblStyleRowBandSize w:val="1"/>
      <w:tblStyleColBandSize w:val="1"/>
      <w:tblBorders>
        <w:top w:val="single" w:sz="4" w:space="0" w:color="DEDEDE" w:themeColor="accent6" w:themeTint="99"/>
        <w:left w:val="single" w:sz="4" w:space="0" w:color="DEDEDE" w:themeColor="accent6" w:themeTint="99"/>
        <w:bottom w:val="single" w:sz="4" w:space="0" w:color="DEDEDE" w:themeColor="accent6" w:themeTint="99"/>
        <w:right w:val="single" w:sz="4" w:space="0" w:color="DEDEDE" w:themeColor="accent6" w:themeTint="99"/>
        <w:insideH w:val="single" w:sz="4" w:space="0" w:color="DEDEDE" w:themeColor="accent6" w:themeTint="99"/>
      </w:tblBorders>
    </w:tblPr>
    <w:tblStylePr w:type="firstRow">
      <w:rPr>
        <w:b/>
        <w:bCs/>
        <w:color w:val="FFFFFF" w:themeColor="background1"/>
      </w:rPr>
      <w:tblPr/>
      <w:tcPr>
        <w:tcBorders>
          <w:top w:val="single" w:sz="4" w:space="0" w:color="C8C8C8" w:themeColor="accent6"/>
          <w:left w:val="single" w:sz="4" w:space="0" w:color="C8C8C8" w:themeColor="accent6"/>
          <w:bottom w:val="single" w:sz="4" w:space="0" w:color="C8C8C8" w:themeColor="accent6"/>
          <w:right w:val="single" w:sz="4" w:space="0" w:color="C8C8C8" w:themeColor="accent6"/>
          <w:insideH w:val="nil"/>
        </w:tcBorders>
        <w:shd w:val="clear" w:color="auto" w:fill="C8C8C8" w:themeFill="accent6"/>
      </w:tcPr>
    </w:tblStylePr>
    <w:tblStylePr w:type="lastRow">
      <w:rPr>
        <w:b/>
        <w:bCs/>
      </w:rPr>
      <w:tblPr/>
      <w:tcPr>
        <w:tcBorders>
          <w:top w:val="double" w:sz="4" w:space="0" w:color="DEDEDE" w:themeColor="accent6" w:themeTint="99"/>
        </w:tcBorders>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ListTable5Dark">
    <w:name w:val="List Table 5 Dark"/>
    <w:basedOn w:val="TableNormal"/>
    <w:uiPriority w:val="50"/>
    <w:rsid w:val="008E4D1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E4D10"/>
    <w:rPr>
      <w:color w:val="FFFFFF" w:themeColor="background1"/>
    </w:rPr>
    <w:tblPr>
      <w:tblStyleRowBandSize w:val="1"/>
      <w:tblStyleColBandSize w:val="1"/>
      <w:tblBorders>
        <w:top w:val="single" w:sz="24" w:space="0" w:color="231EDC" w:themeColor="accent1"/>
        <w:left w:val="single" w:sz="24" w:space="0" w:color="231EDC" w:themeColor="accent1"/>
        <w:bottom w:val="single" w:sz="24" w:space="0" w:color="231EDC" w:themeColor="accent1"/>
        <w:right w:val="single" w:sz="24" w:space="0" w:color="231EDC" w:themeColor="accent1"/>
      </w:tblBorders>
    </w:tblPr>
    <w:tcPr>
      <w:shd w:val="clear" w:color="auto" w:fill="231ED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E4D10"/>
    <w:rPr>
      <w:color w:val="FFFFFF" w:themeColor="background1"/>
    </w:rPr>
    <w:tblPr>
      <w:tblStyleRowBandSize w:val="1"/>
      <w:tblStyleColBandSize w:val="1"/>
      <w:tblBorders>
        <w:top w:val="single" w:sz="24" w:space="0" w:color="0A7DFF" w:themeColor="accent2"/>
        <w:left w:val="single" w:sz="24" w:space="0" w:color="0A7DFF" w:themeColor="accent2"/>
        <w:bottom w:val="single" w:sz="24" w:space="0" w:color="0A7DFF" w:themeColor="accent2"/>
        <w:right w:val="single" w:sz="24" w:space="0" w:color="0A7DFF" w:themeColor="accent2"/>
      </w:tblBorders>
    </w:tblPr>
    <w:tcPr>
      <w:shd w:val="clear" w:color="auto" w:fill="0A7DF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E4D10"/>
    <w:rPr>
      <w:color w:val="FFFFFF" w:themeColor="background1"/>
    </w:rPr>
    <w:tblPr>
      <w:tblStyleRowBandSize w:val="1"/>
      <w:tblStyleColBandSize w:val="1"/>
      <w:tblBorders>
        <w:top w:val="single" w:sz="24" w:space="0" w:color="5AE6FF" w:themeColor="accent3"/>
        <w:left w:val="single" w:sz="24" w:space="0" w:color="5AE6FF" w:themeColor="accent3"/>
        <w:bottom w:val="single" w:sz="24" w:space="0" w:color="5AE6FF" w:themeColor="accent3"/>
        <w:right w:val="single" w:sz="24" w:space="0" w:color="5AE6FF" w:themeColor="accent3"/>
      </w:tblBorders>
    </w:tblPr>
    <w:tcPr>
      <w:shd w:val="clear" w:color="auto" w:fill="5AE6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E4D10"/>
    <w:rPr>
      <w:color w:val="FFFFFF" w:themeColor="background1"/>
    </w:rPr>
    <w:tblPr>
      <w:tblStyleRowBandSize w:val="1"/>
      <w:tblStyleColBandSize w:val="1"/>
      <w:tblBorders>
        <w:top w:val="single" w:sz="24" w:space="0" w:color="001E55" w:themeColor="accent4"/>
        <w:left w:val="single" w:sz="24" w:space="0" w:color="001E55" w:themeColor="accent4"/>
        <w:bottom w:val="single" w:sz="24" w:space="0" w:color="001E55" w:themeColor="accent4"/>
        <w:right w:val="single" w:sz="24" w:space="0" w:color="001E55" w:themeColor="accent4"/>
      </w:tblBorders>
    </w:tblPr>
    <w:tcPr>
      <w:shd w:val="clear" w:color="auto" w:fill="001E5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E4D10"/>
    <w:rPr>
      <w:color w:val="FFFFFF" w:themeColor="background1"/>
    </w:rPr>
    <w:tblPr>
      <w:tblStyleRowBandSize w:val="1"/>
      <w:tblStyleColBandSize w:val="1"/>
      <w:tblBorders>
        <w:top w:val="single" w:sz="24" w:space="0" w:color="A5A5A5" w:themeColor="accent5"/>
        <w:left w:val="single" w:sz="24" w:space="0" w:color="A5A5A5" w:themeColor="accent5"/>
        <w:bottom w:val="single" w:sz="24" w:space="0" w:color="A5A5A5" w:themeColor="accent5"/>
        <w:right w:val="single" w:sz="24" w:space="0" w:color="A5A5A5" w:themeColor="accent5"/>
      </w:tblBorders>
    </w:tblPr>
    <w:tcPr>
      <w:shd w:val="clear" w:color="auto" w:fill="A5A5A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E4D10"/>
    <w:rPr>
      <w:color w:val="FFFFFF" w:themeColor="background1"/>
    </w:rPr>
    <w:tblPr>
      <w:tblStyleRowBandSize w:val="1"/>
      <w:tblStyleColBandSize w:val="1"/>
      <w:tblBorders>
        <w:top w:val="single" w:sz="24" w:space="0" w:color="C8C8C8" w:themeColor="accent6"/>
        <w:left w:val="single" w:sz="24" w:space="0" w:color="C8C8C8" w:themeColor="accent6"/>
        <w:bottom w:val="single" w:sz="24" w:space="0" w:color="C8C8C8" w:themeColor="accent6"/>
        <w:right w:val="single" w:sz="24" w:space="0" w:color="C8C8C8" w:themeColor="accent6"/>
      </w:tblBorders>
    </w:tblPr>
    <w:tcPr>
      <w:shd w:val="clear" w:color="auto" w:fill="C8C8C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E4D1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E4D10"/>
    <w:rPr>
      <w:color w:val="1916A4" w:themeColor="accent1" w:themeShade="BF"/>
    </w:rPr>
    <w:tblPr>
      <w:tblStyleRowBandSize w:val="1"/>
      <w:tblStyleColBandSize w:val="1"/>
      <w:tblBorders>
        <w:top w:val="single" w:sz="4" w:space="0" w:color="231EDC" w:themeColor="accent1"/>
        <w:bottom w:val="single" w:sz="4" w:space="0" w:color="231EDC" w:themeColor="accent1"/>
      </w:tblBorders>
    </w:tblPr>
    <w:tblStylePr w:type="firstRow">
      <w:rPr>
        <w:b/>
        <w:bCs/>
      </w:rPr>
      <w:tblPr/>
      <w:tcPr>
        <w:tcBorders>
          <w:bottom w:val="single" w:sz="4" w:space="0" w:color="231EDC" w:themeColor="accent1"/>
        </w:tcBorders>
      </w:tcPr>
    </w:tblStylePr>
    <w:tblStylePr w:type="lastRow">
      <w:rPr>
        <w:b/>
        <w:bCs/>
      </w:rPr>
      <w:tblPr/>
      <w:tcPr>
        <w:tcBorders>
          <w:top w:val="double" w:sz="4" w:space="0" w:color="231EDC" w:themeColor="accent1"/>
        </w:tcBorders>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ListTable6Colorful-Accent2">
    <w:name w:val="List Table 6 Colorful Accent 2"/>
    <w:basedOn w:val="TableNormal"/>
    <w:uiPriority w:val="51"/>
    <w:rsid w:val="008E4D10"/>
    <w:rPr>
      <w:color w:val="005CC6" w:themeColor="accent2" w:themeShade="BF"/>
    </w:rPr>
    <w:tblPr>
      <w:tblStyleRowBandSize w:val="1"/>
      <w:tblStyleColBandSize w:val="1"/>
      <w:tblBorders>
        <w:top w:val="single" w:sz="4" w:space="0" w:color="0A7DFF" w:themeColor="accent2"/>
        <w:bottom w:val="single" w:sz="4" w:space="0" w:color="0A7DFF" w:themeColor="accent2"/>
      </w:tblBorders>
    </w:tblPr>
    <w:tblStylePr w:type="firstRow">
      <w:rPr>
        <w:b/>
        <w:bCs/>
      </w:rPr>
      <w:tblPr/>
      <w:tcPr>
        <w:tcBorders>
          <w:bottom w:val="single" w:sz="4" w:space="0" w:color="0A7DFF" w:themeColor="accent2"/>
        </w:tcBorders>
      </w:tcPr>
    </w:tblStylePr>
    <w:tblStylePr w:type="lastRow">
      <w:rPr>
        <w:b/>
        <w:bCs/>
      </w:rPr>
      <w:tblPr/>
      <w:tcPr>
        <w:tcBorders>
          <w:top w:val="double" w:sz="4" w:space="0" w:color="0A7DFF" w:themeColor="accent2"/>
        </w:tcBorders>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ListTable6Colorful-Accent3">
    <w:name w:val="List Table 6 Colorful Accent 3"/>
    <w:basedOn w:val="TableNormal"/>
    <w:uiPriority w:val="51"/>
    <w:rsid w:val="008E4D10"/>
    <w:rPr>
      <w:color w:val="03D8FF" w:themeColor="accent3" w:themeShade="BF"/>
    </w:rPr>
    <w:tblPr>
      <w:tblStyleRowBandSize w:val="1"/>
      <w:tblStyleColBandSize w:val="1"/>
      <w:tblBorders>
        <w:top w:val="single" w:sz="4" w:space="0" w:color="5AE6FF" w:themeColor="accent3"/>
        <w:bottom w:val="single" w:sz="4" w:space="0" w:color="5AE6FF" w:themeColor="accent3"/>
      </w:tblBorders>
    </w:tblPr>
    <w:tblStylePr w:type="firstRow">
      <w:rPr>
        <w:b/>
        <w:bCs/>
      </w:rPr>
      <w:tblPr/>
      <w:tcPr>
        <w:tcBorders>
          <w:bottom w:val="single" w:sz="4" w:space="0" w:color="5AE6FF" w:themeColor="accent3"/>
        </w:tcBorders>
      </w:tcPr>
    </w:tblStylePr>
    <w:tblStylePr w:type="lastRow">
      <w:rPr>
        <w:b/>
        <w:bCs/>
      </w:rPr>
      <w:tblPr/>
      <w:tcPr>
        <w:tcBorders>
          <w:top w:val="double" w:sz="4" w:space="0" w:color="5AE6FF" w:themeColor="accent3"/>
        </w:tcBorders>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ListTable6Colorful-Accent4">
    <w:name w:val="List Table 6 Colorful Accent 4"/>
    <w:basedOn w:val="TableNormal"/>
    <w:uiPriority w:val="51"/>
    <w:rsid w:val="008E4D10"/>
    <w:rPr>
      <w:color w:val="00163F" w:themeColor="accent4" w:themeShade="BF"/>
    </w:rPr>
    <w:tblPr>
      <w:tblStyleRowBandSize w:val="1"/>
      <w:tblStyleColBandSize w:val="1"/>
      <w:tblBorders>
        <w:top w:val="single" w:sz="4" w:space="0" w:color="001E55" w:themeColor="accent4"/>
        <w:bottom w:val="single" w:sz="4" w:space="0" w:color="001E55" w:themeColor="accent4"/>
      </w:tblBorders>
    </w:tblPr>
    <w:tblStylePr w:type="firstRow">
      <w:rPr>
        <w:b/>
        <w:bCs/>
      </w:rPr>
      <w:tblPr/>
      <w:tcPr>
        <w:tcBorders>
          <w:bottom w:val="single" w:sz="4" w:space="0" w:color="001E55" w:themeColor="accent4"/>
        </w:tcBorders>
      </w:tcPr>
    </w:tblStylePr>
    <w:tblStylePr w:type="lastRow">
      <w:rPr>
        <w:b/>
        <w:bCs/>
      </w:rPr>
      <w:tblPr/>
      <w:tcPr>
        <w:tcBorders>
          <w:top w:val="double" w:sz="4" w:space="0" w:color="001E55" w:themeColor="accent4"/>
        </w:tcBorders>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ListTable6Colorful-Accent5">
    <w:name w:val="List Table 6 Colorful Accent 5"/>
    <w:basedOn w:val="TableNormal"/>
    <w:uiPriority w:val="51"/>
    <w:rsid w:val="008E4D10"/>
    <w:rPr>
      <w:color w:val="7B7B7B" w:themeColor="accent5" w:themeShade="BF"/>
    </w:rPr>
    <w:tblPr>
      <w:tblStyleRowBandSize w:val="1"/>
      <w:tblStyleColBandSize w:val="1"/>
      <w:tblBorders>
        <w:top w:val="single" w:sz="4" w:space="0" w:color="A5A5A5" w:themeColor="accent5"/>
        <w:bottom w:val="single" w:sz="4" w:space="0" w:color="A5A5A5" w:themeColor="accent5"/>
      </w:tblBorders>
    </w:tblPr>
    <w:tblStylePr w:type="firstRow">
      <w:rPr>
        <w:b/>
        <w:bCs/>
      </w:rPr>
      <w:tblPr/>
      <w:tcPr>
        <w:tcBorders>
          <w:bottom w:val="single" w:sz="4" w:space="0" w:color="A5A5A5" w:themeColor="accent5"/>
        </w:tcBorders>
      </w:tcPr>
    </w:tblStylePr>
    <w:tblStylePr w:type="lastRow">
      <w:rPr>
        <w:b/>
        <w:bCs/>
      </w:rPr>
      <w:tblPr/>
      <w:tcPr>
        <w:tcBorders>
          <w:top w:val="double" w:sz="4" w:space="0" w:color="A5A5A5" w:themeColor="accent5"/>
        </w:tcBorders>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ListTable6Colorful-Accent6">
    <w:name w:val="List Table 6 Colorful Accent 6"/>
    <w:basedOn w:val="TableNormal"/>
    <w:uiPriority w:val="51"/>
    <w:rsid w:val="008E4D10"/>
    <w:rPr>
      <w:color w:val="959595" w:themeColor="accent6" w:themeShade="BF"/>
    </w:rPr>
    <w:tblPr>
      <w:tblStyleRowBandSize w:val="1"/>
      <w:tblStyleColBandSize w:val="1"/>
      <w:tblBorders>
        <w:top w:val="single" w:sz="4" w:space="0" w:color="C8C8C8" w:themeColor="accent6"/>
        <w:bottom w:val="single" w:sz="4" w:space="0" w:color="C8C8C8" w:themeColor="accent6"/>
      </w:tblBorders>
    </w:tblPr>
    <w:tblStylePr w:type="firstRow">
      <w:rPr>
        <w:b/>
        <w:bCs/>
      </w:rPr>
      <w:tblPr/>
      <w:tcPr>
        <w:tcBorders>
          <w:bottom w:val="single" w:sz="4" w:space="0" w:color="C8C8C8" w:themeColor="accent6"/>
        </w:tcBorders>
      </w:tcPr>
    </w:tblStylePr>
    <w:tblStylePr w:type="lastRow">
      <w:rPr>
        <w:b/>
        <w:bCs/>
      </w:rPr>
      <w:tblPr/>
      <w:tcPr>
        <w:tcBorders>
          <w:top w:val="double" w:sz="4" w:space="0" w:color="C8C8C8" w:themeColor="accent6"/>
        </w:tcBorders>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ListTable7Colorful">
    <w:name w:val="List Table 7 Colorful"/>
    <w:basedOn w:val="TableNormal"/>
    <w:uiPriority w:val="52"/>
    <w:rsid w:val="008E4D1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E4D10"/>
    <w:rPr>
      <w:color w:val="1916A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ED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ED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ED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EDC" w:themeColor="accent1"/>
        </w:tcBorders>
        <w:shd w:val="clear" w:color="auto" w:fill="FFFFFF" w:themeFill="background1"/>
      </w:tcPr>
    </w:tblStylePr>
    <w:tblStylePr w:type="band1Vert">
      <w:tblPr/>
      <w:tcPr>
        <w:shd w:val="clear" w:color="auto" w:fill="D2D1F8" w:themeFill="accent1" w:themeFillTint="33"/>
      </w:tcPr>
    </w:tblStylePr>
    <w:tblStylePr w:type="band1Horz">
      <w:tblPr/>
      <w:tcPr>
        <w:shd w:val="clear" w:color="auto" w:fill="D2D1F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E4D10"/>
    <w:rPr>
      <w:color w:val="005CC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7DF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7DF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7DF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7DFF" w:themeColor="accent2"/>
        </w:tcBorders>
        <w:shd w:val="clear" w:color="auto" w:fill="FFFFFF" w:themeFill="background1"/>
      </w:tcPr>
    </w:tblStylePr>
    <w:tblStylePr w:type="band1Vert">
      <w:tblPr/>
      <w:tcPr>
        <w:shd w:val="clear" w:color="auto" w:fill="CEE4FF" w:themeFill="accent2" w:themeFillTint="33"/>
      </w:tcPr>
    </w:tblStylePr>
    <w:tblStylePr w:type="band1Horz">
      <w:tblPr/>
      <w:tcPr>
        <w:shd w:val="clear" w:color="auto" w:fill="CEE4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E4D10"/>
    <w:rPr>
      <w:color w:val="03D8F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E6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E6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E6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E6FF" w:themeColor="accent3"/>
        </w:tcBorders>
        <w:shd w:val="clear" w:color="auto" w:fill="FFFFFF" w:themeFill="background1"/>
      </w:tcPr>
    </w:tblStylePr>
    <w:tblStylePr w:type="band1Vert">
      <w:tblPr/>
      <w:tcPr>
        <w:shd w:val="clear" w:color="auto" w:fill="DEF9FF" w:themeFill="accent3" w:themeFillTint="33"/>
      </w:tcPr>
    </w:tblStylePr>
    <w:tblStylePr w:type="band1Horz">
      <w:tblPr/>
      <w:tcPr>
        <w:shd w:val="clear" w:color="auto" w:fill="DEF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E4D10"/>
    <w:rPr>
      <w:color w:val="00163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E5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E5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E5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E55" w:themeColor="accent4"/>
        </w:tcBorders>
        <w:shd w:val="clear" w:color="auto" w:fill="FFFFFF" w:themeFill="background1"/>
      </w:tcPr>
    </w:tblStylePr>
    <w:tblStylePr w:type="band1Vert">
      <w:tblPr/>
      <w:tcPr>
        <w:shd w:val="clear" w:color="auto" w:fill="AAC8FF" w:themeFill="accent4" w:themeFillTint="33"/>
      </w:tcPr>
    </w:tblStylePr>
    <w:tblStylePr w:type="band1Horz">
      <w:tblPr/>
      <w:tcPr>
        <w:shd w:val="clear" w:color="auto" w:fill="AAC8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E4D10"/>
    <w:rPr>
      <w:color w:val="7B7B7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5"/>
        </w:tcBorders>
        <w:shd w:val="clear" w:color="auto" w:fill="FFFFFF" w:themeFill="background1"/>
      </w:tcPr>
    </w:tblStylePr>
    <w:tblStylePr w:type="band1Vert">
      <w:tblPr/>
      <w:tcPr>
        <w:shd w:val="clear" w:color="auto" w:fill="EDEDED" w:themeFill="accent5" w:themeFillTint="33"/>
      </w:tcPr>
    </w:tblStylePr>
    <w:tblStylePr w:type="band1Horz">
      <w:tblPr/>
      <w:tcPr>
        <w:shd w:val="clear" w:color="auto" w:fill="EDED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E4D10"/>
    <w:rPr>
      <w:color w:val="95959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C8C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C8C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C8C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C8C8" w:themeColor="accent6"/>
        </w:tcBorders>
        <w:shd w:val="clear" w:color="auto" w:fill="FFFFFF" w:themeFill="background1"/>
      </w:tcPr>
    </w:tblStylePr>
    <w:tblStylePr w:type="band1Vert">
      <w:tblPr/>
      <w:tcPr>
        <w:shd w:val="clear" w:color="auto" w:fill="F4F4F4" w:themeFill="accent6" w:themeFillTint="33"/>
      </w:tcPr>
    </w:tblStylePr>
    <w:tblStylePr w:type="band1Horz">
      <w:tblPr/>
      <w:tcPr>
        <w:shd w:val="clear" w:color="auto" w:fill="F4F4F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E4D1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8E4D10"/>
    <w:rPr>
      <w:rFonts w:ascii="Consolas" w:hAnsi="Consolas"/>
    </w:rPr>
  </w:style>
  <w:style w:type="table" w:styleId="MediumGrid1">
    <w:name w:val="Medium Grid 1"/>
    <w:basedOn w:val="TableNormal"/>
    <w:uiPriority w:val="67"/>
    <w:semiHidden/>
    <w:unhideWhenUsed/>
    <w:rsid w:val="008E4D1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E4D10"/>
    <w:tblPr>
      <w:tblStyleRowBandSize w:val="1"/>
      <w:tblStyleColBandSize w:val="1"/>
      <w:tblBorders>
        <w:top w:val="single" w:sz="8" w:space="0" w:color="5653E7" w:themeColor="accent1" w:themeTint="BF"/>
        <w:left w:val="single" w:sz="8" w:space="0" w:color="5653E7" w:themeColor="accent1" w:themeTint="BF"/>
        <w:bottom w:val="single" w:sz="8" w:space="0" w:color="5653E7" w:themeColor="accent1" w:themeTint="BF"/>
        <w:right w:val="single" w:sz="8" w:space="0" w:color="5653E7" w:themeColor="accent1" w:themeTint="BF"/>
        <w:insideH w:val="single" w:sz="8" w:space="0" w:color="5653E7" w:themeColor="accent1" w:themeTint="BF"/>
        <w:insideV w:val="single" w:sz="8" w:space="0" w:color="5653E7" w:themeColor="accent1" w:themeTint="BF"/>
      </w:tblBorders>
    </w:tblPr>
    <w:tcPr>
      <w:shd w:val="clear" w:color="auto" w:fill="C7C6F7" w:themeFill="accent1" w:themeFillTint="3F"/>
    </w:tcPr>
    <w:tblStylePr w:type="firstRow">
      <w:rPr>
        <w:b/>
        <w:bCs/>
      </w:rPr>
    </w:tblStylePr>
    <w:tblStylePr w:type="lastRow">
      <w:rPr>
        <w:b/>
        <w:bCs/>
      </w:rPr>
      <w:tblPr/>
      <w:tcPr>
        <w:tcBorders>
          <w:top w:val="single" w:sz="18" w:space="0" w:color="5653E7" w:themeColor="accent1" w:themeTint="BF"/>
        </w:tcBorders>
      </w:tcPr>
    </w:tblStylePr>
    <w:tblStylePr w:type="firstCol">
      <w:rPr>
        <w:b/>
        <w:bCs/>
      </w:rPr>
    </w:tblStylePr>
    <w:tblStylePr w:type="lastCol">
      <w:rPr>
        <w:b/>
        <w:bCs/>
      </w:rPr>
    </w:tblStylePr>
    <w:tblStylePr w:type="band1Vert">
      <w:tblPr/>
      <w:tcPr>
        <w:shd w:val="clear" w:color="auto" w:fill="8F8CEF" w:themeFill="accent1" w:themeFillTint="7F"/>
      </w:tcPr>
    </w:tblStylePr>
    <w:tblStylePr w:type="band1Horz">
      <w:tblPr/>
      <w:tcPr>
        <w:shd w:val="clear" w:color="auto" w:fill="8F8CEF" w:themeFill="accent1" w:themeFillTint="7F"/>
      </w:tcPr>
    </w:tblStylePr>
  </w:style>
  <w:style w:type="table" w:styleId="MediumGrid1-Accent2">
    <w:name w:val="Medium Grid 1 Accent 2"/>
    <w:basedOn w:val="TableNormal"/>
    <w:uiPriority w:val="67"/>
    <w:semiHidden/>
    <w:unhideWhenUsed/>
    <w:rsid w:val="008E4D10"/>
    <w:tblPr>
      <w:tblStyleRowBandSize w:val="1"/>
      <w:tblStyleColBandSize w:val="1"/>
      <w:tblBorders>
        <w:top w:val="single" w:sz="8" w:space="0" w:color="479DFF" w:themeColor="accent2" w:themeTint="BF"/>
        <w:left w:val="single" w:sz="8" w:space="0" w:color="479DFF" w:themeColor="accent2" w:themeTint="BF"/>
        <w:bottom w:val="single" w:sz="8" w:space="0" w:color="479DFF" w:themeColor="accent2" w:themeTint="BF"/>
        <w:right w:val="single" w:sz="8" w:space="0" w:color="479DFF" w:themeColor="accent2" w:themeTint="BF"/>
        <w:insideH w:val="single" w:sz="8" w:space="0" w:color="479DFF" w:themeColor="accent2" w:themeTint="BF"/>
        <w:insideV w:val="single" w:sz="8" w:space="0" w:color="479DFF" w:themeColor="accent2" w:themeTint="BF"/>
      </w:tblBorders>
    </w:tblPr>
    <w:tcPr>
      <w:shd w:val="clear" w:color="auto" w:fill="C2DEFF" w:themeFill="accent2" w:themeFillTint="3F"/>
    </w:tcPr>
    <w:tblStylePr w:type="firstRow">
      <w:rPr>
        <w:b/>
        <w:bCs/>
      </w:rPr>
    </w:tblStylePr>
    <w:tblStylePr w:type="lastRow">
      <w:rPr>
        <w:b/>
        <w:bCs/>
      </w:rPr>
      <w:tblPr/>
      <w:tcPr>
        <w:tcBorders>
          <w:top w:val="single" w:sz="18" w:space="0" w:color="479DFF" w:themeColor="accent2" w:themeTint="BF"/>
        </w:tcBorders>
      </w:tcPr>
    </w:tblStylePr>
    <w:tblStylePr w:type="firstCol">
      <w:rPr>
        <w:b/>
        <w:bCs/>
      </w:rPr>
    </w:tblStylePr>
    <w:tblStylePr w:type="lastCol">
      <w:rPr>
        <w:b/>
        <w:bCs/>
      </w:rPr>
    </w:tblStylePr>
    <w:tblStylePr w:type="band1Vert">
      <w:tblPr/>
      <w:tcPr>
        <w:shd w:val="clear" w:color="auto" w:fill="84BDFF" w:themeFill="accent2" w:themeFillTint="7F"/>
      </w:tcPr>
    </w:tblStylePr>
    <w:tblStylePr w:type="band1Horz">
      <w:tblPr/>
      <w:tcPr>
        <w:shd w:val="clear" w:color="auto" w:fill="84BDFF" w:themeFill="accent2" w:themeFillTint="7F"/>
      </w:tcPr>
    </w:tblStylePr>
  </w:style>
  <w:style w:type="table" w:styleId="MediumGrid1-Accent3">
    <w:name w:val="Medium Grid 1 Accent 3"/>
    <w:basedOn w:val="TableNormal"/>
    <w:uiPriority w:val="67"/>
    <w:semiHidden/>
    <w:unhideWhenUsed/>
    <w:rsid w:val="008E4D10"/>
    <w:tblPr>
      <w:tblStyleRowBandSize w:val="1"/>
      <w:tblStyleColBandSize w:val="1"/>
      <w:tblBorders>
        <w:top w:val="single" w:sz="8" w:space="0" w:color="83ECFF" w:themeColor="accent3" w:themeTint="BF"/>
        <w:left w:val="single" w:sz="8" w:space="0" w:color="83ECFF" w:themeColor="accent3" w:themeTint="BF"/>
        <w:bottom w:val="single" w:sz="8" w:space="0" w:color="83ECFF" w:themeColor="accent3" w:themeTint="BF"/>
        <w:right w:val="single" w:sz="8" w:space="0" w:color="83ECFF" w:themeColor="accent3" w:themeTint="BF"/>
        <w:insideH w:val="single" w:sz="8" w:space="0" w:color="83ECFF" w:themeColor="accent3" w:themeTint="BF"/>
        <w:insideV w:val="single" w:sz="8" w:space="0" w:color="83ECFF" w:themeColor="accent3" w:themeTint="BF"/>
      </w:tblBorders>
    </w:tblPr>
    <w:tcPr>
      <w:shd w:val="clear" w:color="auto" w:fill="D6F8FF" w:themeFill="accent3" w:themeFillTint="3F"/>
    </w:tcPr>
    <w:tblStylePr w:type="firstRow">
      <w:rPr>
        <w:b/>
        <w:bCs/>
      </w:rPr>
    </w:tblStylePr>
    <w:tblStylePr w:type="lastRow">
      <w:rPr>
        <w:b/>
        <w:bCs/>
      </w:rPr>
      <w:tblPr/>
      <w:tcPr>
        <w:tcBorders>
          <w:top w:val="single" w:sz="18" w:space="0" w:color="83ECFF" w:themeColor="accent3" w:themeTint="BF"/>
        </w:tcBorders>
      </w:tcPr>
    </w:tblStylePr>
    <w:tblStylePr w:type="firstCol">
      <w:rPr>
        <w:b/>
        <w:bCs/>
      </w:rPr>
    </w:tblStylePr>
    <w:tblStylePr w:type="lastCol">
      <w:rPr>
        <w:b/>
        <w:bCs/>
      </w:rPr>
    </w:tblStylePr>
    <w:tblStylePr w:type="band1Vert">
      <w:tblPr/>
      <w:tcPr>
        <w:shd w:val="clear" w:color="auto" w:fill="ACF2FF" w:themeFill="accent3" w:themeFillTint="7F"/>
      </w:tcPr>
    </w:tblStylePr>
    <w:tblStylePr w:type="band1Horz">
      <w:tblPr/>
      <w:tcPr>
        <w:shd w:val="clear" w:color="auto" w:fill="ACF2FF" w:themeFill="accent3" w:themeFillTint="7F"/>
      </w:tcPr>
    </w:tblStylePr>
  </w:style>
  <w:style w:type="table" w:styleId="MediumGrid1-Accent4">
    <w:name w:val="Medium Grid 1 Accent 4"/>
    <w:basedOn w:val="TableNormal"/>
    <w:uiPriority w:val="67"/>
    <w:semiHidden/>
    <w:unhideWhenUsed/>
    <w:rsid w:val="008E4D10"/>
    <w:tblPr>
      <w:tblStyleRowBandSize w:val="1"/>
      <w:tblStyleColBandSize w:val="1"/>
      <w:tblBorders>
        <w:top w:val="single" w:sz="8" w:space="0" w:color="0043BF" w:themeColor="accent4" w:themeTint="BF"/>
        <w:left w:val="single" w:sz="8" w:space="0" w:color="0043BF" w:themeColor="accent4" w:themeTint="BF"/>
        <w:bottom w:val="single" w:sz="8" w:space="0" w:color="0043BF" w:themeColor="accent4" w:themeTint="BF"/>
        <w:right w:val="single" w:sz="8" w:space="0" w:color="0043BF" w:themeColor="accent4" w:themeTint="BF"/>
        <w:insideH w:val="single" w:sz="8" w:space="0" w:color="0043BF" w:themeColor="accent4" w:themeTint="BF"/>
        <w:insideV w:val="single" w:sz="8" w:space="0" w:color="0043BF" w:themeColor="accent4" w:themeTint="BF"/>
      </w:tblBorders>
    </w:tblPr>
    <w:tcPr>
      <w:shd w:val="clear" w:color="auto" w:fill="96BBFF" w:themeFill="accent4" w:themeFillTint="3F"/>
    </w:tcPr>
    <w:tblStylePr w:type="firstRow">
      <w:rPr>
        <w:b/>
        <w:bCs/>
      </w:rPr>
    </w:tblStylePr>
    <w:tblStylePr w:type="lastRow">
      <w:rPr>
        <w:b/>
        <w:bCs/>
      </w:rPr>
      <w:tblPr/>
      <w:tcPr>
        <w:tcBorders>
          <w:top w:val="single" w:sz="18" w:space="0" w:color="0043BF" w:themeColor="accent4" w:themeTint="BF"/>
        </w:tcBorders>
      </w:tcPr>
    </w:tblStylePr>
    <w:tblStylePr w:type="firstCol">
      <w:rPr>
        <w:b/>
        <w:bCs/>
      </w:rPr>
    </w:tblStylePr>
    <w:tblStylePr w:type="lastCol">
      <w:rPr>
        <w:b/>
        <w:bCs/>
      </w:rPr>
    </w:tblStylePr>
    <w:tblStylePr w:type="band1Vert">
      <w:tblPr/>
      <w:tcPr>
        <w:shd w:val="clear" w:color="auto" w:fill="2B76FF" w:themeFill="accent4" w:themeFillTint="7F"/>
      </w:tcPr>
    </w:tblStylePr>
    <w:tblStylePr w:type="band1Horz">
      <w:tblPr/>
      <w:tcPr>
        <w:shd w:val="clear" w:color="auto" w:fill="2B76FF" w:themeFill="accent4" w:themeFillTint="7F"/>
      </w:tcPr>
    </w:tblStylePr>
  </w:style>
  <w:style w:type="table" w:styleId="MediumGrid1-Accent5">
    <w:name w:val="Medium Grid 1 Accent 5"/>
    <w:basedOn w:val="TableNormal"/>
    <w:uiPriority w:val="67"/>
    <w:semiHidden/>
    <w:unhideWhenUsed/>
    <w:rsid w:val="008E4D10"/>
    <w:tblPr>
      <w:tblStyleRowBandSize w:val="1"/>
      <w:tblStyleColBandSize w:val="1"/>
      <w:tblBorders>
        <w:top w:val="single" w:sz="8" w:space="0" w:color="BBBBBB" w:themeColor="accent5" w:themeTint="BF"/>
        <w:left w:val="single" w:sz="8" w:space="0" w:color="BBBBBB" w:themeColor="accent5" w:themeTint="BF"/>
        <w:bottom w:val="single" w:sz="8" w:space="0" w:color="BBBBBB" w:themeColor="accent5" w:themeTint="BF"/>
        <w:right w:val="single" w:sz="8" w:space="0" w:color="BBBBBB" w:themeColor="accent5" w:themeTint="BF"/>
        <w:insideH w:val="single" w:sz="8" w:space="0" w:color="BBBBBB" w:themeColor="accent5" w:themeTint="BF"/>
        <w:insideV w:val="single" w:sz="8" w:space="0" w:color="BBBBBB" w:themeColor="accent5" w:themeTint="BF"/>
      </w:tblBorders>
    </w:tblPr>
    <w:tcPr>
      <w:shd w:val="clear" w:color="auto" w:fill="E8E8E8" w:themeFill="accent5" w:themeFillTint="3F"/>
    </w:tcPr>
    <w:tblStylePr w:type="firstRow">
      <w:rPr>
        <w:b/>
        <w:bCs/>
      </w:rPr>
    </w:tblStylePr>
    <w:tblStylePr w:type="lastRow">
      <w:rPr>
        <w:b/>
        <w:bCs/>
      </w:rPr>
      <w:tblPr/>
      <w:tcPr>
        <w:tcBorders>
          <w:top w:val="single" w:sz="18" w:space="0" w:color="BBBBBB" w:themeColor="accent5" w:themeTint="BF"/>
        </w:tcBorders>
      </w:tcPr>
    </w:tblStylePr>
    <w:tblStylePr w:type="firstCol">
      <w:rPr>
        <w:b/>
        <w:bCs/>
      </w:rPr>
    </w:tblStylePr>
    <w:tblStylePr w:type="lastCol">
      <w:rPr>
        <w:b/>
        <w:bCs/>
      </w:rPr>
    </w:tblStylePr>
    <w:tblStylePr w:type="band1Vert">
      <w:tblPr/>
      <w:tcPr>
        <w:shd w:val="clear" w:color="auto" w:fill="D2D2D2" w:themeFill="accent5" w:themeFillTint="7F"/>
      </w:tcPr>
    </w:tblStylePr>
    <w:tblStylePr w:type="band1Horz">
      <w:tblPr/>
      <w:tcPr>
        <w:shd w:val="clear" w:color="auto" w:fill="D2D2D2" w:themeFill="accent5" w:themeFillTint="7F"/>
      </w:tcPr>
    </w:tblStylePr>
  </w:style>
  <w:style w:type="table" w:styleId="MediumGrid1-Accent6">
    <w:name w:val="Medium Grid 1 Accent 6"/>
    <w:basedOn w:val="TableNormal"/>
    <w:uiPriority w:val="67"/>
    <w:semiHidden/>
    <w:unhideWhenUsed/>
    <w:rsid w:val="008E4D10"/>
    <w:tblPr>
      <w:tblStyleRowBandSize w:val="1"/>
      <w:tblStyleColBandSize w:val="1"/>
      <w:tblBorders>
        <w:top w:val="single" w:sz="8" w:space="0" w:color="D5D5D5" w:themeColor="accent6" w:themeTint="BF"/>
        <w:left w:val="single" w:sz="8" w:space="0" w:color="D5D5D5" w:themeColor="accent6" w:themeTint="BF"/>
        <w:bottom w:val="single" w:sz="8" w:space="0" w:color="D5D5D5" w:themeColor="accent6" w:themeTint="BF"/>
        <w:right w:val="single" w:sz="8" w:space="0" w:color="D5D5D5" w:themeColor="accent6" w:themeTint="BF"/>
        <w:insideH w:val="single" w:sz="8" w:space="0" w:color="D5D5D5" w:themeColor="accent6" w:themeTint="BF"/>
        <w:insideV w:val="single" w:sz="8" w:space="0" w:color="D5D5D5" w:themeColor="accent6" w:themeTint="BF"/>
      </w:tblBorders>
    </w:tblPr>
    <w:tcPr>
      <w:shd w:val="clear" w:color="auto" w:fill="F1F1F1" w:themeFill="accent6" w:themeFillTint="3F"/>
    </w:tcPr>
    <w:tblStylePr w:type="firstRow">
      <w:rPr>
        <w:b/>
        <w:bCs/>
      </w:rPr>
    </w:tblStylePr>
    <w:tblStylePr w:type="lastRow">
      <w:rPr>
        <w:b/>
        <w:bCs/>
      </w:rPr>
      <w:tblPr/>
      <w:tcPr>
        <w:tcBorders>
          <w:top w:val="single" w:sz="18" w:space="0" w:color="D5D5D5" w:themeColor="accent6" w:themeTint="BF"/>
        </w:tcBorders>
      </w:tcPr>
    </w:tblStylePr>
    <w:tblStylePr w:type="firstCol">
      <w:rPr>
        <w:b/>
        <w:bCs/>
      </w:rPr>
    </w:tblStylePr>
    <w:tblStylePr w:type="lastCol">
      <w:rPr>
        <w:b/>
        <w:bCs/>
      </w:rPr>
    </w:tblStylePr>
    <w:tblStylePr w:type="band1Vert">
      <w:tblPr/>
      <w:tcPr>
        <w:shd w:val="clear" w:color="auto" w:fill="E3E3E3" w:themeFill="accent6" w:themeFillTint="7F"/>
      </w:tcPr>
    </w:tblStylePr>
    <w:tblStylePr w:type="band1Horz">
      <w:tblPr/>
      <w:tcPr>
        <w:shd w:val="clear" w:color="auto" w:fill="E3E3E3" w:themeFill="accent6" w:themeFillTint="7F"/>
      </w:tcPr>
    </w:tblStylePr>
  </w:style>
  <w:style w:type="table" w:styleId="MediumGrid2">
    <w:name w:val="Medium Grid 2"/>
    <w:basedOn w:val="TableNormal"/>
    <w:uiPriority w:val="68"/>
    <w:semiHidden/>
    <w:unhideWhenUsed/>
    <w:rsid w:val="008E4D1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E4D10"/>
    <w:rPr>
      <w:rFonts w:eastAsiaTheme="majorEastAsia" w:cstheme="majorBidi"/>
      <w:color w:val="000000" w:themeColor="text1"/>
    </w:rPr>
    <w:tblPr>
      <w:tblStyleRowBandSize w:val="1"/>
      <w:tblStyleColBandSize w:val="1"/>
      <w:tblBorders>
        <w:top w:val="single" w:sz="8" w:space="0" w:color="231EDC" w:themeColor="accent1"/>
        <w:left w:val="single" w:sz="8" w:space="0" w:color="231EDC" w:themeColor="accent1"/>
        <w:bottom w:val="single" w:sz="8" w:space="0" w:color="231EDC" w:themeColor="accent1"/>
        <w:right w:val="single" w:sz="8" w:space="0" w:color="231EDC" w:themeColor="accent1"/>
        <w:insideH w:val="single" w:sz="8" w:space="0" w:color="231EDC" w:themeColor="accent1"/>
        <w:insideV w:val="single" w:sz="8" w:space="0" w:color="231EDC" w:themeColor="accent1"/>
      </w:tblBorders>
    </w:tblPr>
    <w:tcPr>
      <w:shd w:val="clear" w:color="auto" w:fill="C7C6F7" w:themeFill="accent1" w:themeFillTint="3F"/>
    </w:tcPr>
    <w:tblStylePr w:type="firstRow">
      <w:rPr>
        <w:b/>
        <w:bCs/>
        <w:color w:val="000000" w:themeColor="text1"/>
      </w:rPr>
      <w:tblPr/>
      <w:tcPr>
        <w:shd w:val="clear" w:color="auto" w:fill="E8E8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D1F8" w:themeFill="accent1" w:themeFillTint="33"/>
      </w:tcPr>
    </w:tblStylePr>
    <w:tblStylePr w:type="band1Vert">
      <w:tblPr/>
      <w:tcPr>
        <w:shd w:val="clear" w:color="auto" w:fill="8F8CEF" w:themeFill="accent1" w:themeFillTint="7F"/>
      </w:tcPr>
    </w:tblStylePr>
    <w:tblStylePr w:type="band1Horz">
      <w:tblPr/>
      <w:tcPr>
        <w:tcBorders>
          <w:insideH w:val="single" w:sz="6" w:space="0" w:color="231EDC" w:themeColor="accent1"/>
          <w:insideV w:val="single" w:sz="6" w:space="0" w:color="231EDC" w:themeColor="accent1"/>
        </w:tcBorders>
        <w:shd w:val="clear" w:color="auto" w:fill="8F8CE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E4D10"/>
    <w:rPr>
      <w:rFonts w:eastAsiaTheme="majorEastAsia" w:cstheme="majorBidi"/>
      <w:color w:val="000000" w:themeColor="text1"/>
    </w:rPr>
    <w:tblPr>
      <w:tblStyleRowBandSize w:val="1"/>
      <w:tblStyleColBandSize w:val="1"/>
      <w:tblBorders>
        <w:top w:val="single" w:sz="8" w:space="0" w:color="0A7DFF" w:themeColor="accent2"/>
        <w:left w:val="single" w:sz="8" w:space="0" w:color="0A7DFF" w:themeColor="accent2"/>
        <w:bottom w:val="single" w:sz="8" w:space="0" w:color="0A7DFF" w:themeColor="accent2"/>
        <w:right w:val="single" w:sz="8" w:space="0" w:color="0A7DFF" w:themeColor="accent2"/>
        <w:insideH w:val="single" w:sz="8" w:space="0" w:color="0A7DFF" w:themeColor="accent2"/>
        <w:insideV w:val="single" w:sz="8" w:space="0" w:color="0A7DFF" w:themeColor="accent2"/>
      </w:tblBorders>
    </w:tblPr>
    <w:tcPr>
      <w:shd w:val="clear" w:color="auto" w:fill="C2DEFF" w:themeFill="accent2" w:themeFillTint="3F"/>
    </w:tcPr>
    <w:tblStylePr w:type="firstRow">
      <w:rPr>
        <w:b/>
        <w:bCs/>
        <w:color w:val="000000" w:themeColor="text1"/>
      </w:rPr>
      <w:tblPr/>
      <w:tcPr>
        <w:shd w:val="clear" w:color="auto" w:fill="E6F2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E4FF" w:themeFill="accent2" w:themeFillTint="33"/>
      </w:tcPr>
    </w:tblStylePr>
    <w:tblStylePr w:type="band1Vert">
      <w:tblPr/>
      <w:tcPr>
        <w:shd w:val="clear" w:color="auto" w:fill="84BDFF" w:themeFill="accent2" w:themeFillTint="7F"/>
      </w:tcPr>
    </w:tblStylePr>
    <w:tblStylePr w:type="band1Horz">
      <w:tblPr/>
      <w:tcPr>
        <w:tcBorders>
          <w:insideH w:val="single" w:sz="6" w:space="0" w:color="0A7DFF" w:themeColor="accent2"/>
          <w:insideV w:val="single" w:sz="6" w:space="0" w:color="0A7DFF" w:themeColor="accent2"/>
        </w:tcBorders>
        <w:shd w:val="clear" w:color="auto" w:fill="84BD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E4D10"/>
    <w:rPr>
      <w:rFonts w:eastAsiaTheme="majorEastAsia" w:cstheme="majorBidi"/>
      <w:color w:val="000000" w:themeColor="text1"/>
    </w:rPr>
    <w:tblPr>
      <w:tblStyleRowBandSize w:val="1"/>
      <w:tblStyleColBandSize w:val="1"/>
      <w:tblBorders>
        <w:top w:val="single" w:sz="8" w:space="0" w:color="5AE6FF" w:themeColor="accent3"/>
        <w:left w:val="single" w:sz="8" w:space="0" w:color="5AE6FF" w:themeColor="accent3"/>
        <w:bottom w:val="single" w:sz="8" w:space="0" w:color="5AE6FF" w:themeColor="accent3"/>
        <w:right w:val="single" w:sz="8" w:space="0" w:color="5AE6FF" w:themeColor="accent3"/>
        <w:insideH w:val="single" w:sz="8" w:space="0" w:color="5AE6FF" w:themeColor="accent3"/>
        <w:insideV w:val="single" w:sz="8" w:space="0" w:color="5AE6FF" w:themeColor="accent3"/>
      </w:tblBorders>
    </w:tblPr>
    <w:tcPr>
      <w:shd w:val="clear" w:color="auto" w:fill="D6F8FF" w:themeFill="accent3" w:themeFillTint="3F"/>
    </w:tcPr>
    <w:tblStylePr w:type="firstRow">
      <w:rPr>
        <w:b/>
        <w:bCs/>
        <w:color w:val="000000" w:themeColor="text1"/>
      </w:rPr>
      <w:tblPr/>
      <w:tcPr>
        <w:shd w:val="clear" w:color="auto" w:fill="EEFC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9FF" w:themeFill="accent3" w:themeFillTint="33"/>
      </w:tcPr>
    </w:tblStylePr>
    <w:tblStylePr w:type="band1Vert">
      <w:tblPr/>
      <w:tcPr>
        <w:shd w:val="clear" w:color="auto" w:fill="ACF2FF" w:themeFill="accent3" w:themeFillTint="7F"/>
      </w:tcPr>
    </w:tblStylePr>
    <w:tblStylePr w:type="band1Horz">
      <w:tblPr/>
      <w:tcPr>
        <w:tcBorders>
          <w:insideH w:val="single" w:sz="6" w:space="0" w:color="5AE6FF" w:themeColor="accent3"/>
          <w:insideV w:val="single" w:sz="6" w:space="0" w:color="5AE6FF" w:themeColor="accent3"/>
        </w:tcBorders>
        <w:shd w:val="clear" w:color="auto" w:fill="ACF2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E4D10"/>
    <w:rPr>
      <w:rFonts w:eastAsiaTheme="majorEastAsia" w:cstheme="majorBidi"/>
      <w:color w:val="000000" w:themeColor="text1"/>
    </w:rPr>
    <w:tblPr>
      <w:tblStyleRowBandSize w:val="1"/>
      <w:tblStyleColBandSize w:val="1"/>
      <w:tblBorders>
        <w:top w:val="single" w:sz="8" w:space="0" w:color="001E55" w:themeColor="accent4"/>
        <w:left w:val="single" w:sz="8" w:space="0" w:color="001E55" w:themeColor="accent4"/>
        <w:bottom w:val="single" w:sz="8" w:space="0" w:color="001E55" w:themeColor="accent4"/>
        <w:right w:val="single" w:sz="8" w:space="0" w:color="001E55" w:themeColor="accent4"/>
        <w:insideH w:val="single" w:sz="8" w:space="0" w:color="001E55" w:themeColor="accent4"/>
        <w:insideV w:val="single" w:sz="8" w:space="0" w:color="001E55" w:themeColor="accent4"/>
      </w:tblBorders>
    </w:tblPr>
    <w:tcPr>
      <w:shd w:val="clear" w:color="auto" w:fill="96BBFF" w:themeFill="accent4" w:themeFillTint="3F"/>
    </w:tcPr>
    <w:tblStylePr w:type="firstRow">
      <w:rPr>
        <w:b/>
        <w:bCs/>
        <w:color w:val="000000" w:themeColor="text1"/>
      </w:rPr>
      <w:tblPr/>
      <w:tcPr>
        <w:shd w:val="clear" w:color="auto" w:fill="D5E4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C8FF" w:themeFill="accent4" w:themeFillTint="33"/>
      </w:tcPr>
    </w:tblStylePr>
    <w:tblStylePr w:type="band1Vert">
      <w:tblPr/>
      <w:tcPr>
        <w:shd w:val="clear" w:color="auto" w:fill="2B76FF" w:themeFill="accent4" w:themeFillTint="7F"/>
      </w:tcPr>
    </w:tblStylePr>
    <w:tblStylePr w:type="band1Horz">
      <w:tblPr/>
      <w:tcPr>
        <w:tcBorders>
          <w:insideH w:val="single" w:sz="6" w:space="0" w:color="001E55" w:themeColor="accent4"/>
          <w:insideV w:val="single" w:sz="6" w:space="0" w:color="001E55" w:themeColor="accent4"/>
        </w:tcBorders>
        <w:shd w:val="clear" w:color="auto" w:fill="2B76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E4D10"/>
    <w:rPr>
      <w:rFonts w:eastAsiaTheme="majorEastAsia" w:cstheme="majorBidi"/>
      <w:color w:val="000000" w:themeColor="text1"/>
    </w:rPr>
    <w:tblPr>
      <w:tblStyleRowBandSize w:val="1"/>
      <w:tblStyleColBandSize w:val="1"/>
      <w:tblBorders>
        <w:top w:val="single" w:sz="8" w:space="0" w:color="A5A5A5" w:themeColor="accent5"/>
        <w:left w:val="single" w:sz="8" w:space="0" w:color="A5A5A5" w:themeColor="accent5"/>
        <w:bottom w:val="single" w:sz="8" w:space="0" w:color="A5A5A5" w:themeColor="accent5"/>
        <w:right w:val="single" w:sz="8" w:space="0" w:color="A5A5A5" w:themeColor="accent5"/>
        <w:insideH w:val="single" w:sz="8" w:space="0" w:color="A5A5A5" w:themeColor="accent5"/>
        <w:insideV w:val="single" w:sz="8" w:space="0" w:color="A5A5A5" w:themeColor="accent5"/>
      </w:tblBorders>
    </w:tblPr>
    <w:tcPr>
      <w:shd w:val="clear" w:color="auto" w:fill="E8E8E8" w:themeFill="accent5" w:themeFillTint="3F"/>
    </w:tcPr>
    <w:tblStylePr w:type="firstRow">
      <w:rPr>
        <w:b/>
        <w:bCs/>
        <w:color w:val="000000" w:themeColor="text1"/>
      </w:rPr>
      <w:tblPr/>
      <w:tcPr>
        <w:shd w:val="clear" w:color="auto" w:fill="F6F6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5" w:themeFillTint="33"/>
      </w:tcPr>
    </w:tblStylePr>
    <w:tblStylePr w:type="band1Vert">
      <w:tblPr/>
      <w:tcPr>
        <w:shd w:val="clear" w:color="auto" w:fill="D2D2D2" w:themeFill="accent5" w:themeFillTint="7F"/>
      </w:tcPr>
    </w:tblStylePr>
    <w:tblStylePr w:type="band1Horz">
      <w:tblPr/>
      <w:tcPr>
        <w:tcBorders>
          <w:insideH w:val="single" w:sz="6" w:space="0" w:color="A5A5A5" w:themeColor="accent5"/>
          <w:insideV w:val="single" w:sz="6" w:space="0" w:color="A5A5A5" w:themeColor="accent5"/>
        </w:tcBorders>
        <w:shd w:val="clear" w:color="auto" w:fill="D2D2D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E4D10"/>
    <w:rPr>
      <w:rFonts w:eastAsiaTheme="majorEastAsia" w:cstheme="majorBidi"/>
      <w:color w:val="000000" w:themeColor="text1"/>
    </w:rPr>
    <w:tblPr>
      <w:tblStyleRowBandSize w:val="1"/>
      <w:tblStyleColBandSize w:val="1"/>
      <w:tblBorders>
        <w:top w:val="single" w:sz="8" w:space="0" w:color="C8C8C8" w:themeColor="accent6"/>
        <w:left w:val="single" w:sz="8" w:space="0" w:color="C8C8C8" w:themeColor="accent6"/>
        <w:bottom w:val="single" w:sz="8" w:space="0" w:color="C8C8C8" w:themeColor="accent6"/>
        <w:right w:val="single" w:sz="8" w:space="0" w:color="C8C8C8" w:themeColor="accent6"/>
        <w:insideH w:val="single" w:sz="8" w:space="0" w:color="C8C8C8" w:themeColor="accent6"/>
        <w:insideV w:val="single" w:sz="8" w:space="0" w:color="C8C8C8" w:themeColor="accent6"/>
      </w:tblBorders>
    </w:tblPr>
    <w:tcPr>
      <w:shd w:val="clear" w:color="auto" w:fill="F1F1F1" w:themeFill="accent6" w:themeFillTint="3F"/>
    </w:tcPr>
    <w:tblStylePr w:type="firstRow">
      <w:rPr>
        <w:b/>
        <w:bCs/>
        <w:color w:val="000000" w:themeColor="text1"/>
      </w:rPr>
      <w:tblPr/>
      <w:tcPr>
        <w:shd w:val="clear" w:color="auto" w:fill="F9F9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4F4" w:themeFill="accent6" w:themeFillTint="33"/>
      </w:tcPr>
    </w:tblStylePr>
    <w:tblStylePr w:type="band1Vert">
      <w:tblPr/>
      <w:tcPr>
        <w:shd w:val="clear" w:color="auto" w:fill="E3E3E3" w:themeFill="accent6" w:themeFillTint="7F"/>
      </w:tcPr>
    </w:tblStylePr>
    <w:tblStylePr w:type="band1Horz">
      <w:tblPr/>
      <w:tcPr>
        <w:tcBorders>
          <w:insideH w:val="single" w:sz="6" w:space="0" w:color="C8C8C8" w:themeColor="accent6"/>
          <w:insideV w:val="single" w:sz="6" w:space="0" w:color="C8C8C8" w:themeColor="accent6"/>
        </w:tcBorders>
        <w:shd w:val="clear" w:color="auto" w:fill="E3E3E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E4D1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E4D1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C6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ED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ED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ED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ED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8C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8CEF" w:themeFill="accent1" w:themeFillTint="7F"/>
      </w:tcPr>
    </w:tblStylePr>
  </w:style>
  <w:style w:type="table" w:styleId="MediumGrid3-Accent2">
    <w:name w:val="Medium Grid 3 Accent 2"/>
    <w:basedOn w:val="TableNormal"/>
    <w:uiPriority w:val="69"/>
    <w:semiHidden/>
    <w:unhideWhenUsed/>
    <w:rsid w:val="008E4D1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E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7DF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7DF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7DF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7DF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4BD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4BDFF" w:themeFill="accent2" w:themeFillTint="7F"/>
      </w:tcPr>
    </w:tblStylePr>
  </w:style>
  <w:style w:type="table" w:styleId="MediumGrid3-Accent3">
    <w:name w:val="Medium Grid 3 Accent 3"/>
    <w:basedOn w:val="TableNormal"/>
    <w:uiPriority w:val="69"/>
    <w:semiHidden/>
    <w:unhideWhenUsed/>
    <w:rsid w:val="008E4D1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8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E6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E6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E6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E6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F2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F2FF" w:themeFill="accent3" w:themeFillTint="7F"/>
      </w:tcPr>
    </w:tblStylePr>
  </w:style>
  <w:style w:type="table" w:styleId="MediumGrid3-Accent4">
    <w:name w:val="Medium Grid 3 Accent 4"/>
    <w:basedOn w:val="TableNormal"/>
    <w:uiPriority w:val="69"/>
    <w:semiHidden/>
    <w:unhideWhenUsed/>
    <w:rsid w:val="008E4D1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BB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1E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1E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1E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1E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76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76FF" w:themeFill="accent4" w:themeFillTint="7F"/>
      </w:tcPr>
    </w:tblStylePr>
  </w:style>
  <w:style w:type="table" w:styleId="MediumGrid3-Accent5">
    <w:name w:val="Medium Grid 3 Accent 5"/>
    <w:basedOn w:val="TableNormal"/>
    <w:uiPriority w:val="69"/>
    <w:semiHidden/>
    <w:unhideWhenUsed/>
    <w:rsid w:val="008E4D1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5" w:themeFillTint="7F"/>
      </w:tcPr>
    </w:tblStylePr>
  </w:style>
  <w:style w:type="table" w:styleId="MediumGrid3-Accent6">
    <w:name w:val="Medium Grid 3 Accent 6"/>
    <w:basedOn w:val="TableNormal"/>
    <w:uiPriority w:val="69"/>
    <w:semiHidden/>
    <w:unhideWhenUsed/>
    <w:rsid w:val="008E4D1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F1F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C8C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C8C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C8C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C8C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3E3E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3E3E3" w:themeFill="accent6" w:themeFillTint="7F"/>
      </w:tcPr>
    </w:tblStylePr>
  </w:style>
  <w:style w:type="table" w:styleId="MediumList1">
    <w:name w:val="Medium List 1"/>
    <w:basedOn w:val="TableNormal"/>
    <w:uiPriority w:val="65"/>
    <w:semiHidden/>
    <w:unhideWhenUsed/>
    <w:rsid w:val="008E4D1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3333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E4D10"/>
    <w:rPr>
      <w:color w:val="000000" w:themeColor="text1"/>
    </w:rPr>
    <w:tblPr>
      <w:tblStyleRowBandSize w:val="1"/>
      <w:tblStyleColBandSize w:val="1"/>
      <w:tblBorders>
        <w:top w:val="single" w:sz="8" w:space="0" w:color="231EDC" w:themeColor="accent1"/>
        <w:bottom w:val="single" w:sz="8" w:space="0" w:color="231EDC" w:themeColor="accent1"/>
      </w:tblBorders>
    </w:tblPr>
    <w:tblStylePr w:type="firstRow">
      <w:rPr>
        <w:rFonts w:asciiTheme="majorHAnsi" w:eastAsiaTheme="majorEastAsia" w:hAnsiTheme="majorHAnsi" w:cstheme="majorBidi"/>
      </w:rPr>
      <w:tblPr/>
      <w:tcPr>
        <w:tcBorders>
          <w:top w:val="nil"/>
          <w:bottom w:val="single" w:sz="8" w:space="0" w:color="231EDC" w:themeColor="accent1"/>
        </w:tcBorders>
      </w:tcPr>
    </w:tblStylePr>
    <w:tblStylePr w:type="lastRow">
      <w:rPr>
        <w:b/>
        <w:bCs/>
        <w:color w:val="333333" w:themeColor="text2"/>
      </w:rPr>
      <w:tblPr/>
      <w:tcPr>
        <w:tcBorders>
          <w:top w:val="single" w:sz="8" w:space="0" w:color="231EDC" w:themeColor="accent1"/>
          <w:bottom w:val="single" w:sz="8" w:space="0" w:color="231EDC" w:themeColor="accent1"/>
        </w:tcBorders>
      </w:tcPr>
    </w:tblStylePr>
    <w:tblStylePr w:type="firstCol">
      <w:rPr>
        <w:b/>
        <w:bCs/>
      </w:rPr>
    </w:tblStylePr>
    <w:tblStylePr w:type="lastCol">
      <w:rPr>
        <w:b/>
        <w:bCs/>
      </w:rPr>
      <w:tblPr/>
      <w:tcPr>
        <w:tcBorders>
          <w:top w:val="single" w:sz="8" w:space="0" w:color="231EDC" w:themeColor="accent1"/>
          <w:bottom w:val="single" w:sz="8" w:space="0" w:color="231EDC" w:themeColor="accent1"/>
        </w:tcBorders>
      </w:tcPr>
    </w:tblStylePr>
    <w:tblStylePr w:type="band1Vert">
      <w:tblPr/>
      <w:tcPr>
        <w:shd w:val="clear" w:color="auto" w:fill="C7C6F7" w:themeFill="accent1" w:themeFillTint="3F"/>
      </w:tcPr>
    </w:tblStylePr>
    <w:tblStylePr w:type="band1Horz">
      <w:tblPr/>
      <w:tcPr>
        <w:shd w:val="clear" w:color="auto" w:fill="C7C6F7" w:themeFill="accent1" w:themeFillTint="3F"/>
      </w:tcPr>
    </w:tblStylePr>
  </w:style>
  <w:style w:type="table" w:styleId="MediumList1-Accent2">
    <w:name w:val="Medium List 1 Accent 2"/>
    <w:basedOn w:val="TableNormal"/>
    <w:uiPriority w:val="65"/>
    <w:semiHidden/>
    <w:unhideWhenUsed/>
    <w:rsid w:val="008E4D10"/>
    <w:rPr>
      <w:color w:val="000000" w:themeColor="text1"/>
    </w:rPr>
    <w:tblPr>
      <w:tblStyleRowBandSize w:val="1"/>
      <w:tblStyleColBandSize w:val="1"/>
      <w:tblBorders>
        <w:top w:val="single" w:sz="8" w:space="0" w:color="0A7DFF" w:themeColor="accent2"/>
        <w:bottom w:val="single" w:sz="8" w:space="0" w:color="0A7DFF" w:themeColor="accent2"/>
      </w:tblBorders>
    </w:tblPr>
    <w:tblStylePr w:type="firstRow">
      <w:rPr>
        <w:rFonts w:asciiTheme="majorHAnsi" w:eastAsiaTheme="majorEastAsia" w:hAnsiTheme="majorHAnsi" w:cstheme="majorBidi"/>
      </w:rPr>
      <w:tblPr/>
      <w:tcPr>
        <w:tcBorders>
          <w:top w:val="nil"/>
          <w:bottom w:val="single" w:sz="8" w:space="0" w:color="0A7DFF" w:themeColor="accent2"/>
        </w:tcBorders>
      </w:tcPr>
    </w:tblStylePr>
    <w:tblStylePr w:type="lastRow">
      <w:rPr>
        <w:b/>
        <w:bCs/>
        <w:color w:val="333333" w:themeColor="text2"/>
      </w:rPr>
      <w:tblPr/>
      <w:tcPr>
        <w:tcBorders>
          <w:top w:val="single" w:sz="8" w:space="0" w:color="0A7DFF" w:themeColor="accent2"/>
          <w:bottom w:val="single" w:sz="8" w:space="0" w:color="0A7DFF" w:themeColor="accent2"/>
        </w:tcBorders>
      </w:tcPr>
    </w:tblStylePr>
    <w:tblStylePr w:type="firstCol">
      <w:rPr>
        <w:b/>
        <w:bCs/>
      </w:rPr>
    </w:tblStylePr>
    <w:tblStylePr w:type="lastCol">
      <w:rPr>
        <w:b/>
        <w:bCs/>
      </w:rPr>
      <w:tblPr/>
      <w:tcPr>
        <w:tcBorders>
          <w:top w:val="single" w:sz="8" w:space="0" w:color="0A7DFF" w:themeColor="accent2"/>
          <w:bottom w:val="single" w:sz="8" w:space="0" w:color="0A7DFF" w:themeColor="accent2"/>
        </w:tcBorders>
      </w:tcPr>
    </w:tblStylePr>
    <w:tblStylePr w:type="band1Vert">
      <w:tblPr/>
      <w:tcPr>
        <w:shd w:val="clear" w:color="auto" w:fill="C2DEFF" w:themeFill="accent2" w:themeFillTint="3F"/>
      </w:tcPr>
    </w:tblStylePr>
    <w:tblStylePr w:type="band1Horz">
      <w:tblPr/>
      <w:tcPr>
        <w:shd w:val="clear" w:color="auto" w:fill="C2DEFF" w:themeFill="accent2" w:themeFillTint="3F"/>
      </w:tcPr>
    </w:tblStylePr>
  </w:style>
  <w:style w:type="table" w:styleId="MediumList1-Accent3">
    <w:name w:val="Medium List 1 Accent 3"/>
    <w:basedOn w:val="TableNormal"/>
    <w:uiPriority w:val="65"/>
    <w:semiHidden/>
    <w:unhideWhenUsed/>
    <w:rsid w:val="008E4D10"/>
    <w:rPr>
      <w:color w:val="000000" w:themeColor="text1"/>
    </w:rPr>
    <w:tblPr>
      <w:tblStyleRowBandSize w:val="1"/>
      <w:tblStyleColBandSize w:val="1"/>
      <w:tblBorders>
        <w:top w:val="single" w:sz="8" w:space="0" w:color="5AE6FF" w:themeColor="accent3"/>
        <w:bottom w:val="single" w:sz="8" w:space="0" w:color="5AE6FF" w:themeColor="accent3"/>
      </w:tblBorders>
    </w:tblPr>
    <w:tblStylePr w:type="firstRow">
      <w:rPr>
        <w:rFonts w:asciiTheme="majorHAnsi" w:eastAsiaTheme="majorEastAsia" w:hAnsiTheme="majorHAnsi" w:cstheme="majorBidi"/>
      </w:rPr>
      <w:tblPr/>
      <w:tcPr>
        <w:tcBorders>
          <w:top w:val="nil"/>
          <w:bottom w:val="single" w:sz="8" w:space="0" w:color="5AE6FF" w:themeColor="accent3"/>
        </w:tcBorders>
      </w:tcPr>
    </w:tblStylePr>
    <w:tblStylePr w:type="lastRow">
      <w:rPr>
        <w:b/>
        <w:bCs/>
        <w:color w:val="333333" w:themeColor="text2"/>
      </w:rPr>
      <w:tblPr/>
      <w:tcPr>
        <w:tcBorders>
          <w:top w:val="single" w:sz="8" w:space="0" w:color="5AE6FF" w:themeColor="accent3"/>
          <w:bottom w:val="single" w:sz="8" w:space="0" w:color="5AE6FF" w:themeColor="accent3"/>
        </w:tcBorders>
      </w:tcPr>
    </w:tblStylePr>
    <w:tblStylePr w:type="firstCol">
      <w:rPr>
        <w:b/>
        <w:bCs/>
      </w:rPr>
    </w:tblStylePr>
    <w:tblStylePr w:type="lastCol">
      <w:rPr>
        <w:b/>
        <w:bCs/>
      </w:rPr>
      <w:tblPr/>
      <w:tcPr>
        <w:tcBorders>
          <w:top w:val="single" w:sz="8" w:space="0" w:color="5AE6FF" w:themeColor="accent3"/>
          <w:bottom w:val="single" w:sz="8" w:space="0" w:color="5AE6FF" w:themeColor="accent3"/>
        </w:tcBorders>
      </w:tcPr>
    </w:tblStylePr>
    <w:tblStylePr w:type="band1Vert">
      <w:tblPr/>
      <w:tcPr>
        <w:shd w:val="clear" w:color="auto" w:fill="D6F8FF" w:themeFill="accent3" w:themeFillTint="3F"/>
      </w:tcPr>
    </w:tblStylePr>
    <w:tblStylePr w:type="band1Horz">
      <w:tblPr/>
      <w:tcPr>
        <w:shd w:val="clear" w:color="auto" w:fill="D6F8FF" w:themeFill="accent3" w:themeFillTint="3F"/>
      </w:tcPr>
    </w:tblStylePr>
  </w:style>
  <w:style w:type="table" w:styleId="MediumList1-Accent4">
    <w:name w:val="Medium List 1 Accent 4"/>
    <w:basedOn w:val="TableNormal"/>
    <w:uiPriority w:val="65"/>
    <w:semiHidden/>
    <w:unhideWhenUsed/>
    <w:rsid w:val="008E4D10"/>
    <w:rPr>
      <w:color w:val="000000" w:themeColor="text1"/>
    </w:rPr>
    <w:tblPr>
      <w:tblStyleRowBandSize w:val="1"/>
      <w:tblStyleColBandSize w:val="1"/>
      <w:tblBorders>
        <w:top w:val="single" w:sz="8" w:space="0" w:color="001E55" w:themeColor="accent4"/>
        <w:bottom w:val="single" w:sz="8" w:space="0" w:color="001E55" w:themeColor="accent4"/>
      </w:tblBorders>
    </w:tblPr>
    <w:tblStylePr w:type="firstRow">
      <w:rPr>
        <w:rFonts w:asciiTheme="majorHAnsi" w:eastAsiaTheme="majorEastAsia" w:hAnsiTheme="majorHAnsi" w:cstheme="majorBidi"/>
      </w:rPr>
      <w:tblPr/>
      <w:tcPr>
        <w:tcBorders>
          <w:top w:val="nil"/>
          <w:bottom w:val="single" w:sz="8" w:space="0" w:color="001E55" w:themeColor="accent4"/>
        </w:tcBorders>
      </w:tcPr>
    </w:tblStylePr>
    <w:tblStylePr w:type="lastRow">
      <w:rPr>
        <w:b/>
        <w:bCs/>
        <w:color w:val="333333" w:themeColor="text2"/>
      </w:rPr>
      <w:tblPr/>
      <w:tcPr>
        <w:tcBorders>
          <w:top w:val="single" w:sz="8" w:space="0" w:color="001E55" w:themeColor="accent4"/>
          <w:bottom w:val="single" w:sz="8" w:space="0" w:color="001E55" w:themeColor="accent4"/>
        </w:tcBorders>
      </w:tcPr>
    </w:tblStylePr>
    <w:tblStylePr w:type="firstCol">
      <w:rPr>
        <w:b/>
        <w:bCs/>
      </w:rPr>
    </w:tblStylePr>
    <w:tblStylePr w:type="lastCol">
      <w:rPr>
        <w:b/>
        <w:bCs/>
      </w:rPr>
      <w:tblPr/>
      <w:tcPr>
        <w:tcBorders>
          <w:top w:val="single" w:sz="8" w:space="0" w:color="001E55" w:themeColor="accent4"/>
          <w:bottom w:val="single" w:sz="8" w:space="0" w:color="001E55" w:themeColor="accent4"/>
        </w:tcBorders>
      </w:tcPr>
    </w:tblStylePr>
    <w:tblStylePr w:type="band1Vert">
      <w:tblPr/>
      <w:tcPr>
        <w:shd w:val="clear" w:color="auto" w:fill="96BBFF" w:themeFill="accent4" w:themeFillTint="3F"/>
      </w:tcPr>
    </w:tblStylePr>
    <w:tblStylePr w:type="band1Horz">
      <w:tblPr/>
      <w:tcPr>
        <w:shd w:val="clear" w:color="auto" w:fill="96BBFF" w:themeFill="accent4" w:themeFillTint="3F"/>
      </w:tcPr>
    </w:tblStylePr>
  </w:style>
  <w:style w:type="table" w:styleId="MediumList1-Accent5">
    <w:name w:val="Medium List 1 Accent 5"/>
    <w:basedOn w:val="TableNormal"/>
    <w:uiPriority w:val="65"/>
    <w:semiHidden/>
    <w:unhideWhenUsed/>
    <w:rsid w:val="008E4D10"/>
    <w:rPr>
      <w:color w:val="000000" w:themeColor="text1"/>
    </w:rPr>
    <w:tblPr>
      <w:tblStyleRowBandSize w:val="1"/>
      <w:tblStyleColBandSize w:val="1"/>
      <w:tblBorders>
        <w:top w:val="single" w:sz="8" w:space="0" w:color="A5A5A5" w:themeColor="accent5"/>
        <w:bottom w:val="single" w:sz="8" w:space="0" w:color="A5A5A5" w:themeColor="accent5"/>
      </w:tblBorders>
    </w:tblPr>
    <w:tblStylePr w:type="firstRow">
      <w:rPr>
        <w:rFonts w:asciiTheme="majorHAnsi" w:eastAsiaTheme="majorEastAsia" w:hAnsiTheme="majorHAnsi" w:cstheme="majorBidi"/>
      </w:rPr>
      <w:tblPr/>
      <w:tcPr>
        <w:tcBorders>
          <w:top w:val="nil"/>
          <w:bottom w:val="single" w:sz="8" w:space="0" w:color="A5A5A5" w:themeColor="accent5"/>
        </w:tcBorders>
      </w:tcPr>
    </w:tblStylePr>
    <w:tblStylePr w:type="lastRow">
      <w:rPr>
        <w:b/>
        <w:bCs/>
        <w:color w:val="333333" w:themeColor="text2"/>
      </w:rPr>
      <w:tblPr/>
      <w:tcPr>
        <w:tcBorders>
          <w:top w:val="single" w:sz="8" w:space="0" w:color="A5A5A5" w:themeColor="accent5"/>
          <w:bottom w:val="single" w:sz="8" w:space="0" w:color="A5A5A5" w:themeColor="accent5"/>
        </w:tcBorders>
      </w:tcPr>
    </w:tblStylePr>
    <w:tblStylePr w:type="firstCol">
      <w:rPr>
        <w:b/>
        <w:bCs/>
      </w:rPr>
    </w:tblStylePr>
    <w:tblStylePr w:type="lastCol">
      <w:rPr>
        <w:b/>
        <w:bCs/>
      </w:rPr>
      <w:tblPr/>
      <w:tcPr>
        <w:tcBorders>
          <w:top w:val="single" w:sz="8" w:space="0" w:color="A5A5A5" w:themeColor="accent5"/>
          <w:bottom w:val="single" w:sz="8" w:space="0" w:color="A5A5A5" w:themeColor="accent5"/>
        </w:tcBorders>
      </w:tcPr>
    </w:tblStylePr>
    <w:tblStylePr w:type="band1Vert">
      <w:tblPr/>
      <w:tcPr>
        <w:shd w:val="clear" w:color="auto" w:fill="E8E8E8" w:themeFill="accent5" w:themeFillTint="3F"/>
      </w:tcPr>
    </w:tblStylePr>
    <w:tblStylePr w:type="band1Horz">
      <w:tblPr/>
      <w:tcPr>
        <w:shd w:val="clear" w:color="auto" w:fill="E8E8E8" w:themeFill="accent5" w:themeFillTint="3F"/>
      </w:tcPr>
    </w:tblStylePr>
  </w:style>
  <w:style w:type="table" w:styleId="MediumList1-Accent6">
    <w:name w:val="Medium List 1 Accent 6"/>
    <w:basedOn w:val="TableNormal"/>
    <w:uiPriority w:val="65"/>
    <w:semiHidden/>
    <w:unhideWhenUsed/>
    <w:rsid w:val="008E4D10"/>
    <w:rPr>
      <w:color w:val="000000" w:themeColor="text1"/>
    </w:rPr>
    <w:tblPr>
      <w:tblStyleRowBandSize w:val="1"/>
      <w:tblStyleColBandSize w:val="1"/>
      <w:tblBorders>
        <w:top w:val="single" w:sz="8" w:space="0" w:color="C8C8C8" w:themeColor="accent6"/>
        <w:bottom w:val="single" w:sz="8" w:space="0" w:color="C8C8C8" w:themeColor="accent6"/>
      </w:tblBorders>
    </w:tblPr>
    <w:tblStylePr w:type="firstRow">
      <w:rPr>
        <w:rFonts w:asciiTheme="majorHAnsi" w:eastAsiaTheme="majorEastAsia" w:hAnsiTheme="majorHAnsi" w:cstheme="majorBidi"/>
      </w:rPr>
      <w:tblPr/>
      <w:tcPr>
        <w:tcBorders>
          <w:top w:val="nil"/>
          <w:bottom w:val="single" w:sz="8" w:space="0" w:color="C8C8C8" w:themeColor="accent6"/>
        </w:tcBorders>
      </w:tcPr>
    </w:tblStylePr>
    <w:tblStylePr w:type="lastRow">
      <w:rPr>
        <w:b/>
        <w:bCs/>
        <w:color w:val="333333" w:themeColor="text2"/>
      </w:rPr>
      <w:tblPr/>
      <w:tcPr>
        <w:tcBorders>
          <w:top w:val="single" w:sz="8" w:space="0" w:color="C8C8C8" w:themeColor="accent6"/>
          <w:bottom w:val="single" w:sz="8" w:space="0" w:color="C8C8C8" w:themeColor="accent6"/>
        </w:tcBorders>
      </w:tcPr>
    </w:tblStylePr>
    <w:tblStylePr w:type="firstCol">
      <w:rPr>
        <w:b/>
        <w:bCs/>
      </w:rPr>
    </w:tblStylePr>
    <w:tblStylePr w:type="lastCol">
      <w:rPr>
        <w:b/>
        <w:bCs/>
      </w:rPr>
      <w:tblPr/>
      <w:tcPr>
        <w:tcBorders>
          <w:top w:val="single" w:sz="8" w:space="0" w:color="C8C8C8" w:themeColor="accent6"/>
          <w:bottom w:val="single" w:sz="8" w:space="0" w:color="C8C8C8" w:themeColor="accent6"/>
        </w:tcBorders>
      </w:tcPr>
    </w:tblStylePr>
    <w:tblStylePr w:type="band1Vert">
      <w:tblPr/>
      <w:tcPr>
        <w:shd w:val="clear" w:color="auto" w:fill="F1F1F1" w:themeFill="accent6" w:themeFillTint="3F"/>
      </w:tcPr>
    </w:tblStylePr>
    <w:tblStylePr w:type="band1Horz">
      <w:tblPr/>
      <w:tcPr>
        <w:shd w:val="clear" w:color="auto" w:fill="F1F1F1" w:themeFill="accent6" w:themeFillTint="3F"/>
      </w:tcPr>
    </w:tblStylePr>
  </w:style>
  <w:style w:type="table" w:styleId="MediumList2">
    <w:name w:val="Medium List 2"/>
    <w:basedOn w:val="TableNormal"/>
    <w:uiPriority w:val="66"/>
    <w:semiHidden/>
    <w:unhideWhenUsed/>
    <w:rsid w:val="008E4D1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E4D10"/>
    <w:rPr>
      <w:rFonts w:eastAsiaTheme="majorEastAsia" w:cstheme="majorBidi"/>
      <w:color w:val="000000" w:themeColor="text1"/>
    </w:rPr>
    <w:tblPr>
      <w:tblStyleRowBandSize w:val="1"/>
      <w:tblStyleColBandSize w:val="1"/>
      <w:tblBorders>
        <w:top w:val="single" w:sz="8" w:space="0" w:color="231EDC" w:themeColor="accent1"/>
        <w:left w:val="single" w:sz="8" w:space="0" w:color="231EDC" w:themeColor="accent1"/>
        <w:bottom w:val="single" w:sz="8" w:space="0" w:color="231EDC" w:themeColor="accent1"/>
        <w:right w:val="single" w:sz="8" w:space="0" w:color="231EDC" w:themeColor="accent1"/>
      </w:tblBorders>
    </w:tblPr>
    <w:tblStylePr w:type="firstRow">
      <w:rPr>
        <w:sz w:val="24"/>
        <w:szCs w:val="24"/>
      </w:rPr>
      <w:tblPr/>
      <w:tcPr>
        <w:tcBorders>
          <w:top w:val="nil"/>
          <w:left w:val="nil"/>
          <w:bottom w:val="single" w:sz="24" w:space="0" w:color="231ED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EDC" w:themeColor="accent1"/>
          <w:insideH w:val="nil"/>
          <w:insideV w:val="nil"/>
        </w:tcBorders>
        <w:shd w:val="clear" w:color="auto" w:fill="FFFFFF" w:themeFill="background1"/>
      </w:tcPr>
    </w:tblStylePr>
    <w:tblStylePr w:type="lastCol">
      <w:tblPr/>
      <w:tcPr>
        <w:tcBorders>
          <w:top w:val="nil"/>
          <w:left w:val="single" w:sz="8" w:space="0" w:color="231ED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C6F7" w:themeFill="accent1" w:themeFillTint="3F"/>
      </w:tcPr>
    </w:tblStylePr>
    <w:tblStylePr w:type="band1Horz">
      <w:tblPr/>
      <w:tcPr>
        <w:tcBorders>
          <w:top w:val="nil"/>
          <w:bottom w:val="nil"/>
          <w:insideH w:val="nil"/>
          <w:insideV w:val="nil"/>
        </w:tcBorders>
        <w:shd w:val="clear" w:color="auto" w:fill="C7C6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E4D10"/>
    <w:rPr>
      <w:rFonts w:eastAsiaTheme="majorEastAsia" w:cstheme="majorBidi"/>
      <w:color w:val="000000" w:themeColor="text1"/>
    </w:rPr>
    <w:tblPr>
      <w:tblStyleRowBandSize w:val="1"/>
      <w:tblStyleColBandSize w:val="1"/>
      <w:tblBorders>
        <w:top w:val="single" w:sz="8" w:space="0" w:color="0A7DFF" w:themeColor="accent2"/>
        <w:left w:val="single" w:sz="8" w:space="0" w:color="0A7DFF" w:themeColor="accent2"/>
        <w:bottom w:val="single" w:sz="8" w:space="0" w:color="0A7DFF" w:themeColor="accent2"/>
        <w:right w:val="single" w:sz="8" w:space="0" w:color="0A7DFF" w:themeColor="accent2"/>
      </w:tblBorders>
    </w:tblPr>
    <w:tblStylePr w:type="firstRow">
      <w:rPr>
        <w:sz w:val="24"/>
        <w:szCs w:val="24"/>
      </w:rPr>
      <w:tblPr/>
      <w:tcPr>
        <w:tcBorders>
          <w:top w:val="nil"/>
          <w:left w:val="nil"/>
          <w:bottom w:val="single" w:sz="24" w:space="0" w:color="0A7DF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7DFF" w:themeColor="accent2"/>
          <w:insideH w:val="nil"/>
          <w:insideV w:val="nil"/>
        </w:tcBorders>
        <w:shd w:val="clear" w:color="auto" w:fill="FFFFFF" w:themeFill="background1"/>
      </w:tcPr>
    </w:tblStylePr>
    <w:tblStylePr w:type="lastCol">
      <w:tblPr/>
      <w:tcPr>
        <w:tcBorders>
          <w:top w:val="nil"/>
          <w:left w:val="single" w:sz="8" w:space="0" w:color="0A7DF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EFF" w:themeFill="accent2" w:themeFillTint="3F"/>
      </w:tcPr>
    </w:tblStylePr>
    <w:tblStylePr w:type="band1Horz">
      <w:tblPr/>
      <w:tcPr>
        <w:tcBorders>
          <w:top w:val="nil"/>
          <w:bottom w:val="nil"/>
          <w:insideH w:val="nil"/>
          <w:insideV w:val="nil"/>
        </w:tcBorders>
        <w:shd w:val="clear" w:color="auto" w:fill="C2DE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E4D10"/>
    <w:rPr>
      <w:rFonts w:eastAsiaTheme="majorEastAsia" w:cstheme="majorBidi"/>
      <w:color w:val="000000" w:themeColor="text1"/>
    </w:rPr>
    <w:tblPr>
      <w:tblStyleRowBandSize w:val="1"/>
      <w:tblStyleColBandSize w:val="1"/>
      <w:tblBorders>
        <w:top w:val="single" w:sz="8" w:space="0" w:color="5AE6FF" w:themeColor="accent3"/>
        <w:left w:val="single" w:sz="8" w:space="0" w:color="5AE6FF" w:themeColor="accent3"/>
        <w:bottom w:val="single" w:sz="8" w:space="0" w:color="5AE6FF" w:themeColor="accent3"/>
        <w:right w:val="single" w:sz="8" w:space="0" w:color="5AE6FF" w:themeColor="accent3"/>
      </w:tblBorders>
    </w:tblPr>
    <w:tblStylePr w:type="firstRow">
      <w:rPr>
        <w:sz w:val="24"/>
        <w:szCs w:val="24"/>
      </w:rPr>
      <w:tblPr/>
      <w:tcPr>
        <w:tcBorders>
          <w:top w:val="nil"/>
          <w:left w:val="nil"/>
          <w:bottom w:val="single" w:sz="24" w:space="0" w:color="5AE6FF"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E6FF" w:themeColor="accent3"/>
          <w:insideH w:val="nil"/>
          <w:insideV w:val="nil"/>
        </w:tcBorders>
        <w:shd w:val="clear" w:color="auto" w:fill="FFFFFF" w:themeFill="background1"/>
      </w:tcPr>
    </w:tblStylePr>
    <w:tblStylePr w:type="lastCol">
      <w:tblPr/>
      <w:tcPr>
        <w:tcBorders>
          <w:top w:val="nil"/>
          <w:left w:val="single" w:sz="8" w:space="0" w:color="5AE6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8FF" w:themeFill="accent3" w:themeFillTint="3F"/>
      </w:tcPr>
    </w:tblStylePr>
    <w:tblStylePr w:type="band1Horz">
      <w:tblPr/>
      <w:tcPr>
        <w:tcBorders>
          <w:top w:val="nil"/>
          <w:bottom w:val="nil"/>
          <w:insideH w:val="nil"/>
          <w:insideV w:val="nil"/>
        </w:tcBorders>
        <w:shd w:val="clear" w:color="auto" w:fill="D6F8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E4D10"/>
    <w:rPr>
      <w:rFonts w:eastAsiaTheme="majorEastAsia" w:cstheme="majorBidi"/>
      <w:color w:val="000000" w:themeColor="text1"/>
    </w:rPr>
    <w:tblPr>
      <w:tblStyleRowBandSize w:val="1"/>
      <w:tblStyleColBandSize w:val="1"/>
      <w:tblBorders>
        <w:top w:val="single" w:sz="8" w:space="0" w:color="001E55" w:themeColor="accent4"/>
        <w:left w:val="single" w:sz="8" w:space="0" w:color="001E55" w:themeColor="accent4"/>
        <w:bottom w:val="single" w:sz="8" w:space="0" w:color="001E55" w:themeColor="accent4"/>
        <w:right w:val="single" w:sz="8" w:space="0" w:color="001E55" w:themeColor="accent4"/>
      </w:tblBorders>
    </w:tblPr>
    <w:tblStylePr w:type="firstRow">
      <w:rPr>
        <w:sz w:val="24"/>
        <w:szCs w:val="24"/>
      </w:rPr>
      <w:tblPr/>
      <w:tcPr>
        <w:tcBorders>
          <w:top w:val="nil"/>
          <w:left w:val="nil"/>
          <w:bottom w:val="single" w:sz="24" w:space="0" w:color="001E5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1E55" w:themeColor="accent4"/>
          <w:insideH w:val="nil"/>
          <w:insideV w:val="nil"/>
        </w:tcBorders>
        <w:shd w:val="clear" w:color="auto" w:fill="FFFFFF" w:themeFill="background1"/>
      </w:tcPr>
    </w:tblStylePr>
    <w:tblStylePr w:type="lastCol">
      <w:tblPr/>
      <w:tcPr>
        <w:tcBorders>
          <w:top w:val="nil"/>
          <w:left w:val="single" w:sz="8" w:space="0" w:color="001E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BBFF" w:themeFill="accent4" w:themeFillTint="3F"/>
      </w:tcPr>
    </w:tblStylePr>
    <w:tblStylePr w:type="band1Horz">
      <w:tblPr/>
      <w:tcPr>
        <w:tcBorders>
          <w:top w:val="nil"/>
          <w:bottom w:val="nil"/>
          <w:insideH w:val="nil"/>
          <w:insideV w:val="nil"/>
        </w:tcBorders>
        <w:shd w:val="clear" w:color="auto" w:fill="96BB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E4D10"/>
    <w:rPr>
      <w:rFonts w:eastAsiaTheme="majorEastAsia" w:cstheme="majorBidi"/>
      <w:color w:val="000000" w:themeColor="text1"/>
    </w:rPr>
    <w:tblPr>
      <w:tblStyleRowBandSize w:val="1"/>
      <w:tblStyleColBandSize w:val="1"/>
      <w:tblBorders>
        <w:top w:val="single" w:sz="8" w:space="0" w:color="A5A5A5" w:themeColor="accent5"/>
        <w:left w:val="single" w:sz="8" w:space="0" w:color="A5A5A5" w:themeColor="accent5"/>
        <w:bottom w:val="single" w:sz="8" w:space="0" w:color="A5A5A5" w:themeColor="accent5"/>
        <w:right w:val="single" w:sz="8" w:space="0" w:color="A5A5A5" w:themeColor="accent5"/>
      </w:tblBorders>
    </w:tblPr>
    <w:tblStylePr w:type="firstRow">
      <w:rPr>
        <w:sz w:val="24"/>
        <w:szCs w:val="24"/>
      </w:rPr>
      <w:tblPr/>
      <w:tcPr>
        <w:tcBorders>
          <w:top w:val="nil"/>
          <w:left w:val="nil"/>
          <w:bottom w:val="single" w:sz="24" w:space="0" w:color="A5A5A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5"/>
          <w:insideH w:val="nil"/>
          <w:insideV w:val="nil"/>
        </w:tcBorders>
        <w:shd w:val="clear" w:color="auto" w:fill="FFFFFF" w:themeFill="background1"/>
      </w:tcPr>
    </w:tblStylePr>
    <w:tblStylePr w:type="lastCol">
      <w:tblPr/>
      <w:tcPr>
        <w:tcBorders>
          <w:top w:val="nil"/>
          <w:left w:val="single" w:sz="8" w:space="0" w:color="A5A5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5" w:themeFillTint="3F"/>
      </w:tcPr>
    </w:tblStylePr>
    <w:tblStylePr w:type="band1Horz">
      <w:tblPr/>
      <w:tcPr>
        <w:tcBorders>
          <w:top w:val="nil"/>
          <w:bottom w:val="nil"/>
          <w:insideH w:val="nil"/>
          <w:insideV w:val="nil"/>
        </w:tcBorders>
        <w:shd w:val="clear" w:color="auto" w:fill="E8E8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E4D10"/>
    <w:rPr>
      <w:rFonts w:eastAsiaTheme="majorEastAsia" w:cstheme="majorBidi"/>
      <w:color w:val="000000" w:themeColor="text1"/>
    </w:rPr>
    <w:tblPr>
      <w:tblStyleRowBandSize w:val="1"/>
      <w:tblStyleColBandSize w:val="1"/>
      <w:tblBorders>
        <w:top w:val="single" w:sz="8" w:space="0" w:color="C8C8C8" w:themeColor="accent6"/>
        <w:left w:val="single" w:sz="8" w:space="0" w:color="C8C8C8" w:themeColor="accent6"/>
        <w:bottom w:val="single" w:sz="8" w:space="0" w:color="C8C8C8" w:themeColor="accent6"/>
        <w:right w:val="single" w:sz="8" w:space="0" w:color="C8C8C8" w:themeColor="accent6"/>
      </w:tblBorders>
    </w:tblPr>
    <w:tblStylePr w:type="firstRow">
      <w:rPr>
        <w:sz w:val="24"/>
        <w:szCs w:val="24"/>
      </w:rPr>
      <w:tblPr/>
      <w:tcPr>
        <w:tcBorders>
          <w:top w:val="nil"/>
          <w:left w:val="nil"/>
          <w:bottom w:val="single" w:sz="24" w:space="0" w:color="C8C8C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C8C8" w:themeColor="accent6"/>
          <w:insideH w:val="nil"/>
          <w:insideV w:val="nil"/>
        </w:tcBorders>
        <w:shd w:val="clear" w:color="auto" w:fill="FFFFFF" w:themeFill="background1"/>
      </w:tcPr>
    </w:tblStylePr>
    <w:tblStylePr w:type="lastCol">
      <w:tblPr/>
      <w:tcPr>
        <w:tcBorders>
          <w:top w:val="nil"/>
          <w:left w:val="single" w:sz="8" w:space="0" w:color="C8C8C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F1F1" w:themeFill="accent6" w:themeFillTint="3F"/>
      </w:tcPr>
    </w:tblStylePr>
    <w:tblStylePr w:type="band1Horz">
      <w:tblPr/>
      <w:tcPr>
        <w:tcBorders>
          <w:top w:val="nil"/>
          <w:bottom w:val="nil"/>
          <w:insideH w:val="nil"/>
          <w:insideV w:val="nil"/>
        </w:tcBorders>
        <w:shd w:val="clear" w:color="auto" w:fill="F1F1F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E4D1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E4D10"/>
    <w:tblPr>
      <w:tblStyleRowBandSize w:val="1"/>
      <w:tblStyleColBandSize w:val="1"/>
      <w:tblBorders>
        <w:top w:val="single" w:sz="8" w:space="0" w:color="5653E7" w:themeColor="accent1" w:themeTint="BF"/>
        <w:left w:val="single" w:sz="8" w:space="0" w:color="5653E7" w:themeColor="accent1" w:themeTint="BF"/>
        <w:bottom w:val="single" w:sz="8" w:space="0" w:color="5653E7" w:themeColor="accent1" w:themeTint="BF"/>
        <w:right w:val="single" w:sz="8" w:space="0" w:color="5653E7" w:themeColor="accent1" w:themeTint="BF"/>
        <w:insideH w:val="single" w:sz="8" w:space="0" w:color="5653E7" w:themeColor="accent1" w:themeTint="BF"/>
      </w:tblBorders>
    </w:tblPr>
    <w:tblStylePr w:type="firstRow">
      <w:pPr>
        <w:spacing w:before="0" w:after="0" w:line="240" w:lineRule="auto"/>
      </w:pPr>
      <w:rPr>
        <w:b/>
        <w:bCs/>
        <w:color w:val="FFFFFF" w:themeColor="background1"/>
      </w:rPr>
      <w:tblPr/>
      <w:tcPr>
        <w:tcBorders>
          <w:top w:val="single" w:sz="8" w:space="0" w:color="5653E7" w:themeColor="accent1" w:themeTint="BF"/>
          <w:left w:val="single" w:sz="8" w:space="0" w:color="5653E7" w:themeColor="accent1" w:themeTint="BF"/>
          <w:bottom w:val="single" w:sz="8" w:space="0" w:color="5653E7" w:themeColor="accent1" w:themeTint="BF"/>
          <w:right w:val="single" w:sz="8" w:space="0" w:color="5653E7" w:themeColor="accent1" w:themeTint="BF"/>
          <w:insideH w:val="nil"/>
          <w:insideV w:val="nil"/>
        </w:tcBorders>
        <w:shd w:val="clear" w:color="auto" w:fill="231EDC" w:themeFill="accent1"/>
      </w:tcPr>
    </w:tblStylePr>
    <w:tblStylePr w:type="lastRow">
      <w:pPr>
        <w:spacing w:before="0" w:after="0" w:line="240" w:lineRule="auto"/>
      </w:pPr>
      <w:rPr>
        <w:b/>
        <w:bCs/>
      </w:rPr>
      <w:tblPr/>
      <w:tcPr>
        <w:tcBorders>
          <w:top w:val="double" w:sz="6" w:space="0" w:color="5653E7" w:themeColor="accent1" w:themeTint="BF"/>
          <w:left w:val="single" w:sz="8" w:space="0" w:color="5653E7" w:themeColor="accent1" w:themeTint="BF"/>
          <w:bottom w:val="single" w:sz="8" w:space="0" w:color="5653E7" w:themeColor="accent1" w:themeTint="BF"/>
          <w:right w:val="single" w:sz="8" w:space="0" w:color="5653E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7C6F7" w:themeFill="accent1" w:themeFillTint="3F"/>
      </w:tcPr>
    </w:tblStylePr>
    <w:tblStylePr w:type="band1Horz">
      <w:tblPr/>
      <w:tcPr>
        <w:tcBorders>
          <w:insideH w:val="nil"/>
          <w:insideV w:val="nil"/>
        </w:tcBorders>
        <w:shd w:val="clear" w:color="auto" w:fill="C7C6F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E4D10"/>
    <w:tblPr>
      <w:tblStyleRowBandSize w:val="1"/>
      <w:tblStyleColBandSize w:val="1"/>
      <w:tblBorders>
        <w:top w:val="single" w:sz="8" w:space="0" w:color="479DFF" w:themeColor="accent2" w:themeTint="BF"/>
        <w:left w:val="single" w:sz="8" w:space="0" w:color="479DFF" w:themeColor="accent2" w:themeTint="BF"/>
        <w:bottom w:val="single" w:sz="8" w:space="0" w:color="479DFF" w:themeColor="accent2" w:themeTint="BF"/>
        <w:right w:val="single" w:sz="8" w:space="0" w:color="479DFF" w:themeColor="accent2" w:themeTint="BF"/>
        <w:insideH w:val="single" w:sz="8" w:space="0" w:color="479DFF" w:themeColor="accent2" w:themeTint="BF"/>
      </w:tblBorders>
    </w:tblPr>
    <w:tblStylePr w:type="firstRow">
      <w:pPr>
        <w:spacing w:before="0" w:after="0" w:line="240" w:lineRule="auto"/>
      </w:pPr>
      <w:rPr>
        <w:b/>
        <w:bCs/>
        <w:color w:val="FFFFFF" w:themeColor="background1"/>
      </w:rPr>
      <w:tblPr/>
      <w:tcPr>
        <w:tcBorders>
          <w:top w:val="single" w:sz="8" w:space="0" w:color="479DFF" w:themeColor="accent2" w:themeTint="BF"/>
          <w:left w:val="single" w:sz="8" w:space="0" w:color="479DFF" w:themeColor="accent2" w:themeTint="BF"/>
          <w:bottom w:val="single" w:sz="8" w:space="0" w:color="479DFF" w:themeColor="accent2" w:themeTint="BF"/>
          <w:right w:val="single" w:sz="8" w:space="0" w:color="479DFF" w:themeColor="accent2" w:themeTint="BF"/>
          <w:insideH w:val="nil"/>
          <w:insideV w:val="nil"/>
        </w:tcBorders>
        <w:shd w:val="clear" w:color="auto" w:fill="0A7DFF" w:themeFill="accent2"/>
      </w:tcPr>
    </w:tblStylePr>
    <w:tblStylePr w:type="lastRow">
      <w:pPr>
        <w:spacing w:before="0" w:after="0" w:line="240" w:lineRule="auto"/>
      </w:pPr>
      <w:rPr>
        <w:b/>
        <w:bCs/>
      </w:rPr>
      <w:tblPr/>
      <w:tcPr>
        <w:tcBorders>
          <w:top w:val="double" w:sz="6" w:space="0" w:color="479DFF" w:themeColor="accent2" w:themeTint="BF"/>
          <w:left w:val="single" w:sz="8" w:space="0" w:color="479DFF" w:themeColor="accent2" w:themeTint="BF"/>
          <w:bottom w:val="single" w:sz="8" w:space="0" w:color="479DFF" w:themeColor="accent2" w:themeTint="BF"/>
          <w:right w:val="single" w:sz="8" w:space="0" w:color="479D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C2DEFF" w:themeFill="accent2" w:themeFillTint="3F"/>
      </w:tcPr>
    </w:tblStylePr>
    <w:tblStylePr w:type="band1Horz">
      <w:tblPr/>
      <w:tcPr>
        <w:tcBorders>
          <w:insideH w:val="nil"/>
          <w:insideV w:val="nil"/>
        </w:tcBorders>
        <w:shd w:val="clear" w:color="auto" w:fill="C2DE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E4D10"/>
    <w:tblPr>
      <w:tblStyleRowBandSize w:val="1"/>
      <w:tblStyleColBandSize w:val="1"/>
      <w:tblBorders>
        <w:top w:val="single" w:sz="8" w:space="0" w:color="83ECFF" w:themeColor="accent3" w:themeTint="BF"/>
        <w:left w:val="single" w:sz="8" w:space="0" w:color="83ECFF" w:themeColor="accent3" w:themeTint="BF"/>
        <w:bottom w:val="single" w:sz="8" w:space="0" w:color="83ECFF" w:themeColor="accent3" w:themeTint="BF"/>
        <w:right w:val="single" w:sz="8" w:space="0" w:color="83ECFF" w:themeColor="accent3" w:themeTint="BF"/>
        <w:insideH w:val="single" w:sz="8" w:space="0" w:color="83ECFF" w:themeColor="accent3" w:themeTint="BF"/>
      </w:tblBorders>
    </w:tblPr>
    <w:tblStylePr w:type="firstRow">
      <w:pPr>
        <w:spacing w:before="0" w:after="0" w:line="240" w:lineRule="auto"/>
      </w:pPr>
      <w:rPr>
        <w:b/>
        <w:bCs/>
        <w:color w:val="FFFFFF" w:themeColor="background1"/>
      </w:rPr>
      <w:tblPr/>
      <w:tcPr>
        <w:tcBorders>
          <w:top w:val="single" w:sz="8" w:space="0" w:color="83ECFF" w:themeColor="accent3" w:themeTint="BF"/>
          <w:left w:val="single" w:sz="8" w:space="0" w:color="83ECFF" w:themeColor="accent3" w:themeTint="BF"/>
          <w:bottom w:val="single" w:sz="8" w:space="0" w:color="83ECFF" w:themeColor="accent3" w:themeTint="BF"/>
          <w:right w:val="single" w:sz="8" w:space="0" w:color="83ECFF" w:themeColor="accent3" w:themeTint="BF"/>
          <w:insideH w:val="nil"/>
          <w:insideV w:val="nil"/>
        </w:tcBorders>
        <w:shd w:val="clear" w:color="auto" w:fill="5AE6FF" w:themeFill="accent3"/>
      </w:tcPr>
    </w:tblStylePr>
    <w:tblStylePr w:type="lastRow">
      <w:pPr>
        <w:spacing w:before="0" w:after="0" w:line="240" w:lineRule="auto"/>
      </w:pPr>
      <w:rPr>
        <w:b/>
        <w:bCs/>
      </w:rPr>
      <w:tblPr/>
      <w:tcPr>
        <w:tcBorders>
          <w:top w:val="double" w:sz="6" w:space="0" w:color="83ECFF" w:themeColor="accent3" w:themeTint="BF"/>
          <w:left w:val="single" w:sz="8" w:space="0" w:color="83ECFF" w:themeColor="accent3" w:themeTint="BF"/>
          <w:bottom w:val="single" w:sz="8" w:space="0" w:color="83ECFF" w:themeColor="accent3" w:themeTint="BF"/>
          <w:right w:val="single" w:sz="8" w:space="0" w:color="83EC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D6F8FF" w:themeFill="accent3" w:themeFillTint="3F"/>
      </w:tcPr>
    </w:tblStylePr>
    <w:tblStylePr w:type="band1Horz">
      <w:tblPr/>
      <w:tcPr>
        <w:tcBorders>
          <w:insideH w:val="nil"/>
          <w:insideV w:val="nil"/>
        </w:tcBorders>
        <w:shd w:val="clear" w:color="auto" w:fill="D6F8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E4D10"/>
    <w:tblPr>
      <w:tblStyleRowBandSize w:val="1"/>
      <w:tblStyleColBandSize w:val="1"/>
      <w:tblBorders>
        <w:top w:val="single" w:sz="8" w:space="0" w:color="0043BF" w:themeColor="accent4" w:themeTint="BF"/>
        <w:left w:val="single" w:sz="8" w:space="0" w:color="0043BF" w:themeColor="accent4" w:themeTint="BF"/>
        <w:bottom w:val="single" w:sz="8" w:space="0" w:color="0043BF" w:themeColor="accent4" w:themeTint="BF"/>
        <w:right w:val="single" w:sz="8" w:space="0" w:color="0043BF" w:themeColor="accent4" w:themeTint="BF"/>
        <w:insideH w:val="single" w:sz="8" w:space="0" w:color="0043BF" w:themeColor="accent4" w:themeTint="BF"/>
      </w:tblBorders>
    </w:tblPr>
    <w:tblStylePr w:type="firstRow">
      <w:pPr>
        <w:spacing w:before="0" w:after="0" w:line="240" w:lineRule="auto"/>
      </w:pPr>
      <w:rPr>
        <w:b/>
        <w:bCs/>
        <w:color w:val="FFFFFF" w:themeColor="background1"/>
      </w:rPr>
      <w:tblPr/>
      <w:tcPr>
        <w:tcBorders>
          <w:top w:val="single" w:sz="8" w:space="0" w:color="0043BF" w:themeColor="accent4" w:themeTint="BF"/>
          <w:left w:val="single" w:sz="8" w:space="0" w:color="0043BF" w:themeColor="accent4" w:themeTint="BF"/>
          <w:bottom w:val="single" w:sz="8" w:space="0" w:color="0043BF" w:themeColor="accent4" w:themeTint="BF"/>
          <w:right w:val="single" w:sz="8" w:space="0" w:color="0043BF" w:themeColor="accent4" w:themeTint="BF"/>
          <w:insideH w:val="nil"/>
          <w:insideV w:val="nil"/>
        </w:tcBorders>
        <w:shd w:val="clear" w:color="auto" w:fill="001E55" w:themeFill="accent4"/>
      </w:tcPr>
    </w:tblStylePr>
    <w:tblStylePr w:type="lastRow">
      <w:pPr>
        <w:spacing w:before="0" w:after="0" w:line="240" w:lineRule="auto"/>
      </w:pPr>
      <w:rPr>
        <w:b/>
        <w:bCs/>
      </w:rPr>
      <w:tblPr/>
      <w:tcPr>
        <w:tcBorders>
          <w:top w:val="double" w:sz="6" w:space="0" w:color="0043BF" w:themeColor="accent4" w:themeTint="BF"/>
          <w:left w:val="single" w:sz="8" w:space="0" w:color="0043BF" w:themeColor="accent4" w:themeTint="BF"/>
          <w:bottom w:val="single" w:sz="8" w:space="0" w:color="0043BF" w:themeColor="accent4" w:themeTint="BF"/>
          <w:right w:val="single" w:sz="8" w:space="0" w:color="0043BF" w:themeColor="accent4" w:themeTint="BF"/>
          <w:insideH w:val="nil"/>
          <w:insideV w:val="nil"/>
        </w:tcBorders>
      </w:tcPr>
    </w:tblStylePr>
    <w:tblStylePr w:type="firstCol">
      <w:rPr>
        <w:b/>
        <w:bCs/>
      </w:rPr>
    </w:tblStylePr>
    <w:tblStylePr w:type="lastCol">
      <w:rPr>
        <w:b/>
        <w:bCs/>
      </w:rPr>
    </w:tblStylePr>
    <w:tblStylePr w:type="band1Vert">
      <w:tblPr/>
      <w:tcPr>
        <w:shd w:val="clear" w:color="auto" w:fill="96BBFF" w:themeFill="accent4" w:themeFillTint="3F"/>
      </w:tcPr>
    </w:tblStylePr>
    <w:tblStylePr w:type="band1Horz">
      <w:tblPr/>
      <w:tcPr>
        <w:tcBorders>
          <w:insideH w:val="nil"/>
          <w:insideV w:val="nil"/>
        </w:tcBorders>
        <w:shd w:val="clear" w:color="auto" w:fill="96BB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E4D10"/>
    <w:tblPr>
      <w:tblStyleRowBandSize w:val="1"/>
      <w:tblStyleColBandSize w:val="1"/>
      <w:tblBorders>
        <w:top w:val="single" w:sz="8" w:space="0" w:color="BBBBBB" w:themeColor="accent5" w:themeTint="BF"/>
        <w:left w:val="single" w:sz="8" w:space="0" w:color="BBBBBB" w:themeColor="accent5" w:themeTint="BF"/>
        <w:bottom w:val="single" w:sz="8" w:space="0" w:color="BBBBBB" w:themeColor="accent5" w:themeTint="BF"/>
        <w:right w:val="single" w:sz="8" w:space="0" w:color="BBBBBB" w:themeColor="accent5" w:themeTint="BF"/>
        <w:insideH w:val="single" w:sz="8" w:space="0" w:color="BBBBBB" w:themeColor="accent5" w:themeTint="BF"/>
      </w:tblBorders>
    </w:tblPr>
    <w:tblStylePr w:type="firstRow">
      <w:pPr>
        <w:spacing w:before="0" w:after="0" w:line="240" w:lineRule="auto"/>
      </w:pPr>
      <w:rPr>
        <w:b/>
        <w:bCs/>
        <w:color w:val="FFFFFF" w:themeColor="background1"/>
      </w:rPr>
      <w:tblPr/>
      <w:tcPr>
        <w:tcBorders>
          <w:top w:val="single" w:sz="8" w:space="0" w:color="BBBBBB" w:themeColor="accent5" w:themeTint="BF"/>
          <w:left w:val="single" w:sz="8" w:space="0" w:color="BBBBBB" w:themeColor="accent5" w:themeTint="BF"/>
          <w:bottom w:val="single" w:sz="8" w:space="0" w:color="BBBBBB" w:themeColor="accent5" w:themeTint="BF"/>
          <w:right w:val="single" w:sz="8" w:space="0" w:color="BBBBBB" w:themeColor="accent5" w:themeTint="BF"/>
          <w:insideH w:val="nil"/>
          <w:insideV w:val="nil"/>
        </w:tcBorders>
        <w:shd w:val="clear" w:color="auto" w:fill="A5A5A5" w:themeFill="accent5"/>
      </w:tcPr>
    </w:tblStylePr>
    <w:tblStylePr w:type="lastRow">
      <w:pPr>
        <w:spacing w:before="0" w:after="0" w:line="240" w:lineRule="auto"/>
      </w:pPr>
      <w:rPr>
        <w:b/>
        <w:bCs/>
      </w:rPr>
      <w:tblPr/>
      <w:tcPr>
        <w:tcBorders>
          <w:top w:val="double" w:sz="6" w:space="0" w:color="BBBBBB" w:themeColor="accent5" w:themeTint="BF"/>
          <w:left w:val="single" w:sz="8" w:space="0" w:color="BBBBBB" w:themeColor="accent5" w:themeTint="BF"/>
          <w:bottom w:val="single" w:sz="8" w:space="0" w:color="BBBBBB" w:themeColor="accent5" w:themeTint="BF"/>
          <w:right w:val="single" w:sz="8" w:space="0" w:color="BBBBB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5" w:themeFillTint="3F"/>
      </w:tcPr>
    </w:tblStylePr>
    <w:tblStylePr w:type="band1Horz">
      <w:tblPr/>
      <w:tcPr>
        <w:tcBorders>
          <w:insideH w:val="nil"/>
          <w:insideV w:val="nil"/>
        </w:tcBorders>
        <w:shd w:val="clear" w:color="auto" w:fill="E8E8E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E4D10"/>
    <w:tblPr>
      <w:tblStyleRowBandSize w:val="1"/>
      <w:tblStyleColBandSize w:val="1"/>
      <w:tblBorders>
        <w:top w:val="single" w:sz="8" w:space="0" w:color="D5D5D5" w:themeColor="accent6" w:themeTint="BF"/>
        <w:left w:val="single" w:sz="8" w:space="0" w:color="D5D5D5" w:themeColor="accent6" w:themeTint="BF"/>
        <w:bottom w:val="single" w:sz="8" w:space="0" w:color="D5D5D5" w:themeColor="accent6" w:themeTint="BF"/>
        <w:right w:val="single" w:sz="8" w:space="0" w:color="D5D5D5" w:themeColor="accent6" w:themeTint="BF"/>
        <w:insideH w:val="single" w:sz="8" w:space="0" w:color="D5D5D5" w:themeColor="accent6" w:themeTint="BF"/>
      </w:tblBorders>
    </w:tblPr>
    <w:tblStylePr w:type="firstRow">
      <w:pPr>
        <w:spacing w:before="0" w:after="0" w:line="240" w:lineRule="auto"/>
      </w:pPr>
      <w:rPr>
        <w:b/>
        <w:bCs/>
        <w:color w:val="FFFFFF" w:themeColor="background1"/>
      </w:rPr>
      <w:tblPr/>
      <w:tcPr>
        <w:tcBorders>
          <w:top w:val="single" w:sz="8" w:space="0" w:color="D5D5D5" w:themeColor="accent6" w:themeTint="BF"/>
          <w:left w:val="single" w:sz="8" w:space="0" w:color="D5D5D5" w:themeColor="accent6" w:themeTint="BF"/>
          <w:bottom w:val="single" w:sz="8" w:space="0" w:color="D5D5D5" w:themeColor="accent6" w:themeTint="BF"/>
          <w:right w:val="single" w:sz="8" w:space="0" w:color="D5D5D5" w:themeColor="accent6" w:themeTint="BF"/>
          <w:insideH w:val="nil"/>
          <w:insideV w:val="nil"/>
        </w:tcBorders>
        <w:shd w:val="clear" w:color="auto" w:fill="C8C8C8" w:themeFill="accent6"/>
      </w:tcPr>
    </w:tblStylePr>
    <w:tblStylePr w:type="lastRow">
      <w:pPr>
        <w:spacing w:before="0" w:after="0" w:line="240" w:lineRule="auto"/>
      </w:pPr>
      <w:rPr>
        <w:b/>
        <w:bCs/>
      </w:rPr>
      <w:tblPr/>
      <w:tcPr>
        <w:tcBorders>
          <w:top w:val="double" w:sz="6" w:space="0" w:color="D5D5D5" w:themeColor="accent6" w:themeTint="BF"/>
          <w:left w:val="single" w:sz="8" w:space="0" w:color="D5D5D5" w:themeColor="accent6" w:themeTint="BF"/>
          <w:bottom w:val="single" w:sz="8" w:space="0" w:color="D5D5D5" w:themeColor="accent6" w:themeTint="BF"/>
          <w:right w:val="single" w:sz="8" w:space="0" w:color="D5D5D5" w:themeColor="accent6" w:themeTint="BF"/>
          <w:insideH w:val="nil"/>
          <w:insideV w:val="nil"/>
        </w:tcBorders>
      </w:tcPr>
    </w:tblStylePr>
    <w:tblStylePr w:type="firstCol">
      <w:rPr>
        <w:b/>
        <w:bCs/>
      </w:rPr>
    </w:tblStylePr>
    <w:tblStylePr w:type="lastCol">
      <w:rPr>
        <w:b/>
        <w:bCs/>
      </w:rPr>
    </w:tblStylePr>
    <w:tblStylePr w:type="band1Vert">
      <w:tblPr/>
      <w:tcPr>
        <w:shd w:val="clear" w:color="auto" w:fill="F1F1F1" w:themeFill="accent6" w:themeFillTint="3F"/>
      </w:tcPr>
    </w:tblStylePr>
    <w:tblStylePr w:type="band1Horz">
      <w:tblPr/>
      <w:tcPr>
        <w:tcBorders>
          <w:insideH w:val="nil"/>
          <w:insideV w:val="nil"/>
        </w:tcBorders>
        <w:shd w:val="clear" w:color="auto" w:fill="F1F1F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E4D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8E4D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ED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31EDC" w:themeFill="accent1"/>
      </w:tcPr>
    </w:tblStylePr>
    <w:tblStylePr w:type="lastCol">
      <w:rPr>
        <w:b/>
        <w:bCs/>
        <w:color w:val="FFFFFF" w:themeColor="background1"/>
      </w:rPr>
      <w:tblPr/>
      <w:tcPr>
        <w:tcBorders>
          <w:left w:val="nil"/>
          <w:right w:val="nil"/>
          <w:insideH w:val="nil"/>
          <w:insideV w:val="nil"/>
        </w:tcBorders>
        <w:shd w:val="clear" w:color="auto" w:fill="231ED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8E4D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7DF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7DFF" w:themeFill="accent2"/>
      </w:tcPr>
    </w:tblStylePr>
    <w:tblStylePr w:type="lastCol">
      <w:rPr>
        <w:b/>
        <w:bCs/>
        <w:color w:val="FFFFFF" w:themeColor="background1"/>
      </w:rPr>
      <w:tblPr/>
      <w:tcPr>
        <w:tcBorders>
          <w:left w:val="nil"/>
          <w:right w:val="nil"/>
          <w:insideH w:val="nil"/>
          <w:insideV w:val="nil"/>
        </w:tcBorders>
        <w:shd w:val="clear" w:color="auto" w:fill="0A7DF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8E4D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E6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AE6FF" w:themeFill="accent3"/>
      </w:tcPr>
    </w:tblStylePr>
    <w:tblStylePr w:type="lastCol">
      <w:rPr>
        <w:b/>
        <w:bCs/>
        <w:color w:val="FFFFFF" w:themeColor="background1"/>
      </w:rPr>
      <w:tblPr/>
      <w:tcPr>
        <w:tcBorders>
          <w:left w:val="nil"/>
          <w:right w:val="nil"/>
          <w:insideH w:val="nil"/>
          <w:insideV w:val="nil"/>
        </w:tcBorders>
        <w:shd w:val="clear" w:color="auto" w:fill="5AE6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8E4D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E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1E55" w:themeFill="accent4"/>
      </w:tcPr>
    </w:tblStylePr>
    <w:tblStylePr w:type="lastCol">
      <w:rPr>
        <w:b/>
        <w:bCs/>
        <w:color w:val="FFFFFF" w:themeColor="background1"/>
      </w:rPr>
      <w:tblPr/>
      <w:tcPr>
        <w:tcBorders>
          <w:left w:val="nil"/>
          <w:right w:val="nil"/>
          <w:insideH w:val="nil"/>
          <w:insideV w:val="nil"/>
        </w:tcBorders>
        <w:shd w:val="clear" w:color="auto" w:fill="001E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8E4D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5"/>
      </w:tcPr>
    </w:tblStylePr>
    <w:tblStylePr w:type="lastCol">
      <w:rPr>
        <w:b/>
        <w:bCs/>
        <w:color w:val="FFFFFF" w:themeColor="background1"/>
      </w:rPr>
      <w:tblPr/>
      <w:tcPr>
        <w:tcBorders>
          <w:left w:val="nil"/>
          <w:right w:val="nil"/>
          <w:insideH w:val="nil"/>
          <w:insideV w:val="nil"/>
        </w:tcBorders>
        <w:shd w:val="clear" w:color="auto" w:fill="A5A5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8E4D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C8C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8C8C8" w:themeFill="accent6"/>
      </w:tcPr>
    </w:tblStylePr>
    <w:tblStylePr w:type="lastCol">
      <w:rPr>
        <w:b/>
        <w:bCs/>
        <w:color w:val="FFFFFF" w:themeColor="background1"/>
      </w:rPr>
      <w:tblPr/>
      <w:tcPr>
        <w:tcBorders>
          <w:left w:val="nil"/>
          <w:right w:val="nil"/>
          <w:insideH w:val="nil"/>
          <w:insideV w:val="nil"/>
        </w:tcBorders>
        <w:shd w:val="clear" w:color="auto" w:fill="C8C8C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8E4D10"/>
    <w:rPr>
      <w:color w:val="2B579A"/>
      <w:shd w:val="clear" w:color="auto" w:fill="E6E6E6"/>
    </w:rPr>
  </w:style>
  <w:style w:type="paragraph" w:styleId="MessageHeader">
    <w:name w:val="Message Header"/>
    <w:basedOn w:val="Normal"/>
    <w:link w:val="MessageHeaderChar"/>
    <w:uiPriority w:val="99"/>
    <w:semiHidden/>
    <w:unhideWhenUsed/>
    <w:rsid w:val="008E4D10"/>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8E4D10"/>
    <w:rPr>
      <w:rFonts w:asciiTheme="minorHAnsi" w:eastAsiaTheme="majorEastAsia" w:hAnsiTheme="minorHAnsi" w:cstheme="majorBidi"/>
      <w:sz w:val="24"/>
      <w:szCs w:val="24"/>
      <w:shd w:val="pct20" w:color="auto" w:fill="auto"/>
    </w:rPr>
  </w:style>
  <w:style w:type="paragraph" w:styleId="NormalWeb">
    <w:name w:val="Normal (Web)"/>
    <w:basedOn w:val="Normal"/>
    <w:uiPriority w:val="99"/>
    <w:semiHidden/>
    <w:unhideWhenUsed/>
    <w:rsid w:val="008E4D10"/>
    <w:rPr>
      <w:rFonts w:ascii="Times New Roman" w:hAnsi="Times New Roman" w:cs="Times New Roman"/>
      <w:sz w:val="24"/>
      <w:szCs w:val="24"/>
    </w:rPr>
  </w:style>
  <w:style w:type="paragraph" w:styleId="NormalIndent">
    <w:name w:val="Normal Indent"/>
    <w:basedOn w:val="Normal"/>
    <w:uiPriority w:val="99"/>
    <w:semiHidden/>
    <w:unhideWhenUsed/>
    <w:rsid w:val="008E4D10"/>
    <w:pPr>
      <w:ind w:left="720"/>
    </w:pPr>
  </w:style>
  <w:style w:type="paragraph" w:styleId="NoteHeading">
    <w:name w:val="Note Heading"/>
    <w:basedOn w:val="Normal"/>
    <w:next w:val="Normal"/>
    <w:link w:val="NoteHeadingChar"/>
    <w:uiPriority w:val="99"/>
    <w:semiHidden/>
    <w:unhideWhenUsed/>
    <w:rsid w:val="008E4D10"/>
  </w:style>
  <w:style w:type="character" w:customStyle="1" w:styleId="NoteHeadingChar">
    <w:name w:val="Note Heading Char"/>
    <w:basedOn w:val="DefaultParagraphFont"/>
    <w:link w:val="NoteHeading"/>
    <w:uiPriority w:val="99"/>
    <w:semiHidden/>
    <w:rsid w:val="008E4D10"/>
    <w:rPr>
      <w:rFonts w:asciiTheme="minorHAnsi" w:hAnsiTheme="minorHAnsi"/>
    </w:rPr>
  </w:style>
  <w:style w:type="character" w:styleId="PageNumber">
    <w:name w:val="page number"/>
    <w:basedOn w:val="DefaultParagraphFont"/>
    <w:uiPriority w:val="99"/>
    <w:semiHidden/>
    <w:unhideWhenUsed/>
    <w:rsid w:val="008E4D10"/>
  </w:style>
  <w:style w:type="table" w:styleId="PlainTable1">
    <w:name w:val="Plain Table 1"/>
    <w:basedOn w:val="TableNormal"/>
    <w:uiPriority w:val="41"/>
    <w:rsid w:val="008E4D1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E4D1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E4D1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E4D1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E4D1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E4D10"/>
    <w:rPr>
      <w:rFonts w:ascii="Consolas" w:hAnsi="Consolas"/>
      <w:sz w:val="21"/>
      <w:szCs w:val="21"/>
    </w:rPr>
  </w:style>
  <w:style w:type="character" w:customStyle="1" w:styleId="PlainTextChar">
    <w:name w:val="Plain Text Char"/>
    <w:basedOn w:val="DefaultParagraphFont"/>
    <w:link w:val="PlainText"/>
    <w:uiPriority w:val="99"/>
    <w:semiHidden/>
    <w:rsid w:val="008E4D10"/>
    <w:rPr>
      <w:rFonts w:ascii="Consolas" w:hAnsi="Consolas"/>
      <w:sz w:val="21"/>
      <w:szCs w:val="21"/>
    </w:rPr>
  </w:style>
  <w:style w:type="paragraph" w:styleId="Quote">
    <w:name w:val="Quote"/>
    <w:basedOn w:val="Normal"/>
    <w:next w:val="Normal"/>
    <w:link w:val="QuoteChar"/>
    <w:uiPriority w:val="99"/>
    <w:semiHidden/>
    <w:rsid w:val="008E4D1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8E4D10"/>
    <w:rPr>
      <w:rFonts w:asciiTheme="minorHAnsi" w:hAnsiTheme="minorHAnsi"/>
      <w:i/>
      <w:iCs/>
      <w:color w:val="404040" w:themeColor="text1" w:themeTint="BF"/>
    </w:rPr>
  </w:style>
  <w:style w:type="paragraph" w:styleId="Salutation">
    <w:name w:val="Salutation"/>
    <w:basedOn w:val="Normal"/>
    <w:next w:val="Normal"/>
    <w:link w:val="SalutationChar"/>
    <w:uiPriority w:val="99"/>
    <w:semiHidden/>
    <w:unhideWhenUsed/>
    <w:rsid w:val="008E4D10"/>
  </w:style>
  <w:style w:type="character" w:customStyle="1" w:styleId="SalutationChar">
    <w:name w:val="Salutation Char"/>
    <w:basedOn w:val="DefaultParagraphFont"/>
    <w:link w:val="Salutation"/>
    <w:uiPriority w:val="99"/>
    <w:semiHidden/>
    <w:rsid w:val="008E4D10"/>
    <w:rPr>
      <w:rFonts w:asciiTheme="minorHAnsi" w:hAnsiTheme="minorHAnsi"/>
    </w:rPr>
  </w:style>
  <w:style w:type="paragraph" w:styleId="Signature">
    <w:name w:val="Signature"/>
    <w:basedOn w:val="Normal"/>
    <w:link w:val="SignatureChar"/>
    <w:uiPriority w:val="99"/>
    <w:semiHidden/>
    <w:unhideWhenUsed/>
    <w:rsid w:val="008E4D10"/>
    <w:pPr>
      <w:ind w:left="4252"/>
    </w:pPr>
  </w:style>
  <w:style w:type="character" w:customStyle="1" w:styleId="SignatureChar">
    <w:name w:val="Signature Char"/>
    <w:basedOn w:val="DefaultParagraphFont"/>
    <w:link w:val="Signature"/>
    <w:uiPriority w:val="99"/>
    <w:semiHidden/>
    <w:rsid w:val="008E4D10"/>
    <w:rPr>
      <w:rFonts w:asciiTheme="minorHAnsi" w:hAnsiTheme="minorHAnsi"/>
    </w:rPr>
  </w:style>
  <w:style w:type="character" w:styleId="SmartHyperlink">
    <w:name w:val="Smart Hyperlink"/>
    <w:basedOn w:val="DefaultParagraphFont"/>
    <w:uiPriority w:val="99"/>
    <w:semiHidden/>
    <w:unhideWhenUsed/>
    <w:rsid w:val="008E4D10"/>
    <w:rPr>
      <w:u w:val="dotted"/>
    </w:rPr>
  </w:style>
  <w:style w:type="character" w:styleId="Strong">
    <w:name w:val="Strong"/>
    <w:basedOn w:val="DefaultParagraphFont"/>
    <w:uiPriority w:val="99"/>
    <w:semiHidden/>
    <w:rsid w:val="008E4D10"/>
    <w:rPr>
      <w:b/>
      <w:bCs/>
    </w:rPr>
  </w:style>
  <w:style w:type="paragraph" w:styleId="Subtitle">
    <w:name w:val="Subtitle"/>
    <w:basedOn w:val="Normal"/>
    <w:next w:val="Normal"/>
    <w:link w:val="SubtitleChar"/>
    <w:uiPriority w:val="99"/>
    <w:semiHidden/>
    <w:rsid w:val="008E4D10"/>
    <w:pPr>
      <w:numPr>
        <w:ilvl w:val="1"/>
      </w:numPr>
      <w:spacing w:after="160"/>
    </w:pPr>
    <w:rPr>
      <w:rFonts w:asciiTheme="majorHAnsi" w:hAnsiTheme="majorHAnsi"/>
      <w:color w:val="5A5A5A" w:themeColor="text1" w:themeTint="A5"/>
      <w:spacing w:val="15"/>
    </w:rPr>
  </w:style>
  <w:style w:type="character" w:customStyle="1" w:styleId="SubtitleChar">
    <w:name w:val="Subtitle Char"/>
    <w:basedOn w:val="DefaultParagraphFont"/>
    <w:link w:val="Subtitle"/>
    <w:uiPriority w:val="11"/>
    <w:semiHidden/>
    <w:rsid w:val="008E4D10"/>
    <w:rPr>
      <w:color w:val="5A5A5A" w:themeColor="text1" w:themeTint="A5"/>
      <w:spacing w:val="15"/>
    </w:rPr>
  </w:style>
  <w:style w:type="character" w:styleId="SubtleEmphasis">
    <w:name w:val="Subtle Emphasis"/>
    <w:basedOn w:val="DefaultParagraphFont"/>
    <w:uiPriority w:val="99"/>
    <w:semiHidden/>
    <w:rsid w:val="008E4D10"/>
    <w:rPr>
      <w:i/>
      <w:iCs/>
      <w:color w:val="404040" w:themeColor="text1" w:themeTint="BF"/>
    </w:rPr>
  </w:style>
  <w:style w:type="character" w:styleId="SubtleReference">
    <w:name w:val="Subtle Reference"/>
    <w:basedOn w:val="DefaultParagraphFont"/>
    <w:uiPriority w:val="99"/>
    <w:semiHidden/>
    <w:rsid w:val="008E4D10"/>
    <w:rPr>
      <w:smallCaps/>
      <w:color w:val="5A5A5A" w:themeColor="text1" w:themeTint="A5"/>
    </w:rPr>
  </w:style>
  <w:style w:type="table" w:styleId="Table3Deffects1">
    <w:name w:val="Table 3D effects 1"/>
    <w:basedOn w:val="TableNormal"/>
    <w:uiPriority w:val="99"/>
    <w:semiHidden/>
    <w:unhideWhenUsed/>
    <w:rsid w:val="008E4D1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4D1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4D1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4D1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4D1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4D1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4D1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E4D1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E4D1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E4D1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4D1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4D1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4D1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4D1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4D1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4D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4D1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4D1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4D1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4D1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4D1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4D1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4D1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4D1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4D1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E4D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E4D1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4D1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4D1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4D1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4D1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4D1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4D1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4D1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E4D10"/>
    <w:pPr>
      <w:ind w:left="220" w:hanging="220"/>
    </w:pPr>
  </w:style>
  <w:style w:type="paragraph" w:styleId="TableofFigures">
    <w:name w:val="table of figures"/>
    <w:basedOn w:val="Normal"/>
    <w:next w:val="Normal"/>
    <w:uiPriority w:val="99"/>
    <w:semiHidden/>
    <w:unhideWhenUsed/>
    <w:rsid w:val="008E4D10"/>
  </w:style>
  <w:style w:type="table" w:styleId="TableProfessional">
    <w:name w:val="Table Professional"/>
    <w:basedOn w:val="TableNormal"/>
    <w:uiPriority w:val="99"/>
    <w:semiHidden/>
    <w:unhideWhenUsed/>
    <w:rsid w:val="008E4D1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4D1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4D1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4D1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4D1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4D1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4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4D1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4D1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4D1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8E4D10"/>
    <w:pPr>
      <w:spacing w:before="120"/>
    </w:pPr>
    <w:rPr>
      <w:rFonts w:eastAsiaTheme="majorEastAsia" w:cstheme="majorBidi"/>
      <w:b/>
      <w:bCs/>
      <w:sz w:val="24"/>
      <w:szCs w:val="24"/>
    </w:rPr>
  </w:style>
  <w:style w:type="paragraph" w:styleId="TOC1">
    <w:name w:val="toc 1"/>
    <w:basedOn w:val="Normal"/>
    <w:next w:val="Normal"/>
    <w:autoRedefine/>
    <w:uiPriority w:val="99"/>
    <w:semiHidden/>
    <w:rsid w:val="008E4D10"/>
    <w:pPr>
      <w:spacing w:after="100"/>
      <w:ind w:left="567" w:hanging="567"/>
    </w:pPr>
    <w:rPr>
      <w:b/>
    </w:rPr>
  </w:style>
  <w:style w:type="paragraph" w:styleId="TOC2">
    <w:name w:val="toc 2"/>
    <w:basedOn w:val="Normal"/>
    <w:next w:val="Normal"/>
    <w:autoRedefine/>
    <w:uiPriority w:val="99"/>
    <w:semiHidden/>
    <w:rsid w:val="008E4D10"/>
    <w:pPr>
      <w:spacing w:after="100"/>
      <w:ind w:left="1134" w:hanging="567"/>
    </w:pPr>
  </w:style>
  <w:style w:type="paragraph" w:styleId="TOC3">
    <w:name w:val="toc 3"/>
    <w:basedOn w:val="Normal"/>
    <w:next w:val="Normal"/>
    <w:autoRedefine/>
    <w:uiPriority w:val="99"/>
    <w:semiHidden/>
    <w:rsid w:val="008E4D10"/>
    <w:pPr>
      <w:spacing w:after="100"/>
      <w:ind w:left="1701" w:hanging="567"/>
    </w:pPr>
  </w:style>
  <w:style w:type="paragraph" w:styleId="TOC4">
    <w:name w:val="toc 4"/>
    <w:basedOn w:val="Normal"/>
    <w:next w:val="Normal"/>
    <w:autoRedefine/>
    <w:uiPriority w:val="99"/>
    <w:semiHidden/>
    <w:rsid w:val="008E4D10"/>
    <w:pPr>
      <w:spacing w:after="100"/>
    </w:pPr>
  </w:style>
  <w:style w:type="paragraph" w:styleId="TOC5">
    <w:name w:val="toc 5"/>
    <w:basedOn w:val="Normal"/>
    <w:next w:val="Normal"/>
    <w:autoRedefine/>
    <w:uiPriority w:val="99"/>
    <w:semiHidden/>
    <w:rsid w:val="008E4D10"/>
    <w:pPr>
      <w:spacing w:after="100"/>
      <w:ind w:left="880"/>
    </w:pPr>
  </w:style>
  <w:style w:type="paragraph" w:styleId="TOC6">
    <w:name w:val="toc 6"/>
    <w:basedOn w:val="Normal"/>
    <w:next w:val="Normal"/>
    <w:autoRedefine/>
    <w:uiPriority w:val="99"/>
    <w:semiHidden/>
    <w:rsid w:val="008E4D10"/>
    <w:pPr>
      <w:spacing w:after="100"/>
      <w:ind w:left="1100"/>
    </w:pPr>
  </w:style>
  <w:style w:type="paragraph" w:styleId="TOC7">
    <w:name w:val="toc 7"/>
    <w:basedOn w:val="Normal"/>
    <w:next w:val="Normal"/>
    <w:autoRedefine/>
    <w:uiPriority w:val="99"/>
    <w:semiHidden/>
    <w:rsid w:val="008E4D10"/>
    <w:pPr>
      <w:spacing w:after="100"/>
      <w:ind w:left="1320"/>
    </w:pPr>
  </w:style>
  <w:style w:type="paragraph" w:styleId="TOC8">
    <w:name w:val="toc 8"/>
    <w:basedOn w:val="Normal"/>
    <w:next w:val="Normal"/>
    <w:autoRedefine/>
    <w:uiPriority w:val="99"/>
    <w:semiHidden/>
    <w:rsid w:val="008E4D10"/>
    <w:pPr>
      <w:spacing w:after="100"/>
      <w:ind w:left="1540"/>
    </w:pPr>
  </w:style>
  <w:style w:type="paragraph" w:styleId="TOC9">
    <w:name w:val="toc 9"/>
    <w:basedOn w:val="Normal"/>
    <w:next w:val="Normal"/>
    <w:autoRedefine/>
    <w:uiPriority w:val="99"/>
    <w:semiHidden/>
    <w:rsid w:val="008E4D10"/>
    <w:pPr>
      <w:spacing w:after="100"/>
      <w:ind w:left="1760"/>
    </w:pPr>
  </w:style>
  <w:style w:type="paragraph" w:styleId="TOCHeading">
    <w:name w:val="TOC Heading"/>
    <w:basedOn w:val="Normal"/>
    <w:next w:val="Normal"/>
    <w:uiPriority w:val="99"/>
    <w:semiHidden/>
    <w:rsid w:val="008E4D10"/>
    <w:pPr>
      <w:spacing w:before="120" w:after="120"/>
      <w:outlineLvl w:val="0"/>
    </w:pPr>
    <w:rPr>
      <w:rFonts w:asciiTheme="majorHAnsi" w:hAnsiTheme="majorHAnsi"/>
      <w:b/>
      <w:color w:val="231EDC" w:themeColor="accent1"/>
      <w:sz w:val="28"/>
    </w:rPr>
  </w:style>
  <w:style w:type="paragraph" w:customStyle="1" w:styleId="TableNumber2">
    <w:name w:val="Table Number 2"/>
    <w:basedOn w:val="Normal"/>
    <w:uiPriority w:val="5"/>
    <w:qFormat/>
    <w:rsid w:val="008E4D10"/>
    <w:pPr>
      <w:numPr>
        <w:ilvl w:val="1"/>
        <w:numId w:val="19"/>
      </w:numPr>
      <w:spacing w:before="40" w:after="40"/>
    </w:pPr>
    <w:rPr>
      <w:rFonts w:ascii="Jacobs Chronos Cd" w:hAnsi="Jacobs Chronos Cd"/>
      <w:sz w:val="22"/>
    </w:rPr>
  </w:style>
  <w:style w:type="paragraph" w:customStyle="1" w:styleId="InstructionText">
    <w:name w:val="Instruction Text"/>
    <w:basedOn w:val="Normal"/>
    <w:link w:val="InstructionTextChar"/>
    <w:uiPriority w:val="99"/>
    <w:semiHidden/>
    <w:rsid w:val="008E4D10"/>
    <w:pPr>
      <w:spacing w:before="120" w:after="120"/>
    </w:pPr>
    <w:rPr>
      <w:rFonts w:ascii="Arial" w:hAnsi="Arial"/>
      <w:i/>
      <w:color w:val="231EDC" w:themeColor="accent1"/>
      <w:sz w:val="18"/>
    </w:rPr>
  </w:style>
  <w:style w:type="character" w:customStyle="1" w:styleId="InstructionTextChar">
    <w:name w:val="Instruction Text Char"/>
    <w:link w:val="InstructionText"/>
    <w:semiHidden/>
    <w:rsid w:val="008E4D10"/>
    <w:rPr>
      <w:rFonts w:ascii="Arial" w:hAnsi="Arial"/>
      <w:i/>
      <w:color w:val="231EDC" w:themeColor="accent1"/>
      <w:sz w:val="18"/>
    </w:rPr>
  </w:style>
  <w:style w:type="character" w:customStyle="1" w:styleId="AdaButton">
    <w:name w:val="AdaButton"/>
    <w:basedOn w:val="DefaultParagraphFont"/>
    <w:uiPriority w:val="99"/>
    <w:semiHidden/>
    <w:rsid w:val="008E4D10"/>
    <w:rPr>
      <w:b w:val="0"/>
      <w:color w:val="CCFFCC"/>
      <w:sz w:val="40"/>
      <w:bdr w:val="single" w:sz="4" w:space="0" w:color="44546A"/>
      <w:shd w:val="clear" w:color="auto" w:fill="999999"/>
    </w:rPr>
  </w:style>
  <w:style w:type="paragraph" w:customStyle="1" w:styleId="FooterHeading">
    <w:name w:val="Footer Heading"/>
    <w:basedOn w:val="Footer"/>
    <w:next w:val="Footer"/>
    <w:uiPriority w:val="99"/>
    <w:semiHidden/>
    <w:rsid w:val="008E4D10"/>
    <w:rPr>
      <w:rFonts w:ascii="Jacobs Chronos Light" w:hAnsi="Jacobs Chronos Light"/>
      <w:b/>
      <w:sz w:val="21"/>
    </w:rPr>
  </w:style>
  <w:style w:type="paragraph" w:customStyle="1" w:styleId="Reference">
    <w:name w:val="Reference"/>
    <w:basedOn w:val="Footer"/>
    <w:uiPriority w:val="99"/>
    <w:semiHidden/>
    <w:rsid w:val="008E4D10"/>
    <w:rPr>
      <w:rFonts w:ascii="Jacobs Chronos Light" w:hAnsi="Jacobs Chronos Light"/>
      <w:sz w:val="13"/>
    </w:rPr>
  </w:style>
  <w:style w:type="paragraph" w:customStyle="1" w:styleId="Headingunnumbered1">
    <w:name w:val="Heading (unnumbered) 1"/>
    <w:basedOn w:val="Normal"/>
    <w:next w:val="BodyText"/>
    <w:uiPriority w:val="1"/>
    <w:semiHidden/>
    <w:rsid w:val="008E4D10"/>
    <w:pPr>
      <w:keepNext/>
      <w:spacing w:before="240" w:after="120"/>
      <w:outlineLvl w:val="0"/>
    </w:pPr>
    <w:rPr>
      <w:rFonts w:asciiTheme="majorHAnsi" w:hAnsiTheme="majorHAnsi"/>
      <w:b/>
      <w:color w:val="231EDC" w:themeColor="accent1"/>
      <w:sz w:val="32"/>
    </w:rPr>
  </w:style>
  <w:style w:type="paragraph" w:customStyle="1" w:styleId="Headingunnumbered2">
    <w:name w:val="Heading (unnumbered) 2"/>
    <w:basedOn w:val="Normal"/>
    <w:next w:val="BodyText"/>
    <w:uiPriority w:val="1"/>
    <w:semiHidden/>
    <w:rsid w:val="008E4D10"/>
    <w:pPr>
      <w:keepNext/>
      <w:spacing w:before="240" w:after="120"/>
      <w:outlineLvl w:val="1"/>
    </w:pPr>
    <w:rPr>
      <w:rFonts w:asciiTheme="majorHAnsi" w:hAnsiTheme="majorHAnsi"/>
      <w:b/>
      <w:sz w:val="28"/>
    </w:rPr>
  </w:style>
  <w:style w:type="paragraph" w:customStyle="1" w:styleId="Headingunnumbered3">
    <w:name w:val="Heading (unnumbered) 3"/>
    <w:basedOn w:val="Normal"/>
    <w:next w:val="BodyText"/>
    <w:uiPriority w:val="1"/>
    <w:semiHidden/>
    <w:rsid w:val="008E4D10"/>
    <w:pPr>
      <w:keepNext/>
      <w:spacing w:before="240" w:after="120"/>
      <w:outlineLvl w:val="2"/>
    </w:pPr>
    <w:rPr>
      <w:rFonts w:asciiTheme="majorHAnsi" w:hAnsiTheme="majorHAnsi"/>
      <w:b/>
      <w:sz w:val="24"/>
    </w:rPr>
  </w:style>
  <w:style w:type="paragraph" w:customStyle="1" w:styleId="TableNumber3">
    <w:name w:val="Table Number 3"/>
    <w:basedOn w:val="Normal"/>
    <w:uiPriority w:val="5"/>
    <w:qFormat/>
    <w:rsid w:val="008E4D10"/>
    <w:pPr>
      <w:numPr>
        <w:ilvl w:val="2"/>
        <w:numId w:val="19"/>
      </w:numPr>
      <w:spacing w:before="40" w:after="40"/>
    </w:pPr>
    <w:rPr>
      <w:rFonts w:ascii="Jacobs Chronos Cd" w:hAnsi="Jacobs Chronos Cd"/>
      <w:sz w:val="22"/>
    </w:rPr>
  </w:style>
  <w:style w:type="paragraph" w:customStyle="1" w:styleId="TableBullet2">
    <w:name w:val="Table Bullet 2"/>
    <w:basedOn w:val="Normal"/>
    <w:uiPriority w:val="6"/>
    <w:qFormat/>
    <w:rsid w:val="008E4D10"/>
    <w:pPr>
      <w:numPr>
        <w:ilvl w:val="1"/>
        <w:numId w:val="28"/>
      </w:numPr>
      <w:spacing w:before="40" w:after="40"/>
    </w:pPr>
    <w:rPr>
      <w:rFonts w:ascii="Jacobs Chronos Cd" w:hAnsi="Jacobs Chronos Cd"/>
      <w:sz w:val="22"/>
    </w:rPr>
  </w:style>
  <w:style w:type="paragraph" w:customStyle="1" w:styleId="TableBullet3">
    <w:name w:val="Table Bullet 3"/>
    <w:basedOn w:val="Normal"/>
    <w:uiPriority w:val="6"/>
    <w:qFormat/>
    <w:rsid w:val="008E4D10"/>
    <w:pPr>
      <w:numPr>
        <w:ilvl w:val="2"/>
        <w:numId w:val="28"/>
      </w:numPr>
      <w:spacing w:before="40" w:after="40"/>
    </w:pPr>
    <w:rPr>
      <w:rFonts w:ascii="Jacobs Chronos Cd" w:hAnsi="Jacobs Chronos Cd"/>
      <w:sz w:val="22"/>
    </w:rPr>
  </w:style>
  <w:style w:type="numbering" w:customStyle="1" w:styleId="TableNumbers">
    <w:name w:val="Table Numbers"/>
    <w:uiPriority w:val="99"/>
    <w:rsid w:val="008E4D10"/>
    <w:pPr>
      <w:numPr>
        <w:numId w:val="29"/>
      </w:numPr>
    </w:pPr>
  </w:style>
  <w:style w:type="numbering" w:customStyle="1" w:styleId="TableBullets">
    <w:name w:val="Table Bullets"/>
    <w:uiPriority w:val="99"/>
    <w:semiHidden/>
    <w:rsid w:val="008E4D10"/>
    <w:pPr>
      <w:numPr>
        <w:numId w:val="10"/>
      </w:numPr>
    </w:pPr>
  </w:style>
  <w:style w:type="paragraph" w:customStyle="1" w:styleId="AppendixHeading2">
    <w:name w:val="Appendix Heading 2"/>
    <w:basedOn w:val="Normal"/>
    <w:next w:val="BodyText"/>
    <w:uiPriority w:val="19"/>
    <w:semiHidden/>
    <w:rsid w:val="008E4D10"/>
    <w:pPr>
      <w:keepNext/>
      <w:numPr>
        <w:ilvl w:val="1"/>
        <w:numId w:val="20"/>
      </w:numPr>
      <w:spacing w:before="240" w:after="120"/>
      <w:outlineLvl w:val="1"/>
    </w:pPr>
    <w:rPr>
      <w:rFonts w:asciiTheme="majorHAnsi" w:hAnsiTheme="majorHAnsi"/>
      <w:b/>
      <w:sz w:val="28"/>
    </w:rPr>
  </w:style>
  <w:style w:type="paragraph" w:customStyle="1" w:styleId="AppendixHeading3">
    <w:name w:val="Appendix Heading 3"/>
    <w:basedOn w:val="Normal"/>
    <w:next w:val="BodyText"/>
    <w:uiPriority w:val="19"/>
    <w:semiHidden/>
    <w:rsid w:val="008E4D10"/>
    <w:pPr>
      <w:keepNext/>
      <w:numPr>
        <w:ilvl w:val="2"/>
        <w:numId w:val="20"/>
      </w:numPr>
      <w:spacing w:before="240" w:after="120"/>
      <w:outlineLvl w:val="2"/>
    </w:pPr>
    <w:rPr>
      <w:rFonts w:asciiTheme="majorHAnsi" w:hAnsiTheme="majorHAnsi"/>
      <w:b/>
      <w:sz w:val="24"/>
    </w:rPr>
  </w:style>
  <w:style w:type="paragraph" w:customStyle="1" w:styleId="AppendixHeading4">
    <w:name w:val="Appendix Heading 4"/>
    <w:basedOn w:val="Normal"/>
    <w:next w:val="BodyText"/>
    <w:uiPriority w:val="19"/>
    <w:semiHidden/>
    <w:rsid w:val="008E4D10"/>
    <w:pPr>
      <w:keepNext/>
      <w:numPr>
        <w:ilvl w:val="3"/>
        <w:numId w:val="20"/>
      </w:numPr>
      <w:spacing w:before="240" w:after="120"/>
      <w:outlineLvl w:val="3"/>
    </w:pPr>
    <w:rPr>
      <w:rFonts w:asciiTheme="majorHAnsi" w:hAnsiTheme="majorHAnsi"/>
      <w:b/>
      <w:sz w:val="22"/>
    </w:rPr>
  </w:style>
  <w:style w:type="numbering" w:customStyle="1" w:styleId="AppendixHeadings">
    <w:name w:val="Appendix Headings"/>
    <w:uiPriority w:val="99"/>
    <w:semiHidden/>
    <w:rsid w:val="008E4D10"/>
    <w:pPr>
      <w:numPr>
        <w:numId w:val="15"/>
      </w:numPr>
    </w:pPr>
  </w:style>
  <w:style w:type="paragraph" w:customStyle="1" w:styleId="CoverHeading">
    <w:name w:val="Cover Heading"/>
    <w:basedOn w:val="Normal"/>
    <w:uiPriority w:val="99"/>
    <w:semiHidden/>
    <w:rsid w:val="008E4D10"/>
    <w:pPr>
      <w:spacing w:before="240" w:after="1200"/>
    </w:pPr>
    <w:rPr>
      <w:rFonts w:asciiTheme="majorHAnsi" w:hAnsiTheme="majorHAnsi"/>
      <w:b/>
      <w:color w:val="231EDC" w:themeColor="accent1"/>
      <w:sz w:val="52"/>
    </w:rPr>
  </w:style>
  <w:style w:type="paragraph" w:customStyle="1" w:styleId="CoverInformation">
    <w:name w:val="Cover Information"/>
    <w:basedOn w:val="Normal"/>
    <w:uiPriority w:val="99"/>
    <w:semiHidden/>
    <w:rsid w:val="008E4D10"/>
    <w:pPr>
      <w:spacing w:after="480"/>
      <w:contextualSpacing/>
    </w:pPr>
    <w:rPr>
      <w:rFonts w:ascii="Jacobs Chronos Light" w:hAnsi="Jacobs Chronos Light"/>
      <w:sz w:val="28"/>
    </w:rPr>
  </w:style>
  <w:style w:type="paragraph" w:customStyle="1" w:styleId="Disclaimer">
    <w:name w:val="Disclaimer"/>
    <w:basedOn w:val="Normal"/>
    <w:uiPriority w:val="99"/>
    <w:semiHidden/>
    <w:rsid w:val="008E4D10"/>
    <w:pPr>
      <w:spacing w:before="180"/>
    </w:pPr>
    <w:rPr>
      <w:rFonts w:ascii="Jacobs Chronos Light" w:hAnsi="Jacobs Chronos Light"/>
      <w:sz w:val="16"/>
    </w:rPr>
  </w:style>
  <w:style w:type="numbering" w:styleId="111111">
    <w:name w:val="Outline List 2"/>
    <w:basedOn w:val="NoList"/>
    <w:uiPriority w:val="99"/>
    <w:semiHidden/>
    <w:unhideWhenUsed/>
    <w:rsid w:val="005D1D0A"/>
    <w:pPr>
      <w:numPr>
        <w:numId w:val="6"/>
      </w:numPr>
    </w:pPr>
  </w:style>
  <w:style w:type="numbering" w:styleId="1ai">
    <w:name w:val="Outline List 1"/>
    <w:basedOn w:val="NoList"/>
    <w:uiPriority w:val="99"/>
    <w:semiHidden/>
    <w:unhideWhenUsed/>
    <w:rsid w:val="005D1D0A"/>
    <w:pPr>
      <w:numPr>
        <w:numId w:val="7"/>
      </w:numPr>
    </w:pPr>
  </w:style>
  <w:style w:type="numbering" w:styleId="ArticleSection">
    <w:name w:val="Outline List 3"/>
    <w:basedOn w:val="NoList"/>
    <w:uiPriority w:val="99"/>
    <w:semiHidden/>
    <w:unhideWhenUsed/>
    <w:rsid w:val="005D1D0A"/>
    <w:pPr>
      <w:numPr>
        <w:numId w:val="8"/>
      </w:numPr>
    </w:pPr>
  </w:style>
  <w:style w:type="character" w:styleId="SmartLink">
    <w:name w:val="Smart Link"/>
    <w:basedOn w:val="DefaultParagraphFont"/>
    <w:uiPriority w:val="99"/>
    <w:semiHidden/>
    <w:unhideWhenUsed/>
    <w:rsid w:val="005D1D0A"/>
    <w:rPr>
      <w:color w:val="0000FF"/>
      <w:u w:val="single"/>
      <w:shd w:val="clear" w:color="auto" w:fill="F3F2F1"/>
    </w:rPr>
  </w:style>
  <w:style w:type="paragraph" w:customStyle="1" w:styleId="BodyText1Number">
    <w:name w:val="Body Text 1 Number"/>
    <w:basedOn w:val="Normal"/>
    <w:uiPriority w:val="2"/>
    <w:qFormat/>
    <w:rsid w:val="008E4D10"/>
    <w:pPr>
      <w:numPr>
        <w:numId w:val="17"/>
      </w:numPr>
      <w:spacing w:before="180" w:after="120"/>
      <w:ind w:left="357" w:hanging="357"/>
    </w:pPr>
  </w:style>
  <w:style w:type="paragraph" w:customStyle="1" w:styleId="BodyText2Letter">
    <w:name w:val="Body Text 2 Letter"/>
    <w:basedOn w:val="Normal"/>
    <w:uiPriority w:val="2"/>
    <w:qFormat/>
    <w:rsid w:val="008E4D10"/>
    <w:pPr>
      <w:numPr>
        <w:ilvl w:val="1"/>
        <w:numId w:val="17"/>
      </w:numPr>
      <w:spacing w:after="120"/>
      <w:ind w:left="714" w:hanging="357"/>
    </w:pPr>
  </w:style>
  <w:style w:type="paragraph" w:customStyle="1" w:styleId="BodyText3Roman">
    <w:name w:val="Body Text 3 Roman"/>
    <w:basedOn w:val="Normal"/>
    <w:uiPriority w:val="2"/>
    <w:qFormat/>
    <w:rsid w:val="008E4D10"/>
    <w:pPr>
      <w:numPr>
        <w:ilvl w:val="2"/>
        <w:numId w:val="17"/>
      </w:numPr>
      <w:spacing w:after="120"/>
      <w:ind w:left="1071" w:hanging="357"/>
    </w:pPr>
  </w:style>
  <w:style w:type="paragraph" w:customStyle="1" w:styleId="BodyText4Number">
    <w:name w:val="Body Text 4 Number"/>
    <w:basedOn w:val="Normal"/>
    <w:uiPriority w:val="2"/>
    <w:qFormat/>
    <w:rsid w:val="008E4D10"/>
    <w:pPr>
      <w:numPr>
        <w:ilvl w:val="3"/>
        <w:numId w:val="17"/>
      </w:numPr>
      <w:spacing w:after="120"/>
    </w:pPr>
  </w:style>
  <w:style w:type="paragraph" w:customStyle="1" w:styleId="BulletLevel1">
    <w:name w:val="Bullet Level 1"/>
    <w:basedOn w:val="Normal"/>
    <w:uiPriority w:val="2"/>
    <w:qFormat/>
    <w:rsid w:val="004A1C7A"/>
    <w:pPr>
      <w:numPr>
        <w:numId w:val="32"/>
      </w:numPr>
      <w:spacing w:before="120" w:after="60"/>
    </w:pPr>
    <w:rPr>
      <w:rFonts w:ascii="Arial" w:hAnsi="Arial"/>
      <w:sz w:val="22"/>
    </w:rPr>
  </w:style>
  <w:style w:type="paragraph" w:customStyle="1" w:styleId="BulletLevel2">
    <w:name w:val="Bullet Level 2"/>
    <w:basedOn w:val="Normal"/>
    <w:uiPriority w:val="2"/>
    <w:qFormat/>
    <w:rsid w:val="005D3FA9"/>
    <w:pPr>
      <w:numPr>
        <w:ilvl w:val="1"/>
        <w:numId w:val="32"/>
      </w:numPr>
      <w:spacing w:before="120" w:after="60"/>
    </w:pPr>
    <w:rPr>
      <w:rFonts w:ascii="Arial" w:hAnsi="Arial"/>
      <w:sz w:val="22"/>
    </w:rPr>
  </w:style>
  <w:style w:type="paragraph" w:customStyle="1" w:styleId="BulletLevel3">
    <w:name w:val="Bullet Level 3"/>
    <w:basedOn w:val="Normal"/>
    <w:uiPriority w:val="2"/>
    <w:qFormat/>
    <w:rsid w:val="008E4D10"/>
    <w:pPr>
      <w:numPr>
        <w:ilvl w:val="2"/>
        <w:numId w:val="32"/>
      </w:numPr>
      <w:spacing w:before="120" w:after="60"/>
    </w:pPr>
  </w:style>
  <w:style w:type="numbering" w:customStyle="1" w:styleId="BodyTextNumbering">
    <w:name w:val="Body Text Numbering"/>
    <w:uiPriority w:val="99"/>
    <w:semiHidden/>
    <w:rsid w:val="008E4D10"/>
    <w:pPr>
      <w:numPr>
        <w:numId w:val="30"/>
      </w:numPr>
    </w:pPr>
  </w:style>
  <w:style w:type="numbering" w:customStyle="1" w:styleId="Bullets">
    <w:name w:val="Bullets"/>
    <w:uiPriority w:val="99"/>
    <w:semiHidden/>
    <w:rsid w:val="008E4D10"/>
    <w:pPr>
      <w:numPr>
        <w:numId w:val="13"/>
      </w:numPr>
    </w:pPr>
  </w:style>
  <w:style w:type="paragraph" w:styleId="ListBullet">
    <w:name w:val="List Bullet"/>
    <w:basedOn w:val="Normal"/>
    <w:uiPriority w:val="99"/>
    <w:semiHidden/>
    <w:unhideWhenUsed/>
    <w:rsid w:val="00563747"/>
    <w:pPr>
      <w:tabs>
        <w:tab w:val="num" w:pos="360"/>
      </w:tabs>
      <w:ind w:left="360" w:hanging="360"/>
      <w:contextualSpacing/>
    </w:pPr>
  </w:style>
  <w:style w:type="paragraph" w:styleId="ListBullet2">
    <w:name w:val="List Bullet 2"/>
    <w:basedOn w:val="Normal"/>
    <w:uiPriority w:val="99"/>
    <w:semiHidden/>
    <w:unhideWhenUsed/>
    <w:rsid w:val="00563747"/>
    <w:pPr>
      <w:tabs>
        <w:tab w:val="num" w:pos="643"/>
      </w:tabs>
      <w:ind w:left="643" w:hanging="360"/>
      <w:contextualSpacing/>
    </w:pPr>
  </w:style>
  <w:style w:type="paragraph" w:styleId="ListBullet3">
    <w:name w:val="List Bullet 3"/>
    <w:basedOn w:val="Normal"/>
    <w:uiPriority w:val="99"/>
    <w:semiHidden/>
    <w:unhideWhenUsed/>
    <w:rsid w:val="00563747"/>
    <w:pPr>
      <w:tabs>
        <w:tab w:val="num" w:pos="926"/>
      </w:tabs>
      <w:ind w:left="926" w:hanging="360"/>
      <w:contextualSpacing/>
    </w:pPr>
  </w:style>
  <w:style w:type="paragraph" w:styleId="ListNumber">
    <w:name w:val="List Number"/>
    <w:basedOn w:val="Normal"/>
    <w:uiPriority w:val="99"/>
    <w:semiHidden/>
    <w:unhideWhenUsed/>
    <w:rsid w:val="00563747"/>
    <w:pPr>
      <w:tabs>
        <w:tab w:val="num" w:pos="360"/>
      </w:tabs>
      <w:ind w:left="360" w:hanging="360"/>
      <w:contextualSpacing/>
    </w:pPr>
  </w:style>
  <w:style w:type="paragraph" w:styleId="ListNumber2">
    <w:name w:val="List Number 2"/>
    <w:basedOn w:val="Normal"/>
    <w:uiPriority w:val="99"/>
    <w:semiHidden/>
    <w:unhideWhenUsed/>
    <w:rsid w:val="00563747"/>
    <w:pPr>
      <w:tabs>
        <w:tab w:val="num" w:pos="643"/>
      </w:tabs>
      <w:ind w:left="643" w:hanging="360"/>
      <w:contextualSpacing/>
    </w:pPr>
  </w:style>
  <w:style w:type="paragraph" w:styleId="ListNumber3">
    <w:name w:val="List Number 3"/>
    <w:basedOn w:val="Normal"/>
    <w:uiPriority w:val="99"/>
    <w:semiHidden/>
    <w:unhideWhenUsed/>
    <w:rsid w:val="00563747"/>
    <w:pPr>
      <w:tabs>
        <w:tab w:val="num" w:pos="926"/>
      </w:tabs>
      <w:ind w:left="926" w:hanging="360"/>
      <w:contextualSpacing/>
    </w:pPr>
  </w:style>
  <w:style w:type="paragraph" w:styleId="ListNumber4">
    <w:name w:val="List Number 4"/>
    <w:basedOn w:val="Normal"/>
    <w:uiPriority w:val="99"/>
    <w:semiHidden/>
    <w:unhideWhenUsed/>
    <w:rsid w:val="00563747"/>
    <w:pPr>
      <w:tabs>
        <w:tab w:val="num" w:pos="1209"/>
      </w:tabs>
      <w:ind w:left="1209" w:hanging="360"/>
      <w:contextualSpacing/>
    </w:pPr>
  </w:style>
  <w:style w:type="paragraph" w:customStyle="1" w:styleId="LetterSubject">
    <w:name w:val="Letter Subject"/>
    <w:next w:val="Normal"/>
    <w:uiPriority w:val="99"/>
    <w:semiHidden/>
    <w:rsid w:val="008E4D10"/>
    <w:pPr>
      <w:spacing w:after="480"/>
    </w:pPr>
    <w:rPr>
      <w:rFonts w:eastAsiaTheme="majorEastAsia" w:cstheme="majorBidi"/>
      <w:b/>
      <w:szCs w:val="32"/>
    </w:rPr>
  </w:style>
  <w:style w:type="paragraph" w:customStyle="1" w:styleId="ProjectDetails">
    <w:name w:val="Project Details"/>
    <w:basedOn w:val="Normal"/>
    <w:next w:val="Normal"/>
    <w:uiPriority w:val="99"/>
    <w:semiHidden/>
    <w:rsid w:val="008E4D10"/>
    <w:pPr>
      <w:spacing w:after="480"/>
      <w:contextualSpacing/>
    </w:pPr>
    <w:rPr>
      <w:rFonts w:eastAsiaTheme="majorEastAsia" w:cstheme="majorBidi"/>
      <w:szCs w:val="32"/>
    </w:rPr>
  </w:style>
  <w:style w:type="paragraph" w:customStyle="1" w:styleId="RecipientDetails">
    <w:name w:val="Recipient Details"/>
    <w:basedOn w:val="Normal"/>
    <w:uiPriority w:val="99"/>
    <w:semiHidden/>
    <w:rsid w:val="008E4D10"/>
    <w:pPr>
      <w:spacing w:before="240" w:after="240"/>
      <w:contextualSpacing/>
    </w:pPr>
  </w:style>
  <w:style w:type="paragraph" w:customStyle="1" w:styleId="LetterDate">
    <w:name w:val="Letter Date"/>
    <w:basedOn w:val="Normal"/>
    <w:uiPriority w:val="99"/>
    <w:semiHidden/>
    <w:rsid w:val="008E4D10"/>
    <w:pPr>
      <w:spacing w:after="240"/>
    </w:pPr>
  </w:style>
  <w:style w:type="paragraph" w:customStyle="1" w:styleId="Copies">
    <w:name w:val="Copies"/>
    <w:basedOn w:val="BodyText"/>
    <w:uiPriority w:val="99"/>
    <w:semiHidden/>
    <w:rsid w:val="008E4D10"/>
    <w:pPr>
      <w:ind w:left="1134" w:hanging="1134"/>
    </w:pPr>
  </w:style>
  <w:style w:type="paragraph" w:customStyle="1" w:styleId="SenderDetails">
    <w:name w:val="Sender Details"/>
    <w:basedOn w:val="Normal"/>
    <w:next w:val="BodyText"/>
    <w:uiPriority w:val="99"/>
    <w:semiHidden/>
    <w:rsid w:val="008E4D10"/>
    <w:pPr>
      <w:spacing w:before="180" w:after="60"/>
      <w:contextualSpacing/>
    </w:pPr>
  </w:style>
  <w:style w:type="paragraph" w:customStyle="1" w:styleId="SenderContactDetails">
    <w:name w:val="Sender Contact Details"/>
    <w:basedOn w:val="Normal"/>
    <w:next w:val="BodyText"/>
    <w:uiPriority w:val="99"/>
    <w:semiHidden/>
    <w:rsid w:val="008E4D10"/>
    <w:pPr>
      <w:spacing w:before="180" w:after="60"/>
      <w:contextualSpacing/>
    </w:pPr>
    <w:rPr>
      <w:sz w:val="16"/>
    </w:rPr>
  </w:style>
  <w:style w:type="paragraph" w:customStyle="1" w:styleId="CVResumeBullet2ndLevel">
    <w:name w:val="CV Resume Bullet 2nd Level"/>
    <w:basedOn w:val="CVResumeBullet"/>
    <w:uiPriority w:val="99"/>
    <w:semiHidden/>
    <w:rsid w:val="008E4D10"/>
    <w:pPr>
      <w:numPr>
        <w:ilvl w:val="1"/>
      </w:numPr>
    </w:pPr>
  </w:style>
  <w:style w:type="paragraph" w:customStyle="1" w:styleId="CVResumeSubcategoryHeading">
    <w:name w:val="CV Resume Subcategory Heading"/>
    <w:basedOn w:val="Normal"/>
    <w:next w:val="Normal"/>
    <w:uiPriority w:val="99"/>
    <w:semiHidden/>
    <w:rsid w:val="008E4D10"/>
    <w:pPr>
      <w:spacing w:before="120" w:after="120"/>
    </w:pPr>
    <w:rPr>
      <w:rFonts w:asciiTheme="majorHAnsi" w:hAnsiTheme="majorHAnsi"/>
      <w:color w:val="333333"/>
      <w:sz w:val="22"/>
    </w:rPr>
  </w:style>
  <w:style w:type="paragraph" w:customStyle="1" w:styleId="CVResumeTableText">
    <w:name w:val="CV Resume Table Text"/>
    <w:basedOn w:val="Normal"/>
    <w:uiPriority w:val="99"/>
    <w:semiHidden/>
    <w:rsid w:val="008E4D10"/>
    <w:pPr>
      <w:spacing w:after="60"/>
    </w:pPr>
    <w:rPr>
      <w:rFonts w:ascii="Jacobs Chronos Light" w:hAnsi="Jacobs Chronos Light"/>
    </w:rPr>
  </w:style>
  <w:style w:type="paragraph" w:customStyle="1" w:styleId="CVResumeName">
    <w:name w:val="CV Resume Name"/>
    <w:uiPriority w:val="99"/>
    <w:semiHidden/>
    <w:rsid w:val="008E4D10"/>
    <w:pPr>
      <w:spacing w:after="120"/>
      <w:outlineLvl w:val="0"/>
    </w:pPr>
    <w:rPr>
      <w:rFonts w:cs="Jacobs Chronos"/>
      <w:b/>
      <w:color w:val="231EDC" w:themeColor="accent1"/>
      <w:sz w:val="32"/>
      <w:szCs w:val="24"/>
    </w:rPr>
  </w:style>
  <w:style w:type="paragraph" w:customStyle="1" w:styleId="CVResumeTitleRole">
    <w:name w:val="CV Resume Title Role"/>
    <w:next w:val="CVResumeHeading"/>
    <w:uiPriority w:val="99"/>
    <w:semiHidden/>
    <w:rsid w:val="008E4D10"/>
    <w:rPr>
      <w:rFonts w:cs="Jacobs Chronos"/>
      <w:sz w:val="28"/>
      <w:szCs w:val="24"/>
    </w:rPr>
  </w:style>
  <w:style w:type="paragraph" w:customStyle="1" w:styleId="CVResumeBullet">
    <w:name w:val="CV Resume Bullet"/>
    <w:basedOn w:val="CVResumeTableText"/>
    <w:uiPriority w:val="99"/>
    <w:semiHidden/>
    <w:rsid w:val="008E4D10"/>
    <w:pPr>
      <w:numPr>
        <w:numId w:val="25"/>
      </w:numPr>
    </w:pPr>
  </w:style>
  <w:style w:type="paragraph" w:customStyle="1" w:styleId="CVResumeTableHeading">
    <w:name w:val="CV Resume Table Heading"/>
    <w:basedOn w:val="CVResumeTableText"/>
    <w:next w:val="CVResumeTableText"/>
    <w:uiPriority w:val="99"/>
    <w:semiHidden/>
    <w:rsid w:val="008E4D10"/>
    <w:rPr>
      <w:rFonts w:cs="Jacobs Chronos Light"/>
      <w:b/>
      <w:color w:val="333333" w:themeColor="text2"/>
    </w:rPr>
  </w:style>
  <w:style w:type="paragraph" w:customStyle="1" w:styleId="CVResumeHeading">
    <w:name w:val="CV Resume Heading"/>
    <w:next w:val="BodyText"/>
    <w:uiPriority w:val="99"/>
    <w:semiHidden/>
    <w:rsid w:val="008E4D10"/>
    <w:pPr>
      <w:spacing w:before="120" w:after="120"/>
    </w:pPr>
    <w:rPr>
      <w:rFonts w:ascii="Jacobs Chronos Light" w:hAnsi="Jacobs Chronos Light" w:cs="Jacobs Chronos Light"/>
      <w:color w:val="231EDC" w:themeColor="accent1"/>
      <w:sz w:val="24"/>
      <w:szCs w:val="24"/>
    </w:rPr>
  </w:style>
  <w:style w:type="paragraph" w:customStyle="1" w:styleId="CVResumeProjectHeading">
    <w:name w:val="CV Resume Project Heading"/>
    <w:next w:val="BodyText"/>
    <w:uiPriority w:val="99"/>
    <w:semiHidden/>
    <w:rsid w:val="008E4D10"/>
    <w:pPr>
      <w:spacing w:before="180" w:after="120"/>
    </w:pPr>
    <w:rPr>
      <w:rFonts w:ascii="Jacobs Chronos Light" w:hAnsi="Jacobs Chronos Light" w:cs="Jacobs Chronos"/>
      <w:b/>
      <w:color w:val="231EDC" w:themeColor="accent1"/>
      <w:sz w:val="22"/>
      <w:szCs w:val="24"/>
    </w:rPr>
  </w:style>
  <w:style w:type="paragraph" w:customStyle="1" w:styleId="AddressText">
    <w:name w:val="Address Text"/>
    <w:basedOn w:val="TableText"/>
    <w:uiPriority w:val="99"/>
    <w:semiHidden/>
    <w:rsid w:val="008E4D10"/>
    <w:pPr>
      <w:spacing w:before="60" w:after="60"/>
    </w:pPr>
    <w:rPr>
      <w:rFonts w:asciiTheme="minorHAnsi" w:hAnsiTheme="minorHAnsi"/>
      <w:sz w:val="18"/>
    </w:rPr>
  </w:style>
  <w:style w:type="paragraph" w:customStyle="1" w:styleId="PhotologNumber">
    <w:name w:val="Photolog Number"/>
    <w:basedOn w:val="BodyText"/>
    <w:uiPriority w:val="7"/>
    <w:semiHidden/>
    <w:rsid w:val="008E4D10"/>
    <w:pPr>
      <w:numPr>
        <w:numId w:val="21"/>
      </w:numPr>
    </w:pPr>
    <w:rPr>
      <w:rFonts w:eastAsiaTheme="minorHAnsi"/>
      <w:b/>
    </w:rPr>
  </w:style>
  <w:style w:type="numbering" w:customStyle="1" w:styleId="PhotologNumberList">
    <w:name w:val="Photolog Number List"/>
    <w:uiPriority w:val="99"/>
    <w:semiHidden/>
    <w:rsid w:val="008E4D10"/>
    <w:pPr>
      <w:numPr>
        <w:numId w:val="11"/>
      </w:numPr>
    </w:pPr>
  </w:style>
  <w:style w:type="paragraph" w:customStyle="1" w:styleId="CapabilityBullet">
    <w:name w:val="Capability Bullet"/>
    <w:uiPriority w:val="99"/>
    <w:semiHidden/>
    <w:rsid w:val="008E4D10"/>
    <w:pPr>
      <w:numPr>
        <w:numId w:val="23"/>
      </w:numPr>
      <w:spacing w:before="40" w:after="40"/>
    </w:pPr>
    <w:rPr>
      <w:rFonts w:asciiTheme="minorHAnsi" w:hAnsiTheme="minorHAnsi" w:cs="Jacobs Chronos"/>
      <w:szCs w:val="24"/>
    </w:rPr>
  </w:style>
  <w:style w:type="paragraph" w:customStyle="1" w:styleId="CapabilityBullet2ndLevel">
    <w:name w:val="Capability Bullet 2nd Level"/>
    <w:basedOn w:val="CapabilityBullet"/>
    <w:uiPriority w:val="99"/>
    <w:semiHidden/>
    <w:rsid w:val="008E4D10"/>
    <w:pPr>
      <w:numPr>
        <w:ilvl w:val="1"/>
      </w:numPr>
    </w:pPr>
  </w:style>
  <w:style w:type="numbering" w:customStyle="1" w:styleId="CapabilityBullets">
    <w:name w:val="Capability Bullets"/>
    <w:uiPriority w:val="99"/>
    <w:semiHidden/>
    <w:rsid w:val="008E4D10"/>
    <w:pPr>
      <w:numPr>
        <w:numId w:val="14"/>
      </w:numPr>
    </w:pPr>
  </w:style>
  <w:style w:type="paragraph" w:customStyle="1" w:styleId="ProjectBullet">
    <w:name w:val="Project Bullet"/>
    <w:uiPriority w:val="99"/>
    <w:semiHidden/>
    <w:rsid w:val="008E4D10"/>
    <w:pPr>
      <w:numPr>
        <w:numId w:val="24"/>
      </w:numPr>
      <w:spacing w:after="60"/>
    </w:pPr>
    <w:rPr>
      <w:rFonts w:asciiTheme="minorHAnsi" w:hAnsiTheme="minorHAnsi" w:cs="Jacobs Chronos"/>
      <w:szCs w:val="24"/>
    </w:rPr>
  </w:style>
  <w:style w:type="paragraph" w:customStyle="1" w:styleId="ProjectBullet2ndLevel">
    <w:name w:val="Project Bullet 2nd Level"/>
    <w:basedOn w:val="ProjectBullet"/>
    <w:uiPriority w:val="99"/>
    <w:semiHidden/>
    <w:rsid w:val="008E4D10"/>
    <w:pPr>
      <w:numPr>
        <w:ilvl w:val="1"/>
      </w:numPr>
    </w:pPr>
  </w:style>
  <w:style w:type="numbering" w:customStyle="1" w:styleId="ProjectBullets">
    <w:name w:val="Project Bullets"/>
    <w:uiPriority w:val="99"/>
    <w:semiHidden/>
    <w:rsid w:val="008E4D10"/>
    <w:pPr>
      <w:numPr>
        <w:numId w:val="12"/>
      </w:numPr>
    </w:pPr>
  </w:style>
  <w:style w:type="paragraph" w:customStyle="1" w:styleId="TableNotes">
    <w:name w:val="Table Notes"/>
    <w:basedOn w:val="Normal"/>
    <w:uiPriority w:val="6"/>
    <w:semiHidden/>
    <w:rsid w:val="008E4D10"/>
    <w:pPr>
      <w:spacing w:before="80" w:after="80"/>
    </w:pPr>
    <w:rPr>
      <w:rFonts w:ascii="Jacobs Chronos Cd" w:hAnsi="Jacobs Chronos Cd"/>
      <w:sz w:val="16"/>
    </w:rPr>
  </w:style>
  <w:style w:type="paragraph" w:customStyle="1" w:styleId="TableNotesIndented">
    <w:name w:val="Table Notes Indented"/>
    <w:basedOn w:val="Normal"/>
    <w:uiPriority w:val="6"/>
    <w:semiHidden/>
    <w:rsid w:val="008E4D10"/>
    <w:pPr>
      <w:spacing w:before="80" w:after="80"/>
      <w:ind w:left="113"/>
    </w:pPr>
    <w:rPr>
      <w:rFonts w:ascii="Jacobs Chronos Cd" w:hAnsi="Jacobs Chronos Cd"/>
      <w:sz w:val="16"/>
    </w:rPr>
  </w:style>
  <w:style w:type="paragraph" w:customStyle="1" w:styleId="SourceCitation">
    <w:name w:val="Source/Citation"/>
    <w:basedOn w:val="Normal"/>
    <w:next w:val="BodyText"/>
    <w:uiPriority w:val="8"/>
    <w:semiHidden/>
    <w:rsid w:val="008E4D10"/>
    <w:pPr>
      <w:spacing w:before="40" w:after="40"/>
    </w:pPr>
    <w:rPr>
      <w:rFonts w:ascii="Jacobs Chronos Light" w:hAnsi="Jacobs Chronos Light"/>
      <w:i/>
      <w:sz w:val="18"/>
    </w:rPr>
  </w:style>
  <w:style w:type="paragraph" w:customStyle="1" w:styleId="QuoteText">
    <w:name w:val="Quote Text"/>
    <w:basedOn w:val="Normal"/>
    <w:uiPriority w:val="7"/>
    <w:semiHidden/>
    <w:rsid w:val="008E4D10"/>
    <w:pPr>
      <w:spacing w:before="60" w:after="40"/>
      <w:ind w:left="1134" w:right="1134"/>
    </w:pPr>
    <w:rPr>
      <w:rFonts w:ascii="Jacobs Chronos Cd" w:hAnsi="Jacobs Chronos Cd"/>
      <w:i/>
      <w:color w:val="231EDC" w:themeColor="accent1"/>
    </w:rPr>
  </w:style>
  <w:style w:type="paragraph" w:customStyle="1" w:styleId="QuoteAuthor">
    <w:name w:val="Quote Author"/>
    <w:basedOn w:val="Normal"/>
    <w:uiPriority w:val="8"/>
    <w:semiHidden/>
    <w:rsid w:val="008E4D10"/>
    <w:pPr>
      <w:spacing w:before="40" w:after="40"/>
      <w:ind w:left="1134" w:right="1134"/>
    </w:pPr>
    <w:rPr>
      <w:rFonts w:ascii="Jacobs Chronos Cd" w:hAnsi="Jacobs Chronos Cd"/>
      <w:color w:val="333333" w:themeColor="text2"/>
    </w:rPr>
  </w:style>
  <w:style w:type="paragraph" w:customStyle="1" w:styleId="QuoteAuthorTitle">
    <w:name w:val="Quote Author Title"/>
    <w:basedOn w:val="Normal"/>
    <w:next w:val="BodyText"/>
    <w:uiPriority w:val="8"/>
    <w:semiHidden/>
    <w:rsid w:val="008E4D10"/>
    <w:pPr>
      <w:spacing w:before="40" w:after="60"/>
      <w:ind w:left="1134" w:right="1134"/>
    </w:pPr>
    <w:rPr>
      <w:rFonts w:ascii="Jacobs Chronos Cd" w:hAnsi="Jacobs Chronos Cd"/>
      <w:i/>
      <w:color w:val="333333" w:themeColor="text2"/>
      <w:sz w:val="16"/>
    </w:rPr>
  </w:style>
  <w:style w:type="paragraph" w:customStyle="1" w:styleId="CoverDate">
    <w:name w:val="Cover Date"/>
    <w:basedOn w:val="CoverInformation"/>
    <w:uiPriority w:val="99"/>
    <w:semiHidden/>
    <w:rsid w:val="008E4D10"/>
    <w:pPr>
      <w:spacing w:before="1080"/>
      <w:contextualSpacing w:val="0"/>
      <w:jc w:val="right"/>
    </w:pPr>
  </w:style>
  <w:style w:type="paragraph" w:customStyle="1" w:styleId="FigureCaption">
    <w:name w:val="Figure Caption"/>
    <w:basedOn w:val="Caption"/>
    <w:next w:val="BodyText"/>
    <w:uiPriority w:val="99"/>
    <w:semiHidden/>
    <w:rsid w:val="008E4D10"/>
  </w:style>
  <w:style w:type="paragraph" w:customStyle="1" w:styleId="TableCaption">
    <w:name w:val="Table Caption"/>
    <w:basedOn w:val="Caption"/>
    <w:next w:val="BodyText"/>
    <w:uiPriority w:val="99"/>
    <w:semiHidden/>
    <w:rsid w:val="008E4D10"/>
    <w:pPr>
      <w:keepNext/>
    </w:pPr>
  </w:style>
  <w:style w:type="paragraph" w:customStyle="1" w:styleId="CaptionNote">
    <w:name w:val="Caption Note"/>
    <w:basedOn w:val="Normal"/>
    <w:next w:val="BodyText"/>
    <w:uiPriority w:val="99"/>
    <w:semiHidden/>
    <w:rsid w:val="008E4D10"/>
    <w:pPr>
      <w:spacing w:before="40" w:after="40"/>
    </w:pPr>
    <w:rPr>
      <w:rFonts w:ascii="Jacobs Chronos Light" w:hAnsi="Jacobs Chronos Light"/>
      <w:i/>
    </w:rPr>
  </w:style>
  <w:style w:type="paragraph" w:customStyle="1" w:styleId="PictureCaption">
    <w:name w:val="Picture Caption"/>
    <w:basedOn w:val="FigureCaption"/>
    <w:next w:val="BodyText"/>
    <w:uiPriority w:val="99"/>
    <w:semiHidden/>
    <w:rsid w:val="008E4D10"/>
    <w:pPr>
      <w:keepNext/>
    </w:pPr>
  </w:style>
  <w:style w:type="paragraph" w:customStyle="1" w:styleId="Classification">
    <w:name w:val="Classification"/>
    <w:basedOn w:val="HeaderSpacer"/>
    <w:uiPriority w:val="99"/>
    <w:semiHidden/>
    <w:rsid w:val="008E4D10"/>
    <w:pPr>
      <w:jc w:val="center"/>
    </w:pPr>
    <w:rPr>
      <w:rFonts w:ascii="Calibri" w:hAnsi="Calibri"/>
      <w:sz w:val="20"/>
    </w:rPr>
  </w:style>
  <w:style w:type="paragraph" w:customStyle="1" w:styleId="BlankPage">
    <w:name w:val="Blank Page"/>
    <w:basedOn w:val="Normal"/>
    <w:uiPriority w:val="99"/>
    <w:semiHidden/>
    <w:rsid w:val="008E4D10"/>
    <w:rPr>
      <w:rFonts w:eastAsiaTheme="majorEastAsia" w:cs="Jacobs Chronos Light"/>
      <w:b/>
      <w:color w:val="231EDC" w:themeColor="accent1"/>
      <w:sz w:val="28"/>
      <w:szCs w:val="56"/>
    </w:rPr>
  </w:style>
  <w:style w:type="paragraph" w:customStyle="1" w:styleId="ProjectHeading">
    <w:name w:val="Project Heading"/>
    <w:next w:val="Normal"/>
    <w:uiPriority w:val="99"/>
    <w:semiHidden/>
    <w:rsid w:val="008E4D10"/>
    <w:pPr>
      <w:spacing w:before="120" w:after="120"/>
      <w:outlineLvl w:val="1"/>
    </w:pPr>
    <w:rPr>
      <w:rFonts w:ascii="Jacobs Chronos Light" w:hAnsi="Jacobs Chronos Light" w:cs="Jacobs Chronos Light"/>
      <w:color w:val="231EDC" w:themeColor="accent1"/>
      <w:sz w:val="24"/>
    </w:rPr>
  </w:style>
  <w:style w:type="paragraph" w:customStyle="1" w:styleId="EgressHeaderStyleInternalOnlyIdOffice">
    <w:name w:val="EgressHeaderStyleInternalOnlyIdOffice"/>
    <w:basedOn w:val="Normal"/>
    <w:uiPriority w:val="99"/>
    <w:semiHidden/>
    <w:rsid w:val="00D724A7"/>
    <w:pPr>
      <w:jc w:val="center"/>
    </w:pPr>
    <w:rPr>
      <w:rFonts w:ascii="Arial" w:hAnsi="Arial" w:cs="Arial"/>
      <w:b/>
      <w:color w:val="000000"/>
      <w:sz w:val="24"/>
    </w:rPr>
  </w:style>
  <w:style w:type="paragraph" w:customStyle="1" w:styleId="EgressFooterStyleInternalOnlyIdOffice">
    <w:name w:val="EgressFooterStyleInternalOnlyIdOffice"/>
    <w:basedOn w:val="Normal"/>
    <w:uiPriority w:val="99"/>
    <w:semiHidden/>
    <w:rsid w:val="00D724A7"/>
    <w:pPr>
      <w:jc w:val="center"/>
    </w:pPr>
    <w:rPr>
      <w:rFonts w:ascii="Arial" w:hAnsi="Arial" w:cs="Arial"/>
      <w:b/>
      <w:color w:val="000000"/>
      <w:sz w:val="24"/>
    </w:rPr>
  </w:style>
  <w:style w:type="table" w:customStyle="1" w:styleId="JacobsTable1accentprimarythemes">
    <w:name w:val="Jacobs Table 1 (accent &amp; primary themes)"/>
    <w:basedOn w:val="TableNormal"/>
    <w:uiPriority w:val="99"/>
    <w:rsid w:val="008E4D10"/>
    <w:pPr>
      <w:spacing w:before="40" w:after="40"/>
    </w:pPr>
    <w:rPr>
      <w:rFonts w:ascii="Jacobs Chronos Cd" w:hAnsi="Jacobs Chronos Cd"/>
    </w:rPr>
    <w:tblPr>
      <w:tblStyleRowBandSize w:val="1"/>
      <w:tblStyleColBandSize w:val="1"/>
      <w:tblBorders>
        <w:top w:val="single" w:sz="4" w:space="0" w:color="E6E6E6" w:themeColor="background2"/>
        <w:bottom w:val="single" w:sz="4" w:space="0" w:color="E6E6E6" w:themeColor="background2"/>
        <w:insideH w:val="single" w:sz="4" w:space="0" w:color="E6E6E6" w:themeColor="background2"/>
        <w:insideV w:val="single" w:sz="4" w:space="0" w:color="E6E6E6"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231EDC" w:themeFill="accent1"/>
      </w:tcPr>
    </w:tblStylePr>
    <w:tblStylePr w:type="lastRow">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tblPr/>
      <w:tcPr>
        <w:tcBorders>
          <w:top w:val="single" w:sz="4" w:space="0" w:color="FFFFFF" w:themeColor="background1"/>
          <w:left w:val="nil"/>
          <w:bottom w:val="single" w:sz="4" w:space="0" w:color="E6E6E6" w:themeColor="background2"/>
          <w:right w:val="single" w:sz="4" w:space="0" w:color="FFFFFF" w:themeColor="background1"/>
          <w:insideH w:val="single" w:sz="4" w:space="0" w:color="FFFFFF" w:themeColor="background1"/>
          <w:insideV w:val="single" w:sz="4" w:space="0" w:color="FFFFFF" w:themeColor="background1"/>
        </w:tcBorders>
        <w:shd w:val="clear" w:color="auto" w:fill="231EDC" w:themeFill="accent1"/>
      </w:tcPr>
    </w:tblStylePr>
    <w:tblStylePr w:type="lastCol">
      <w:tblPr/>
      <w:tcPr>
        <w:tcBorders>
          <w:top w:val="single" w:sz="4" w:space="0" w:color="FFFFFF" w:themeColor="background1"/>
          <w:left w:val="single" w:sz="4" w:space="0" w:color="FFFFFF" w:themeColor="background1"/>
          <w:bottom w:val="single" w:sz="4" w:space="0" w:color="E6E6E6" w:themeColor="background2"/>
          <w:right w:val="nil"/>
          <w:insideH w:val="single" w:sz="4" w:space="0" w:color="FFFFFF" w:themeColor="background1"/>
          <w:insideV w:val="single" w:sz="4" w:space="0" w:color="FFFFFF" w:themeColor="background1"/>
        </w:tcBorders>
        <w:shd w:val="clear" w:color="auto" w:fill="000000" w:themeFill="text1"/>
      </w:tcPr>
    </w:tblStylePr>
    <w:tblStylePr w:type="band1Vert">
      <w:tblPr/>
      <w:tcPr>
        <w:tcBorders>
          <w:top w:val="single" w:sz="4" w:space="0" w:color="E6E6E6" w:themeColor="background2"/>
          <w:left w:val="nil"/>
          <w:bottom w:val="single" w:sz="4" w:space="0" w:color="E6E6E6" w:themeColor="background2"/>
          <w:right w:val="nil"/>
          <w:insideH w:val="single" w:sz="4" w:space="0" w:color="FFFFFF" w:themeColor="background1"/>
          <w:insideV w:val="single" w:sz="4" w:space="0" w:color="FFFFFF" w:themeColor="background1"/>
        </w:tcBorders>
        <w:shd w:val="clear" w:color="auto" w:fill="E6E6E6" w:themeFill="background2"/>
      </w:tcPr>
    </w:tblStylePr>
    <w:tblStylePr w:type="band2Horz">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E6E6E6" w:themeFill="background2"/>
      </w:tcPr>
    </w:tblStylePr>
  </w:style>
  <w:style w:type="table" w:customStyle="1" w:styleId="JacobsTable2accentthemes">
    <w:name w:val="Jacobs Table 2 (accent themes)"/>
    <w:basedOn w:val="TableNormal"/>
    <w:uiPriority w:val="99"/>
    <w:rsid w:val="008E4D10"/>
    <w:pPr>
      <w:spacing w:before="40" w:after="40"/>
    </w:pPr>
    <w:rPr>
      <w:rFonts w:ascii="Jacobs Chronos Cd" w:hAnsi="Jacobs Chronos Cd"/>
    </w:rPr>
    <w:tblPr>
      <w:tblStyleRowBandSize w:val="1"/>
      <w:tblStyleColBandSize w:val="1"/>
      <w:tblBorders>
        <w:top w:val="single" w:sz="4" w:space="0" w:color="E6E6E6" w:themeColor="background2"/>
        <w:bottom w:val="single" w:sz="4" w:space="0" w:color="E6E6E6" w:themeColor="background2"/>
        <w:insideH w:val="single" w:sz="4" w:space="0" w:color="E6E6E6" w:themeColor="background2"/>
        <w:insideV w:val="single" w:sz="4" w:space="0" w:color="E6E6E6"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1E55" w:themeFill="accent4"/>
      </w:tcPr>
    </w:tblStylePr>
    <w:tblStylePr w:type="lastRow">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b/>
        <w:color w:val="FFFFFF" w:themeColor="background1"/>
      </w:rPr>
      <w:tblPr/>
      <w:tcPr>
        <w:tcBorders>
          <w:top w:val="single" w:sz="4" w:space="0" w:color="FFFFFF" w:themeColor="background1"/>
          <w:left w:val="nil"/>
          <w:bottom w:val="single" w:sz="4" w:space="0" w:color="E6E6E6"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231EDC" w:themeFill="accent1"/>
      </w:tcPr>
    </w:tblStylePr>
    <w:tblStylePr w:type="lastCol">
      <w:tblPr/>
      <w:tcPr>
        <w:tcBorders>
          <w:top w:val="single" w:sz="4" w:space="0" w:color="FFFFFF" w:themeColor="background1"/>
          <w:left w:val="single" w:sz="4" w:space="0" w:color="FFFFFF" w:themeColor="background1"/>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001E55" w:themeFill="accent4"/>
      </w:tcPr>
    </w:tblStylePr>
    <w:tblStylePr w:type="band1Vert">
      <w:tblPr/>
      <w:tcPr>
        <w:tcBorders>
          <w:top w:val="single" w:sz="4" w:space="0" w:color="E6E6E6" w:themeColor="background2"/>
          <w:left w:val="nil"/>
          <w:bottom w:val="single" w:sz="4" w:space="0" w:color="E6E6E6" w:themeColor="background2"/>
          <w:right w:val="nil"/>
          <w:insideH w:val="single" w:sz="4" w:space="0" w:color="FFFFFF" w:themeColor="background1"/>
          <w:insideV w:val="single" w:sz="4" w:space="0" w:color="FFFFFF" w:themeColor="background1"/>
        </w:tcBorders>
        <w:shd w:val="clear" w:color="auto" w:fill="E6E6E6" w:themeFill="background2"/>
      </w:tcPr>
    </w:tblStylePr>
    <w:tblStylePr w:type="band2Horz">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E6E6E6" w:themeFill="background2"/>
      </w:tcPr>
    </w:tblStylePr>
  </w:style>
  <w:style w:type="table" w:customStyle="1" w:styleId="JacobsTable3accentthemes">
    <w:name w:val="Jacobs Table 3 (accent themes)"/>
    <w:basedOn w:val="TableNormal"/>
    <w:uiPriority w:val="99"/>
    <w:rsid w:val="008E4D10"/>
    <w:pPr>
      <w:spacing w:before="40" w:after="40"/>
    </w:pPr>
    <w:rPr>
      <w:rFonts w:ascii="Jacobs Chronos Cd" w:hAnsi="Jacobs Chronos Cd"/>
    </w:rPr>
    <w:tblPr>
      <w:tblStyleRowBandSize w:val="1"/>
      <w:tblStyleColBandSize w:val="1"/>
      <w:tblBorders>
        <w:top w:val="single" w:sz="4" w:space="0" w:color="E6E6E6" w:themeColor="background2"/>
        <w:bottom w:val="single" w:sz="4" w:space="0" w:color="E6E6E6" w:themeColor="background2"/>
        <w:insideH w:val="single" w:sz="4" w:space="0" w:color="E6E6E6" w:themeColor="background2"/>
        <w:insideV w:val="single" w:sz="4" w:space="0" w:color="E6E6E6"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A7DFF" w:themeFill="accent2"/>
      </w:tcPr>
    </w:tblStylePr>
    <w:tblStylePr w:type="lastRow">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001E55" w:themeFill="accent4"/>
      </w:tcPr>
    </w:tblStylePr>
    <w:tblStylePr w:type="firstCol">
      <w:tblPr/>
      <w:tcPr>
        <w:tcBorders>
          <w:top w:val="single" w:sz="4" w:space="0" w:color="FFFFFF" w:themeColor="background1"/>
          <w:left w:val="nil"/>
          <w:bottom w:val="single" w:sz="4" w:space="0" w:color="E6E6E6" w:themeColor="background2"/>
          <w:right w:val="single" w:sz="4" w:space="0" w:color="FFFFFF" w:themeColor="background1"/>
          <w:insideH w:val="single" w:sz="4" w:space="0" w:color="FFFFFF" w:themeColor="background1"/>
          <w:insideV w:val="nil"/>
          <w:tl2br w:val="nil"/>
          <w:tr2bl w:val="nil"/>
        </w:tcBorders>
        <w:shd w:val="clear" w:color="auto" w:fill="001E55" w:themeFill="accent4"/>
      </w:tcPr>
    </w:tblStylePr>
    <w:tblStylePr w:type="lastCol">
      <w:tblPr/>
      <w:tcPr>
        <w:tcBorders>
          <w:top w:val="single" w:sz="4" w:space="0" w:color="FFFFFF" w:themeColor="background1"/>
          <w:left w:val="single" w:sz="4" w:space="0" w:color="FFFFFF" w:themeColor="background1"/>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001E55" w:themeFill="accent4"/>
      </w:tcPr>
    </w:tblStylePr>
    <w:tblStylePr w:type="band1Vert">
      <w:tblPr/>
      <w:tcPr>
        <w:tcBorders>
          <w:top w:val="single" w:sz="4" w:space="0" w:color="E6E6E6" w:themeColor="background2"/>
          <w:left w:val="nil"/>
          <w:bottom w:val="single" w:sz="4" w:space="0" w:color="E6E6E6" w:themeColor="background2"/>
          <w:right w:val="nil"/>
          <w:insideH w:val="single" w:sz="4" w:space="0" w:color="FFFFFF" w:themeColor="background1"/>
          <w:insideV w:val="single" w:sz="4" w:space="0" w:color="FFFFFF" w:themeColor="background1"/>
        </w:tcBorders>
        <w:shd w:val="clear" w:color="auto" w:fill="E6E6E6" w:themeFill="background2"/>
      </w:tcPr>
    </w:tblStylePr>
    <w:tblStylePr w:type="band1Horz">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E6E6E6" w:themeFill="background2"/>
      </w:tcPr>
    </w:tblStylePr>
  </w:style>
  <w:style w:type="table" w:customStyle="1" w:styleId="JacobsTable2primarythemes">
    <w:name w:val="Jacobs Table 2 (primary themes)"/>
    <w:basedOn w:val="TableNormal"/>
    <w:uiPriority w:val="99"/>
    <w:rsid w:val="008E4D10"/>
    <w:pPr>
      <w:spacing w:before="40" w:after="40"/>
    </w:pPr>
    <w:rPr>
      <w:rFonts w:ascii="Jacobs Chronos Cd" w:hAnsi="Jacobs Chronos Cd"/>
    </w:rPr>
    <w:tblPr>
      <w:tblStyleRowBandSize w:val="1"/>
      <w:tblStyleColBandSize w:val="1"/>
      <w:tblBorders>
        <w:top w:val="single" w:sz="4" w:space="0" w:color="E6E6E6" w:themeColor="background2"/>
        <w:bottom w:val="single" w:sz="4" w:space="0" w:color="E6E6E6" w:themeColor="background2"/>
        <w:insideH w:val="single" w:sz="4" w:space="0" w:color="E6E6E6" w:themeColor="background2"/>
        <w:insideV w:val="single" w:sz="4" w:space="0" w:color="E6E6E6"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lastRow">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b/>
        <w:color w:val="FFFFFF" w:themeColor="background1"/>
      </w:rPr>
      <w:tblPr/>
      <w:tcPr>
        <w:tcBorders>
          <w:top w:val="single" w:sz="4" w:space="0" w:color="FFFFFF" w:themeColor="background1"/>
          <w:left w:val="nil"/>
          <w:bottom w:val="single" w:sz="4" w:space="0" w:color="E6E6E6"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231EDC" w:themeFill="accent1"/>
      </w:tcPr>
    </w:tblStylePr>
    <w:tblStylePr w:type="lastCol">
      <w:tblPr/>
      <w:tcPr>
        <w:tcBorders>
          <w:top w:val="single" w:sz="4" w:space="0" w:color="FFFFFF" w:themeColor="background1"/>
          <w:left w:val="single" w:sz="4" w:space="0" w:color="FFFFFF" w:themeColor="background1"/>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231EDC" w:themeFill="accent1"/>
      </w:tcPr>
    </w:tblStylePr>
    <w:tblStylePr w:type="band1Vert">
      <w:tblPr/>
      <w:tcPr>
        <w:tcBorders>
          <w:top w:val="single" w:sz="4" w:space="0" w:color="E6E6E6" w:themeColor="background2"/>
          <w:left w:val="nil"/>
          <w:bottom w:val="single" w:sz="4" w:space="0" w:color="E6E6E6" w:themeColor="background2"/>
          <w:right w:val="nil"/>
          <w:insideH w:val="single" w:sz="4" w:space="0" w:color="FFFFFF" w:themeColor="background1"/>
          <w:insideV w:val="single" w:sz="4" w:space="0" w:color="FFFFFF" w:themeColor="background1"/>
        </w:tcBorders>
        <w:shd w:val="clear" w:color="auto" w:fill="E6E6E6" w:themeFill="background2"/>
      </w:tcPr>
    </w:tblStylePr>
    <w:tblStylePr w:type="band2Horz">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E6E6E6" w:themeFill="background2"/>
      </w:tcPr>
    </w:tblStylePr>
  </w:style>
  <w:style w:type="table" w:customStyle="1" w:styleId="JacobsTable3primarythemes">
    <w:name w:val="Jacobs Table 3 (primary themes)"/>
    <w:basedOn w:val="TableNormal"/>
    <w:uiPriority w:val="99"/>
    <w:rsid w:val="008E4D10"/>
    <w:pPr>
      <w:spacing w:before="40" w:after="40"/>
    </w:pPr>
    <w:rPr>
      <w:rFonts w:ascii="Jacobs Chronos Cd" w:hAnsi="Jacobs Chronos Cd"/>
    </w:rPr>
    <w:tblPr>
      <w:tblStyleRowBandSize w:val="1"/>
      <w:tblStyleColBandSize w:val="1"/>
      <w:tblBorders>
        <w:top w:val="single" w:sz="4" w:space="0" w:color="E6E6E6" w:themeColor="background2"/>
        <w:bottom w:val="single" w:sz="4" w:space="0" w:color="E6E6E6" w:themeColor="background2"/>
        <w:insideH w:val="single" w:sz="4" w:space="0" w:color="E6E6E6" w:themeColor="background2"/>
        <w:insideV w:val="single" w:sz="4" w:space="0" w:color="E6E6E6"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333333" w:themeFill="text2"/>
      </w:tcPr>
    </w:tblStylePr>
    <w:tblStylePr w:type="lastRow">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color w:val="auto"/>
      </w:rPr>
      <w:tblPr/>
      <w:tcPr>
        <w:tcBorders>
          <w:top w:val="single" w:sz="4" w:space="0" w:color="FFFFFF" w:themeColor="background1"/>
          <w:left w:val="nil"/>
          <w:bottom w:val="single" w:sz="4" w:space="0" w:color="E6E6E6"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A5A5A5" w:themeFill="accent5"/>
      </w:tcPr>
    </w:tblStylePr>
    <w:tblStylePr w:type="lastCol">
      <w:tblPr/>
      <w:tcPr>
        <w:tcBorders>
          <w:top w:val="single" w:sz="4" w:space="0" w:color="FFFFFF" w:themeColor="background1"/>
          <w:left w:val="single" w:sz="4" w:space="0" w:color="FFFFFF" w:themeColor="background1"/>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231EDC" w:themeFill="accent1"/>
      </w:tcPr>
    </w:tblStylePr>
    <w:tblStylePr w:type="band1Vert">
      <w:tblPr/>
      <w:tcPr>
        <w:tcBorders>
          <w:top w:val="single" w:sz="4" w:space="0" w:color="E6E6E6" w:themeColor="background2"/>
          <w:left w:val="nil"/>
          <w:bottom w:val="single" w:sz="4" w:space="0" w:color="E6E6E6" w:themeColor="background2"/>
          <w:right w:val="nil"/>
          <w:insideH w:val="single" w:sz="4" w:space="0" w:color="FFFFFF" w:themeColor="background1"/>
          <w:insideV w:val="single" w:sz="4" w:space="0" w:color="FFFFFF" w:themeColor="background1"/>
        </w:tcBorders>
        <w:shd w:val="clear" w:color="auto" w:fill="E6E6E6" w:themeFill="background2"/>
      </w:tcPr>
    </w:tblStylePr>
    <w:tblStylePr w:type="band1Horz">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E6E6E6" w:themeFill="background2"/>
      </w:tcPr>
    </w:tblStylePr>
  </w:style>
  <w:style w:type="paragraph" w:customStyle="1" w:styleId="InstructionNumber">
    <w:name w:val="Instruction Number"/>
    <w:basedOn w:val="InstructionText"/>
    <w:uiPriority w:val="99"/>
    <w:semiHidden/>
    <w:rsid w:val="008E4D10"/>
    <w:pPr>
      <w:numPr>
        <w:numId w:val="22"/>
      </w:numPr>
    </w:pPr>
  </w:style>
  <w:style w:type="paragraph" w:customStyle="1" w:styleId="InstructionBullet">
    <w:name w:val="Instruction Bullet"/>
    <w:basedOn w:val="InstructionText"/>
    <w:uiPriority w:val="99"/>
    <w:semiHidden/>
    <w:rsid w:val="008E4D10"/>
    <w:pPr>
      <w:numPr>
        <w:ilvl w:val="1"/>
        <w:numId w:val="22"/>
      </w:numPr>
    </w:pPr>
  </w:style>
  <w:style w:type="numbering" w:customStyle="1" w:styleId="InstructionNumbering">
    <w:name w:val="Instruction Numbering"/>
    <w:uiPriority w:val="99"/>
    <w:semiHidden/>
    <w:rsid w:val="008E4D10"/>
    <w:pPr>
      <w:numPr>
        <w:numId w:val="16"/>
      </w:numPr>
    </w:pPr>
  </w:style>
  <w:style w:type="paragraph" w:customStyle="1" w:styleId="ProjectTableText">
    <w:name w:val="Project Table Text"/>
    <w:uiPriority w:val="99"/>
    <w:semiHidden/>
    <w:rsid w:val="008E4D10"/>
    <w:rPr>
      <w:rFonts w:ascii="Jacobs Chronos Light" w:hAnsi="Jacobs Chronos Light"/>
    </w:rPr>
  </w:style>
  <w:style w:type="paragraph" w:customStyle="1" w:styleId="ProjectName">
    <w:name w:val="Project Name"/>
    <w:uiPriority w:val="99"/>
    <w:semiHidden/>
    <w:rsid w:val="008E4D10"/>
    <w:pPr>
      <w:spacing w:after="120"/>
      <w:outlineLvl w:val="0"/>
    </w:pPr>
    <w:rPr>
      <w:rFonts w:cs="Jacobs Chronos"/>
      <w:b/>
      <w:color w:val="231EDC" w:themeColor="accent1"/>
      <w:sz w:val="32"/>
    </w:rPr>
  </w:style>
  <w:style w:type="paragraph" w:customStyle="1" w:styleId="ProjectLocation">
    <w:name w:val="Project Location"/>
    <w:next w:val="BodyText"/>
    <w:uiPriority w:val="99"/>
    <w:semiHidden/>
    <w:rsid w:val="008E4D10"/>
    <w:rPr>
      <w:rFonts w:cs="Jacobs Chronos"/>
      <w:sz w:val="28"/>
    </w:rPr>
  </w:style>
  <w:style w:type="paragraph" w:customStyle="1" w:styleId="ProjectSubcategoryHeading">
    <w:name w:val="Project Subcategory Heading"/>
    <w:next w:val="BodyText"/>
    <w:uiPriority w:val="99"/>
    <w:semiHidden/>
    <w:rsid w:val="008E4D10"/>
    <w:pPr>
      <w:spacing w:before="120" w:after="120"/>
    </w:pPr>
    <w:rPr>
      <w:rFonts w:cs="Jacobs Chronos"/>
      <w:b/>
      <w:color w:val="333333"/>
      <w:sz w:val="22"/>
    </w:rPr>
  </w:style>
  <w:style w:type="paragraph" w:customStyle="1" w:styleId="ProjectTableHeading">
    <w:name w:val="Project Table Heading"/>
    <w:basedOn w:val="Normal"/>
    <w:next w:val="Normal"/>
    <w:uiPriority w:val="99"/>
    <w:semiHidden/>
    <w:rsid w:val="008E4D10"/>
    <w:pPr>
      <w:spacing w:after="60"/>
    </w:pPr>
    <w:rPr>
      <w:rFonts w:ascii="Jacobs Chronos Light" w:hAnsi="Jacobs Chronos Light" w:cs="Jacobs Chronos Light"/>
      <w:b/>
      <w:color w:val="333333" w:themeColor="text2"/>
    </w:rPr>
  </w:style>
  <w:style w:type="paragraph" w:customStyle="1" w:styleId="CapabilityWhitePaperTitle">
    <w:name w:val="Capability White Paper Title"/>
    <w:uiPriority w:val="99"/>
    <w:semiHidden/>
    <w:rsid w:val="008E4D10"/>
    <w:pPr>
      <w:spacing w:after="120"/>
      <w:outlineLvl w:val="0"/>
    </w:pPr>
    <w:rPr>
      <w:rFonts w:cs="Jacobs Chronos"/>
      <w:b/>
      <w:color w:val="231EDC" w:themeColor="accent1"/>
      <w:sz w:val="32"/>
      <w:szCs w:val="22"/>
    </w:rPr>
  </w:style>
  <w:style w:type="paragraph" w:customStyle="1" w:styleId="MarketSectorHeading">
    <w:name w:val="Market Sector Heading"/>
    <w:basedOn w:val="Normal"/>
    <w:next w:val="BodyText"/>
    <w:uiPriority w:val="99"/>
    <w:semiHidden/>
    <w:rsid w:val="008E4D10"/>
    <w:pPr>
      <w:spacing w:before="120" w:after="240"/>
    </w:pPr>
    <w:rPr>
      <w:rFonts w:asciiTheme="majorHAnsi" w:hAnsiTheme="majorHAnsi"/>
      <w:sz w:val="28"/>
      <w:szCs w:val="22"/>
    </w:rPr>
  </w:style>
  <w:style w:type="paragraph" w:customStyle="1" w:styleId="SubHeading2">
    <w:name w:val="Sub Heading 2"/>
    <w:next w:val="BodyText"/>
    <w:uiPriority w:val="99"/>
    <w:semiHidden/>
    <w:rsid w:val="008E4D10"/>
    <w:pPr>
      <w:spacing w:before="240" w:after="120"/>
      <w:outlineLvl w:val="1"/>
    </w:pPr>
    <w:rPr>
      <w:rFonts w:cs="Jacobs Chronos Light"/>
      <w:color w:val="333333"/>
      <w:sz w:val="22"/>
      <w:szCs w:val="22"/>
    </w:rPr>
  </w:style>
  <w:style w:type="paragraph" w:customStyle="1" w:styleId="SubHeading">
    <w:name w:val="Sub Heading"/>
    <w:next w:val="Normal"/>
    <w:uiPriority w:val="99"/>
    <w:semiHidden/>
    <w:rsid w:val="008E4D10"/>
    <w:pPr>
      <w:spacing w:before="120" w:after="120"/>
      <w:outlineLvl w:val="0"/>
    </w:pPr>
    <w:rPr>
      <w:rFonts w:ascii="Jacobs Chronos Light" w:hAnsi="Jacobs Chronos Light" w:cs="Jacobs Chronos Light"/>
      <w:color w:val="231EDC" w:themeColor="accent1"/>
      <w:sz w:val="24"/>
      <w:szCs w:val="22"/>
    </w:rPr>
  </w:style>
  <w:style w:type="paragraph" w:customStyle="1" w:styleId="CapabilityTableHeading">
    <w:name w:val="Capability Table Heading"/>
    <w:basedOn w:val="Normal"/>
    <w:uiPriority w:val="99"/>
    <w:semiHidden/>
    <w:rsid w:val="008E4D10"/>
    <w:pPr>
      <w:framePr w:hSpace="180" w:wrap="around" w:vAnchor="text" w:hAnchor="text" w:y="-49"/>
      <w:spacing w:before="60" w:after="60"/>
    </w:pPr>
    <w:rPr>
      <w:rFonts w:ascii="Jacobs Chronos Light" w:hAnsi="Jacobs Chronos Light"/>
      <w:b/>
      <w:szCs w:val="22"/>
    </w:rPr>
  </w:style>
  <w:style w:type="paragraph" w:customStyle="1" w:styleId="CapabilityTableText">
    <w:name w:val="Capability Table Text"/>
    <w:basedOn w:val="BodyText"/>
    <w:uiPriority w:val="99"/>
    <w:semiHidden/>
    <w:rsid w:val="008E4D10"/>
    <w:pPr>
      <w:spacing w:before="60"/>
    </w:pPr>
    <w:rPr>
      <w:rFonts w:ascii="Jacobs Chronos Light" w:hAnsi="Jacobs Chronos Light"/>
      <w:szCs w:val="22"/>
    </w:rPr>
  </w:style>
  <w:style w:type="paragraph" w:customStyle="1" w:styleId="AppendixHeading5">
    <w:name w:val="Appendix Heading 5"/>
    <w:basedOn w:val="BodyText"/>
    <w:next w:val="BodyText"/>
    <w:uiPriority w:val="19"/>
    <w:semiHidden/>
    <w:rsid w:val="008E4D10"/>
    <w:pPr>
      <w:keepNext/>
      <w:numPr>
        <w:ilvl w:val="4"/>
        <w:numId w:val="20"/>
      </w:numPr>
      <w:spacing w:before="240" w:after="120"/>
      <w:outlineLvl w:val="4"/>
    </w:pPr>
    <w:rPr>
      <w:rFonts w:asciiTheme="majorHAnsi" w:hAnsiTheme="majorHAnsi"/>
      <w:b/>
    </w:rPr>
  </w:style>
  <w:style w:type="paragraph" w:customStyle="1" w:styleId="AppendixHeading6">
    <w:name w:val="Appendix Heading 6"/>
    <w:basedOn w:val="BodyText"/>
    <w:next w:val="BodyText"/>
    <w:uiPriority w:val="19"/>
    <w:semiHidden/>
    <w:rsid w:val="008E4D10"/>
    <w:pPr>
      <w:keepNext/>
      <w:numPr>
        <w:ilvl w:val="5"/>
        <w:numId w:val="20"/>
      </w:numPr>
      <w:spacing w:before="240" w:after="120"/>
      <w:outlineLvl w:val="5"/>
    </w:pPr>
    <w:rPr>
      <w:rFonts w:asciiTheme="majorHAnsi" w:hAnsiTheme="majorHAnsi"/>
      <w:b/>
    </w:rPr>
  </w:style>
  <w:style w:type="paragraph" w:customStyle="1" w:styleId="BodyText5Number">
    <w:name w:val="Body Text 5 Number"/>
    <w:basedOn w:val="Normal"/>
    <w:uiPriority w:val="99"/>
    <w:semiHidden/>
    <w:rsid w:val="008E4D10"/>
    <w:pPr>
      <w:numPr>
        <w:ilvl w:val="4"/>
        <w:numId w:val="17"/>
      </w:numPr>
      <w:spacing w:before="180" w:after="120"/>
      <w:ind w:left="1797" w:hanging="357"/>
    </w:pPr>
  </w:style>
  <w:style w:type="paragraph" w:customStyle="1" w:styleId="BodyText6Number">
    <w:name w:val="Body Text 6 Number"/>
    <w:basedOn w:val="Normal"/>
    <w:uiPriority w:val="99"/>
    <w:semiHidden/>
    <w:rsid w:val="008E4D10"/>
    <w:pPr>
      <w:numPr>
        <w:ilvl w:val="5"/>
        <w:numId w:val="17"/>
      </w:numPr>
      <w:spacing w:before="180" w:after="120"/>
      <w:ind w:left="2154" w:hanging="357"/>
    </w:pPr>
  </w:style>
  <w:style w:type="paragraph" w:customStyle="1" w:styleId="BodyText7Number">
    <w:name w:val="Body Text 7 Number"/>
    <w:basedOn w:val="Normal"/>
    <w:uiPriority w:val="99"/>
    <w:semiHidden/>
    <w:rsid w:val="008E4D10"/>
    <w:pPr>
      <w:numPr>
        <w:ilvl w:val="6"/>
        <w:numId w:val="17"/>
      </w:numPr>
      <w:spacing w:before="180" w:after="120"/>
      <w:ind w:left="2517" w:hanging="357"/>
    </w:pPr>
  </w:style>
  <w:style w:type="paragraph" w:customStyle="1" w:styleId="BodyText8Number">
    <w:name w:val="Body Text 8 Number"/>
    <w:basedOn w:val="Normal"/>
    <w:uiPriority w:val="99"/>
    <w:semiHidden/>
    <w:rsid w:val="008E4D10"/>
    <w:pPr>
      <w:numPr>
        <w:ilvl w:val="7"/>
        <w:numId w:val="17"/>
      </w:numPr>
      <w:spacing w:before="180" w:after="120"/>
      <w:ind w:left="2874" w:hanging="357"/>
    </w:pPr>
  </w:style>
  <w:style w:type="paragraph" w:customStyle="1" w:styleId="BodyText9Number">
    <w:name w:val="Body Text 9 Number"/>
    <w:basedOn w:val="Normal"/>
    <w:uiPriority w:val="99"/>
    <w:semiHidden/>
    <w:rsid w:val="008E4D10"/>
    <w:pPr>
      <w:numPr>
        <w:ilvl w:val="8"/>
        <w:numId w:val="17"/>
      </w:numPr>
      <w:spacing w:before="180" w:after="120"/>
      <w:ind w:left="3237" w:hanging="357"/>
    </w:pPr>
  </w:style>
  <w:style w:type="paragraph" w:customStyle="1" w:styleId="11SingleSequential">
    <w:name w:val="1.1 Single Sequential"/>
    <w:basedOn w:val="Normal"/>
    <w:uiPriority w:val="99"/>
    <w:semiHidden/>
    <w:rsid w:val="002B43B7"/>
    <w:pPr>
      <w:spacing w:before="180" w:after="60"/>
    </w:pPr>
    <w:rPr>
      <w:rFonts w:cstheme="minorHAnsi"/>
    </w:rPr>
  </w:style>
  <w:style w:type="paragraph" w:customStyle="1" w:styleId="111SingleSequential">
    <w:name w:val="1.1.1 Single Sequential"/>
    <w:basedOn w:val="Normal"/>
    <w:uiPriority w:val="99"/>
    <w:semiHidden/>
    <w:rsid w:val="002B43B7"/>
    <w:pPr>
      <w:spacing w:before="180" w:after="60"/>
    </w:pPr>
    <w:rPr>
      <w:rFonts w:cstheme="minorHAnsi"/>
    </w:rPr>
  </w:style>
  <w:style w:type="paragraph" w:customStyle="1" w:styleId="1111SingleSequential">
    <w:name w:val="1.1.1.1 Single Sequential"/>
    <w:basedOn w:val="Normal"/>
    <w:uiPriority w:val="99"/>
    <w:semiHidden/>
    <w:rsid w:val="002B43B7"/>
    <w:pPr>
      <w:spacing w:before="180" w:after="60"/>
    </w:pPr>
    <w:rPr>
      <w:rFonts w:cstheme="minorHAnsi"/>
    </w:rPr>
  </w:style>
  <w:style w:type="paragraph" w:customStyle="1" w:styleId="11111SingleSequential">
    <w:name w:val="1.1.1.1.1 Single Sequential"/>
    <w:basedOn w:val="Normal"/>
    <w:uiPriority w:val="99"/>
    <w:semiHidden/>
    <w:rsid w:val="002B43B7"/>
    <w:pPr>
      <w:spacing w:before="180" w:after="60"/>
    </w:pPr>
    <w:rPr>
      <w:rFonts w:cstheme="minorHAnsi"/>
    </w:rPr>
  </w:style>
  <w:style w:type="paragraph" w:customStyle="1" w:styleId="111111SingleSequential">
    <w:name w:val="1.1.1.1.1.1 Single Sequential"/>
    <w:basedOn w:val="Normal"/>
    <w:uiPriority w:val="99"/>
    <w:semiHidden/>
    <w:rsid w:val="002B43B7"/>
    <w:pPr>
      <w:spacing w:before="180" w:after="60"/>
    </w:pPr>
    <w:rPr>
      <w:rFonts w:cstheme="minorHAnsi"/>
    </w:rPr>
  </w:style>
  <w:style w:type="paragraph" w:customStyle="1" w:styleId="1111111SingleSequential">
    <w:name w:val="1.1.1.1.1.1.1 Single Sequential"/>
    <w:basedOn w:val="Normal"/>
    <w:uiPriority w:val="99"/>
    <w:semiHidden/>
    <w:rsid w:val="002B43B7"/>
    <w:pPr>
      <w:spacing w:before="180" w:after="60"/>
    </w:pPr>
    <w:rPr>
      <w:rFonts w:cstheme="minorHAnsi"/>
    </w:rPr>
  </w:style>
  <w:style w:type="paragraph" w:customStyle="1" w:styleId="11111111SingleSequential">
    <w:name w:val="1.1.1.1.1.1.1.1 Single Sequential"/>
    <w:basedOn w:val="Normal"/>
    <w:uiPriority w:val="99"/>
    <w:semiHidden/>
    <w:rsid w:val="002B43B7"/>
    <w:pPr>
      <w:spacing w:before="180" w:after="60"/>
    </w:pPr>
    <w:rPr>
      <w:rFonts w:cstheme="minorHAnsi"/>
    </w:rPr>
  </w:style>
  <w:style w:type="paragraph" w:customStyle="1" w:styleId="111111111SingleSequential">
    <w:name w:val="1.1.1.1.1.1.1.1.1 Single Sequential"/>
    <w:basedOn w:val="Normal"/>
    <w:uiPriority w:val="99"/>
    <w:semiHidden/>
    <w:rsid w:val="002B43B7"/>
    <w:pPr>
      <w:spacing w:before="180" w:after="60"/>
    </w:pPr>
    <w:rPr>
      <w:rFonts w:cstheme="minorHAnsi"/>
    </w:rPr>
  </w:style>
  <w:style w:type="paragraph" w:customStyle="1" w:styleId="BulletLevel4">
    <w:name w:val="Bullet Level 4"/>
    <w:basedOn w:val="Normal"/>
    <w:uiPriority w:val="99"/>
    <w:qFormat/>
    <w:rsid w:val="008E4D10"/>
    <w:pPr>
      <w:numPr>
        <w:ilvl w:val="3"/>
        <w:numId w:val="32"/>
      </w:numPr>
      <w:spacing w:before="120" w:after="60"/>
    </w:pPr>
  </w:style>
  <w:style w:type="paragraph" w:customStyle="1" w:styleId="BulletLevel5">
    <w:name w:val="Bullet Level 5"/>
    <w:basedOn w:val="Normal"/>
    <w:uiPriority w:val="99"/>
    <w:qFormat/>
    <w:rsid w:val="008E4D10"/>
    <w:pPr>
      <w:numPr>
        <w:ilvl w:val="4"/>
        <w:numId w:val="32"/>
      </w:numPr>
      <w:spacing w:before="120" w:after="60"/>
    </w:pPr>
  </w:style>
  <w:style w:type="paragraph" w:customStyle="1" w:styleId="BulletLevel6">
    <w:name w:val="Bullet Level 6"/>
    <w:basedOn w:val="Normal"/>
    <w:uiPriority w:val="99"/>
    <w:qFormat/>
    <w:rsid w:val="008E4D10"/>
    <w:pPr>
      <w:numPr>
        <w:ilvl w:val="5"/>
        <w:numId w:val="32"/>
      </w:numPr>
      <w:spacing w:before="120" w:after="60"/>
    </w:pPr>
  </w:style>
  <w:style w:type="paragraph" w:customStyle="1" w:styleId="BulletLevel7">
    <w:name w:val="Bullet Level 7"/>
    <w:basedOn w:val="Normal"/>
    <w:uiPriority w:val="99"/>
    <w:semiHidden/>
    <w:rsid w:val="008E4D10"/>
    <w:pPr>
      <w:numPr>
        <w:ilvl w:val="6"/>
        <w:numId w:val="32"/>
      </w:numPr>
      <w:spacing w:before="120" w:after="60"/>
    </w:pPr>
  </w:style>
  <w:style w:type="paragraph" w:customStyle="1" w:styleId="BulletLevel8">
    <w:name w:val="Bullet Level 8"/>
    <w:basedOn w:val="Normal"/>
    <w:uiPriority w:val="99"/>
    <w:semiHidden/>
    <w:rsid w:val="008E4D10"/>
    <w:pPr>
      <w:numPr>
        <w:ilvl w:val="7"/>
        <w:numId w:val="32"/>
      </w:numPr>
      <w:spacing w:before="120" w:after="60"/>
    </w:pPr>
  </w:style>
  <w:style w:type="paragraph" w:customStyle="1" w:styleId="BulletLevel9">
    <w:name w:val="Bullet Level 9"/>
    <w:basedOn w:val="Normal"/>
    <w:uiPriority w:val="99"/>
    <w:semiHidden/>
    <w:rsid w:val="008E4D10"/>
    <w:pPr>
      <w:numPr>
        <w:ilvl w:val="8"/>
        <w:numId w:val="32"/>
      </w:numPr>
      <w:spacing w:before="120" w:after="60"/>
    </w:pPr>
  </w:style>
  <w:style w:type="paragraph" w:customStyle="1" w:styleId="Heading9Fill-In">
    <w:name w:val="Heading 9 Fill-In"/>
    <w:basedOn w:val="Normal"/>
    <w:semiHidden/>
    <w:rsid w:val="008E4D10"/>
    <w:pPr>
      <w:keepNext/>
      <w:numPr>
        <w:ilvl w:val="8"/>
        <w:numId w:val="18"/>
      </w:numPr>
      <w:spacing w:before="240" w:after="120"/>
    </w:pPr>
    <w:rPr>
      <w:rFonts w:asciiTheme="majorHAnsi" w:hAnsiTheme="majorHAnsi"/>
      <w:b/>
    </w:rPr>
  </w:style>
  <w:style w:type="paragraph" w:customStyle="1" w:styleId="TableNumber4">
    <w:name w:val="Table Number 4"/>
    <w:basedOn w:val="Normal"/>
    <w:uiPriority w:val="5"/>
    <w:semiHidden/>
    <w:rsid w:val="008E4D10"/>
    <w:pPr>
      <w:numPr>
        <w:ilvl w:val="3"/>
        <w:numId w:val="19"/>
      </w:numPr>
      <w:spacing w:before="40" w:after="40"/>
      <w:ind w:left="2880"/>
    </w:pPr>
    <w:rPr>
      <w:rFonts w:ascii="Jacobs Chronos Cd" w:hAnsi="Jacobs Chronos Cd" w:cstheme="minorHAnsi"/>
      <w:sz w:val="22"/>
      <w:szCs w:val="18"/>
    </w:rPr>
  </w:style>
  <w:style w:type="paragraph" w:customStyle="1" w:styleId="TableNumber5">
    <w:name w:val="Table Number 5"/>
    <w:basedOn w:val="Normal"/>
    <w:uiPriority w:val="5"/>
    <w:semiHidden/>
    <w:rsid w:val="008E4D10"/>
    <w:pPr>
      <w:numPr>
        <w:ilvl w:val="4"/>
        <w:numId w:val="19"/>
      </w:numPr>
      <w:spacing w:before="40" w:after="40"/>
      <w:ind w:left="3600"/>
    </w:pPr>
    <w:rPr>
      <w:rFonts w:ascii="Jacobs Chronos Cd" w:hAnsi="Jacobs Chronos Cd" w:cstheme="minorHAnsi"/>
      <w:sz w:val="22"/>
      <w:szCs w:val="18"/>
    </w:rPr>
  </w:style>
  <w:style w:type="paragraph" w:customStyle="1" w:styleId="TableNumber6">
    <w:name w:val="Table Number 6"/>
    <w:basedOn w:val="Normal"/>
    <w:uiPriority w:val="5"/>
    <w:semiHidden/>
    <w:rsid w:val="008E4D10"/>
    <w:pPr>
      <w:numPr>
        <w:ilvl w:val="5"/>
        <w:numId w:val="19"/>
      </w:numPr>
      <w:spacing w:before="40" w:after="40"/>
      <w:ind w:left="4320"/>
    </w:pPr>
    <w:rPr>
      <w:rFonts w:ascii="Jacobs Chronos Cd" w:hAnsi="Jacobs Chronos Cd" w:cstheme="minorHAnsi"/>
      <w:sz w:val="22"/>
      <w:szCs w:val="18"/>
    </w:rPr>
  </w:style>
  <w:style w:type="paragraph" w:customStyle="1" w:styleId="TableNumber7">
    <w:name w:val="Table Number 7"/>
    <w:basedOn w:val="Normal"/>
    <w:uiPriority w:val="5"/>
    <w:semiHidden/>
    <w:rsid w:val="008E4D10"/>
    <w:pPr>
      <w:numPr>
        <w:ilvl w:val="6"/>
        <w:numId w:val="19"/>
      </w:numPr>
      <w:spacing w:before="40" w:after="40"/>
      <w:ind w:left="5040"/>
    </w:pPr>
    <w:rPr>
      <w:rFonts w:ascii="Jacobs Chronos Cd" w:hAnsi="Jacobs Chronos Cd" w:cstheme="minorHAnsi"/>
      <w:sz w:val="22"/>
      <w:szCs w:val="18"/>
    </w:rPr>
  </w:style>
  <w:style w:type="paragraph" w:customStyle="1" w:styleId="TableNumber8">
    <w:name w:val="Table Number 8"/>
    <w:basedOn w:val="Normal"/>
    <w:uiPriority w:val="5"/>
    <w:semiHidden/>
    <w:rsid w:val="008E4D10"/>
    <w:pPr>
      <w:numPr>
        <w:ilvl w:val="7"/>
        <w:numId w:val="19"/>
      </w:numPr>
      <w:spacing w:before="40" w:after="40"/>
      <w:ind w:left="5760"/>
    </w:pPr>
    <w:rPr>
      <w:rFonts w:ascii="Jacobs Chronos Cd" w:hAnsi="Jacobs Chronos Cd" w:cstheme="minorHAnsi"/>
      <w:sz w:val="22"/>
      <w:szCs w:val="18"/>
    </w:rPr>
  </w:style>
  <w:style w:type="paragraph" w:customStyle="1" w:styleId="TableNumber9">
    <w:name w:val="Table Number 9"/>
    <w:basedOn w:val="Normal"/>
    <w:uiPriority w:val="5"/>
    <w:semiHidden/>
    <w:rsid w:val="008E4D10"/>
    <w:pPr>
      <w:numPr>
        <w:ilvl w:val="8"/>
        <w:numId w:val="19"/>
      </w:numPr>
      <w:spacing w:before="40" w:after="40"/>
      <w:ind w:left="6480"/>
    </w:pPr>
    <w:rPr>
      <w:rFonts w:ascii="Jacobs Chronos Cd" w:hAnsi="Jacobs Chronos Cd" w:cstheme="minorHAnsi"/>
      <w:sz w:val="22"/>
      <w:szCs w:val="18"/>
    </w:rPr>
  </w:style>
  <w:style w:type="paragraph" w:customStyle="1" w:styleId="TableBullet4">
    <w:name w:val="Table Bullet 4"/>
    <w:basedOn w:val="Normal"/>
    <w:uiPriority w:val="99"/>
    <w:semiHidden/>
    <w:rsid w:val="008E4D10"/>
    <w:pPr>
      <w:numPr>
        <w:ilvl w:val="3"/>
        <w:numId w:val="28"/>
      </w:numPr>
      <w:spacing w:before="40" w:after="40"/>
    </w:pPr>
    <w:rPr>
      <w:rFonts w:ascii="Jacobs Chronos Cd" w:hAnsi="Jacobs Chronos Cd" w:cstheme="minorHAnsi"/>
      <w:sz w:val="22"/>
      <w:szCs w:val="18"/>
    </w:rPr>
  </w:style>
  <w:style w:type="paragraph" w:customStyle="1" w:styleId="TableBullet5">
    <w:name w:val="Table Bullet 5"/>
    <w:basedOn w:val="Normal"/>
    <w:uiPriority w:val="99"/>
    <w:semiHidden/>
    <w:rsid w:val="008E4D10"/>
    <w:pPr>
      <w:numPr>
        <w:ilvl w:val="4"/>
        <w:numId w:val="28"/>
      </w:numPr>
      <w:spacing w:before="40" w:after="40"/>
    </w:pPr>
    <w:rPr>
      <w:rFonts w:ascii="Jacobs Chronos Cd" w:hAnsi="Jacobs Chronos Cd" w:cstheme="minorHAnsi"/>
      <w:sz w:val="22"/>
      <w:szCs w:val="18"/>
    </w:rPr>
  </w:style>
  <w:style w:type="paragraph" w:customStyle="1" w:styleId="TableBullet6">
    <w:name w:val="Table Bullet 6"/>
    <w:basedOn w:val="Normal"/>
    <w:uiPriority w:val="99"/>
    <w:semiHidden/>
    <w:rsid w:val="008E4D10"/>
    <w:pPr>
      <w:numPr>
        <w:ilvl w:val="5"/>
        <w:numId w:val="28"/>
      </w:numPr>
      <w:spacing w:before="40" w:after="40"/>
    </w:pPr>
    <w:rPr>
      <w:rFonts w:ascii="Jacobs Chronos Cd" w:hAnsi="Jacobs Chronos Cd" w:cstheme="minorHAnsi"/>
      <w:sz w:val="22"/>
      <w:szCs w:val="18"/>
    </w:rPr>
  </w:style>
  <w:style w:type="paragraph" w:customStyle="1" w:styleId="TableBullet7">
    <w:name w:val="Table Bullet 7"/>
    <w:basedOn w:val="Normal"/>
    <w:uiPriority w:val="99"/>
    <w:semiHidden/>
    <w:rsid w:val="008E4D10"/>
    <w:pPr>
      <w:numPr>
        <w:ilvl w:val="6"/>
        <w:numId w:val="28"/>
      </w:numPr>
      <w:spacing w:before="40" w:after="40"/>
    </w:pPr>
    <w:rPr>
      <w:rFonts w:ascii="Jacobs Chronos Cd" w:hAnsi="Jacobs Chronos Cd" w:cstheme="minorHAnsi"/>
      <w:sz w:val="22"/>
      <w:szCs w:val="18"/>
    </w:rPr>
  </w:style>
  <w:style w:type="paragraph" w:customStyle="1" w:styleId="TableBullet8">
    <w:name w:val="Table Bullet 8"/>
    <w:basedOn w:val="Normal"/>
    <w:uiPriority w:val="99"/>
    <w:semiHidden/>
    <w:rsid w:val="008E4D10"/>
    <w:pPr>
      <w:numPr>
        <w:ilvl w:val="7"/>
        <w:numId w:val="28"/>
      </w:numPr>
      <w:spacing w:before="40" w:after="40"/>
    </w:pPr>
    <w:rPr>
      <w:rFonts w:ascii="Jacobs Chronos Cd" w:hAnsi="Jacobs Chronos Cd" w:cstheme="minorHAnsi"/>
      <w:sz w:val="22"/>
      <w:szCs w:val="18"/>
    </w:rPr>
  </w:style>
  <w:style w:type="paragraph" w:customStyle="1" w:styleId="TableBullet9">
    <w:name w:val="Table Bullet 9"/>
    <w:basedOn w:val="Normal"/>
    <w:uiPriority w:val="99"/>
    <w:semiHidden/>
    <w:rsid w:val="008E4D10"/>
    <w:pPr>
      <w:numPr>
        <w:ilvl w:val="8"/>
        <w:numId w:val="28"/>
      </w:numPr>
      <w:spacing w:before="40" w:after="40"/>
    </w:pPr>
    <w:rPr>
      <w:rFonts w:ascii="Jacobs Chronos Cd" w:hAnsi="Jacobs Chronos Cd" w:cstheme="minorHAnsi"/>
      <w:sz w:val="22"/>
      <w:szCs w:val="18"/>
    </w:rPr>
  </w:style>
  <w:style w:type="paragraph" w:customStyle="1" w:styleId="PhotologNumber2">
    <w:name w:val="Photolog Number 2"/>
    <w:basedOn w:val="Normal"/>
    <w:uiPriority w:val="99"/>
    <w:semiHidden/>
    <w:rsid w:val="008E4D10"/>
    <w:pPr>
      <w:numPr>
        <w:ilvl w:val="1"/>
        <w:numId w:val="21"/>
      </w:numPr>
      <w:spacing w:before="180" w:after="60"/>
    </w:pPr>
    <w:rPr>
      <w:b/>
      <w:bCs/>
    </w:rPr>
  </w:style>
  <w:style w:type="paragraph" w:customStyle="1" w:styleId="AppendixHeading7">
    <w:name w:val="Appendix Heading 7"/>
    <w:basedOn w:val="Normal"/>
    <w:next w:val="BodyText"/>
    <w:uiPriority w:val="99"/>
    <w:semiHidden/>
    <w:rsid w:val="008E4D10"/>
    <w:pPr>
      <w:numPr>
        <w:ilvl w:val="6"/>
        <w:numId w:val="20"/>
      </w:numPr>
      <w:spacing w:before="240" w:after="120"/>
    </w:pPr>
    <w:rPr>
      <w:rFonts w:asciiTheme="majorHAnsi" w:hAnsiTheme="majorHAnsi"/>
      <w:b/>
    </w:rPr>
  </w:style>
  <w:style w:type="paragraph" w:customStyle="1" w:styleId="AppendixHeading8">
    <w:name w:val="Appendix Heading 8"/>
    <w:basedOn w:val="Normal"/>
    <w:next w:val="BodyText"/>
    <w:uiPriority w:val="99"/>
    <w:semiHidden/>
    <w:rsid w:val="008E4D10"/>
    <w:pPr>
      <w:numPr>
        <w:ilvl w:val="7"/>
        <w:numId w:val="20"/>
      </w:numPr>
      <w:spacing w:before="240" w:after="120"/>
    </w:pPr>
    <w:rPr>
      <w:rFonts w:asciiTheme="majorHAnsi" w:hAnsiTheme="majorHAnsi"/>
      <w:b/>
      <w:bCs/>
    </w:rPr>
  </w:style>
  <w:style w:type="paragraph" w:customStyle="1" w:styleId="AppendixHeading9">
    <w:name w:val="Appendix Heading 9"/>
    <w:basedOn w:val="Normal"/>
    <w:next w:val="BodyText"/>
    <w:uiPriority w:val="99"/>
    <w:semiHidden/>
    <w:rsid w:val="008E4D10"/>
    <w:pPr>
      <w:numPr>
        <w:ilvl w:val="8"/>
        <w:numId w:val="20"/>
      </w:numPr>
      <w:spacing w:before="240" w:after="120"/>
    </w:pPr>
    <w:rPr>
      <w:rFonts w:asciiTheme="majorHAnsi" w:hAnsiTheme="majorHAnsi"/>
      <w:b/>
      <w:bCs/>
    </w:rPr>
  </w:style>
  <w:style w:type="paragraph" w:customStyle="1" w:styleId="PhotologNumber3">
    <w:name w:val="Photolog Number 3"/>
    <w:basedOn w:val="Normal"/>
    <w:uiPriority w:val="99"/>
    <w:semiHidden/>
    <w:rsid w:val="008E4D10"/>
    <w:pPr>
      <w:numPr>
        <w:ilvl w:val="2"/>
        <w:numId w:val="21"/>
      </w:numPr>
      <w:spacing w:before="180" w:after="60"/>
    </w:pPr>
    <w:rPr>
      <w:b/>
      <w:bCs/>
    </w:rPr>
  </w:style>
  <w:style w:type="paragraph" w:customStyle="1" w:styleId="PhotologNumber4">
    <w:name w:val="Photolog Number 4"/>
    <w:basedOn w:val="Normal"/>
    <w:uiPriority w:val="99"/>
    <w:semiHidden/>
    <w:rsid w:val="008E4D10"/>
    <w:pPr>
      <w:numPr>
        <w:ilvl w:val="3"/>
        <w:numId w:val="21"/>
      </w:numPr>
      <w:spacing w:before="180" w:after="60"/>
    </w:pPr>
    <w:rPr>
      <w:b/>
      <w:bCs/>
    </w:rPr>
  </w:style>
  <w:style w:type="paragraph" w:customStyle="1" w:styleId="PhotologNumber5">
    <w:name w:val="Photolog Number 5"/>
    <w:basedOn w:val="Normal"/>
    <w:uiPriority w:val="99"/>
    <w:semiHidden/>
    <w:rsid w:val="008E4D10"/>
    <w:pPr>
      <w:numPr>
        <w:ilvl w:val="4"/>
        <w:numId w:val="21"/>
      </w:numPr>
      <w:spacing w:before="180" w:after="60"/>
    </w:pPr>
    <w:rPr>
      <w:b/>
      <w:bCs/>
    </w:rPr>
  </w:style>
  <w:style w:type="paragraph" w:customStyle="1" w:styleId="PhotologNumber6">
    <w:name w:val="Photolog Number 6"/>
    <w:basedOn w:val="Normal"/>
    <w:uiPriority w:val="99"/>
    <w:semiHidden/>
    <w:rsid w:val="008E4D10"/>
    <w:pPr>
      <w:numPr>
        <w:ilvl w:val="5"/>
        <w:numId w:val="21"/>
      </w:numPr>
      <w:spacing w:before="180" w:after="60"/>
    </w:pPr>
    <w:rPr>
      <w:b/>
      <w:bCs/>
    </w:rPr>
  </w:style>
  <w:style w:type="paragraph" w:customStyle="1" w:styleId="PhotologNumber7">
    <w:name w:val="Photolog Number 7"/>
    <w:basedOn w:val="Normal"/>
    <w:uiPriority w:val="99"/>
    <w:semiHidden/>
    <w:rsid w:val="008E4D10"/>
    <w:pPr>
      <w:numPr>
        <w:ilvl w:val="6"/>
        <w:numId w:val="21"/>
      </w:numPr>
      <w:spacing w:before="180" w:after="60"/>
    </w:pPr>
    <w:rPr>
      <w:b/>
      <w:bCs/>
    </w:rPr>
  </w:style>
  <w:style w:type="paragraph" w:customStyle="1" w:styleId="PhotologNumber8">
    <w:name w:val="Photolog Number 8"/>
    <w:basedOn w:val="Normal"/>
    <w:uiPriority w:val="99"/>
    <w:semiHidden/>
    <w:rsid w:val="008E4D10"/>
    <w:pPr>
      <w:numPr>
        <w:ilvl w:val="7"/>
        <w:numId w:val="21"/>
      </w:numPr>
      <w:spacing w:before="180" w:after="60"/>
    </w:pPr>
    <w:rPr>
      <w:b/>
      <w:bCs/>
    </w:rPr>
  </w:style>
  <w:style w:type="paragraph" w:customStyle="1" w:styleId="PhotologNumber9">
    <w:name w:val="Photolog Number 9"/>
    <w:basedOn w:val="Normal"/>
    <w:uiPriority w:val="99"/>
    <w:semiHidden/>
    <w:rsid w:val="008E4D10"/>
    <w:pPr>
      <w:numPr>
        <w:ilvl w:val="8"/>
        <w:numId w:val="21"/>
      </w:numPr>
      <w:spacing w:before="180" w:after="60"/>
    </w:pPr>
    <w:rPr>
      <w:b/>
      <w:bCs/>
    </w:rPr>
  </w:style>
  <w:style w:type="paragraph" w:customStyle="1" w:styleId="InstructionBullet2">
    <w:name w:val="Instruction Bullet 2"/>
    <w:basedOn w:val="Normal"/>
    <w:uiPriority w:val="99"/>
    <w:semiHidden/>
    <w:rsid w:val="008E4D10"/>
    <w:pPr>
      <w:numPr>
        <w:ilvl w:val="2"/>
        <w:numId w:val="22"/>
      </w:numPr>
      <w:spacing w:before="120" w:after="120"/>
    </w:pPr>
    <w:rPr>
      <w:rFonts w:ascii="Arial" w:hAnsi="Arial" w:cs="Arial"/>
      <w:color w:val="231EDC" w:themeColor="accent1"/>
      <w:sz w:val="18"/>
      <w:szCs w:val="18"/>
    </w:rPr>
  </w:style>
  <w:style w:type="paragraph" w:customStyle="1" w:styleId="InstructionBullet3">
    <w:name w:val="Instruction Bullet 3"/>
    <w:basedOn w:val="Normal"/>
    <w:uiPriority w:val="99"/>
    <w:semiHidden/>
    <w:rsid w:val="008E4D10"/>
    <w:pPr>
      <w:numPr>
        <w:ilvl w:val="3"/>
        <w:numId w:val="22"/>
      </w:numPr>
      <w:spacing w:before="120" w:after="120"/>
    </w:pPr>
    <w:rPr>
      <w:rFonts w:ascii="Arial" w:hAnsi="Arial" w:cs="Arial"/>
      <w:color w:val="231EDC" w:themeColor="accent1"/>
      <w:sz w:val="18"/>
      <w:szCs w:val="18"/>
    </w:rPr>
  </w:style>
  <w:style w:type="paragraph" w:customStyle="1" w:styleId="InstructionBullet4">
    <w:name w:val="Instruction Bullet 4"/>
    <w:basedOn w:val="Normal"/>
    <w:uiPriority w:val="99"/>
    <w:semiHidden/>
    <w:rsid w:val="008E4D10"/>
    <w:pPr>
      <w:numPr>
        <w:ilvl w:val="4"/>
        <w:numId w:val="22"/>
      </w:numPr>
      <w:spacing w:before="120" w:after="120"/>
    </w:pPr>
    <w:rPr>
      <w:rFonts w:ascii="Arial" w:hAnsi="Arial" w:cs="Arial"/>
      <w:color w:val="231EDC" w:themeColor="accent1"/>
      <w:sz w:val="18"/>
      <w:szCs w:val="18"/>
    </w:rPr>
  </w:style>
  <w:style w:type="paragraph" w:customStyle="1" w:styleId="InstructionBullet5">
    <w:name w:val="Instruction Bullet 5"/>
    <w:basedOn w:val="Normal"/>
    <w:uiPriority w:val="99"/>
    <w:semiHidden/>
    <w:rsid w:val="008E4D10"/>
    <w:pPr>
      <w:numPr>
        <w:ilvl w:val="5"/>
        <w:numId w:val="22"/>
      </w:numPr>
      <w:spacing w:before="120" w:after="120"/>
    </w:pPr>
    <w:rPr>
      <w:rFonts w:ascii="Arial" w:hAnsi="Arial" w:cs="Arial"/>
      <w:color w:val="231EDC" w:themeColor="accent1"/>
      <w:sz w:val="18"/>
      <w:szCs w:val="18"/>
    </w:rPr>
  </w:style>
  <w:style w:type="paragraph" w:customStyle="1" w:styleId="InstructionBullet6">
    <w:name w:val="Instruction Bullet 6"/>
    <w:basedOn w:val="Normal"/>
    <w:uiPriority w:val="99"/>
    <w:semiHidden/>
    <w:rsid w:val="008E4D10"/>
    <w:pPr>
      <w:numPr>
        <w:ilvl w:val="6"/>
        <w:numId w:val="22"/>
      </w:numPr>
      <w:spacing w:before="120" w:after="120"/>
    </w:pPr>
    <w:rPr>
      <w:rFonts w:ascii="Arial" w:hAnsi="Arial" w:cs="Arial"/>
      <w:color w:val="231EDC" w:themeColor="accent1"/>
      <w:sz w:val="18"/>
      <w:szCs w:val="18"/>
    </w:rPr>
  </w:style>
  <w:style w:type="paragraph" w:customStyle="1" w:styleId="InstructionBullet7">
    <w:name w:val="Instruction Bullet 7"/>
    <w:basedOn w:val="Normal"/>
    <w:uiPriority w:val="99"/>
    <w:semiHidden/>
    <w:rsid w:val="008E4D10"/>
    <w:pPr>
      <w:numPr>
        <w:ilvl w:val="7"/>
        <w:numId w:val="22"/>
      </w:numPr>
      <w:spacing w:before="120" w:after="120"/>
    </w:pPr>
    <w:rPr>
      <w:rFonts w:ascii="Arial" w:hAnsi="Arial" w:cs="Arial"/>
      <w:color w:val="231EDC" w:themeColor="accent1"/>
      <w:sz w:val="18"/>
      <w:szCs w:val="18"/>
    </w:rPr>
  </w:style>
  <w:style w:type="paragraph" w:customStyle="1" w:styleId="InstructionBullet8">
    <w:name w:val="Instruction Bullet 8"/>
    <w:basedOn w:val="Normal"/>
    <w:uiPriority w:val="99"/>
    <w:semiHidden/>
    <w:rsid w:val="008E4D10"/>
    <w:pPr>
      <w:numPr>
        <w:ilvl w:val="8"/>
        <w:numId w:val="22"/>
      </w:numPr>
      <w:spacing w:before="120" w:after="120"/>
    </w:pPr>
    <w:rPr>
      <w:rFonts w:ascii="Arial" w:hAnsi="Arial" w:cs="Arial"/>
      <w:color w:val="231EDC" w:themeColor="accent1"/>
      <w:sz w:val="18"/>
      <w:szCs w:val="18"/>
    </w:rPr>
  </w:style>
  <w:style w:type="paragraph" w:customStyle="1" w:styleId="CVResumeBullet3">
    <w:name w:val="CV Resume Bullet 3"/>
    <w:basedOn w:val="Normal"/>
    <w:uiPriority w:val="99"/>
    <w:semiHidden/>
    <w:rsid w:val="008E4D10"/>
    <w:pPr>
      <w:numPr>
        <w:ilvl w:val="2"/>
        <w:numId w:val="25"/>
      </w:numPr>
      <w:spacing w:after="60"/>
    </w:pPr>
    <w:rPr>
      <w:rFonts w:ascii="Jacobs Chronos Light" w:hAnsi="Jacobs Chronos Light" w:cstheme="minorHAnsi"/>
    </w:rPr>
  </w:style>
  <w:style w:type="paragraph" w:customStyle="1" w:styleId="CVResumeBullet4">
    <w:name w:val="CV Resume Bullet 4"/>
    <w:basedOn w:val="Normal"/>
    <w:uiPriority w:val="99"/>
    <w:semiHidden/>
    <w:rsid w:val="008E4D10"/>
    <w:pPr>
      <w:numPr>
        <w:ilvl w:val="3"/>
        <w:numId w:val="25"/>
      </w:numPr>
      <w:spacing w:after="60"/>
    </w:pPr>
    <w:rPr>
      <w:rFonts w:ascii="Jacobs Chronos Light" w:hAnsi="Jacobs Chronos Light" w:cstheme="minorHAnsi"/>
    </w:rPr>
  </w:style>
  <w:style w:type="paragraph" w:customStyle="1" w:styleId="CVResumeBullet5">
    <w:name w:val="CV Resume Bullet 5"/>
    <w:basedOn w:val="Normal"/>
    <w:uiPriority w:val="99"/>
    <w:semiHidden/>
    <w:rsid w:val="008E4D10"/>
    <w:pPr>
      <w:numPr>
        <w:ilvl w:val="4"/>
        <w:numId w:val="25"/>
      </w:numPr>
      <w:spacing w:after="60"/>
    </w:pPr>
    <w:rPr>
      <w:rFonts w:ascii="Jacobs Chronos Light" w:hAnsi="Jacobs Chronos Light" w:cstheme="minorHAnsi"/>
    </w:rPr>
  </w:style>
  <w:style w:type="paragraph" w:customStyle="1" w:styleId="CVResumeBullet6">
    <w:name w:val="CV Resume Bullet 6"/>
    <w:basedOn w:val="Normal"/>
    <w:uiPriority w:val="99"/>
    <w:semiHidden/>
    <w:rsid w:val="008E4D10"/>
    <w:pPr>
      <w:numPr>
        <w:ilvl w:val="5"/>
        <w:numId w:val="25"/>
      </w:numPr>
      <w:spacing w:after="60"/>
    </w:pPr>
    <w:rPr>
      <w:rFonts w:ascii="Jacobs Chronos Light" w:hAnsi="Jacobs Chronos Light" w:cstheme="minorHAnsi"/>
    </w:rPr>
  </w:style>
  <w:style w:type="paragraph" w:customStyle="1" w:styleId="CVResumeBullet7">
    <w:name w:val="CV Resume Bullet 7"/>
    <w:basedOn w:val="Normal"/>
    <w:uiPriority w:val="99"/>
    <w:semiHidden/>
    <w:rsid w:val="008E4D10"/>
    <w:pPr>
      <w:numPr>
        <w:ilvl w:val="6"/>
        <w:numId w:val="25"/>
      </w:numPr>
      <w:spacing w:after="60"/>
    </w:pPr>
    <w:rPr>
      <w:rFonts w:ascii="Jacobs Chronos Light" w:hAnsi="Jacobs Chronos Light" w:cstheme="minorHAnsi"/>
    </w:rPr>
  </w:style>
  <w:style w:type="paragraph" w:customStyle="1" w:styleId="CVResumeBullet8">
    <w:name w:val="CV Resume Bullet 8"/>
    <w:basedOn w:val="Normal"/>
    <w:uiPriority w:val="99"/>
    <w:semiHidden/>
    <w:rsid w:val="008E4D10"/>
    <w:pPr>
      <w:numPr>
        <w:ilvl w:val="7"/>
        <w:numId w:val="25"/>
      </w:numPr>
      <w:spacing w:after="60"/>
    </w:pPr>
    <w:rPr>
      <w:rFonts w:ascii="Jacobs Chronos Light" w:hAnsi="Jacobs Chronos Light" w:cstheme="minorHAnsi"/>
    </w:rPr>
  </w:style>
  <w:style w:type="paragraph" w:customStyle="1" w:styleId="CVResumeBullet9">
    <w:name w:val="CV Resume Bullet 9"/>
    <w:basedOn w:val="Normal"/>
    <w:uiPriority w:val="99"/>
    <w:semiHidden/>
    <w:rsid w:val="008E4D10"/>
    <w:pPr>
      <w:numPr>
        <w:ilvl w:val="8"/>
        <w:numId w:val="25"/>
      </w:numPr>
      <w:spacing w:after="60"/>
    </w:pPr>
    <w:rPr>
      <w:rFonts w:ascii="Jacobs Chronos Light" w:hAnsi="Jacobs Chronos Light" w:cstheme="minorHAnsi"/>
    </w:rPr>
  </w:style>
  <w:style w:type="paragraph" w:customStyle="1" w:styleId="CapabilityBullet3">
    <w:name w:val="Capability Bullet 3"/>
    <w:basedOn w:val="Normal"/>
    <w:uiPriority w:val="99"/>
    <w:semiHidden/>
    <w:rsid w:val="008E4D10"/>
    <w:pPr>
      <w:numPr>
        <w:ilvl w:val="2"/>
        <w:numId w:val="23"/>
      </w:numPr>
      <w:spacing w:before="60" w:after="60"/>
    </w:pPr>
  </w:style>
  <w:style w:type="paragraph" w:customStyle="1" w:styleId="CapabilityBullet4">
    <w:name w:val="Capability Bullet 4"/>
    <w:basedOn w:val="Normal"/>
    <w:uiPriority w:val="99"/>
    <w:semiHidden/>
    <w:rsid w:val="008E4D10"/>
    <w:pPr>
      <w:numPr>
        <w:ilvl w:val="3"/>
        <w:numId w:val="23"/>
      </w:numPr>
      <w:spacing w:before="60" w:after="60"/>
    </w:pPr>
  </w:style>
  <w:style w:type="paragraph" w:customStyle="1" w:styleId="CapabilityBullet5">
    <w:name w:val="Capability Bullet 5"/>
    <w:basedOn w:val="Normal"/>
    <w:uiPriority w:val="99"/>
    <w:semiHidden/>
    <w:rsid w:val="008E4D10"/>
    <w:pPr>
      <w:numPr>
        <w:ilvl w:val="4"/>
        <w:numId w:val="23"/>
      </w:numPr>
      <w:spacing w:before="60" w:after="60"/>
    </w:pPr>
  </w:style>
  <w:style w:type="paragraph" w:customStyle="1" w:styleId="CapabilityBullet6">
    <w:name w:val="Capability Bullet 6"/>
    <w:basedOn w:val="Normal"/>
    <w:uiPriority w:val="99"/>
    <w:semiHidden/>
    <w:rsid w:val="008E4D10"/>
    <w:pPr>
      <w:numPr>
        <w:ilvl w:val="5"/>
        <w:numId w:val="23"/>
      </w:numPr>
      <w:spacing w:before="60" w:after="60"/>
    </w:pPr>
  </w:style>
  <w:style w:type="paragraph" w:customStyle="1" w:styleId="CapabilityBullet7">
    <w:name w:val="Capability Bullet 7"/>
    <w:basedOn w:val="Normal"/>
    <w:uiPriority w:val="99"/>
    <w:semiHidden/>
    <w:rsid w:val="008E4D10"/>
    <w:pPr>
      <w:numPr>
        <w:ilvl w:val="6"/>
        <w:numId w:val="23"/>
      </w:numPr>
      <w:spacing w:before="60" w:after="60"/>
    </w:pPr>
  </w:style>
  <w:style w:type="paragraph" w:customStyle="1" w:styleId="CapabilityBullet8">
    <w:name w:val="Capability Bullet 8"/>
    <w:basedOn w:val="Normal"/>
    <w:uiPriority w:val="99"/>
    <w:semiHidden/>
    <w:rsid w:val="008E4D10"/>
    <w:pPr>
      <w:numPr>
        <w:ilvl w:val="7"/>
        <w:numId w:val="23"/>
      </w:numPr>
      <w:spacing w:before="60" w:after="60"/>
    </w:pPr>
  </w:style>
  <w:style w:type="paragraph" w:customStyle="1" w:styleId="CapabilityBullet9">
    <w:name w:val="Capability Bullet 9"/>
    <w:basedOn w:val="Normal"/>
    <w:uiPriority w:val="99"/>
    <w:semiHidden/>
    <w:rsid w:val="008E4D10"/>
    <w:pPr>
      <w:numPr>
        <w:ilvl w:val="8"/>
        <w:numId w:val="23"/>
      </w:numPr>
      <w:spacing w:before="60" w:after="60"/>
    </w:pPr>
  </w:style>
  <w:style w:type="paragraph" w:customStyle="1" w:styleId="ProjectBullet3">
    <w:name w:val="Project Bullet 3"/>
    <w:basedOn w:val="Normal"/>
    <w:uiPriority w:val="99"/>
    <w:semiHidden/>
    <w:rsid w:val="008E4D10"/>
    <w:pPr>
      <w:numPr>
        <w:ilvl w:val="2"/>
        <w:numId w:val="24"/>
      </w:numPr>
      <w:spacing w:after="60"/>
    </w:pPr>
  </w:style>
  <w:style w:type="paragraph" w:customStyle="1" w:styleId="ProjectBullet4">
    <w:name w:val="Project Bullet 4"/>
    <w:basedOn w:val="Normal"/>
    <w:uiPriority w:val="99"/>
    <w:semiHidden/>
    <w:rsid w:val="008E4D10"/>
    <w:pPr>
      <w:numPr>
        <w:ilvl w:val="3"/>
        <w:numId w:val="24"/>
      </w:numPr>
      <w:spacing w:after="60"/>
    </w:pPr>
  </w:style>
  <w:style w:type="paragraph" w:customStyle="1" w:styleId="ProjectBullet5">
    <w:name w:val="Project Bullet 5"/>
    <w:basedOn w:val="Normal"/>
    <w:uiPriority w:val="99"/>
    <w:semiHidden/>
    <w:rsid w:val="008E4D10"/>
    <w:pPr>
      <w:numPr>
        <w:ilvl w:val="4"/>
        <w:numId w:val="24"/>
      </w:numPr>
      <w:spacing w:after="60"/>
    </w:pPr>
  </w:style>
  <w:style w:type="paragraph" w:customStyle="1" w:styleId="ProjectBullet6">
    <w:name w:val="Project Bullet 6"/>
    <w:basedOn w:val="Normal"/>
    <w:uiPriority w:val="99"/>
    <w:semiHidden/>
    <w:rsid w:val="008E4D10"/>
    <w:pPr>
      <w:numPr>
        <w:ilvl w:val="5"/>
        <w:numId w:val="24"/>
      </w:numPr>
      <w:spacing w:after="60"/>
    </w:pPr>
  </w:style>
  <w:style w:type="paragraph" w:customStyle="1" w:styleId="ProjectBullet7">
    <w:name w:val="Project Bullet 7"/>
    <w:basedOn w:val="Normal"/>
    <w:uiPriority w:val="99"/>
    <w:semiHidden/>
    <w:rsid w:val="008E4D10"/>
    <w:pPr>
      <w:numPr>
        <w:ilvl w:val="6"/>
        <w:numId w:val="24"/>
      </w:numPr>
      <w:spacing w:after="60"/>
    </w:pPr>
  </w:style>
  <w:style w:type="paragraph" w:customStyle="1" w:styleId="ProjectBullet8">
    <w:name w:val="Project Bullet 8"/>
    <w:basedOn w:val="Normal"/>
    <w:uiPriority w:val="99"/>
    <w:semiHidden/>
    <w:rsid w:val="008E4D10"/>
    <w:pPr>
      <w:numPr>
        <w:ilvl w:val="7"/>
        <w:numId w:val="24"/>
      </w:numPr>
      <w:spacing w:after="60"/>
    </w:pPr>
  </w:style>
  <w:style w:type="paragraph" w:customStyle="1" w:styleId="ProjectBullet9">
    <w:name w:val="Project Bullet 9"/>
    <w:basedOn w:val="Normal"/>
    <w:uiPriority w:val="99"/>
    <w:semiHidden/>
    <w:rsid w:val="008E4D10"/>
    <w:pPr>
      <w:numPr>
        <w:ilvl w:val="8"/>
        <w:numId w:val="24"/>
      </w:numPr>
      <w:spacing w:after="60"/>
    </w:pPr>
  </w:style>
  <w:style w:type="numbering" w:customStyle="1" w:styleId="CVResumeBullets">
    <w:name w:val="CV Resume Bullets"/>
    <w:uiPriority w:val="99"/>
    <w:semiHidden/>
    <w:rsid w:val="008E4D10"/>
    <w:pPr>
      <w:numPr>
        <w:numId w:val="31"/>
      </w:numPr>
    </w:pPr>
  </w:style>
  <w:style w:type="paragraph" w:customStyle="1" w:styleId="PlateCaption">
    <w:name w:val="Plate Caption"/>
    <w:basedOn w:val="Caption"/>
    <w:next w:val="BodyText"/>
    <w:uiPriority w:val="99"/>
    <w:semiHidden/>
    <w:rsid w:val="008E4D10"/>
  </w:style>
  <w:style w:type="paragraph" w:customStyle="1" w:styleId="Details">
    <w:name w:val="Details"/>
    <w:basedOn w:val="TableText"/>
    <w:uiPriority w:val="99"/>
    <w:semiHidden/>
    <w:rsid w:val="008E4D10"/>
    <w:rPr>
      <w:rFonts w:asciiTheme="majorHAnsi" w:hAnsiTheme="majorHAnsi"/>
      <w:sz w:val="18"/>
    </w:rPr>
  </w:style>
  <w:style w:type="paragraph" w:customStyle="1" w:styleId="TOCHeading2">
    <w:name w:val="TOC Heading 2"/>
    <w:basedOn w:val="TOCHeading"/>
    <w:uiPriority w:val="99"/>
    <w:semiHidden/>
    <w:rsid w:val="008E4D10"/>
    <w:rPr>
      <w:sz w:val="20"/>
    </w:rPr>
  </w:style>
  <w:style w:type="paragraph" w:customStyle="1" w:styleId="Sequential">
    <w:name w:val="Sequential"/>
    <w:basedOn w:val="Normal"/>
    <w:uiPriority w:val="2"/>
    <w:semiHidden/>
    <w:rsid w:val="008E4D10"/>
    <w:pPr>
      <w:numPr>
        <w:numId w:val="27"/>
      </w:numPr>
      <w:spacing w:before="180" w:after="60"/>
    </w:pPr>
  </w:style>
  <w:style w:type="numbering" w:customStyle="1" w:styleId="SequentialNumbering">
    <w:name w:val="Sequential Numbering"/>
    <w:uiPriority w:val="99"/>
    <w:semiHidden/>
    <w:rsid w:val="008E4D10"/>
    <w:pPr>
      <w:numPr>
        <w:numId w:val="26"/>
      </w:numPr>
    </w:pPr>
  </w:style>
  <w:style w:type="paragraph" w:customStyle="1" w:styleId="Sequential2">
    <w:name w:val="Sequential 2"/>
    <w:basedOn w:val="Normal"/>
    <w:uiPriority w:val="3"/>
    <w:semiHidden/>
    <w:rsid w:val="008E4D10"/>
    <w:pPr>
      <w:numPr>
        <w:ilvl w:val="1"/>
        <w:numId w:val="27"/>
      </w:numPr>
      <w:spacing w:before="180" w:after="60"/>
    </w:pPr>
    <w:rPr>
      <w:rFonts w:cstheme="minorHAnsi"/>
    </w:rPr>
  </w:style>
  <w:style w:type="paragraph" w:customStyle="1" w:styleId="Sequential3">
    <w:name w:val="Sequential 3"/>
    <w:basedOn w:val="Normal"/>
    <w:uiPriority w:val="3"/>
    <w:semiHidden/>
    <w:rsid w:val="008E4D10"/>
    <w:pPr>
      <w:numPr>
        <w:ilvl w:val="2"/>
        <w:numId w:val="27"/>
      </w:numPr>
      <w:spacing w:before="180" w:after="60"/>
    </w:pPr>
    <w:rPr>
      <w:rFonts w:cstheme="minorHAnsi"/>
    </w:rPr>
  </w:style>
  <w:style w:type="paragraph" w:customStyle="1" w:styleId="Sequential4">
    <w:name w:val="Sequential 4"/>
    <w:basedOn w:val="Normal"/>
    <w:uiPriority w:val="99"/>
    <w:semiHidden/>
    <w:rsid w:val="008E4D10"/>
    <w:pPr>
      <w:numPr>
        <w:ilvl w:val="3"/>
        <w:numId w:val="27"/>
      </w:numPr>
      <w:spacing w:before="180" w:after="60"/>
    </w:pPr>
    <w:rPr>
      <w:rFonts w:cstheme="minorHAnsi"/>
    </w:rPr>
  </w:style>
  <w:style w:type="paragraph" w:customStyle="1" w:styleId="Sequential5">
    <w:name w:val="Sequential 5"/>
    <w:basedOn w:val="Normal"/>
    <w:uiPriority w:val="99"/>
    <w:semiHidden/>
    <w:rsid w:val="008E4D10"/>
    <w:pPr>
      <w:numPr>
        <w:ilvl w:val="4"/>
        <w:numId w:val="27"/>
      </w:numPr>
      <w:spacing w:before="180" w:after="60"/>
    </w:pPr>
    <w:rPr>
      <w:rFonts w:cstheme="minorHAnsi"/>
    </w:rPr>
  </w:style>
  <w:style w:type="paragraph" w:customStyle="1" w:styleId="Sequential6">
    <w:name w:val="Sequential 6"/>
    <w:basedOn w:val="Normal"/>
    <w:uiPriority w:val="99"/>
    <w:semiHidden/>
    <w:rsid w:val="008E4D10"/>
    <w:pPr>
      <w:numPr>
        <w:ilvl w:val="5"/>
        <w:numId w:val="27"/>
      </w:numPr>
      <w:spacing w:before="180" w:after="60"/>
    </w:pPr>
    <w:rPr>
      <w:rFonts w:cstheme="minorHAnsi"/>
    </w:rPr>
  </w:style>
  <w:style w:type="paragraph" w:customStyle="1" w:styleId="Sequential7">
    <w:name w:val="Sequential 7"/>
    <w:basedOn w:val="Normal"/>
    <w:uiPriority w:val="99"/>
    <w:semiHidden/>
    <w:rsid w:val="008E4D10"/>
    <w:pPr>
      <w:numPr>
        <w:ilvl w:val="6"/>
        <w:numId w:val="27"/>
      </w:numPr>
      <w:spacing w:before="180" w:after="60"/>
    </w:pPr>
    <w:rPr>
      <w:rFonts w:cstheme="minorHAnsi"/>
    </w:rPr>
  </w:style>
  <w:style w:type="paragraph" w:customStyle="1" w:styleId="Sequential8">
    <w:name w:val="Sequential 8"/>
    <w:basedOn w:val="Normal"/>
    <w:uiPriority w:val="99"/>
    <w:semiHidden/>
    <w:rsid w:val="008E4D10"/>
    <w:pPr>
      <w:numPr>
        <w:ilvl w:val="7"/>
        <w:numId w:val="27"/>
      </w:numPr>
      <w:spacing w:before="180" w:after="60"/>
    </w:pPr>
    <w:rPr>
      <w:rFonts w:cstheme="minorHAnsi"/>
    </w:rPr>
  </w:style>
  <w:style w:type="paragraph" w:customStyle="1" w:styleId="Sequential9">
    <w:name w:val="Sequential 9"/>
    <w:basedOn w:val="Normal"/>
    <w:uiPriority w:val="99"/>
    <w:semiHidden/>
    <w:rsid w:val="008E4D10"/>
    <w:pPr>
      <w:numPr>
        <w:ilvl w:val="8"/>
        <w:numId w:val="27"/>
      </w:numPr>
      <w:spacing w:before="180" w:after="60"/>
    </w:pPr>
    <w:rPr>
      <w:rFonts w:cstheme="minorHAnsi"/>
    </w:rPr>
  </w:style>
  <w:style w:type="numbering" w:customStyle="1" w:styleId="SingleSequentialNumbering">
    <w:name w:val="SingleSequentialNumbering"/>
    <w:uiPriority w:val="99"/>
    <w:semiHidden/>
    <w:rsid w:val="00CE5567"/>
  </w:style>
  <w:style w:type="numbering" w:customStyle="1" w:styleId="JacobsTableNumbersList">
    <w:name w:val="JacobsTableNumbersList"/>
    <w:uiPriority w:val="99"/>
    <w:semiHidden/>
    <w:rsid w:val="00CE5567"/>
  </w:style>
  <w:style w:type="paragraph" w:customStyle="1" w:styleId="Divider">
    <w:name w:val="Divider"/>
    <w:uiPriority w:val="99"/>
    <w:semiHidden/>
    <w:rsid w:val="008E4D10"/>
    <w:pPr>
      <w:outlineLvl w:val="0"/>
    </w:pPr>
    <w:rPr>
      <w:rFonts w:eastAsia="MS Gothic" w:cs="Jacobs Chronos Light"/>
      <w:b/>
      <w:color w:val="231EDC"/>
      <w:sz w:val="52"/>
      <w:szCs w:val="56"/>
    </w:rPr>
  </w:style>
  <w:style w:type="paragraph" w:customStyle="1" w:styleId="AppendixDivider">
    <w:name w:val="Appendix Divider"/>
    <w:basedOn w:val="Normal"/>
    <w:uiPriority w:val="99"/>
    <w:semiHidden/>
    <w:rsid w:val="008E4D10"/>
    <w:pPr>
      <w:outlineLvl w:val="0"/>
    </w:pPr>
    <w:rPr>
      <w:rFonts w:asciiTheme="majorHAnsi" w:eastAsia="MS Gothic" w:hAnsiTheme="majorHAnsi" w:cs="Jacobs Chronos Light"/>
      <w:b/>
      <w:color w:val="231EDC"/>
      <w:sz w:val="52"/>
      <w:szCs w:val="56"/>
    </w:rPr>
  </w:style>
  <w:style w:type="character" w:customStyle="1" w:styleId="ListParagraphChar">
    <w:name w:val="List Paragraph Char"/>
    <w:aliases w:val="Bullet List Char,NFP GP Bulleted List Char,Recommendation Char,List Paragraph1 Char,L Char,List Paragraph11 Char,List Paragraph Number Char,Bullet point Char,Content descriptions Char,Bullet Point Char,bullet point list Char"/>
    <w:link w:val="ListParagraph"/>
    <w:uiPriority w:val="34"/>
    <w:locked/>
    <w:rsid w:val="00607D7F"/>
    <w:rPr>
      <w:rFonts w:asciiTheme="minorHAnsi" w:hAnsiTheme="minorHAnsi"/>
    </w:rPr>
  </w:style>
  <w:style w:type="paragraph" w:styleId="Revision">
    <w:name w:val="Revision"/>
    <w:hidden/>
    <w:uiPriority w:val="99"/>
    <w:semiHidden/>
    <w:rsid w:val="00A047BC"/>
    <w:rPr>
      <w:rFonts w:asciiTheme="minorHAnsi" w:hAnsiTheme="minorHAnsi"/>
    </w:rPr>
  </w:style>
  <w:style w:type="character" w:customStyle="1" w:styleId="cf01">
    <w:name w:val="cf01"/>
    <w:basedOn w:val="DefaultParagraphFont"/>
    <w:rsid w:val="000B683F"/>
    <w:rPr>
      <w:rFonts w:ascii="Segoe UI" w:hAnsi="Segoe UI" w:cs="Segoe UI" w:hint="default"/>
      <w:sz w:val="18"/>
      <w:szCs w:val="18"/>
    </w:rPr>
  </w:style>
  <w:style w:type="paragraph" w:customStyle="1" w:styleId="Footnotes">
    <w:name w:val="Footnotes"/>
    <w:basedOn w:val="Normal"/>
    <w:uiPriority w:val="99"/>
    <w:semiHidden/>
    <w:rsid w:val="002C1258"/>
    <w:pPr>
      <w:keepLines/>
      <w:numPr>
        <w:numId w:val="58"/>
      </w:numPr>
      <w:spacing w:before="60" w:after="100" w:afterAutospacing="1" w:line="180" w:lineRule="exact"/>
      <w:ind w:left="720" w:hanging="360"/>
    </w:pPr>
    <w:rPr>
      <w:rFonts w:eastAsia="Times New Roman" w:cs="Arial"/>
      <w:color w:val="000000" w:themeColor="text1"/>
      <w:sz w:val="14"/>
      <w:lang w:val="en-AU" w:eastAsia="en-AU"/>
    </w:rPr>
  </w:style>
  <w:style w:type="paragraph" w:customStyle="1" w:styleId="Footnotes2">
    <w:name w:val="Footnotes 2"/>
    <w:basedOn w:val="Normal"/>
    <w:uiPriority w:val="99"/>
    <w:semiHidden/>
    <w:rsid w:val="002C1258"/>
    <w:pPr>
      <w:numPr>
        <w:ilvl w:val="1"/>
        <w:numId w:val="58"/>
      </w:numPr>
      <w:tabs>
        <w:tab w:val="clear" w:pos="567"/>
      </w:tabs>
      <w:spacing w:after="100" w:afterAutospacing="1" w:line="180" w:lineRule="atLeast"/>
      <w:ind w:left="568" w:hanging="284"/>
      <w:contextualSpacing/>
    </w:pPr>
    <w:rPr>
      <w:rFonts w:eastAsia="Times New Roman" w:cs="Arial"/>
      <w:color w:val="000000" w:themeColor="text1"/>
      <w:sz w:val="14"/>
      <w:lang w:val="en-AU" w:eastAsia="en-AU"/>
    </w:rPr>
  </w:style>
  <w:style w:type="character" w:customStyle="1" w:styleId="normaltextrun">
    <w:name w:val="normaltextrun"/>
    <w:basedOn w:val="DefaultParagraphFont"/>
    <w:rsid w:val="00624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39349">
      <w:bodyDiv w:val="1"/>
      <w:marLeft w:val="0"/>
      <w:marRight w:val="0"/>
      <w:marTop w:val="0"/>
      <w:marBottom w:val="0"/>
      <w:divBdr>
        <w:top w:val="none" w:sz="0" w:space="0" w:color="auto"/>
        <w:left w:val="none" w:sz="0" w:space="0" w:color="auto"/>
        <w:bottom w:val="none" w:sz="0" w:space="0" w:color="auto"/>
        <w:right w:val="none" w:sz="0" w:space="0" w:color="auto"/>
      </w:divBdr>
    </w:div>
    <w:div w:id="1504203965">
      <w:bodyDiv w:val="1"/>
      <w:marLeft w:val="0"/>
      <w:marRight w:val="0"/>
      <w:marTop w:val="0"/>
      <w:marBottom w:val="0"/>
      <w:divBdr>
        <w:top w:val="none" w:sz="0" w:space="0" w:color="auto"/>
        <w:left w:val="none" w:sz="0" w:space="0" w:color="auto"/>
        <w:bottom w:val="none" w:sz="0" w:space="0" w:color="auto"/>
        <w:right w:val="none" w:sz="0" w:space="0" w:color="auto"/>
      </w:divBdr>
    </w:div>
    <w:div w:id="214002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image" Target="media/image1.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hyperlink" Target="https://jacobsengineering.sharepoint.com/sites/CPIS444200/Shared%20Documents/Working%20Documents/06%20EoT%20Evaluation/EoT%20evaluation%20report/data.water.vic.gov.au" TargetMode="Externa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footer" Target="footer1.xml"/><Relationship Id="rId29" Type="http://schemas.openxmlformats.org/officeDocument/2006/relationships/customXml" Target="../customXml/item1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https://www.thegreataustralianplatypussearch.org/results-2021" TargetMode="Externa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footer" Target="footer3.xml"/><Relationship Id="rId28" Type="http://schemas.microsoft.com/office/2019/05/relationships/documenttasks" Target="documenttasks/documenttasks1.xml"/><Relationship Id="rId10" Type="http://schemas.openxmlformats.org/officeDocument/2006/relationships/customXml" Target="../customXml/item10.xml"/><Relationship Id="rId19" Type="http://schemas.openxmlformats.org/officeDocument/2006/relationships/header" Target="header1.xml"/><Relationship Id="rId31" Type="http://schemas.openxmlformats.org/officeDocument/2006/relationships/customXml" Target="../customXml/item14.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header" Target="header2.xml"/><Relationship Id="rId27" Type="http://schemas.openxmlformats.org/officeDocument/2006/relationships/theme" Target="theme/theme1.xml"/><Relationship Id="rId30" Type="http://schemas.openxmlformats.org/officeDocument/2006/relationships/customXml" Target="../customXml/item1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www.melbournewater.com.au/water-and-environment/water-management/water-storage-levels" TargetMode="External"/><Relationship Id="rId2" Type="http://schemas.openxmlformats.org/officeDocument/2006/relationships/hyperlink" Target="https://www.melbournewater.com.au/about/what-we-do/publications/water-outlook" TargetMode="External"/><Relationship Id="rId1" Type="http://schemas.openxmlformats.org/officeDocument/2006/relationships/hyperlink" Target="https://www.waterrating.gov.au/about/review-evaluation/strategic-plan-2022-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HE6\AppData\Roaming\MacroView.Office\Files\Templates\Stationery\en\Project%20Notes.dotx" TargetMode="External"/></Relationships>
</file>

<file path=word/documenttasks/documenttasks1.xml><?xml version="1.0" encoding="utf-8"?>
<t:Tasks xmlns:t="http://schemas.microsoft.com/office/tasks/2019/documenttasks" xmlns:oel="http://schemas.microsoft.com/office/2019/extlst">
  <t:Task id="{096CCB73-57A8-431D-92F2-2A171BEED6DD}">
    <t:Anchor>
      <t:Comment id="976853507"/>
    </t:Anchor>
    <t:History>
      <t:Event id="{8AB769E7-EFBE-4E91-98FA-7B0E6D9B3390}" time="2023-10-16T03:45:01.602Z">
        <t:Attribution userId="S::glenn.dunks@delwp.vic.gov.au::1cca644d-e331-4aa2-988b-5fc4bc29e143" userProvider="AD" userName="Glenn C Dunks (DEECA)"/>
        <t:Anchor>
          <t:Comment id="976853507"/>
        </t:Anchor>
        <t:Create/>
      </t:Event>
      <t:Event id="{B518C4A8-3936-4183-B11F-297CA3936A5C}" time="2023-10-16T03:45:01.602Z">
        <t:Attribution userId="S::glenn.dunks@delwp.vic.gov.au::1cca644d-e331-4aa2-988b-5fc4bc29e143" userProvider="AD" userName="Glenn C Dunks (DEECA)"/>
        <t:Anchor>
          <t:Comment id="976853507"/>
        </t:Anchor>
        <t:Assign userId="S::jasmine.errey@delwp.vic.gov.au::4dabf59f-e145-433a-832c-5365b8d7bfac" userProvider="AD" userName="Jasmine Errey (DEECA)"/>
      </t:Event>
      <t:Event id="{EA2F24FF-75C4-44D4-ADF2-577066E2E629}" time="2023-10-16T03:45:01.602Z">
        <t:Attribution userId="S::glenn.dunks@delwp.vic.gov.au::1cca644d-e331-4aa2-988b-5fc4bc29e143" userProvider="AD" userName="Glenn C Dunks (DEECA)"/>
        <t:Anchor>
          <t:Comment id="976853507"/>
        </t:Anchor>
        <t:SetTitle title="@Jasmine Errey (DEECA) something for you"/>
      </t:Event>
      <t:Event id="{EFCD2B1A-C755-435A-95D2-DD2A6DA49B40}" time="2023-10-16T03:50:04.74Z">
        <t:Attribution userId="S::jasmine.errey@delwp.vic.gov.au::4dabf59f-e145-433a-832c-5365b8d7bfac" userProvider="AD" userName="Jasmine Errey (DEECA)"/>
        <t:Progress percentComplete="100"/>
      </t:Event>
    </t:History>
  </t:Task>
</t:Tasks>
</file>

<file path=word/theme/theme1.xml><?xml version="1.0" encoding="utf-8"?>
<a:theme xmlns:a="http://schemas.openxmlformats.org/drawingml/2006/main" name="JacobsBlue">
  <a:themeElements>
    <a:clrScheme name="Jacobs Accents Blue">
      <a:dk1>
        <a:srgbClr val="000000"/>
      </a:dk1>
      <a:lt1>
        <a:srgbClr val="FFFFFF"/>
      </a:lt1>
      <a:dk2>
        <a:srgbClr val="333333"/>
      </a:dk2>
      <a:lt2>
        <a:srgbClr val="E6E6E6"/>
      </a:lt2>
      <a:accent1>
        <a:srgbClr val="231EDC"/>
      </a:accent1>
      <a:accent2>
        <a:srgbClr val="0A7DFF"/>
      </a:accent2>
      <a:accent3>
        <a:srgbClr val="5AE6FF"/>
      </a:accent3>
      <a:accent4>
        <a:srgbClr val="001E55"/>
      </a:accent4>
      <a:accent5>
        <a:srgbClr val="A5A5A5"/>
      </a:accent5>
      <a:accent6>
        <a:srgbClr val="C8C8C8"/>
      </a:accent6>
      <a:hlink>
        <a:srgbClr val="231EDC"/>
      </a:hlink>
      <a:folHlink>
        <a:srgbClr val="E5E5E5"/>
      </a:folHlink>
    </a:clrScheme>
    <a:fontScheme name="JacobsChronos">
      <a:majorFont>
        <a:latin typeface="Jacobs Chronos"/>
        <a:ea typeface=""/>
        <a:cs typeface=""/>
      </a:majorFont>
      <a:minorFont>
        <a:latin typeface="Jacobs Chron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ue 1">
      <a:srgbClr val="231EDC"/>
    </a:custClr>
    <a:custClr name="Blue 2">
      <a:srgbClr val="0A7DFF"/>
    </a:custClr>
    <a:custClr name="Blue 3">
      <a:srgbClr val="5AE6FF"/>
    </a:custClr>
    <a:custClr name="Blue 4">
      <a:srgbClr val="001E55"/>
    </a:custClr>
    <a:custClr name="Blue 5">
      <a:srgbClr val="6CB1FF"/>
    </a:custClr>
    <a:custClr name="Blue 6">
      <a:srgbClr val="C2DEFF"/>
    </a:custClr>
    <a:custClr name="Spacer">
      <a:srgbClr val="FFFFFF"/>
    </a:custClr>
    <a:custClr name="Spacer">
      <a:srgbClr val="FFFFFF"/>
    </a:custClr>
    <a:custClr name="Spacer">
      <a:srgbClr val="FFFFFF"/>
    </a:custClr>
    <a:custClr name="Spacer">
      <a:srgbClr val="FFFFFF"/>
    </a:custClr>
    <a:custClr name="Purple 1">
      <a:srgbClr val="6F006E"/>
    </a:custClr>
    <a:custClr name="Purple 2">
      <a:srgbClr val="A800A8"/>
    </a:custClr>
    <a:custClr name="Purple 3">
      <a:srgbClr val="D7A5F5"/>
    </a:custClr>
    <a:custClr name="Purple 4">
      <a:srgbClr val="460F32"/>
    </a:custClr>
    <a:custClr name="Purple 5">
      <a:srgbClr val="CB66CB"/>
    </a:custClr>
    <a:custClr name="Purple 6">
      <a:srgbClr val="E9BFE9"/>
    </a:custClr>
    <a:custClr name="Spacer">
      <a:srgbClr val="FFFFFF"/>
    </a:custClr>
    <a:custClr name="Spacer">
      <a:srgbClr val="FFFFFF"/>
    </a:custClr>
    <a:custClr name="Spacer">
      <a:srgbClr val="FFFFFF"/>
    </a:custClr>
    <a:custClr name="Spacer">
      <a:srgbClr val="FFFFFF"/>
    </a:custClr>
    <a:custClr name="Red 1">
      <a:srgbClr val="D72850"/>
    </a:custClr>
    <a:custClr name="Red 2">
      <a:srgbClr val="FF465F"/>
    </a:custClr>
    <a:custClr name="Red 3">
      <a:srgbClr val="FF9191"/>
    </a:custClr>
    <a:custClr name="Red 4">
      <a:srgbClr val="690A28"/>
    </a:custClr>
    <a:custClr name="Red 5">
      <a:srgbClr val="FF909F"/>
    </a:custClr>
    <a:custClr name="Red 6">
      <a:srgbClr val="FFD1D7"/>
    </a:custClr>
    <a:custClr name="Spacer">
      <a:srgbClr val="FFFFFF"/>
    </a:custClr>
    <a:custClr name="Spacer">
      <a:srgbClr val="FFFFFF"/>
    </a:custClr>
    <a:custClr name="Spacer">
      <a:srgbClr val="FFFFFF"/>
    </a:custClr>
    <a:custClr name="Spacer">
      <a:srgbClr val="FFFFFF"/>
    </a:custClr>
    <a:custClr name="Yellow 1">
      <a:srgbClr val="FFA014"/>
    </a:custClr>
    <a:custClr name="Yellow 2">
      <a:srgbClr val="FFB41E"/>
    </a:custClr>
    <a:custClr name="Yellow 3">
      <a:srgbClr val="FFDC78"/>
    </a:custClr>
    <a:custClr name="Yellow 4">
      <a:srgbClr val="C05C27"/>
    </a:custClr>
    <a:custClr name="Yellow 5">
      <a:srgbClr val="FFD278"/>
    </a:custClr>
    <a:custClr name="Yellow 6">
      <a:srgbClr val="FFECC7"/>
    </a:custClr>
    <a:custClr name="Spacer">
      <a:srgbClr val="FFFFFF"/>
    </a:custClr>
    <a:custClr name="Spacer">
      <a:srgbClr val="FFFFFF"/>
    </a:custClr>
    <a:custClr name="Spacer">
      <a:srgbClr val="FFFFFF"/>
    </a:custClr>
    <a:custClr name="Spacer">
      <a:srgbClr val="FFFFFF"/>
    </a:custClr>
    <a:custClr name="Green 1">
      <a:srgbClr val="007D55"/>
    </a:custClr>
    <a:custClr name="Green 2">
      <a:srgbClr val="0AD287"/>
    </a:custClr>
    <a:custClr name="Green 3">
      <a:srgbClr val="78FAC8"/>
    </a:custClr>
    <a:custClr name="Green 4">
      <a:srgbClr val="003C2D"/>
    </a:custClr>
    <a:custClr name="Green 5">
      <a:srgbClr val="6CE4B7"/>
    </a:custClr>
    <a:custClr name="Green 6">
      <a:srgbClr val="C2F4E1"/>
    </a:custClr>
    <a:custClr name="Spacer">
      <a:srgbClr val="FFFFFF"/>
    </a:custClr>
    <a:custClr name="Spacer">
      <a:srgbClr val="FFFFFF"/>
    </a:custClr>
    <a:custClr name="Spacer">
      <a:srgbClr val="FFFFFF"/>
    </a:custClr>
    <a:custClr name="Spacer">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
  <cached>True</cached>
  <openByDefault>True</openByDefault>
  <xsnScope>/sites/ecm_133/EC Policy</xsnScope>
</customXsn>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q1:RibbonSettings xmlns:q1="http://schemas.macroview.com.au/ribbonsettings">
  <q1:IsChangeOfficeVisible>true</q1:IsChangeOfficeVisible>
  <q1:IsEditDetailsVisible>true</q1:IsEditDetailsVisible>
  <q1:IsTogglePaperSizeVisible>true</q1:IsTogglePaperSizeVisible>
</q1:RibbonSettings>
</file>

<file path=customXml/item12.xml><?xml version="1.0" encoding="utf-8"?>
<ct:contentTypeSchema xmlns:ct="http://schemas.microsoft.com/office/2006/metadata/contentType" xmlns:ma="http://schemas.microsoft.com/office/2006/metadata/properties/metaAttributes" ct:_="" ma:_="" ma:contentTypeName="Memo" ma:contentTypeID="0x0101002517F445A0F35E449C98AAD631F2B0380F00DA6BABBD5E205441ACDFC001CFFBDBFB" ma:contentTypeVersion="101" ma:contentTypeDescription="A note describing something to be remembered or acted upon in the future – AGLS " ma:contentTypeScope="" ma:versionID="7ad5e9250ff2c493f4257e772faea790">
  <xsd:schema xmlns:xsd="http://www.w3.org/2001/XMLSchema" xmlns:xs="http://www.w3.org/2001/XMLSchema" xmlns:p="http://schemas.microsoft.com/office/2006/metadata/properties" xmlns:ns1="http://schemas.microsoft.com/sharepoint/v3" xmlns:ns2="a5f32de4-e402-4188-b034-e71ca7d22e54" xmlns:ns3="9fd47c19-1c4a-4d7d-b342-c10cef269344" xmlns:ns4="3867f357-3a1c-4ca9-a93f-4854236dd214" targetNamespace="http://schemas.microsoft.com/office/2006/metadata/properties" ma:root="true" ma:fieldsID="417c5ab9a1368c47ec71db7da21a2712" ns1:_="" ns2:_="" ns3:_="" ns4:_="">
    <xsd:import namespace="http://schemas.microsoft.com/sharepoint/v3"/>
    <xsd:import namespace="a5f32de4-e402-4188-b034-e71ca7d22e54"/>
    <xsd:import namespace="9fd47c19-1c4a-4d7d-b342-c10cef269344"/>
    <xsd:import namespace="3867f357-3a1c-4ca9-a93f-4854236dd214"/>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4:ed010498260346b187858c33c3113343" minOccurs="0"/>
                <xsd:element ref="ns2:Reference_x0020_Number" minOccurs="0"/>
                <xsd:element ref="ns2:Location_x0020_Value" minOccurs="0"/>
                <xsd:element ref="ns4:e04541968e3a4a22a099fbbbfc7e41fe" minOccurs="0"/>
                <xsd:element ref="ns3:o2e611f6ba3e4c8f9a895dfb7980639e" minOccurs="0"/>
                <xsd:element ref="ns3:ld508a88e6264ce89693af80a72862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description="Further keywords or terms that best describe the document content that DO NOT appear in the Title or File Name."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element name="Reference_x0020_Number" ma:index="34" nillable="true" ma:displayName="Reference Number" ma:internalName="Reference_x0020_Number">
      <xsd:simpleType>
        <xsd:restriction base="dms:Text">
          <xsd:maxLength value="255"/>
        </xsd:restriction>
      </xsd:simpleType>
    </xsd:element>
    <xsd:element name="Location_x0020_Value" ma:index="36" nillable="true" ma:displayName="Location Value" ma:internalName="Location_x0020_Val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readOnly="false"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ma:taxonomy="true" ma:internalName="mfe9accc5a0b4653a7b513b67ffd122d" ma:taxonomyFieldName="Branch" ma:displayName="Branch" ma:default="6;#Executive Services|e5dac3b6-3758-40a7-8921-77a6f8094098"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description="" ma:hidden="true" ma:list="{fcdc2a19-2d00-44cf-b7bd-7f9c2f622aa0}" ma:internalName="TaxCatchAll" ma:showField="CatchAllData" ma:web="153f2783-1c70-4464-955e-85040a58200f">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description="" ma:hidden="true" ma:list="{fcdc2a19-2d00-44cf-b7bd-7f9c2f622aa0}" ma:internalName="TaxCatchAllLabel" ma:readOnly="true" ma:showField="CatchAllDataLabel" ma:web="153f2783-1c70-4464-955e-85040a58200f">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readOnly="false" ma:default="147;#Department of Energy, Environment and Climate Action|6ec2007c-62f7-4367-85b3-4db3e85c504f"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ma:taxonomy="true" ma:internalName="ic50d0a05a8e4d9791dac67f8a1e716c" ma:taxonomyFieldName="Group1" ma:displayName="Group" ma:default="4;#Water and Catchments|04babe5f-fe90-4982-9f33-c4fc8f4bb63f"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ma:taxonomy="true" ma:internalName="n771d69a070c4babbf278c67c8a2b859" ma:taxonomyFieldName="Division" ma:displayName="Division" ma:default="5;#Office of the Deputy Secretary Water and Catchments|3c1e8dec-6a81-4ef2-b151-e0b49bc0f761"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element name="o2e611f6ba3e4c8f9a895dfb7980639e" ma:index="39" nillable="true" ma:taxonomy="true" ma:internalName="o2e611f6ba3e4c8f9a895dfb7980639e" ma:taxonomyFieldName="Location_x0020_Type" ma:displayName="Location Type" ma:default="" ma:fieldId="{82e611f6-ba3e-4c8f-9a89-5dfb7980639e}" ma:sspId="797aeec6-0273-40f2-ab3e-beee73212332" ma:termSetId="648a561f-e369-4e31-b869-87da18c5c4f1" ma:anchorId="00000000-0000-0000-0000-000000000000" ma:open="false" ma:isKeyword="false">
      <xsd:complexType>
        <xsd:sequence>
          <xsd:element ref="pc:Terms" minOccurs="0" maxOccurs="1"/>
        </xsd:sequence>
      </xsd:complexType>
    </xsd:element>
    <xsd:element name="ld508a88e6264ce89693af80a72862cb" ma:index="40" nillable="true" ma:taxonomy="true" ma:internalName="ld508a88e6264ce89693af80a72862cb" ma:taxonomyFieldName="Reference_x0020_Type" ma:displayName="Reference Type" ma:default="" ma:fieldId="{5d508a88-e626-4ce8-9693-af80a72862cb}" ma:sspId="797aeec6-0273-40f2-ab3e-beee73212332" ma:termSetId="11043c92-3a71-4a36-852c-b5b476b049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67f357-3a1c-4ca9-a93f-4854236dd214" elementFormDefault="qualified">
    <xsd:import namespace="http://schemas.microsoft.com/office/2006/documentManagement/types"/>
    <xsd:import namespace="http://schemas.microsoft.com/office/infopath/2007/PartnerControls"/>
    <xsd:element name="ed010498260346b187858c33c3113343" ma:index="32" nillable="true" ma:taxonomy="true" ma:internalName="ed010498260346b187858c33c3113343" ma:taxonomyFieldName="Stage" ma:displayName="Stage" ma:default="" ma:fieldId="{ed010498-2603-46b1-8785-8c33c3113343}" ma:sspId="797aeec6-0273-40f2-ab3e-beee73212332" ma:termSetId="c3075b03-0b45-4031-9d8c-7b90de58cdbd" ma:anchorId="00000000-0000-0000-0000-000000000000" ma:open="true" ma:isKeyword="false">
      <xsd:complexType>
        <xsd:sequence>
          <xsd:element ref="pc:Terms" minOccurs="0" maxOccurs="1"/>
        </xsd:sequence>
      </xsd:complexType>
    </xsd:element>
    <xsd:element name="e04541968e3a4a22a099fbbbfc7e41fe" ma:index="38" nillable="true" ma:taxonomy="true" ma:internalName="e04541968e3a4a22a099fbbbfc7e41fe" ma:taxonomyFieldName="Tranche" ma:displayName="Tranche" ma:default="" ma:fieldId="{e0454196-8e3a-4a22-a099-fbbbfc7e41fe}" ma:sspId="797aeec6-0273-40f2-ab3e-beee73212332" ma:termSetId="3cae8447-8a68-47bc-9910-03a6fe485345"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3.xml><?xml version="1.0" encoding="utf-8"?>
<?mso-contentType ?>
<SharedContentType xmlns="Microsoft.SharePoint.Taxonomy.ContentTypeSync" SourceId="3452d580-73c1-4b2b-acb3-3600a17877a9" ContentTypeId="0x0101002517F445A0F35E449C98AAD631F2B0380F" PreviousValue="false"/>
</file>

<file path=customXml/item1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1 6 " ? > < q 1 : B r a n d   x m l n s : q 1 = " h t t p : / / s c h e m a s . m a c r o v i e w . c o m . a u / b r a n d " >  
     < q 1 : G r o u p i n g / >  
     < q 1 : L o g o P a t h > C : \ U s e r s \ C o f f B \ A p p D a t a \ R o a m i n g \ M a c r o V i e w . O f f i c e \ F i l e s \ A p p S e t t i n g s \ B r a n d s \ J a c o b s . j p g < / q 1 : L o g o P a t h >  
     < q 1 : N a m e > J a c o b s < / q 1 : N a m e >  
 < / q 1 : B r a n d > 
</file>

<file path=customXml/item3.xml><?xml version="1.0" encoding="utf-8"?>
<root xmlns="http://schemas.macroview.com.au/answerfile">
  <Apologies ControlType="Text"/>
  <ApprovedBy>
    <Address ControlType="Text"/>
    <Addresses/>
    <Assistant/>
    <CompanyName/>
    <Country/>
    <Delivery/>
    <Department/>
    <EmailAddress/>
    <ExtensionAttribute3/>
    <ExtensionAttribute4/>
    <ExternalId/>
    <FaxNumber/>
    <FirstName/>
    <FullName ControlType="Text"/>
    <Initials/>
    <LastName/>
    <PhoneNumber/>
    <Position/>
    <PostalAddress1/>
    <PostalAddress2/>
    <PostalCity/>
    <PostalCountry/>
    <PostalPostalCode/>
    <PostalState/>
    <Qualifications/>
    <Salutation/>
    <StreetAddress1/>
    <StreetAddress2/>
    <StreetCity/>
    <StreetCountry/>
    <StreetPostalCode/>
    <StreetState/>
    <Title/>
  </ApprovedBy>
  <ClientName ControlType="Text"/>
  <ClientReference ControlType="Text"/>
  <CopiesTo ControlType="Text"/>
  <CvFirstNameSurname/>
  &gt;
  <Date xmlns:d2p1="http://www.w3.org/2001/XMLSchema-instance" d2p1:nil="true"/>
  <DocumentNumber ControlType="Text">V2</DocumentNumber>
  <DocumentTitle ControlType="Text">Impact domain: Project examples of progress toward each EC5 outcome</DocumentTitle>
  <Location ControlType="Text"/>
  <NumberOfPages ControlType="Text"/>
  <Participants ControlType="Text"/>
  <ProjectManager>
    <Address ControlType="Text"/>
    <Addresses/>
    <Assistant/>
    <CompanyName/>
    <Country/>
    <Delivery/>
    <Department/>
    <EmailAddress/>
    <ExtensionAttribute3/>
    <ExtensionAttribute4/>
    <ExternalId/>
    <FaxNumber/>
    <FirstName/>
    <FullName ControlType="Text"/>
    <Initials/>
    <LastName/>
    <PhoneNumber/>
    <Position/>
    <PostalAddress1/>
    <PostalAddress2/>
    <PostalCity/>
    <PostalCountry/>
    <PostalPostalCode/>
    <PostalState/>
    <Qualifications/>
    <Salutation/>
    <StreetAddress1/>
    <StreetAddress2/>
    <StreetCity/>
    <StreetCountry/>
    <StreetPostalCode/>
    <StreetState/>
    <Title/>
  </ProjectManager>
  <ProjectName ControlType="Text"/>
  <ProjectNumber ControlType="Text"/>
  <Recipient>
    <Address ControlType="Text"/>
    <Addresses/>
    <Assistant/>
    <CompanyName/>
    <Country/>
    <Delivery/>
    <Department/>
    <EmailAddress/>
    <ExtensionAttribute3/>
    <ExtensionAttribute4/>
    <ExternalId/>
    <FaxNumber/>
    <FirstName/>
    <FullName/>
    <Initials/>
    <LastName/>
    <PhoneNumber/>
    <Position/>
    <PostalAddress1/>
    <PostalAddress2/>
    <PostalCity/>
    <PostalCountry/>
    <PostalPostalCode/>
    <PostalState/>
    <Qualifications/>
    <Salutation/>
    <StreetAddress1/>
    <StreetAddress2/>
    <StreetCity/>
    <StreetCountry/>
    <StreetPostalCode/>
    <StreetState/>
    <Title/>
  </Recipient>
  <ReviewedBy>
    <Title/>
    <Initials/>
    <FullName/>
    <FirstName/>
    <LastName/>
    <Salutation/>
    <Qualifications/>
    <Position ControlType="Text"/>
    <CompanyName/>
    <Department/>
    <PhoneNumber/>
    <FaxNumber/>
    <EmailAddress/>
    <Address/>
    <StreetAddress1/>
    <StreetAddress2/>
    <StreetCity/>
    <StreetState/>
    <StreetPostalCode/>
    <StreetCountry/>
    <PostalAddress1/>
    <PostalAddress2/>
    <PostalCity/>
    <PostalState/>
    <PostalPostalCode/>
    <PostalCountry/>
    <Country/>
    <Delivery/>
    <ExternalId/>
    <Assistant/>
    <ExtensionAttribute3/>
    <ExtensionAttribute4/>
  </ReviewedBy>
  <RevisionNumber ControlType="Text"/>
  <Sender>
    <Title/>
    <Initials/>
    <FullName/>
    <FirstName/>
    <LastName/>
    <Salutation/>
    <Qualifications/>
    <Position ControlType="Text"/>
    <CompanyName/>
    <Department/>
    <PhoneNumber/>
    <FaxNumber/>
    <EmailAddress/>
    <Address/>
    <StreetAddress1/>
    <StreetAddress2/>
    <StreetCity/>
    <StreetState/>
    <StreetPostalCode/>
    <StreetCountry/>
    <PostalAddress1/>
    <PostalAddress2/>
    <PostalCity/>
    <PostalState/>
    <PostalPostalCode/>
    <PostalCountry/>
    <Country/>
    <Delivery/>
    <ExternalId/>
    <Assistant/>
    <ExtensionAttribute3/>
    <ExtensionAttribute4/>
  </Sender>
  <Sender2>
    <Title/>
    <Initials/>
    <FullName/>
    <FirstName/>
    <LastName/>
    <Salutation/>
    <Qualifications/>
    <Position/>
    <CompanyName/>
    <Department/>
    <PhoneNumber/>
    <FaxNumber/>
    <EmailAddress/>
    <Address/>
    <StreetAddress1/>
    <StreetAddress2/>
    <StreetCity/>
    <StreetState/>
    <StreetPostalCode/>
    <StreetCountry/>
    <PostalAddress1/>
    <PostalAddress2/>
    <PostalCity/>
    <PostalState/>
    <PostalPostalCode/>
    <PostalCountry/>
    <Country/>
    <Delivery/>
    <ExternalId/>
    <Assistant/>
    <ExtensionAttribute3/>
    <ExtensionAttribute4/>
  </Sender2>
  <ServiceIdentifier ControlType="Text"/>
  <Signoff/>
  <SubHeading ControlType="Text"/>
  <Subject ControlType="Text"/>
</root>
</file>

<file path=customXml/item4.xml><?xml version="1.0" encoding="utf-8"?>
<q1:Entity xmlns:q1="http://schemas.macroview.com.au/entity">
  <q1:Countries>
    <q1:string/>
    <q1:string/>
  </q1:Countries>
  <q1:Name/>
  <q1:Description/>
  <q1:StationeryName/>
  <q1:Web/>
</q1:Entity>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1 6 " ? > < q 1 : O f f i c e   x m l n s : q 1 = " h t t p : / / s c h e m a s . m a c r o v i e w . c o m . a u / o f f i c e " >  
     < q 1 : C C D e l i v e r y I t e m s / >  
     < q 1 : C o u n t r y > A u s t r a l i a < / q 1 : C o u n t r y >  
     < q 1 : C r e a t e d T i m e > 0 0 0 1 - 0 1 - 0 1 T 0 0 : 0 0 : 0 0 < / q 1 : C r e a t e d T i m e >  
     < q 1 : C u l t u r e C o d e > e n - A U < / q 1 : C u l t u r e C o d e >  
     < q 1 : C u l t u r e S t r i n g s >  
         < q 1 : A t t e n t i o n > A t t e n t i o n < / q 1 : A t t e n t i o n >  
         < q 1 : B e g i n T y p i n g H e r e > B e g i n   t y p i n g   h e r e < / q 1 : B e g i n T y p i n g H e r e >  
         < q 1 : C C > C C < / q 1 : C C >  
         < q 1 : D e a r > D e a r < / q 1 : D e a r >  
         < q 1 : E n c l o s u r e > E n c l < / q 1 : E n c l o s u r e >  
         < q 1 : O t h e r C o n t a c t > O t h e r   c o n t a c t < / q 1 : O t h e r C o n t a c t >  
         < q 1 : O u r R e f > O u r   r e f < / q 1 : O u r R e f >  
         < q 1 : Y o u r R e f > Y o u r   r e f < / q 1 : Y o u r R e f >  
         < q 1 : E x e c u t i v e S u m m a r y > E x e c u t i v e   S u m m a r y < / q 1 : E x e c u t i v e S u m m a r y >  
         < q 1 : P r e p a r e d F o r > P r e p a r e d   f o r < / q 1 : P r e p a r e d F o r >  
         < q 1 : T a b l e O f C o n t e n t s > T a b l e   o f   c o n t e n t s < / q 1 : T a b l e O f C o n t e n t s >  
         < q 1 : T y p e > T y p e < / q 1 : T y p e >  
         < q 1 : T i t l e > T i t l e < / q 1 : T i t l e >  
         < q 1 : D a t e > D a t e < / q 1 : D a t e >  
         < q 1 : P a r t i e s > P a r t i e s < / q 1 : P a r t i e s >  
         < q 1 : R e c i t a l s > R e c i t a l s < / q 1 : R e c i t a l s >  
         < q 1 : O p e r a t i v e P r o v i s i o n s > O p e r a t i v e   p r o v i s i o n s < / q 1 : O p e r a t i v e P r o v i s i o n s >  
         < q 1 : E x e c u t i o n > E x e c u t i o n < / q 1 : E x e c u t i o n >  
         < q 1 : E x e c u t e d > E x e c u t e d < / q 1 : E x e c u t e d >  
         < q 1 : I n s e r t A p p r o p r i a t e E x e c u t i o n C l a u s e F o r E a c h P a r t y H e r e > I n s e r t   a p p r o p r i a t e   e x e c u t i o n   c l a u s e   f o r   e a c h   p a r t y   h e r e < / q 1 : I n s e r t A p p r o p r i a t e E x e c u t i o n C l a u s e F o r E a c h P a r t y H e r e >  
         < q 1 : S i g n o f f N a m e > N a m e < / q 1 : S i g n o f f N a m e >  
         < q 1 : S i g n o f f T i t l e > T i t l e < / q 1 : S i g n o f f T i t l e >  
         < q 1 : S i g n o f f B y > B y < / q 1 : S i g n o f f B y >  
     < / q 1 : C u l t u r e S t r i n g s >  
     < q 1 : D i s p l a y B r a n d _ C H 2 M > f a l s e < / q 1 : D i s p l a y B r a n d _ C H 2 M >  
     < q 1 : D i s p l a y E n t i t y N a m e I n S t a t i o n e r y T e m p l a t e > f a l s e < / q 1 : D i s p l a y E n t i t y N a m e I n S t a t i o n e r y T e m p l a t e >  
     < q 1 : D i s p l a y I n E x c e l > t r u e < / q 1 : D i s p l a y I n E x c e l >  
     < q 1 : D i s p l a y I n O u t l o o k > t r u e < / q 1 : D i s p l a y I n O u t l o o k >  
     < q 1 : D i s p l a y I n P o w e r P o i n t > t r u e < / q 1 : D i s p l a y I n P o w e r P o i n t >  
     < q 1 : D i s p l a y I n W o r d > t r u e < / q 1 : D i s p l a y I n W o r d >  
     < q 1 : E m a i l S i g n a t u r e s / >  
     < q 1 : E x c l u d e d T e m p l a t e s / >  
     < q 1 : F a c s i m i l e N u m b e r > + 6 1   8   8 1 1 3   5 4 4 0 < / q 1 : F a c s i m i l e N u m b e r >  
     < q 1 : I d > 0 f 9 9 a 2 e f - 7 8 6 1 - 4 9 0 d - 9 3 a c - 7 a b 7 4 a 4 7 7 5 7 b < / q 1 : I d >  
     < q 1 : I s C u s t o m G a l l e r y 2 V i s i b l e > f a l s e < / q 1 : I s C u s t o m G a l l e r y 2 V i s i b l e >  
     < q 1 : L e g a l N o t i c e I t e m s / >  
     < q 1 : L e t t e r h e a d >  
         < q 1 : F o o t e r P a r a g r a p h S p a c e B e f o r e > 0 < / q 1 : F o o t e r P a r a g r a p h S p a c e B e f o r e >  
         < q 1 : H e a d e r P a r a g r a p h S p a c e A f t e r > 0 < / q 1 : H e a d e r P a r a g r a p h S p a c e A f t e r >  
     < / q 1 : L e t t e r h e a d >  
     < q 1 : L o g o >  
         < q 1 : H e i g h t   d 3 p 1 : n i l = " t r u e "   x m l n s : d 3 p 1 = " h t t p : / / w w w . w 3 . o r g / 2 0 0 1 / X M L S c h e m a - i n s t a n c e " / >  
     < / q 1 : L o g o >  
     < q 1 : L o n g D a t e F o r m a t > d   M M M M   y y y y < / q 1 : L o n g D a t e F o r m a t >  
     < q 1 : M o d i f i e d T i m e > 0 0 0 1 - 0 1 - 0 1 T 0 0 : 0 0 : 0 0 < / q 1 : M o d i f i e d T i m e >  
     < q 1 : M u l t i l i n e A d d r e s s > L e v e l   3 ,   1 2 1   K i n g   W i l l i a m   S t r e e t  
 A d e l a i d e ,   S A   5 0 0 0  
 A u s t r a l i a < / q 1 : M u l t i l i n e A d d r e s s >  
     < q 1 : N a m e > A d e l a i d e < / q 1 : N a m e >  
     < q 1 : P a p e r S i z e   d 2 p 1 : n i l = " t r u e "   x m l n s : d 2 p 1 = " h t t p : / / w w w . w 3 . o r g / 2 0 0 1 / X M L S c h e m a - i n s t a n c e " / >  
     < q 1 : P h o n e N u m b e r > + 6 1   8   8 1 1 3   5 4 0 0 < / q 1 : P h o n e N u m b e r >  
     < q 1 : P o s t a l A d d r e s s >  
         < q 1 : T y p e > M a i l i n g A d d r e s s < / q 1 : T y p e >  
     < / q 1 : P o s t a l A d d r e s s >  
     < q 1 : P r i v a c y I t e m s / >  
     < q 1 : R e c i p i e n t D e l i v e r y I t e m s / >  
     < q 1 : S a l u t a t i o n I t e m s / >  
     < q 1 : S i g n o f f I t e m s / >  
     < q 1 : S t r e e t A d d r e s s >  
         < q 1 : T y p e > M a i l i n g A d d r e s s < / q 1 : T y p e >  
     < / q 1 : S t r e e t A d d r e s s >  
     < q 1 : T e m p l a t e G r o u p i n g s >  
         < q 1 : s t r i n g > A d e l a i d e < / q 1 : s t r i n g >  
         < q 1 : s t r i n g > A U S   N Z < / q 1 : s t r i n g >  
         < q 1 : s t r i n g > e n < / q 1 : s t r i n g >  
     < / q 1 : T e m p l a t e G r o u p i n g s >  
     < q 1 : W e b s i t e > w w w . j a c o b s . c o m < / q 1 : W e b s i t e >  
 < / q 1 : O f f i c e > 
</file>

<file path=customXml/item7.xml><?xml version="1.0" encoding="utf-8"?>
<q1:DocumentSettings xmlns:q1="http://schemas.macroview.com.au/documentsettings">
  <q1:NewDocumentMethodName>ProjectNotes_NewDocument</q1:NewDocumentMethodName>
  <q1:EditDetailsMethodName>ProjectNotes_EditDocument</q1:EditDetailsMethodName>
  <q1:ChangeOfficeMethodName>ChangeOffice_Stationery</q1:ChangeOfficeMethodName>
</q1:DocumentSettings>
</file>

<file path=customXml/item8.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49</Value>
      <Value>64</Value>
      <Value>147</Value>
      <Value>6</Value>
      <Value>5</Value>
      <Value>4</Value>
      <Value>3</Value>
      <Value>2</Value>
    </TaxCatchAll>
    <Language xmlns="http://schemas.microsoft.com/sharepoint/v3">English</Language>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Energy, Environment and Climate Action</TermName>
          <TermId xmlns="http://schemas.microsoft.com/office/infopath/2007/PartnerControls">6ec2007c-62f7-4367-85b3-4db3e85c504f</TermId>
        </TermInfo>
      </Terms>
    </ece32f50ba964e1fbf627a9d83fe6c01>
    <k1bd994a94c2413797db3bab8f123f6f xmlns="9fd47c19-1c4a-4d7d-b342-c10cef269344">
      <Terms xmlns="http://schemas.microsoft.com/office/infopath/2007/PartnerControls"/>
    </k1bd994a94c2413797db3bab8f123f6f>
    <o2e611f6ba3e4c8f9a895dfb7980639e xmlns="9fd47c19-1c4a-4d7d-b342-c10cef269344">
      <Terms xmlns="http://schemas.microsoft.com/office/infopath/2007/PartnerControls"/>
    </o2e611f6ba3e4c8f9a895dfb7980639e>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Office of the Deputy Secretary - Water and Catchments</TermName>
          <TermId xmlns="http://schemas.microsoft.com/office/infopath/2007/PartnerControls">3c1e8dec-6a81-4ef2-b151-e0b49bc0f761</TermId>
        </TermInfo>
      </Terms>
    </n771d69a070c4babbf278c67c8a2b859>
    <Reference_x0020_Number xmlns="a5f32de4-e402-4188-b034-e71ca7d22e54" xsi:nil="true"/>
    <Location_x0020_Value xmlns="a5f32de4-e402-4188-b034-e71ca7d22e54" xsi:nil="true"/>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Executive Services</TermName>
          <TermId xmlns="http://schemas.microsoft.com/office/infopath/2007/PartnerControls">e5dac3b6-3758-40a7-8921-77a6f8094098</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e04541968e3a4a22a099fbbbfc7e41fe xmlns="3867f357-3a1c-4ca9-a93f-4854236dd214">
      <Terms xmlns="http://schemas.microsoft.com/office/infopath/2007/PartnerControls">
        <TermInfo xmlns="http://schemas.microsoft.com/office/infopath/2007/PartnerControls">
          <TermName xmlns="http://schemas.microsoft.com/office/infopath/2007/PartnerControls">Tranche 5</TermName>
          <TermId xmlns="http://schemas.microsoft.com/office/infopath/2007/PartnerControls">2090fe92-5791-4cda-abeb-4e09ed9a536d</TermId>
        </TermInfo>
      </Terms>
    </e04541968e3a4a22a099fbbbfc7e41fe>
    <RoutingRuleDescription xmlns="http://schemas.microsoft.com/sharepoint/v3" xsi:nil="true"/>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Water and Catchments</TermName>
          <TermId xmlns="http://schemas.microsoft.com/office/infopath/2007/PartnerControls">04babe5f-fe90-4982-9f33-c4fc8f4bb63f</TermId>
        </TermInfo>
      </Terms>
    </ic50d0a05a8e4d9791dac67f8a1e716c>
    <ld508a88e6264ce89693af80a72862cb xmlns="9fd47c19-1c4a-4d7d-b342-c10cef269344">
      <Terms xmlns="http://schemas.microsoft.com/office/infopath/2007/PartnerControls"/>
    </ld508a88e6264ce89693af80a72862cb>
    <ed010498260346b187858c33c3113343 xmlns="3867f357-3a1c-4ca9-a93f-4854236dd214">
      <Terms xmlns="http://schemas.microsoft.com/office/infopath/2007/PartnerControls">
        <TermInfo xmlns="http://schemas.microsoft.com/office/infopath/2007/PartnerControls">
          <TermName xmlns="http://schemas.microsoft.com/office/infopath/2007/PartnerControls">Evaluation</TermName>
          <TermId xmlns="http://schemas.microsoft.com/office/infopath/2007/PartnerControls">6a013860-974b-40ab-9b48-64780cc3662c</TermId>
        </TermInfo>
      </Terms>
    </ed010498260346b187858c33c3113343>
    <_dlc_DocIdUrl xmlns="a5f32de4-e402-4188-b034-e71ca7d22e54">
      <Url>https://delwpvicgovau.sharepoint.com/sites/ecm_133/_layouts/15/DocIdRedir.aspx?ID=DOCID133-1652722956-2590</Url>
      <Description>DOCID133-1652722956-2590</Description>
    </_dlc_DocIdUrl>
    <_dlc_DocId xmlns="a5f32de4-e402-4188-b034-e71ca7d22e54">DOCID133-1652722956-2590</_dlc_DocId>
  </documentManagement>
</p:properties>
</file>

<file path=customXml/item9.xml><?xml version="1.0" encoding="utf-8"?>
<q1:StyleVisibilitySettingsLink xmlns:q1="http://schemas.macroview.com.au/StyleVisibilitySettingsLink">
  <q1:RelativePath>Elements\Style Sets\Template Settings\Agenda - Minutes - Project Notes - Request for Information.xml</q1:RelativePath>
</q1:StyleVisibilitySettingsLink>
</file>

<file path=customXml/itemProps1.xml><?xml version="1.0" encoding="utf-8"?>
<ds:datastoreItem xmlns:ds="http://schemas.openxmlformats.org/officeDocument/2006/customXml" ds:itemID="{ADA8D10B-9CD5-4234-BDEA-D1F35C2AE3DF}"/>
</file>

<file path=customXml/itemProps10.xml><?xml version="1.0" encoding="utf-8"?>
<ds:datastoreItem xmlns:ds="http://schemas.openxmlformats.org/officeDocument/2006/customXml" ds:itemID="{AF0C4F31-70A7-412F-A3BA-E78BE00B8CC0}">
  <ds:schemaRefs>
    <ds:schemaRef ds:uri="http://schemas.microsoft.com/sharepoint/v3/contenttype/forms"/>
  </ds:schemaRefs>
</ds:datastoreItem>
</file>

<file path=customXml/itemProps11.xml><?xml version="1.0" encoding="utf-8"?>
<ds:datastoreItem xmlns:ds="http://schemas.openxmlformats.org/officeDocument/2006/customXml" ds:itemID="{51B5BF77-415D-4EE1-81DB-87E210293712}">
  <ds:schemaRefs>
    <ds:schemaRef ds:uri="http://schemas.macroview.com.au/ribbonsettings"/>
  </ds:schemaRefs>
</ds:datastoreItem>
</file>

<file path=customXml/itemProps12.xml><?xml version="1.0" encoding="utf-8"?>
<ds:datastoreItem xmlns:ds="http://schemas.openxmlformats.org/officeDocument/2006/customXml" ds:itemID="{4F5002EA-C981-4ADC-AD1D-5AEF9F40D7F3}"/>
</file>

<file path=customXml/itemProps13.xml><?xml version="1.0" encoding="utf-8"?>
<ds:datastoreItem xmlns:ds="http://schemas.openxmlformats.org/officeDocument/2006/customXml" ds:itemID="{E0772E22-333D-4190-BD59-41DB1580D007}"/>
</file>

<file path=customXml/itemProps14.xml><?xml version="1.0" encoding="utf-8"?>
<ds:datastoreItem xmlns:ds="http://schemas.openxmlformats.org/officeDocument/2006/customXml" ds:itemID="{18C9915E-EF94-40B8-8800-D9B64840070F}"/>
</file>

<file path=customXml/itemProps2.xml><?xml version="1.0" encoding="utf-8"?>
<ds:datastoreItem xmlns:ds="http://schemas.openxmlformats.org/officeDocument/2006/customXml" ds:itemID="{E671F5EF-36E6-4A7C-8D0B-A4AEF21EB5E5}">
  <ds:schemaRefs>
    <ds:schemaRef ds:uri="http://schemas.macroview.com.au/brand"/>
  </ds:schemaRefs>
</ds:datastoreItem>
</file>

<file path=customXml/itemProps3.xml><?xml version="1.0" encoding="utf-8"?>
<ds:datastoreItem xmlns:ds="http://schemas.openxmlformats.org/officeDocument/2006/customXml" ds:itemID="{008855E8-0B05-4ED9-BAC7-D27B72872D3E}">
  <ds:schemaRefs>
    <ds:schemaRef ds:uri="http://schemas.macroview.com.au/answerfile"/>
  </ds:schemaRefs>
</ds:datastoreItem>
</file>

<file path=customXml/itemProps4.xml><?xml version="1.0" encoding="utf-8"?>
<ds:datastoreItem xmlns:ds="http://schemas.openxmlformats.org/officeDocument/2006/customXml" ds:itemID="{4672B39E-1FFF-4CCE-BB4B-D3B3244952D3}">
  <ds:schemaRefs>
    <ds:schemaRef ds:uri="http://schemas.macroview.com.au/entity"/>
  </ds:schemaRefs>
</ds:datastoreItem>
</file>

<file path=customXml/itemProps5.xml><?xml version="1.0" encoding="utf-8"?>
<ds:datastoreItem xmlns:ds="http://schemas.openxmlformats.org/officeDocument/2006/customXml" ds:itemID="{B124F4E2-ADDB-4AA5-BF72-0C0C30792114}">
  <ds:schemaRefs>
    <ds:schemaRef ds:uri="http://schemas.openxmlformats.org/officeDocument/2006/bibliography"/>
  </ds:schemaRefs>
</ds:datastoreItem>
</file>

<file path=customXml/itemProps6.xml><?xml version="1.0" encoding="utf-8"?>
<ds:datastoreItem xmlns:ds="http://schemas.openxmlformats.org/officeDocument/2006/customXml" ds:itemID="{696F10E9-A86F-4F66-866B-0F5C8DD7B3F3}">
  <ds:schemaRefs>
    <ds:schemaRef ds:uri="http://schemas.macroview.com.au/office"/>
  </ds:schemaRefs>
</ds:datastoreItem>
</file>

<file path=customXml/itemProps7.xml><?xml version="1.0" encoding="utf-8"?>
<ds:datastoreItem xmlns:ds="http://schemas.openxmlformats.org/officeDocument/2006/customXml" ds:itemID="{ADAB68B3-3E2C-4051-8742-9DC414B94F80}">
  <ds:schemaRefs>
    <ds:schemaRef ds:uri="http://schemas.macroview.com.au/documentsettings"/>
  </ds:schemaRefs>
</ds:datastoreItem>
</file>

<file path=customXml/itemProps8.xml><?xml version="1.0" encoding="utf-8"?>
<ds:datastoreItem xmlns:ds="http://schemas.openxmlformats.org/officeDocument/2006/customXml" ds:itemID="{D63E512A-B19F-4B9B-A6A6-04EBD8F1B8ED}">
  <ds:schemaRefs>
    <ds:schemaRef ds:uri="http://schemas.microsoft.com/office/2006/metadata/properties"/>
    <ds:schemaRef ds:uri="http://schemas.microsoft.com/office/infopath/2007/PartnerControls"/>
    <ds:schemaRef ds:uri="6e8ea091-1799-40da-aecb-4f094dc2ee8e"/>
    <ds:schemaRef ds:uri="4d568cad-55f7-42b2-9a4e-c44e98154819"/>
  </ds:schemaRefs>
</ds:datastoreItem>
</file>

<file path=customXml/itemProps9.xml><?xml version="1.0" encoding="utf-8"?>
<ds:datastoreItem xmlns:ds="http://schemas.openxmlformats.org/officeDocument/2006/customXml" ds:itemID="{829268E2-E6B8-4754-9C45-E66A0A8F757B}">
  <ds:schemaRefs>
    <ds:schemaRef ds:uri="http://schemas.macroview.com.au/StyleVisibilitySettingsLink"/>
  </ds:schemaRefs>
</ds:datastoreItem>
</file>

<file path=docProps/app.xml><?xml version="1.0" encoding="utf-8"?>
<Properties xmlns="http://schemas.openxmlformats.org/officeDocument/2006/extended-properties" xmlns:vt="http://schemas.openxmlformats.org/officeDocument/2006/docPropsVTypes">
  <Template>Project Notes</Template>
  <TotalTime>87</TotalTime>
  <Pages>20</Pages>
  <Words>9718</Words>
  <Characters>55394</Characters>
  <Application>Microsoft Office Word</Application>
  <DocSecurity>2</DocSecurity>
  <Lines>461</Lines>
  <Paragraphs>129</Paragraphs>
  <ScaleCrop>false</ScaleCrop>
  <HeadingPairs>
    <vt:vector size="2" baseType="variant">
      <vt:variant>
        <vt:lpstr>Title</vt:lpstr>
      </vt:variant>
      <vt:variant>
        <vt:i4>1</vt:i4>
      </vt:variant>
    </vt:vector>
  </HeadingPairs>
  <TitlesOfParts>
    <vt:vector size="1" baseType="lpstr">
      <vt:lpstr>draft 2024 EC5 Eval Report - 03_Appendix B - Impact Examples</vt:lpstr>
    </vt:vector>
  </TitlesOfParts>
  <Company/>
  <LinksUpToDate>false</LinksUpToDate>
  <CharactersWithSpaces>64983</CharactersWithSpaces>
  <SharedDoc>false</SharedDoc>
  <HLinks>
    <vt:vector size="66" baseType="variant">
      <vt:variant>
        <vt:i4>3145765</vt:i4>
      </vt:variant>
      <vt:variant>
        <vt:i4>3</vt:i4>
      </vt:variant>
      <vt:variant>
        <vt:i4>0</vt:i4>
      </vt:variant>
      <vt:variant>
        <vt:i4>5</vt:i4>
      </vt:variant>
      <vt:variant>
        <vt:lpwstr>https://jacobsengineering.sharepoint.com/sites/CPIS444200/Shared Documents/Working Documents/06 EoT Evaluation/EoT evaluation report/data.water.vic.gov.au</vt:lpwstr>
      </vt:variant>
      <vt:variant>
        <vt:lpwstr/>
      </vt:variant>
      <vt:variant>
        <vt:i4>4390985</vt:i4>
      </vt:variant>
      <vt:variant>
        <vt:i4>0</vt:i4>
      </vt:variant>
      <vt:variant>
        <vt:i4>0</vt:i4>
      </vt:variant>
      <vt:variant>
        <vt:i4>5</vt:i4>
      </vt:variant>
      <vt:variant>
        <vt:lpwstr>https://www.thegreataustralianplatypussearch.org/results-2021</vt:lpwstr>
      </vt:variant>
      <vt:variant>
        <vt:lpwstr/>
      </vt:variant>
      <vt:variant>
        <vt:i4>458844</vt:i4>
      </vt:variant>
      <vt:variant>
        <vt:i4>6</vt:i4>
      </vt:variant>
      <vt:variant>
        <vt:i4>0</vt:i4>
      </vt:variant>
      <vt:variant>
        <vt:i4>5</vt:i4>
      </vt:variant>
      <vt:variant>
        <vt:lpwstr>https://www.melbournewater.com.au/water-and-environment/water-management/water-storage-levels</vt:lpwstr>
      </vt:variant>
      <vt:variant>
        <vt:lpwstr>/ws/freq/weekly/type/storage</vt:lpwstr>
      </vt:variant>
      <vt:variant>
        <vt:i4>1638495</vt:i4>
      </vt:variant>
      <vt:variant>
        <vt:i4>3</vt:i4>
      </vt:variant>
      <vt:variant>
        <vt:i4>0</vt:i4>
      </vt:variant>
      <vt:variant>
        <vt:i4>5</vt:i4>
      </vt:variant>
      <vt:variant>
        <vt:lpwstr>https://www.melbournewater.com.au/about/what-we-do/publications/water-outlook</vt:lpwstr>
      </vt:variant>
      <vt:variant>
        <vt:lpwstr/>
      </vt:variant>
      <vt:variant>
        <vt:i4>589852</vt:i4>
      </vt:variant>
      <vt:variant>
        <vt:i4>0</vt:i4>
      </vt:variant>
      <vt:variant>
        <vt:i4>0</vt:i4>
      </vt:variant>
      <vt:variant>
        <vt:i4>5</vt:i4>
      </vt:variant>
      <vt:variant>
        <vt:lpwstr>https://www.waterrating.gov.au/about/review-evaluation/strategic-plan-2022-25</vt:lpwstr>
      </vt:variant>
      <vt:variant>
        <vt:lpwstr/>
      </vt:variant>
      <vt:variant>
        <vt:i4>7733248</vt:i4>
      </vt:variant>
      <vt:variant>
        <vt:i4>15</vt:i4>
      </vt:variant>
      <vt:variant>
        <vt:i4>0</vt:i4>
      </vt:variant>
      <vt:variant>
        <vt:i4>5</vt:i4>
      </vt:variant>
      <vt:variant>
        <vt:lpwstr>mailto:heather.griffith@deeca.vic.gov.au</vt:lpwstr>
      </vt:variant>
      <vt:variant>
        <vt:lpwstr/>
      </vt:variant>
      <vt:variant>
        <vt:i4>7733248</vt:i4>
      </vt:variant>
      <vt:variant>
        <vt:i4>12</vt:i4>
      </vt:variant>
      <vt:variant>
        <vt:i4>0</vt:i4>
      </vt:variant>
      <vt:variant>
        <vt:i4>5</vt:i4>
      </vt:variant>
      <vt:variant>
        <vt:lpwstr>mailto:heather.griffith@deeca.vic.gov.au</vt:lpwstr>
      </vt:variant>
      <vt:variant>
        <vt:lpwstr/>
      </vt:variant>
      <vt:variant>
        <vt:i4>1704049</vt:i4>
      </vt:variant>
      <vt:variant>
        <vt:i4>9</vt:i4>
      </vt:variant>
      <vt:variant>
        <vt:i4>0</vt:i4>
      </vt:variant>
      <vt:variant>
        <vt:i4>5</vt:i4>
      </vt:variant>
      <vt:variant>
        <vt:lpwstr>mailto:jessica.nolan@deeca.vic.gov.au</vt:lpwstr>
      </vt:variant>
      <vt:variant>
        <vt:lpwstr/>
      </vt:variant>
      <vt:variant>
        <vt:i4>3080279</vt:i4>
      </vt:variant>
      <vt:variant>
        <vt:i4>6</vt:i4>
      </vt:variant>
      <vt:variant>
        <vt:i4>0</vt:i4>
      </vt:variant>
      <vt:variant>
        <vt:i4>5</vt:i4>
      </vt:variant>
      <vt:variant>
        <vt:lpwstr>mailto:Randal.Nott@deeca.vic.gov.au</vt:lpwstr>
      </vt:variant>
      <vt:variant>
        <vt:lpwstr/>
      </vt:variant>
      <vt:variant>
        <vt:i4>7733248</vt:i4>
      </vt:variant>
      <vt:variant>
        <vt:i4>3</vt:i4>
      </vt:variant>
      <vt:variant>
        <vt:i4>0</vt:i4>
      </vt:variant>
      <vt:variant>
        <vt:i4>5</vt:i4>
      </vt:variant>
      <vt:variant>
        <vt:lpwstr>mailto:heather.griffith@deeca.vic.gov.au</vt:lpwstr>
      </vt:variant>
      <vt:variant>
        <vt:lpwstr/>
      </vt:variant>
      <vt:variant>
        <vt:i4>1704049</vt:i4>
      </vt:variant>
      <vt:variant>
        <vt:i4>0</vt:i4>
      </vt:variant>
      <vt:variant>
        <vt:i4>0</vt:i4>
      </vt:variant>
      <vt:variant>
        <vt:i4>5</vt:i4>
      </vt:variant>
      <vt:variant>
        <vt:lpwstr>mailto:jessica.nolan@deeca.vic.gov.au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2024 EC5 Eval Report - 03_Appendix B - Impact Examples</dc:title>
  <dc:subject/>
  <dc:creator>Coff, Brittany</dc:creator>
  <cp:keywords/>
  <dc:description/>
  <cp:lastModifiedBy>Coff, Brittany</cp:lastModifiedBy>
  <cp:revision>159</cp:revision>
  <cp:lastPrinted>2023-11-03T18:34:00Z</cp:lastPrinted>
  <dcterms:created xsi:type="dcterms:W3CDTF">2024-10-07T15:33:00Z</dcterms:created>
  <dcterms:modified xsi:type="dcterms:W3CDTF">2024-12-10T21:22:00Z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Set">
    <vt:lpwstr>Jacobs en.dotx</vt:lpwstr>
  </property>
  <property fmtid="{D5CDD505-2E9C-101B-9397-08002B2CF9AE}" pid="3" name="ContentTypeId">
    <vt:lpwstr>0x0101002517F445A0F35E449C98AAD631F2B0380F00DA6BABBD5E205441ACDFC001CFFBDBFB</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y fmtid="{D5CDD505-2E9C-101B-9397-08002B2CF9AE}" pid="38" name="MediaServiceImageTags">
    <vt:lpwstr/>
  </property>
  <property fmtid="{D5CDD505-2E9C-101B-9397-08002B2CF9AE}" pid="39" name="ClassificationContentMarkingFooterShapeIds">
    <vt:lpwstr>2,3,4</vt:lpwstr>
  </property>
  <property fmtid="{D5CDD505-2E9C-101B-9397-08002B2CF9AE}" pid="40" name="ClassificationContentMarkingFooterFontProps">
    <vt:lpwstr>#000000,12,Calibri</vt:lpwstr>
  </property>
  <property fmtid="{D5CDD505-2E9C-101B-9397-08002B2CF9AE}" pid="41" name="ClassificationContentMarkingFooterText">
    <vt:lpwstr>OFFICIAL-Sensitive</vt:lpwstr>
  </property>
  <property fmtid="{D5CDD505-2E9C-101B-9397-08002B2CF9AE}" pid="42" name="MSIP_Label_5a19367b-7a73-403d-b732-ebe2e73fbf56_Enabled">
    <vt:lpwstr>true</vt:lpwstr>
  </property>
  <property fmtid="{D5CDD505-2E9C-101B-9397-08002B2CF9AE}" pid="43" name="MSIP_Label_5a19367b-7a73-403d-b732-ebe2e73fbf56_SetDate">
    <vt:lpwstr>2023-10-05T04:19:15Z</vt:lpwstr>
  </property>
  <property fmtid="{D5CDD505-2E9C-101B-9397-08002B2CF9AE}" pid="44" name="MSIP_Label_5a19367b-7a73-403d-b732-ebe2e73fbf56_Method">
    <vt:lpwstr>Privileged</vt:lpwstr>
  </property>
  <property fmtid="{D5CDD505-2E9C-101B-9397-08002B2CF9AE}" pid="45" name="MSIP_Label_5a19367b-7a73-403d-b732-ebe2e73fbf56_Name">
    <vt:lpwstr>OFFICIAL-Sensitive</vt:lpwstr>
  </property>
  <property fmtid="{D5CDD505-2E9C-101B-9397-08002B2CF9AE}" pid="46" name="MSIP_Label_5a19367b-7a73-403d-b732-ebe2e73fbf56_SiteId">
    <vt:lpwstr>e8bdd6f7-fc18-4e48-a554-7f547927223b</vt:lpwstr>
  </property>
  <property fmtid="{D5CDD505-2E9C-101B-9397-08002B2CF9AE}" pid="47" name="MSIP_Label_5a19367b-7a73-403d-b732-ebe2e73fbf56_ActionId">
    <vt:lpwstr>904f9dd5-495a-4207-87cb-c5de3ed3d26a</vt:lpwstr>
  </property>
  <property fmtid="{D5CDD505-2E9C-101B-9397-08002B2CF9AE}" pid="48" name="MSIP_Label_5a19367b-7a73-403d-b732-ebe2e73fbf56_ContentBits">
    <vt:lpwstr>2</vt:lpwstr>
  </property>
  <property fmtid="{D5CDD505-2E9C-101B-9397-08002B2CF9AE}" pid="49" name="Order">
    <vt:r8>28200</vt:r8>
  </property>
  <property fmtid="{D5CDD505-2E9C-101B-9397-08002B2CF9AE}" pid="50" name="xd_ProgID">
    <vt:lpwstr/>
  </property>
  <property fmtid="{D5CDD505-2E9C-101B-9397-08002B2CF9AE}" pid="51" name="ComplianceAssetId">
    <vt:lpwstr/>
  </property>
  <property fmtid="{D5CDD505-2E9C-101B-9397-08002B2CF9AE}" pid="52" name="TemplateUrl">
    <vt:lpwstr/>
  </property>
  <property fmtid="{D5CDD505-2E9C-101B-9397-08002B2CF9AE}" pid="53" name="_ExtendedDescription">
    <vt:lpwstr/>
  </property>
  <property fmtid="{D5CDD505-2E9C-101B-9397-08002B2CF9AE}" pid="54" name="TriggerFlowInfo">
    <vt:lpwstr/>
  </property>
  <property fmtid="{D5CDD505-2E9C-101B-9397-08002B2CF9AE}" pid="55" name="xd_Signature">
    <vt:bool>false</vt:bool>
  </property>
  <property fmtid="{D5CDD505-2E9C-101B-9397-08002B2CF9AE}" pid="56" name="SharedWithUsers">
    <vt:lpwstr/>
  </property>
  <property fmtid="{D5CDD505-2E9C-101B-9397-08002B2CF9AE}" pid="57" name="Section">
    <vt:lpwstr/>
  </property>
  <property fmtid="{D5CDD505-2E9C-101B-9397-08002B2CF9AE}" pid="58" name="Sub-Section">
    <vt:lpwstr/>
  </property>
  <property fmtid="{D5CDD505-2E9C-101B-9397-08002B2CF9AE}" pid="59" name="Agency">
    <vt:lpwstr>147;#Department of Energy, Environment and Climate Action|6ec2007c-62f7-4367-85b3-4db3e85c504f</vt:lpwstr>
  </property>
  <property fmtid="{D5CDD505-2E9C-101B-9397-08002B2CF9AE}" pid="60" name="Branch">
    <vt:lpwstr>6;#Executive Services|e5dac3b6-3758-40a7-8921-77a6f8094098</vt:lpwstr>
  </property>
  <property fmtid="{D5CDD505-2E9C-101B-9397-08002B2CF9AE}" pid="61" name="Stage">
    <vt:lpwstr>49</vt:lpwstr>
  </property>
  <property fmtid="{D5CDD505-2E9C-101B-9397-08002B2CF9AE}" pid="62" name="Division">
    <vt:lpwstr>5;#Office of the Deputy Secretary - Water and Catchments|3c1e8dec-6a81-4ef2-b151-e0b49bc0f761</vt:lpwstr>
  </property>
  <property fmtid="{D5CDD505-2E9C-101B-9397-08002B2CF9AE}" pid="63" name="Tranche">
    <vt:lpwstr>64</vt:lpwstr>
  </property>
  <property fmtid="{D5CDD505-2E9C-101B-9397-08002B2CF9AE}" pid="64" name="Dissemination Limiting Marker">
    <vt:lpwstr>2;#FOUO|955eb6fc-b35a-4808-8aa5-31e514fa3f26</vt:lpwstr>
  </property>
  <property fmtid="{D5CDD505-2E9C-101B-9397-08002B2CF9AE}" pid="65" name="Group1">
    <vt:lpwstr>4;#Water and Catchments|04babe5f-fe90-4982-9f33-c4fc8f4bb63f</vt:lpwstr>
  </property>
  <property fmtid="{D5CDD505-2E9C-101B-9397-08002B2CF9AE}" pid="66" name="Security Classification">
    <vt:lpwstr>3;#Unclassified|7fa379f4-4aba-4692-ab80-7d39d3a23cf4</vt:lpwstr>
  </property>
  <property fmtid="{D5CDD505-2E9C-101B-9397-08002B2CF9AE}" pid="67" name="Reference Type">
    <vt:lpwstr/>
  </property>
  <property fmtid="{D5CDD505-2E9C-101B-9397-08002B2CF9AE}" pid="68" name="Location Type">
    <vt:lpwstr/>
  </property>
  <property fmtid="{D5CDD505-2E9C-101B-9397-08002B2CF9AE}" pid="69" name="_dlc_DocIdItemGuid">
    <vt:lpwstr>6b414d3f-9083-4c6b-b347-f3ca8f01626c</vt:lpwstr>
  </property>
  <property fmtid="{D5CDD505-2E9C-101B-9397-08002B2CF9AE}" pid="70" name="ldae123d493c4587b9039adfc6aa0718">
    <vt:lpwstr/>
  </property>
  <property fmtid="{D5CDD505-2E9C-101B-9397-08002B2CF9AE}" pid="71" name="Copyright_x0020_Licence_x0020_Name">
    <vt:lpwstr/>
  </property>
  <property fmtid="{D5CDD505-2E9C-101B-9397-08002B2CF9AE}" pid="72" name="df723ab3fe1c4eb7a0b151674e7ac40d">
    <vt:lpwstr/>
  </property>
  <property fmtid="{D5CDD505-2E9C-101B-9397-08002B2CF9AE}" pid="73" name="Process_x0020_Stage">
    <vt:lpwstr/>
  </property>
  <property fmtid="{D5CDD505-2E9C-101B-9397-08002B2CF9AE}" pid="74" name="Copyright_x0020_License_x0020_Type">
    <vt:lpwstr/>
  </property>
  <property fmtid="{D5CDD505-2E9C-101B-9397-08002B2CF9AE}" pid="75" name="o85941e134754762b9719660a258a6e6">
    <vt:lpwstr/>
  </property>
  <property fmtid="{D5CDD505-2E9C-101B-9397-08002B2CF9AE}" pid="76" name="Copyright License Type">
    <vt:lpwstr/>
  </property>
  <property fmtid="{D5CDD505-2E9C-101B-9397-08002B2CF9AE}" pid="77" name="Process Stage">
    <vt:lpwstr/>
  </property>
  <property fmtid="{D5CDD505-2E9C-101B-9397-08002B2CF9AE}" pid="78" name="Copyright Licence Name">
    <vt:lpwstr/>
  </property>
  <property fmtid="{D5CDD505-2E9C-101B-9397-08002B2CF9AE}" pid="79" name="e04541968e3a4a22a099fbbbfc7e41fe">
    <vt:lpwstr>Tranche 5|2090fe92-5791-4cda-abeb-4e09ed9a536d</vt:lpwstr>
  </property>
  <property fmtid="{D5CDD505-2E9C-101B-9397-08002B2CF9AE}" pid="80" name="ece32f50ba964e1fbf627a9d83fe6c01">
    <vt:lpwstr>Department of Energy, Environment and Climate Action|6ec2007c-62f7-4367-85b3-4db3e85c504f</vt:lpwstr>
  </property>
  <property fmtid="{D5CDD505-2E9C-101B-9397-08002B2CF9AE}" pid="81" name="Language">
    <vt:lpwstr>English</vt:lpwstr>
  </property>
  <property fmtid="{D5CDD505-2E9C-101B-9397-08002B2CF9AE}" pid="82" name="ic50d0a05a8e4d9791dac67f8a1e716c">
    <vt:lpwstr>Water and Catchments|04babe5f-fe90-4982-9f33-c4fc8f4bb63f</vt:lpwstr>
  </property>
  <property fmtid="{D5CDD505-2E9C-101B-9397-08002B2CF9AE}" pid="83" name="ed010498260346b187858c33c3113343">
    <vt:lpwstr>Evaluation|6a013860-974b-40ab-9b48-64780cc3662c</vt:lpwstr>
  </property>
  <property fmtid="{D5CDD505-2E9C-101B-9397-08002B2CF9AE}" pid="84" name="mfe9accc5a0b4653a7b513b67ffd122d">
    <vt:lpwstr>Executive Services|e5dac3b6-3758-40a7-8921-77a6f8094098</vt:lpwstr>
  </property>
  <property fmtid="{D5CDD505-2E9C-101B-9397-08002B2CF9AE}" pid="85" name="n771d69a070c4babbf278c67c8a2b859">
    <vt:lpwstr>Office of the Deputy Secretary - Water and Catchments|3c1e8dec-6a81-4ef2-b151-e0b49bc0f761</vt:lpwstr>
  </property>
  <property fmtid="{D5CDD505-2E9C-101B-9397-08002B2CF9AE}" pid="86" name="fb3179c379644f499d7166d0c985669b">
    <vt:lpwstr>FOUO|955eb6fc-b35a-4808-8aa5-31e514fa3f26</vt:lpwstr>
  </property>
  <property fmtid="{D5CDD505-2E9C-101B-9397-08002B2CF9AE}" pid="87" name="pd01c257034b4e86b1f58279a3bd54c6">
    <vt:lpwstr>Unclassified|7fa379f4-4aba-4692-ab80-7d39d3a23cf4</vt:lpwstr>
  </property>
  <property fmtid="{D5CDD505-2E9C-101B-9397-08002B2CF9AE}" pid="88" name="MSIP_Label_fbc029f1-7b6e-4e10-8282-fc5331153e31_Enabled">
    <vt:lpwstr>true</vt:lpwstr>
  </property>
  <property fmtid="{D5CDD505-2E9C-101B-9397-08002B2CF9AE}" pid="89" name="MSIP_Label_fbc029f1-7b6e-4e10-8282-fc5331153e31_SetDate">
    <vt:lpwstr>2024-09-22T23:42:20Z</vt:lpwstr>
  </property>
  <property fmtid="{D5CDD505-2E9C-101B-9397-08002B2CF9AE}" pid="90" name="MSIP_Label_fbc029f1-7b6e-4e10-8282-fc5331153e31_Method">
    <vt:lpwstr>Privileged</vt:lpwstr>
  </property>
  <property fmtid="{D5CDD505-2E9C-101B-9397-08002B2CF9AE}" pid="91" name="MSIP_Label_fbc029f1-7b6e-4e10-8282-fc5331153e31_Name">
    <vt:lpwstr>fbc029f1-7b6e-4e10-8282-fc5331153e31</vt:lpwstr>
  </property>
  <property fmtid="{D5CDD505-2E9C-101B-9397-08002B2CF9AE}" pid="92" name="MSIP_Label_fbc029f1-7b6e-4e10-8282-fc5331153e31_SiteId">
    <vt:lpwstr>37247798-f42c-42fd-8a37-d49c7128d36b</vt:lpwstr>
  </property>
  <property fmtid="{D5CDD505-2E9C-101B-9397-08002B2CF9AE}" pid="93" name="MSIP_Label_fbc029f1-7b6e-4e10-8282-fc5331153e31_ActionId">
    <vt:lpwstr>090c4ca5-5ceb-49a1-8a4f-114c32e7b617</vt:lpwstr>
  </property>
  <property fmtid="{D5CDD505-2E9C-101B-9397-08002B2CF9AE}" pid="94" name="MSIP_Label_fbc029f1-7b6e-4e10-8282-fc5331153e31_ContentBits">
    <vt:lpwstr>0</vt:lpwstr>
  </property>
  <property fmtid="{D5CDD505-2E9C-101B-9397-08002B2CF9AE}" pid="95" name="Records Class Int Committee Work Grp">
    <vt:lpwstr>50</vt:lpwstr>
  </property>
  <property fmtid="{D5CDD505-2E9C-101B-9397-08002B2CF9AE}" pid="96" name="Department Document Type">
    <vt:lpwstr/>
  </property>
  <property fmtid="{D5CDD505-2E9C-101B-9397-08002B2CF9AE}" pid="97" name="g91c59fb10974fa1a03160ad8386f0f4">
    <vt:lpwstr/>
  </property>
  <property fmtid="{D5CDD505-2E9C-101B-9397-08002B2CF9AE}" pid="98" name="Record_x0020_Purpose">
    <vt:lpwstr/>
  </property>
  <property fmtid="{D5CDD505-2E9C-101B-9397-08002B2CF9AE}" pid="99" name="Record Purpose">
    <vt:lpwstr/>
  </property>
  <property fmtid="{D5CDD505-2E9C-101B-9397-08002B2CF9AE}" pid="100" name="_docset_NoMedatataSyncRequired">
    <vt:lpwstr>True</vt:lpwstr>
  </property>
  <property fmtid="{D5CDD505-2E9C-101B-9397-08002B2CF9AE}" pid="101" name="DLCPolicyLabelClientValue">
    <vt:lpwstr>Version {_UIVersionString}</vt:lpwstr>
  </property>
  <property fmtid="{D5CDD505-2E9C-101B-9397-08002B2CF9AE}" pid="102" name="j03bbfc8a05341eb824aeedd3064713b">
    <vt:lpwstr>Internal Committee - Strategic|8cc4f503-7d1e-4b9b-b5af-ba2ac4e77ed9</vt:lpwstr>
  </property>
  <property fmtid="{D5CDD505-2E9C-101B-9397-08002B2CF9AE}" pid="103" name="DLCPolicyLabelValue">
    <vt:lpwstr>Version 1.0</vt:lpwstr>
  </property>
  <property fmtid="{D5CDD505-2E9C-101B-9397-08002B2CF9AE}" pid="104" name="_SourceUrl">
    <vt:lpwstr/>
  </property>
  <property fmtid="{D5CDD505-2E9C-101B-9397-08002B2CF9AE}" pid="105" name="_SharedFileIndex">
    <vt:lpwstr/>
  </property>
  <property fmtid="{D5CDD505-2E9C-101B-9397-08002B2CF9AE}" pid="106" name="Reference_x0020_Type">
    <vt:lpwstr/>
  </property>
  <property fmtid="{D5CDD505-2E9C-101B-9397-08002B2CF9AE}" pid="107" name="Location_x0020_Type">
    <vt:lpwstr/>
  </property>
  <property fmtid="{D5CDD505-2E9C-101B-9397-08002B2CF9AE}" pid="108" name="Sub_x002d_Section">
    <vt:lpwstr/>
  </property>
  <property fmtid="{D5CDD505-2E9C-101B-9397-08002B2CF9AE}" pid="109" name="Security_x0020_Classification">
    <vt:lpwstr>3;#Unclassified|7fa379f4-4aba-4692-ab80-7d39d3a23cf4</vt:lpwstr>
  </property>
  <property fmtid="{D5CDD505-2E9C-101B-9397-08002B2CF9AE}" pid="110" name="lcf76f155ced4ddcb4097134ff3c332f">
    <vt:lpwstr/>
  </property>
  <property fmtid="{D5CDD505-2E9C-101B-9397-08002B2CF9AE}" pid="111" name="Dissemination_x0020_Limiting_x0020_Marker">
    <vt:lpwstr>2;#FOUO|955eb6fc-b35a-4808-8aa5-31e514fa3f26</vt:lpwstr>
  </property>
</Properties>
</file>