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fontTable.xml" ContentType="application/vnd.openxmlformats-officedocument.wordprocessingml.fontTable+xml"/>
  <Override PartName="/customXml/itemProps5.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glossary/styles.xml" ContentType="application/vnd.openxmlformats-officedocument.wordprocessingml.styles+xml"/>
  <Override PartName="/customXml/itemProps8.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9.xml" ContentType="application/vnd.openxmlformats-officedocument.customXmlProperties+xml"/>
  <Override PartName="/customXml/itemProps10.xml" ContentType="application/vnd.openxmlformats-officedocument.customXmlProperties+xml"/>
  <Override PartName="/docProps/custom.xml" ContentType="application/vnd.openxmlformats-officedocument.custom-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6FB5E" w14:textId="4DAE16F0" w:rsidR="003B4298" w:rsidRPr="00623380" w:rsidRDefault="003B4298" w:rsidP="003B4298">
      <w:pPr>
        <w:spacing w:before="100" w:beforeAutospacing="1" w:after="100" w:afterAutospacing="1"/>
        <w:rPr>
          <w:rFonts w:eastAsia="Times New Roman" w:cs="Arial"/>
          <w:sz w:val="24"/>
          <w:szCs w:val="24"/>
          <w:lang w:val="en-US"/>
        </w:rPr>
      </w:pPr>
      <w:bookmarkStart w:id="0" w:name="_Toc41573217"/>
      <w:r w:rsidRPr="00623380">
        <w:rPr>
          <w:rFonts w:eastAsia="Times New Roman" w:cs="Arial"/>
          <w:noProof/>
          <w:sz w:val="24"/>
          <w:szCs w:val="24"/>
          <w:lang w:val="en-US"/>
        </w:rPr>
        <w:drawing>
          <wp:anchor distT="0" distB="0" distL="114300" distR="114300" simplePos="0" relativeHeight="251658240" behindDoc="0" locked="0" layoutInCell="1" allowOverlap="1" wp14:anchorId="7CF173DE" wp14:editId="34B1C97C">
            <wp:simplePos x="715992" y="1138687"/>
            <wp:positionH relativeFrom="page">
              <wp:align>left</wp:align>
            </wp:positionH>
            <wp:positionV relativeFrom="page">
              <wp:align>top</wp:align>
            </wp:positionV>
            <wp:extent cx="7562088" cy="10689336"/>
            <wp:effectExtent l="0" t="0" r="1270" b="0"/>
            <wp:wrapNone/>
            <wp:docPr id="1626605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05351"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562088" cy="106893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B6330" w14:textId="3CACCBED" w:rsidR="00E976D6" w:rsidRPr="003272C7" w:rsidRDefault="00E976D6" w:rsidP="00E976D6">
      <w:pPr>
        <w:pStyle w:val="BodyText"/>
        <w:rPr>
          <w:rFonts w:cs="Arial"/>
        </w:rPr>
      </w:pPr>
    </w:p>
    <w:p w14:paraId="1DAD54B7" w14:textId="77777777" w:rsidR="00E976D6" w:rsidRPr="003272C7" w:rsidRDefault="00E976D6" w:rsidP="00E976D6">
      <w:pPr>
        <w:pStyle w:val="BodyText"/>
        <w:rPr>
          <w:rFonts w:cs="Arial"/>
        </w:rPr>
      </w:pPr>
    </w:p>
    <w:p w14:paraId="4B5B32D7" w14:textId="77777777" w:rsidR="00E976D6" w:rsidRPr="003272C7" w:rsidRDefault="00E976D6" w:rsidP="00E976D6">
      <w:pPr>
        <w:rPr>
          <w:rFonts w:cs="Arial"/>
        </w:rPr>
        <w:sectPr w:rsidR="00E976D6" w:rsidRPr="003272C7" w:rsidSect="00C61A1D">
          <w:headerReference w:type="default" r:id="rId19"/>
          <w:footerReference w:type="even" r:id="rId20"/>
          <w:footerReference w:type="default" r:id="rId21"/>
          <w:footerReference w:type="first" r:id="rId22"/>
          <w:pgSz w:w="11906" w:h="16838" w:code="9"/>
          <w:pgMar w:top="1134" w:right="1134" w:bottom="567" w:left="1134" w:header="567" w:footer="0" w:gutter="0"/>
          <w:pgNumType w:fmt="lowerRoman"/>
          <w:cols w:space="720"/>
          <w:docGrid w:linePitch="360"/>
        </w:sectPr>
      </w:pPr>
    </w:p>
    <w:sdt>
      <w:sdtPr>
        <w:rPr>
          <w:rFonts w:ascii="Arial" w:hAnsi="Arial" w:cs="Arial"/>
          <w:b w:val="0"/>
          <w:color w:val="auto"/>
          <w:sz w:val="20"/>
        </w:rPr>
        <w:alias w:val="Table of contents"/>
        <w:tag w:val="Table of contents"/>
        <w:id w:val="-1093387899"/>
        <w:placeholder>
          <w:docPart w:val="2BC35E5488BF4862BCFA14EC85C96408"/>
        </w:placeholder>
        <w:docPartList>
          <w:docPartGallery w:val="Custom 5"/>
          <w:docPartCategory w:val="Contents"/>
        </w:docPartList>
      </w:sdtPr>
      <w:sdtContent>
        <w:p w14:paraId="7C72DCA0" w14:textId="77777777" w:rsidR="008606D5" w:rsidRPr="00623380" w:rsidRDefault="008606D5" w:rsidP="00C06DED">
          <w:pPr>
            <w:pStyle w:val="TOCHeading"/>
            <w:tabs>
              <w:tab w:val="right" w:pos="9972"/>
            </w:tabs>
            <w:rPr>
              <w:rFonts w:ascii="Arial" w:hAnsi="Arial" w:cs="Arial"/>
            </w:rPr>
          </w:pPr>
          <w:r w:rsidRPr="00623380">
            <w:rPr>
              <w:rFonts w:ascii="Arial" w:hAnsi="Arial" w:cs="Arial"/>
            </w:rPr>
            <w:t>Contents</w:t>
          </w:r>
        </w:p>
        <w:p w14:paraId="5FA573E4" w14:textId="5CEB047C" w:rsidR="00F70FDC" w:rsidRPr="00623380" w:rsidRDefault="008606D5">
          <w:pPr>
            <w:pStyle w:val="TOC2"/>
            <w:tabs>
              <w:tab w:val="left" w:pos="1134"/>
              <w:tab w:val="right" w:leader="dot" w:pos="9628"/>
            </w:tabs>
            <w:rPr>
              <w:rFonts w:cs="Arial"/>
              <w:noProof/>
              <w:kern w:val="2"/>
              <w:sz w:val="22"/>
              <w:szCs w:val="22"/>
              <w:lang w:val="en-US"/>
              <w14:ligatures w14:val="standardContextual"/>
            </w:rPr>
          </w:pPr>
          <w:r w:rsidRPr="003272C7">
            <w:rPr>
              <w:rFonts w:cs="Arial"/>
              <w:b/>
            </w:rPr>
            <w:fldChar w:fldCharType="begin"/>
          </w:r>
          <w:r w:rsidRPr="003272C7">
            <w:rPr>
              <w:rFonts w:cs="Arial"/>
            </w:rPr>
            <w:instrText xml:space="preserve"> TOC \h \t "Heading 1,1,Heading 2,2,Heading 3,3,Heading (unnumbered) 1,1,Heading (unnumbered) 2,2,Heading (unnumbered) 3,3,Divider,1" </w:instrText>
          </w:r>
          <w:r w:rsidRPr="003272C7">
            <w:rPr>
              <w:rFonts w:cs="Arial"/>
              <w:b/>
            </w:rPr>
            <w:fldChar w:fldCharType="separate"/>
          </w:r>
          <w:hyperlink w:anchor="_Toc183777778" w:history="1">
            <w:r w:rsidR="00F70FDC" w:rsidRPr="003272C7">
              <w:rPr>
                <w:rStyle w:val="Hyperlink"/>
                <w:rFonts w:cs="Arial"/>
                <w:noProof/>
              </w:rPr>
              <w:t>1.1</w:t>
            </w:r>
            <w:r w:rsidR="00F70FDC" w:rsidRPr="00623380">
              <w:rPr>
                <w:rFonts w:cs="Arial"/>
                <w:noProof/>
                <w:kern w:val="2"/>
                <w:sz w:val="22"/>
                <w:szCs w:val="22"/>
                <w:lang w:val="en-US"/>
                <w14:ligatures w14:val="standardContextual"/>
              </w:rPr>
              <w:tab/>
            </w:r>
            <w:r w:rsidR="00F70FDC" w:rsidRPr="003272C7">
              <w:rPr>
                <w:rStyle w:val="Hyperlink"/>
                <w:rFonts w:cs="Arial"/>
                <w:noProof/>
              </w:rPr>
              <w:t>CWCT01: Integrated Water Management (includes both Regional and Metro)</w:t>
            </w:r>
            <w:r w:rsidR="00F70FDC" w:rsidRPr="003272C7">
              <w:rPr>
                <w:rFonts w:cs="Arial"/>
                <w:noProof/>
              </w:rPr>
              <w:tab/>
            </w:r>
            <w:r w:rsidR="00F70FDC" w:rsidRPr="003272C7">
              <w:rPr>
                <w:rFonts w:cs="Arial"/>
                <w:noProof/>
              </w:rPr>
              <w:fldChar w:fldCharType="begin"/>
            </w:r>
            <w:r w:rsidR="00F70FDC" w:rsidRPr="003272C7">
              <w:rPr>
                <w:rFonts w:cs="Arial"/>
                <w:noProof/>
              </w:rPr>
              <w:instrText xml:space="preserve"> PAGEREF _Toc183777778 \h </w:instrText>
            </w:r>
            <w:r w:rsidR="00F70FDC" w:rsidRPr="003272C7">
              <w:rPr>
                <w:rFonts w:cs="Arial"/>
                <w:noProof/>
              </w:rPr>
            </w:r>
            <w:r w:rsidR="00F70FDC" w:rsidRPr="003272C7">
              <w:rPr>
                <w:rFonts w:cs="Arial"/>
                <w:noProof/>
              </w:rPr>
              <w:fldChar w:fldCharType="separate"/>
            </w:r>
            <w:r w:rsidR="0006141C">
              <w:rPr>
                <w:rFonts w:cs="Arial"/>
                <w:noProof/>
              </w:rPr>
              <w:t>1</w:t>
            </w:r>
            <w:r w:rsidR="00F70FDC" w:rsidRPr="003272C7">
              <w:rPr>
                <w:rFonts w:cs="Arial"/>
                <w:noProof/>
              </w:rPr>
              <w:fldChar w:fldCharType="end"/>
            </w:r>
          </w:hyperlink>
        </w:p>
        <w:p w14:paraId="695BD39B" w14:textId="2AA4C311"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79" w:history="1">
            <w:r w:rsidRPr="003272C7">
              <w:rPr>
                <w:rStyle w:val="Hyperlink"/>
                <w:rFonts w:cs="Arial"/>
                <w:noProof/>
              </w:rPr>
              <w:t>1.2</w:t>
            </w:r>
            <w:r w:rsidRPr="00623380">
              <w:rPr>
                <w:rFonts w:cs="Arial"/>
                <w:noProof/>
                <w:kern w:val="2"/>
                <w:sz w:val="22"/>
                <w:szCs w:val="22"/>
                <w:lang w:val="en-US"/>
                <w14:ligatures w14:val="standardContextual"/>
              </w:rPr>
              <w:tab/>
            </w:r>
            <w:r w:rsidRPr="003272C7">
              <w:rPr>
                <w:rStyle w:val="Hyperlink"/>
                <w:rFonts w:cs="Arial"/>
                <w:noProof/>
              </w:rPr>
              <w:t>CWCT02: Iconic Urban Waterways</w:t>
            </w:r>
            <w:r w:rsidRPr="003272C7">
              <w:rPr>
                <w:rFonts w:cs="Arial"/>
                <w:noProof/>
              </w:rPr>
              <w:tab/>
            </w:r>
            <w:r w:rsidRPr="003272C7">
              <w:rPr>
                <w:rFonts w:cs="Arial"/>
                <w:noProof/>
              </w:rPr>
              <w:fldChar w:fldCharType="begin"/>
            </w:r>
            <w:r w:rsidRPr="003272C7">
              <w:rPr>
                <w:rFonts w:cs="Arial"/>
                <w:noProof/>
              </w:rPr>
              <w:instrText xml:space="preserve"> PAGEREF _Toc183777779 \h </w:instrText>
            </w:r>
            <w:r w:rsidRPr="003272C7">
              <w:rPr>
                <w:rFonts w:cs="Arial"/>
                <w:noProof/>
              </w:rPr>
            </w:r>
            <w:r w:rsidRPr="003272C7">
              <w:rPr>
                <w:rFonts w:cs="Arial"/>
                <w:noProof/>
              </w:rPr>
              <w:fldChar w:fldCharType="separate"/>
            </w:r>
            <w:r w:rsidR="0006141C">
              <w:rPr>
                <w:rFonts w:cs="Arial"/>
                <w:noProof/>
              </w:rPr>
              <w:t>3</w:t>
            </w:r>
            <w:r w:rsidRPr="003272C7">
              <w:rPr>
                <w:rFonts w:cs="Arial"/>
                <w:noProof/>
              </w:rPr>
              <w:fldChar w:fldCharType="end"/>
            </w:r>
          </w:hyperlink>
        </w:p>
        <w:p w14:paraId="02D1E317" w14:textId="55097507"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0" w:history="1">
            <w:r w:rsidRPr="003272C7">
              <w:rPr>
                <w:rStyle w:val="Hyperlink"/>
                <w:rFonts w:cs="Arial"/>
                <w:noProof/>
              </w:rPr>
              <w:t>1.3</w:t>
            </w:r>
            <w:r w:rsidRPr="00623380">
              <w:rPr>
                <w:rFonts w:cs="Arial"/>
                <w:noProof/>
                <w:kern w:val="2"/>
                <w:sz w:val="22"/>
                <w:szCs w:val="22"/>
                <w:lang w:val="en-US"/>
                <w14:ligatures w14:val="standardContextual"/>
              </w:rPr>
              <w:tab/>
            </w:r>
            <w:r w:rsidRPr="003272C7">
              <w:rPr>
                <w:rStyle w:val="Hyperlink"/>
                <w:rFonts w:cs="Arial"/>
                <w:noProof/>
              </w:rPr>
              <w:t>CWCT03: Recreational Values Program</w:t>
            </w:r>
            <w:r w:rsidRPr="003272C7">
              <w:rPr>
                <w:rFonts w:cs="Arial"/>
                <w:noProof/>
              </w:rPr>
              <w:tab/>
            </w:r>
            <w:r w:rsidRPr="003272C7">
              <w:rPr>
                <w:rFonts w:cs="Arial"/>
                <w:noProof/>
              </w:rPr>
              <w:fldChar w:fldCharType="begin"/>
            </w:r>
            <w:r w:rsidRPr="003272C7">
              <w:rPr>
                <w:rFonts w:cs="Arial"/>
                <w:noProof/>
              </w:rPr>
              <w:instrText xml:space="preserve"> PAGEREF _Toc183777780 \h </w:instrText>
            </w:r>
            <w:r w:rsidRPr="003272C7">
              <w:rPr>
                <w:rFonts w:cs="Arial"/>
                <w:noProof/>
              </w:rPr>
            </w:r>
            <w:r w:rsidRPr="003272C7">
              <w:rPr>
                <w:rFonts w:cs="Arial"/>
                <w:noProof/>
              </w:rPr>
              <w:fldChar w:fldCharType="separate"/>
            </w:r>
            <w:r w:rsidR="0006141C">
              <w:rPr>
                <w:rFonts w:cs="Arial"/>
                <w:noProof/>
              </w:rPr>
              <w:t>6</w:t>
            </w:r>
            <w:r w:rsidRPr="003272C7">
              <w:rPr>
                <w:rFonts w:cs="Arial"/>
                <w:noProof/>
              </w:rPr>
              <w:fldChar w:fldCharType="end"/>
            </w:r>
          </w:hyperlink>
        </w:p>
        <w:p w14:paraId="49018D8C" w14:textId="0E5B5B43"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1" w:history="1">
            <w:r w:rsidRPr="003272C7">
              <w:rPr>
                <w:rStyle w:val="Hyperlink"/>
                <w:rFonts w:cs="Arial"/>
                <w:noProof/>
              </w:rPr>
              <w:t>1.4</w:t>
            </w:r>
            <w:r w:rsidRPr="00623380">
              <w:rPr>
                <w:rFonts w:cs="Arial"/>
                <w:noProof/>
                <w:kern w:val="2"/>
                <w:sz w:val="22"/>
                <w:szCs w:val="22"/>
                <w:lang w:val="en-US"/>
                <w14:ligatures w14:val="standardContextual"/>
              </w:rPr>
              <w:tab/>
            </w:r>
            <w:r w:rsidRPr="003272C7">
              <w:rPr>
                <w:rStyle w:val="Hyperlink"/>
                <w:rFonts w:cs="Arial"/>
                <w:noProof/>
              </w:rPr>
              <w:t>CWCT04: Recycled Water, Stormwater and Onsite Wastewater Policy</w:t>
            </w:r>
            <w:r w:rsidRPr="003272C7">
              <w:rPr>
                <w:rFonts w:cs="Arial"/>
                <w:noProof/>
              </w:rPr>
              <w:tab/>
            </w:r>
            <w:r w:rsidRPr="003272C7">
              <w:rPr>
                <w:rFonts w:cs="Arial"/>
                <w:noProof/>
              </w:rPr>
              <w:fldChar w:fldCharType="begin"/>
            </w:r>
            <w:r w:rsidRPr="003272C7">
              <w:rPr>
                <w:rFonts w:cs="Arial"/>
                <w:noProof/>
              </w:rPr>
              <w:instrText xml:space="preserve"> PAGEREF _Toc183777781 \h </w:instrText>
            </w:r>
            <w:r w:rsidRPr="003272C7">
              <w:rPr>
                <w:rFonts w:cs="Arial"/>
                <w:noProof/>
              </w:rPr>
            </w:r>
            <w:r w:rsidRPr="003272C7">
              <w:rPr>
                <w:rFonts w:cs="Arial"/>
                <w:noProof/>
              </w:rPr>
              <w:fldChar w:fldCharType="separate"/>
            </w:r>
            <w:r w:rsidR="0006141C">
              <w:rPr>
                <w:rFonts w:cs="Arial"/>
                <w:noProof/>
              </w:rPr>
              <w:t>9</w:t>
            </w:r>
            <w:r w:rsidRPr="003272C7">
              <w:rPr>
                <w:rFonts w:cs="Arial"/>
                <w:noProof/>
              </w:rPr>
              <w:fldChar w:fldCharType="end"/>
            </w:r>
          </w:hyperlink>
        </w:p>
        <w:p w14:paraId="5BA0036F" w14:textId="70FB8D5C"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2" w:history="1">
            <w:r w:rsidRPr="003272C7">
              <w:rPr>
                <w:rStyle w:val="Hyperlink"/>
                <w:rFonts w:cs="Arial"/>
                <w:noProof/>
              </w:rPr>
              <w:t>1.5</w:t>
            </w:r>
            <w:r w:rsidRPr="00623380">
              <w:rPr>
                <w:rFonts w:cs="Arial"/>
                <w:noProof/>
                <w:kern w:val="2"/>
                <w:sz w:val="22"/>
                <w:szCs w:val="22"/>
                <w:lang w:val="en-US"/>
                <w14:ligatures w14:val="standardContextual"/>
              </w:rPr>
              <w:tab/>
            </w:r>
            <w:r w:rsidRPr="003272C7">
              <w:rPr>
                <w:rStyle w:val="Hyperlink"/>
                <w:rFonts w:cs="Arial"/>
                <w:noProof/>
              </w:rPr>
              <w:t>WRS1: Retail Entitlements and Markets</w:t>
            </w:r>
            <w:r w:rsidRPr="003272C7">
              <w:rPr>
                <w:rFonts w:cs="Arial"/>
                <w:noProof/>
              </w:rPr>
              <w:tab/>
            </w:r>
            <w:r w:rsidRPr="003272C7">
              <w:rPr>
                <w:rFonts w:cs="Arial"/>
                <w:noProof/>
              </w:rPr>
              <w:fldChar w:fldCharType="begin"/>
            </w:r>
            <w:r w:rsidRPr="003272C7">
              <w:rPr>
                <w:rFonts w:cs="Arial"/>
                <w:noProof/>
              </w:rPr>
              <w:instrText xml:space="preserve"> PAGEREF _Toc183777782 \h </w:instrText>
            </w:r>
            <w:r w:rsidRPr="003272C7">
              <w:rPr>
                <w:rFonts w:cs="Arial"/>
                <w:noProof/>
              </w:rPr>
            </w:r>
            <w:r w:rsidRPr="003272C7">
              <w:rPr>
                <w:rFonts w:cs="Arial"/>
                <w:noProof/>
              </w:rPr>
              <w:fldChar w:fldCharType="separate"/>
            </w:r>
            <w:r w:rsidR="0006141C">
              <w:rPr>
                <w:rFonts w:cs="Arial"/>
                <w:noProof/>
              </w:rPr>
              <w:t>13</w:t>
            </w:r>
            <w:r w:rsidRPr="003272C7">
              <w:rPr>
                <w:rFonts w:cs="Arial"/>
                <w:noProof/>
              </w:rPr>
              <w:fldChar w:fldCharType="end"/>
            </w:r>
          </w:hyperlink>
        </w:p>
        <w:p w14:paraId="24B0A66C" w14:textId="0C67B06D"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3" w:history="1">
            <w:r w:rsidRPr="003272C7">
              <w:rPr>
                <w:rStyle w:val="Hyperlink"/>
                <w:rFonts w:cs="Arial"/>
                <w:noProof/>
              </w:rPr>
              <w:t>1.6</w:t>
            </w:r>
            <w:r w:rsidRPr="00623380">
              <w:rPr>
                <w:rFonts w:cs="Arial"/>
                <w:noProof/>
                <w:kern w:val="2"/>
                <w:sz w:val="22"/>
                <w:szCs w:val="22"/>
                <w:lang w:val="en-US"/>
                <w14:ligatures w14:val="standardContextual"/>
              </w:rPr>
              <w:tab/>
            </w:r>
            <w:r w:rsidRPr="003272C7">
              <w:rPr>
                <w:rStyle w:val="Hyperlink"/>
                <w:rFonts w:cs="Arial"/>
                <w:noProof/>
              </w:rPr>
              <w:t>WRS2. Water Grid Oversight</w:t>
            </w:r>
            <w:r w:rsidRPr="003272C7">
              <w:rPr>
                <w:rFonts w:cs="Arial"/>
                <w:noProof/>
              </w:rPr>
              <w:tab/>
            </w:r>
            <w:r w:rsidRPr="003272C7">
              <w:rPr>
                <w:rFonts w:cs="Arial"/>
                <w:noProof/>
              </w:rPr>
              <w:fldChar w:fldCharType="begin"/>
            </w:r>
            <w:r w:rsidRPr="003272C7">
              <w:rPr>
                <w:rFonts w:cs="Arial"/>
                <w:noProof/>
              </w:rPr>
              <w:instrText xml:space="preserve"> PAGEREF _Toc183777783 \h </w:instrText>
            </w:r>
            <w:r w:rsidRPr="003272C7">
              <w:rPr>
                <w:rFonts w:cs="Arial"/>
                <w:noProof/>
              </w:rPr>
            </w:r>
            <w:r w:rsidRPr="003272C7">
              <w:rPr>
                <w:rFonts w:cs="Arial"/>
                <w:noProof/>
              </w:rPr>
              <w:fldChar w:fldCharType="separate"/>
            </w:r>
            <w:r w:rsidR="0006141C">
              <w:rPr>
                <w:rFonts w:cs="Arial"/>
                <w:noProof/>
              </w:rPr>
              <w:t>16</w:t>
            </w:r>
            <w:r w:rsidRPr="003272C7">
              <w:rPr>
                <w:rFonts w:cs="Arial"/>
                <w:noProof/>
              </w:rPr>
              <w:fldChar w:fldCharType="end"/>
            </w:r>
          </w:hyperlink>
        </w:p>
        <w:p w14:paraId="27ED42B2" w14:textId="5E9B9BF4"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4" w:history="1">
            <w:r w:rsidRPr="003272C7">
              <w:rPr>
                <w:rStyle w:val="Hyperlink"/>
                <w:rFonts w:cs="Arial"/>
                <w:noProof/>
              </w:rPr>
              <w:t>1.7</w:t>
            </w:r>
            <w:r w:rsidRPr="00623380">
              <w:rPr>
                <w:rFonts w:cs="Arial"/>
                <w:noProof/>
                <w:kern w:val="2"/>
                <w:sz w:val="22"/>
                <w:szCs w:val="22"/>
                <w:lang w:val="en-US"/>
                <w14:ligatures w14:val="standardContextual"/>
              </w:rPr>
              <w:tab/>
            </w:r>
            <w:r w:rsidRPr="003272C7">
              <w:rPr>
                <w:rStyle w:val="Hyperlink"/>
                <w:rFonts w:cs="Arial"/>
                <w:noProof/>
              </w:rPr>
              <w:t>WRS3. Water Market Reform</w:t>
            </w:r>
            <w:r w:rsidRPr="003272C7">
              <w:rPr>
                <w:rFonts w:cs="Arial"/>
                <w:noProof/>
              </w:rPr>
              <w:tab/>
            </w:r>
            <w:r w:rsidRPr="003272C7">
              <w:rPr>
                <w:rFonts w:cs="Arial"/>
                <w:noProof/>
              </w:rPr>
              <w:fldChar w:fldCharType="begin"/>
            </w:r>
            <w:r w:rsidRPr="003272C7">
              <w:rPr>
                <w:rFonts w:cs="Arial"/>
                <w:noProof/>
              </w:rPr>
              <w:instrText xml:space="preserve"> PAGEREF _Toc183777784 \h </w:instrText>
            </w:r>
            <w:r w:rsidRPr="003272C7">
              <w:rPr>
                <w:rFonts w:cs="Arial"/>
                <w:noProof/>
              </w:rPr>
            </w:r>
            <w:r w:rsidRPr="003272C7">
              <w:rPr>
                <w:rFonts w:cs="Arial"/>
                <w:noProof/>
              </w:rPr>
              <w:fldChar w:fldCharType="separate"/>
            </w:r>
            <w:r w:rsidR="0006141C">
              <w:rPr>
                <w:rFonts w:cs="Arial"/>
                <w:noProof/>
              </w:rPr>
              <w:t>18</w:t>
            </w:r>
            <w:r w:rsidRPr="003272C7">
              <w:rPr>
                <w:rFonts w:cs="Arial"/>
                <w:noProof/>
              </w:rPr>
              <w:fldChar w:fldCharType="end"/>
            </w:r>
          </w:hyperlink>
        </w:p>
        <w:p w14:paraId="542468C0" w14:textId="204DC21D"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5" w:history="1">
            <w:r w:rsidRPr="003272C7">
              <w:rPr>
                <w:rStyle w:val="Hyperlink"/>
                <w:rFonts w:cs="Arial"/>
                <w:noProof/>
              </w:rPr>
              <w:t>1.8</w:t>
            </w:r>
            <w:r w:rsidRPr="00623380">
              <w:rPr>
                <w:rFonts w:cs="Arial"/>
                <w:noProof/>
                <w:kern w:val="2"/>
                <w:sz w:val="22"/>
                <w:szCs w:val="22"/>
                <w:lang w:val="en-US"/>
                <w14:ligatures w14:val="standardContextual"/>
              </w:rPr>
              <w:tab/>
            </w:r>
            <w:r w:rsidRPr="003272C7">
              <w:rPr>
                <w:rStyle w:val="Hyperlink"/>
                <w:rFonts w:cs="Arial"/>
                <w:noProof/>
              </w:rPr>
              <w:t>WRS4: Water Market Transparency</w:t>
            </w:r>
            <w:r w:rsidRPr="003272C7">
              <w:rPr>
                <w:rFonts w:cs="Arial"/>
                <w:noProof/>
              </w:rPr>
              <w:tab/>
            </w:r>
            <w:r w:rsidRPr="003272C7">
              <w:rPr>
                <w:rFonts w:cs="Arial"/>
                <w:noProof/>
              </w:rPr>
              <w:fldChar w:fldCharType="begin"/>
            </w:r>
            <w:r w:rsidRPr="003272C7">
              <w:rPr>
                <w:rFonts w:cs="Arial"/>
                <w:noProof/>
              </w:rPr>
              <w:instrText xml:space="preserve"> PAGEREF _Toc183777785 \h </w:instrText>
            </w:r>
            <w:r w:rsidRPr="003272C7">
              <w:rPr>
                <w:rFonts w:cs="Arial"/>
                <w:noProof/>
              </w:rPr>
            </w:r>
            <w:r w:rsidRPr="003272C7">
              <w:rPr>
                <w:rFonts w:cs="Arial"/>
                <w:noProof/>
              </w:rPr>
              <w:fldChar w:fldCharType="separate"/>
            </w:r>
            <w:r w:rsidR="0006141C">
              <w:rPr>
                <w:rFonts w:cs="Arial"/>
                <w:noProof/>
              </w:rPr>
              <w:t>19</w:t>
            </w:r>
            <w:r w:rsidRPr="003272C7">
              <w:rPr>
                <w:rFonts w:cs="Arial"/>
                <w:noProof/>
              </w:rPr>
              <w:fldChar w:fldCharType="end"/>
            </w:r>
          </w:hyperlink>
        </w:p>
        <w:p w14:paraId="13D36F89" w14:textId="00361A40" w:rsidR="00F70FDC" w:rsidRPr="00623380" w:rsidRDefault="00F70FDC">
          <w:pPr>
            <w:pStyle w:val="TOC2"/>
            <w:tabs>
              <w:tab w:val="left" w:pos="1134"/>
              <w:tab w:val="right" w:leader="dot" w:pos="9628"/>
            </w:tabs>
            <w:rPr>
              <w:rFonts w:cs="Arial"/>
              <w:noProof/>
              <w:kern w:val="2"/>
              <w:sz w:val="22"/>
              <w:szCs w:val="22"/>
              <w:lang w:val="en-US"/>
              <w14:ligatures w14:val="standardContextual"/>
            </w:rPr>
          </w:pPr>
          <w:hyperlink w:anchor="_Toc183777786" w:history="1">
            <w:r w:rsidRPr="003272C7">
              <w:rPr>
                <w:rStyle w:val="Hyperlink"/>
                <w:rFonts w:cs="Arial"/>
                <w:noProof/>
              </w:rPr>
              <w:t>1.9</w:t>
            </w:r>
            <w:r w:rsidRPr="00623380">
              <w:rPr>
                <w:rFonts w:cs="Arial"/>
                <w:noProof/>
                <w:kern w:val="2"/>
                <w:sz w:val="22"/>
                <w:szCs w:val="22"/>
                <w:lang w:val="en-US"/>
                <w14:ligatures w14:val="standardContextual"/>
              </w:rPr>
              <w:tab/>
            </w:r>
            <w:r w:rsidRPr="003272C7">
              <w:rPr>
                <w:rStyle w:val="Hyperlink"/>
                <w:rFonts w:cs="Arial"/>
                <w:noProof/>
              </w:rPr>
              <w:t>WRS5: Managing Victoria’s Water Sharing Framework</w:t>
            </w:r>
            <w:r w:rsidRPr="003272C7">
              <w:rPr>
                <w:rFonts w:cs="Arial"/>
                <w:noProof/>
              </w:rPr>
              <w:tab/>
            </w:r>
            <w:r w:rsidRPr="003272C7">
              <w:rPr>
                <w:rFonts w:cs="Arial"/>
                <w:noProof/>
              </w:rPr>
              <w:fldChar w:fldCharType="begin"/>
            </w:r>
            <w:r w:rsidRPr="003272C7">
              <w:rPr>
                <w:rFonts w:cs="Arial"/>
                <w:noProof/>
              </w:rPr>
              <w:instrText xml:space="preserve"> PAGEREF _Toc183777786 \h </w:instrText>
            </w:r>
            <w:r w:rsidRPr="003272C7">
              <w:rPr>
                <w:rFonts w:cs="Arial"/>
                <w:noProof/>
              </w:rPr>
            </w:r>
            <w:r w:rsidRPr="003272C7">
              <w:rPr>
                <w:rFonts w:cs="Arial"/>
                <w:noProof/>
              </w:rPr>
              <w:fldChar w:fldCharType="separate"/>
            </w:r>
            <w:r w:rsidR="0006141C">
              <w:rPr>
                <w:rFonts w:cs="Arial"/>
                <w:noProof/>
              </w:rPr>
              <w:t>22</w:t>
            </w:r>
            <w:r w:rsidRPr="003272C7">
              <w:rPr>
                <w:rFonts w:cs="Arial"/>
                <w:noProof/>
              </w:rPr>
              <w:fldChar w:fldCharType="end"/>
            </w:r>
          </w:hyperlink>
        </w:p>
        <w:p w14:paraId="316A8FD2" w14:textId="432C1A45"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87" w:history="1">
            <w:r w:rsidRPr="003272C7">
              <w:rPr>
                <w:rStyle w:val="Hyperlink"/>
                <w:rFonts w:cs="Arial"/>
                <w:noProof/>
              </w:rPr>
              <w:t>1.10</w:t>
            </w:r>
            <w:r w:rsidRPr="00623380">
              <w:rPr>
                <w:rFonts w:cs="Arial"/>
                <w:noProof/>
                <w:kern w:val="2"/>
                <w:sz w:val="22"/>
                <w:szCs w:val="22"/>
                <w:lang w:val="en-US"/>
                <w14:ligatures w14:val="standardContextual"/>
              </w:rPr>
              <w:tab/>
            </w:r>
            <w:r w:rsidRPr="003272C7">
              <w:rPr>
                <w:rStyle w:val="Hyperlink"/>
                <w:rFonts w:cs="Arial"/>
                <w:noProof/>
              </w:rPr>
              <w:t>WRS6: Licensing Framework Groundwater and Unregulated Systems</w:t>
            </w:r>
            <w:r w:rsidRPr="003272C7">
              <w:rPr>
                <w:rFonts w:cs="Arial"/>
                <w:noProof/>
              </w:rPr>
              <w:tab/>
            </w:r>
            <w:r w:rsidRPr="003272C7">
              <w:rPr>
                <w:rFonts w:cs="Arial"/>
                <w:noProof/>
              </w:rPr>
              <w:fldChar w:fldCharType="begin"/>
            </w:r>
            <w:r w:rsidRPr="003272C7">
              <w:rPr>
                <w:rFonts w:cs="Arial"/>
                <w:noProof/>
              </w:rPr>
              <w:instrText xml:space="preserve"> PAGEREF _Toc183777787 \h </w:instrText>
            </w:r>
            <w:r w:rsidRPr="003272C7">
              <w:rPr>
                <w:rFonts w:cs="Arial"/>
                <w:noProof/>
              </w:rPr>
            </w:r>
            <w:r w:rsidRPr="003272C7">
              <w:rPr>
                <w:rFonts w:cs="Arial"/>
                <w:noProof/>
              </w:rPr>
              <w:fldChar w:fldCharType="separate"/>
            </w:r>
            <w:r w:rsidR="0006141C">
              <w:rPr>
                <w:rFonts w:cs="Arial"/>
                <w:noProof/>
              </w:rPr>
              <w:t>23</w:t>
            </w:r>
            <w:r w:rsidRPr="003272C7">
              <w:rPr>
                <w:rFonts w:cs="Arial"/>
                <w:noProof/>
              </w:rPr>
              <w:fldChar w:fldCharType="end"/>
            </w:r>
          </w:hyperlink>
        </w:p>
        <w:p w14:paraId="601C35D7" w14:textId="15F05712"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88" w:history="1">
            <w:r w:rsidRPr="003272C7">
              <w:rPr>
                <w:rStyle w:val="Hyperlink"/>
                <w:rFonts w:cs="Arial"/>
                <w:noProof/>
              </w:rPr>
              <w:t>1.11</w:t>
            </w:r>
            <w:r w:rsidRPr="00623380">
              <w:rPr>
                <w:rFonts w:cs="Arial"/>
                <w:noProof/>
                <w:kern w:val="2"/>
                <w:sz w:val="22"/>
                <w:szCs w:val="22"/>
                <w:lang w:val="en-US"/>
                <w14:ligatures w14:val="standardContextual"/>
              </w:rPr>
              <w:tab/>
            </w:r>
            <w:r w:rsidRPr="003272C7">
              <w:rPr>
                <w:rStyle w:val="Hyperlink"/>
                <w:rFonts w:cs="Arial"/>
                <w:noProof/>
              </w:rPr>
              <w:t>WRS7: Water Compliance Reform</w:t>
            </w:r>
            <w:r w:rsidRPr="003272C7">
              <w:rPr>
                <w:rFonts w:cs="Arial"/>
                <w:noProof/>
              </w:rPr>
              <w:tab/>
            </w:r>
            <w:r w:rsidRPr="003272C7">
              <w:rPr>
                <w:rFonts w:cs="Arial"/>
                <w:noProof/>
              </w:rPr>
              <w:fldChar w:fldCharType="begin"/>
            </w:r>
            <w:r w:rsidRPr="003272C7">
              <w:rPr>
                <w:rFonts w:cs="Arial"/>
                <w:noProof/>
              </w:rPr>
              <w:instrText xml:space="preserve"> PAGEREF _Toc183777788 \h </w:instrText>
            </w:r>
            <w:r w:rsidRPr="003272C7">
              <w:rPr>
                <w:rFonts w:cs="Arial"/>
                <w:noProof/>
              </w:rPr>
            </w:r>
            <w:r w:rsidRPr="003272C7">
              <w:rPr>
                <w:rFonts w:cs="Arial"/>
                <w:noProof/>
              </w:rPr>
              <w:fldChar w:fldCharType="separate"/>
            </w:r>
            <w:r w:rsidR="0006141C">
              <w:rPr>
                <w:rFonts w:cs="Arial"/>
                <w:noProof/>
              </w:rPr>
              <w:t>26</w:t>
            </w:r>
            <w:r w:rsidRPr="003272C7">
              <w:rPr>
                <w:rFonts w:cs="Arial"/>
                <w:noProof/>
              </w:rPr>
              <w:fldChar w:fldCharType="end"/>
            </w:r>
          </w:hyperlink>
        </w:p>
        <w:p w14:paraId="354A6F0B" w14:textId="4B206EFB"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89" w:history="1">
            <w:r w:rsidRPr="003272C7">
              <w:rPr>
                <w:rStyle w:val="Hyperlink"/>
                <w:rFonts w:cs="Arial"/>
                <w:noProof/>
              </w:rPr>
              <w:t>1.12</w:t>
            </w:r>
            <w:r w:rsidRPr="00623380">
              <w:rPr>
                <w:rFonts w:cs="Arial"/>
                <w:noProof/>
                <w:kern w:val="2"/>
                <w:sz w:val="22"/>
                <w:szCs w:val="22"/>
                <w:lang w:val="en-US"/>
                <w14:ligatures w14:val="standardContextual"/>
              </w:rPr>
              <w:tab/>
            </w:r>
            <w:r w:rsidRPr="003272C7">
              <w:rPr>
                <w:rStyle w:val="Hyperlink"/>
                <w:rFonts w:cs="Arial"/>
                <w:noProof/>
              </w:rPr>
              <w:t>WRS8: Accounting for Water Recovery</w:t>
            </w:r>
            <w:r w:rsidRPr="003272C7">
              <w:rPr>
                <w:rFonts w:cs="Arial"/>
                <w:noProof/>
              </w:rPr>
              <w:tab/>
            </w:r>
            <w:r w:rsidRPr="003272C7">
              <w:rPr>
                <w:rFonts w:cs="Arial"/>
                <w:noProof/>
              </w:rPr>
              <w:fldChar w:fldCharType="begin"/>
            </w:r>
            <w:r w:rsidRPr="003272C7">
              <w:rPr>
                <w:rFonts w:cs="Arial"/>
                <w:noProof/>
              </w:rPr>
              <w:instrText xml:space="preserve"> PAGEREF _Toc183777789 \h </w:instrText>
            </w:r>
            <w:r w:rsidRPr="003272C7">
              <w:rPr>
                <w:rFonts w:cs="Arial"/>
                <w:noProof/>
              </w:rPr>
            </w:r>
            <w:r w:rsidRPr="003272C7">
              <w:rPr>
                <w:rFonts w:cs="Arial"/>
                <w:noProof/>
              </w:rPr>
              <w:fldChar w:fldCharType="separate"/>
            </w:r>
            <w:r w:rsidR="0006141C">
              <w:rPr>
                <w:rFonts w:cs="Arial"/>
                <w:noProof/>
              </w:rPr>
              <w:t>29</w:t>
            </w:r>
            <w:r w:rsidRPr="003272C7">
              <w:rPr>
                <w:rFonts w:cs="Arial"/>
                <w:noProof/>
              </w:rPr>
              <w:fldChar w:fldCharType="end"/>
            </w:r>
          </w:hyperlink>
        </w:p>
        <w:p w14:paraId="0392CF18" w14:textId="77E4C5EE"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0" w:history="1">
            <w:r w:rsidRPr="003272C7">
              <w:rPr>
                <w:rStyle w:val="Hyperlink"/>
                <w:rFonts w:cs="Arial"/>
                <w:noProof/>
              </w:rPr>
              <w:t>1.13</w:t>
            </w:r>
            <w:r w:rsidRPr="00623380">
              <w:rPr>
                <w:rFonts w:cs="Arial"/>
                <w:noProof/>
                <w:kern w:val="2"/>
                <w:sz w:val="22"/>
                <w:szCs w:val="22"/>
                <w:lang w:val="en-US"/>
                <w14:ligatures w14:val="standardContextual"/>
              </w:rPr>
              <w:tab/>
            </w:r>
            <w:r w:rsidRPr="003272C7">
              <w:rPr>
                <w:rStyle w:val="Hyperlink"/>
                <w:rFonts w:cs="Arial"/>
                <w:noProof/>
              </w:rPr>
              <w:t>WRS9: Sustaining a Resilient and Secure Water Register for Victoria</w:t>
            </w:r>
            <w:r w:rsidRPr="003272C7">
              <w:rPr>
                <w:rFonts w:cs="Arial"/>
                <w:noProof/>
              </w:rPr>
              <w:tab/>
            </w:r>
            <w:r w:rsidRPr="003272C7">
              <w:rPr>
                <w:rFonts w:cs="Arial"/>
                <w:noProof/>
              </w:rPr>
              <w:fldChar w:fldCharType="begin"/>
            </w:r>
            <w:r w:rsidRPr="003272C7">
              <w:rPr>
                <w:rFonts w:cs="Arial"/>
                <w:noProof/>
              </w:rPr>
              <w:instrText xml:space="preserve"> PAGEREF _Toc183777790 \h </w:instrText>
            </w:r>
            <w:r w:rsidRPr="003272C7">
              <w:rPr>
                <w:rFonts w:cs="Arial"/>
                <w:noProof/>
              </w:rPr>
            </w:r>
            <w:r w:rsidRPr="003272C7">
              <w:rPr>
                <w:rFonts w:cs="Arial"/>
                <w:noProof/>
              </w:rPr>
              <w:fldChar w:fldCharType="separate"/>
            </w:r>
            <w:r w:rsidR="0006141C">
              <w:rPr>
                <w:rFonts w:cs="Arial"/>
                <w:noProof/>
              </w:rPr>
              <w:t>31</w:t>
            </w:r>
            <w:r w:rsidRPr="003272C7">
              <w:rPr>
                <w:rFonts w:cs="Arial"/>
                <w:noProof/>
              </w:rPr>
              <w:fldChar w:fldCharType="end"/>
            </w:r>
          </w:hyperlink>
        </w:p>
        <w:p w14:paraId="321F73E2" w14:textId="353CFBD1"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1" w:history="1">
            <w:r w:rsidRPr="003272C7">
              <w:rPr>
                <w:rStyle w:val="Hyperlink"/>
                <w:rFonts w:cs="Arial"/>
                <w:noProof/>
              </w:rPr>
              <w:t>1.14</w:t>
            </w:r>
            <w:r w:rsidRPr="00623380">
              <w:rPr>
                <w:rFonts w:cs="Arial"/>
                <w:noProof/>
                <w:kern w:val="2"/>
                <w:sz w:val="22"/>
                <w:szCs w:val="22"/>
                <w:lang w:val="en-US"/>
                <w14:ligatures w14:val="standardContextual"/>
              </w:rPr>
              <w:tab/>
            </w:r>
            <w:r w:rsidRPr="003272C7">
              <w:rPr>
                <w:rStyle w:val="Hyperlink"/>
                <w:rFonts w:cs="Arial"/>
                <w:noProof/>
              </w:rPr>
              <w:t>WRS10: Understand and Apply Climate Science to Water</w:t>
            </w:r>
            <w:r w:rsidRPr="003272C7">
              <w:rPr>
                <w:rFonts w:cs="Arial"/>
                <w:noProof/>
              </w:rPr>
              <w:tab/>
            </w:r>
            <w:r w:rsidRPr="003272C7">
              <w:rPr>
                <w:rFonts w:cs="Arial"/>
                <w:noProof/>
              </w:rPr>
              <w:fldChar w:fldCharType="begin"/>
            </w:r>
            <w:r w:rsidRPr="003272C7">
              <w:rPr>
                <w:rFonts w:cs="Arial"/>
                <w:noProof/>
              </w:rPr>
              <w:instrText xml:space="preserve"> PAGEREF _Toc183777791 \h </w:instrText>
            </w:r>
            <w:r w:rsidRPr="003272C7">
              <w:rPr>
                <w:rFonts w:cs="Arial"/>
                <w:noProof/>
              </w:rPr>
            </w:r>
            <w:r w:rsidRPr="003272C7">
              <w:rPr>
                <w:rFonts w:cs="Arial"/>
                <w:noProof/>
              </w:rPr>
              <w:fldChar w:fldCharType="separate"/>
            </w:r>
            <w:r w:rsidR="0006141C">
              <w:rPr>
                <w:rFonts w:cs="Arial"/>
                <w:noProof/>
              </w:rPr>
              <w:t>34</w:t>
            </w:r>
            <w:r w:rsidRPr="003272C7">
              <w:rPr>
                <w:rFonts w:cs="Arial"/>
                <w:noProof/>
              </w:rPr>
              <w:fldChar w:fldCharType="end"/>
            </w:r>
          </w:hyperlink>
        </w:p>
        <w:p w14:paraId="7BAD665C" w14:textId="1F8B8598"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2" w:history="1">
            <w:r w:rsidRPr="003272C7">
              <w:rPr>
                <w:rStyle w:val="Hyperlink"/>
                <w:rFonts w:cs="Arial"/>
                <w:noProof/>
              </w:rPr>
              <w:t>1.15</w:t>
            </w:r>
            <w:r w:rsidRPr="00623380">
              <w:rPr>
                <w:rFonts w:cs="Arial"/>
                <w:noProof/>
                <w:kern w:val="2"/>
                <w:sz w:val="22"/>
                <w:szCs w:val="22"/>
                <w:lang w:val="en-US"/>
                <w14:ligatures w14:val="standardContextual"/>
              </w:rPr>
              <w:tab/>
            </w:r>
            <w:r w:rsidRPr="003272C7">
              <w:rPr>
                <w:rStyle w:val="Hyperlink"/>
                <w:rFonts w:cs="Arial"/>
                <w:noProof/>
              </w:rPr>
              <w:t>WRS11: Surface Water Assessment and Modelling</w:t>
            </w:r>
            <w:r w:rsidRPr="003272C7">
              <w:rPr>
                <w:rFonts w:cs="Arial"/>
                <w:noProof/>
              </w:rPr>
              <w:tab/>
            </w:r>
            <w:r w:rsidRPr="003272C7">
              <w:rPr>
                <w:rFonts w:cs="Arial"/>
                <w:noProof/>
              </w:rPr>
              <w:fldChar w:fldCharType="begin"/>
            </w:r>
            <w:r w:rsidRPr="003272C7">
              <w:rPr>
                <w:rFonts w:cs="Arial"/>
                <w:noProof/>
              </w:rPr>
              <w:instrText xml:space="preserve"> PAGEREF _Toc183777792 \h </w:instrText>
            </w:r>
            <w:r w:rsidRPr="003272C7">
              <w:rPr>
                <w:rFonts w:cs="Arial"/>
                <w:noProof/>
              </w:rPr>
            </w:r>
            <w:r w:rsidRPr="003272C7">
              <w:rPr>
                <w:rFonts w:cs="Arial"/>
                <w:noProof/>
              </w:rPr>
              <w:fldChar w:fldCharType="separate"/>
            </w:r>
            <w:r w:rsidR="0006141C">
              <w:rPr>
                <w:rFonts w:cs="Arial"/>
                <w:noProof/>
              </w:rPr>
              <w:t>37</w:t>
            </w:r>
            <w:r w:rsidRPr="003272C7">
              <w:rPr>
                <w:rFonts w:cs="Arial"/>
                <w:noProof/>
              </w:rPr>
              <w:fldChar w:fldCharType="end"/>
            </w:r>
          </w:hyperlink>
        </w:p>
        <w:p w14:paraId="463CDFA4" w14:textId="3D4D6D0B"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3" w:history="1">
            <w:r w:rsidRPr="003272C7">
              <w:rPr>
                <w:rStyle w:val="Hyperlink"/>
                <w:rFonts w:cs="Arial"/>
                <w:noProof/>
              </w:rPr>
              <w:t>1.16</w:t>
            </w:r>
            <w:r w:rsidRPr="00623380">
              <w:rPr>
                <w:rFonts w:cs="Arial"/>
                <w:noProof/>
                <w:kern w:val="2"/>
                <w:sz w:val="22"/>
                <w:szCs w:val="22"/>
                <w:lang w:val="en-US"/>
                <w14:ligatures w14:val="standardContextual"/>
              </w:rPr>
              <w:tab/>
            </w:r>
            <w:r w:rsidRPr="003272C7">
              <w:rPr>
                <w:rStyle w:val="Hyperlink"/>
                <w:rFonts w:cs="Arial"/>
                <w:noProof/>
              </w:rPr>
              <w:t>WRS12 Long-Term Water Resource Assessment and Addressing the impacts of mining and extractive industries</w:t>
            </w:r>
            <w:r w:rsidRPr="003272C7">
              <w:rPr>
                <w:rFonts w:cs="Arial"/>
                <w:noProof/>
              </w:rPr>
              <w:tab/>
            </w:r>
            <w:r w:rsidRPr="003272C7">
              <w:rPr>
                <w:rFonts w:cs="Arial"/>
                <w:noProof/>
              </w:rPr>
              <w:fldChar w:fldCharType="begin"/>
            </w:r>
            <w:r w:rsidRPr="003272C7">
              <w:rPr>
                <w:rFonts w:cs="Arial"/>
                <w:noProof/>
              </w:rPr>
              <w:instrText xml:space="preserve"> PAGEREF _Toc183777793 \h </w:instrText>
            </w:r>
            <w:r w:rsidRPr="003272C7">
              <w:rPr>
                <w:rFonts w:cs="Arial"/>
                <w:noProof/>
              </w:rPr>
            </w:r>
            <w:r w:rsidRPr="003272C7">
              <w:rPr>
                <w:rFonts w:cs="Arial"/>
                <w:noProof/>
              </w:rPr>
              <w:fldChar w:fldCharType="separate"/>
            </w:r>
            <w:r w:rsidR="0006141C">
              <w:rPr>
                <w:rFonts w:cs="Arial"/>
                <w:noProof/>
              </w:rPr>
              <w:t>39</w:t>
            </w:r>
            <w:r w:rsidRPr="003272C7">
              <w:rPr>
                <w:rFonts w:cs="Arial"/>
                <w:noProof/>
              </w:rPr>
              <w:fldChar w:fldCharType="end"/>
            </w:r>
          </w:hyperlink>
        </w:p>
        <w:p w14:paraId="285C791C" w14:textId="3169BFA0"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4" w:history="1">
            <w:r w:rsidRPr="003272C7">
              <w:rPr>
                <w:rStyle w:val="Hyperlink"/>
                <w:rFonts w:cs="Arial"/>
                <w:noProof/>
              </w:rPr>
              <w:t>1.17</w:t>
            </w:r>
            <w:r w:rsidRPr="00623380">
              <w:rPr>
                <w:rFonts w:cs="Arial"/>
                <w:noProof/>
                <w:kern w:val="2"/>
                <w:sz w:val="22"/>
                <w:szCs w:val="22"/>
                <w:lang w:val="en-US"/>
                <w14:ligatures w14:val="standardContextual"/>
              </w:rPr>
              <w:tab/>
            </w:r>
            <w:r w:rsidRPr="003272C7">
              <w:rPr>
                <w:rStyle w:val="Hyperlink"/>
                <w:rFonts w:cs="Arial"/>
                <w:noProof/>
              </w:rPr>
              <w:t>WRS13: Groundwater Assessment and Modelling</w:t>
            </w:r>
            <w:r w:rsidRPr="003272C7">
              <w:rPr>
                <w:rFonts w:cs="Arial"/>
                <w:noProof/>
              </w:rPr>
              <w:tab/>
            </w:r>
            <w:r w:rsidRPr="003272C7">
              <w:rPr>
                <w:rFonts w:cs="Arial"/>
                <w:noProof/>
              </w:rPr>
              <w:fldChar w:fldCharType="begin"/>
            </w:r>
            <w:r w:rsidRPr="003272C7">
              <w:rPr>
                <w:rFonts w:cs="Arial"/>
                <w:noProof/>
              </w:rPr>
              <w:instrText xml:space="preserve"> PAGEREF _Toc183777794 \h </w:instrText>
            </w:r>
            <w:r w:rsidRPr="003272C7">
              <w:rPr>
                <w:rFonts w:cs="Arial"/>
                <w:noProof/>
              </w:rPr>
            </w:r>
            <w:r w:rsidRPr="003272C7">
              <w:rPr>
                <w:rFonts w:cs="Arial"/>
                <w:noProof/>
              </w:rPr>
              <w:fldChar w:fldCharType="separate"/>
            </w:r>
            <w:r w:rsidR="0006141C">
              <w:rPr>
                <w:rFonts w:cs="Arial"/>
                <w:noProof/>
              </w:rPr>
              <w:t>41</w:t>
            </w:r>
            <w:r w:rsidRPr="003272C7">
              <w:rPr>
                <w:rFonts w:cs="Arial"/>
                <w:noProof/>
              </w:rPr>
              <w:fldChar w:fldCharType="end"/>
            </w:r>
          </w:hyperlink>
        </w:p>
        <w:p w14:paraId="7E9EFB8A" w14:textId="4E502F01"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5" w:history="1">
            <w:r w:rsidRPr="003272C7">
              <w:rPr>
                <w:rStyle w:val="Hyperlink"/>
                <w:rFonts w:cs="Arial"/>
                <w:noProof/>
              </w:rPr>
              <w:t>1.18</w:t>
            </w:r>
            <w:r w:rsidRPr="00623380">
              <w:rPr>
                <w:rFonts w:cs="Arial"/>
                <w:noProof/>
                <w:kern w:val="2"/>
                <w:sz w:val="22"/>
                <w:szCs w:val="22"/>
                <w:lang w:val="en-US"/>
                <w14:ligatures w14:val="standardContextual"/>
              </w:rPr>
              <w:tab/>
            </w:r>
            <w:r w:rsidRPr="003272C7">
              <w:rPr>
                <w:rStyle w:val="Hyperlink"/>
                <w:rFonts w:cs="Arial"/>
                <w:noProof/>
              </w:rPr>
              <w:t>WRS14: Surface Water and Groundwater Monitoring</w:t>
            </w:r>
            <w:r w:rsidRPr="003272C7">
              <w:rPr>
                <w:rFonts w:cs="Arial"/>
                <w:noProof/>
              </w:rPr>
              <w:tab/>
            </w:r>
            <w:r w:rsidRPr="003272C7">
              <w:rPr>
                <w:rFonts w:cs="Arial"/>
                <w:noProof/>
              </w:rPr>
              <w:fldChar w:fldCharType="begin"/>
            </w:r>
            <w:r w:rsidRPr="003272C7">
              <w:rPr>
                <w:rFonts w:cs="Arial"/>
                <w:noProof/>
              </w:rPr>
              <w:instrText xml:space="preserve"> PAGEREF _Toc183777795 \h </w:instrText>
            </w:r>
            <w:r w:rsidRPr="003272C7">
              <w:rPr>
                <w:rFonts w:cs="Arial"/>
                <w:noProof/>
              </w:rPr>
            </w:r>
            <w:r w:rsidRPr="003272C7">
              <w:rPr>
                <w:rFonts w:cs="Arial"/>
                <w:noProof/>
              </w:rPr>
              <w:fldChar w:fldCharType="separate"/>
            </w:r>
            <w:r w:rsidR="0006141C">
              <w:rPr>
                <w:rFonts w:cs="Arial"/>
                <w:noProof/>
              </w:rPr>
              <w:t>43</w:t>
            </w:r>
            <w:r w:rsidRPr="003272C7">
              <w:rPr>
                <w:rFonts w:cs="Arial"/>
                <w:noProof/>
              </w:rPr>
              <w:fldChar w:fldCharType="end"/>
            </w:r>
          </w:hyperlink>
        </w:p>
        <w:p w14:paraId="3424CB34" w14:textId="1F63ED52"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6" w:history="1">
            <w:r w:rsidRPr="003272C7">
              <w:rPr>
                <w:rStyle w:val="Hyperlink"/>
                <w:rFonts w:cs="Arial"/>
                <w:noProof/>
              </w:rPr>
              <w:t>1.19</w:t>
            </w:r>
            <w:r w:rsidRPr="00623380">
              <w:rPr>
                <w:rFonts w:cs="Arial"/>
                <w:noProof/>
                <w:kern w:val="2"/>
                <w:sz w:val="22"/>
                <w:szCs w:val="22"/>
                <w:lang w:val="en-US"/>
                <w14:ligatures w14:val="standardContextual"/>
              </w:rPr>
              <w:tab/>
            </w:r>
            <w:r w:rsidRPr="003272C7">
              <w:rPr>
                <w:rStyle w:val="Hyperlink"/>
                <w:rFonts w:cs="Arial"/>
                <w:noProof/>
              </w:rPr>
              <w:t>WRS15: Water Accounting and Reporting</w:t>
            </w:r>
            <w:r w:rsidRPr="003272C7">
              <w:rPr>
                <w:rFonts w:cs="Arial"/>
                <w:noProof/>
              </w:rPr>
              <w:tab/>
            </w:r>
            <w:r w:rsidRPr="003272C7">
              <w:rPr>
                <w:rFonts w:cs="Arial"/>
                <w:noProof/>
              </w:rPr>
              <w:fldChar w:fldCharType="begin"/>
            </w:r>
            <w:r w:rsidRPr="003272C7">
              <w:rPr>
                <w:rFonts w:cs="Arial"/>
                <w:noProof/>
              </w:rPr>
              <w:instrText xml:space="preserve"> PAGEREF _Toc183777796 \h </w:instrText>
            </w:r>
            <w:r w:rsidRPr="003272C7">
              <w:rPr>
                <w:rFonts w:cs="Arial"/>
                <w:noProof/>
              </w:rPr>
            </w:r>
            <w:r w:rsidRPr="003272C7">
              <w:rPr>
                <w:rFonts w:cs="Arial"/>
                <w:noProof/>
              </w:rPr>
              <w:fldChar w:fldCharType="separate"/>
            </w:r>
            <w:r w:rsidR="0006141C">
              <w:rPr>
                <w:rFonts w:cs="Arial"/>
                <w:noProof/>
              </w:rPr>
              <w:t>44</w:t>
            </w:r>
            <w:r w:rsidRPr="003272C7">
              <w:rPr>
                <w:rFonts w:cs="Arial"/>
                <w:noProof/>
              </w:rPr>
              <w:fldChar w:fldCharType="end"/>
            </w:r>
          </w:hyperlink>
        </w:p>
        <w:p w14:paraId="02945D4A" w14:textId="6A1DDE3B"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7" w:history="1">
            <w:r w:rsidRPr="003272C7">
              <w:rPr>
                <w:rStyle w:val="Hyperlink"/>
                <w:rFonts w:cs="Arial"/>
                <w:noProof/>
              </w:rPr>
              <w:t>1.20</w:t>
            </w:r>
            <w:r w:rsidRPr="00623380">
              <w:rPr>
                <w:rFonts w:cs="Arial"/>
                <w:noProof/>
                <w:kern w:val="2"/>
                <w:sz w:val="22"/>
                <w:szCs w:val="22"/>
                <w:lang w:val="en-US"/>
                <w14:ligatures w14:val="standardContextual"/>
              </w:rPr>
              <w:tab/>
            </w:r>
            <w:r w:rsidRPr="003272C7">
              <w:rPr>
                <w:rStyle w:val="Hyperlink"/>
                <w:rFonts w:cs="Arial"/>
                <w:noProof/>
              </w:rPr>
              <w:t>WRS16: Knowledge and Insights</w:t>
            </w:r>
            <w:r w:rsidRPr="003272C7">
              <w:rPr>
                <w:rFonts w:cs="Arial"/>
                <w:noProof/>
              </w:rPr>
              <w:tab/>
            </w:r>
            <w:r w:rsidRPr="003272C7">
              <w:rPr>
                <w:rFonts w:cs="Arial"/>
                <w:noProof/>
              </w:rPr>
              <w:fldChar w:fldCharType="begin"/>
            </w:r>
            <w:r w:rsidRPr="003272C7">
              <w:rPr>
                <w:rFonts w:cs="Arial"/>
                <w:noProof/>
              </w:rPr>
              <w:instrText xml:space="preserve"> PAGEREF _Toc183777797 \h </w:instrText>
            </w:r>
            <w:r w:rsidRPr="003272C7">
              <w:rPr>
                <w:rFonts w:cs="Arial"/>
                <w:noProof/>
              </w:rPr>
            </w:r>
            <w:r w:rsidRPr="003272C7">
              <w:rPr>
                <w:rFonts w:cs="Arial"/>
                <w:noProof/>
              </w:rPr>
              <w:fldChar w:fldCharType="separate"/>
            </w:r>
            <w:r w:rsidR="0006141C">
              <w:rPr>
                <w:rFonts w:cs="Arial"/>
                <w:noProof/>
              </w:rPr>
              <w:t>47</w:t>
            </w:r>
            <w:r w:rsidRPr="003272C7">
              <w:rPr>
                <w:rFonts w:cs="Arial"/>
                <w:noProof/>
              </w:rPr>
              <w:fldChar w:fldCharType="end"/>
            </w:r>
          </w:hyperlink>
        </w:p>
        <w:p w14:paraId="10CB99BB" w14:textId="2E358076"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8" w:history="1">
            <w:r w:rsidRPr="003272C7">
              <w:rPr>
                <w:rStyle w:val="Hyperlink"/>
                <w:rFonts w:cs="Arial"/>
                <w:noProof/>
              </w:rPr>
              <w:t>1.21</w:t>
            </w:r>
            <w:r w:rsidRPr="00623380">
              <w:rPr>
                <w:rFonts w:cs="Arial"/>
                <w:noProof/>
                <w:kern w:val="2"/>
                <w:sz w:val="22"/>
                <w:szCs w:val="22"/>
                <w:lang w:val="en-US"/>
                <w14:ligatures w14:val="standardContextual"/>
              </w:rPr>
              <w:tab/>
            </w:r>
            <w:r w:rsidRPr="003272C7">
              <w:rPr>
                <w:rStyle w:val="Hyperlink"/>
                <w:rFonts w:cs="Arial"/>
                <w:noProof/>
              </w:rPr>
              <w:t>CWCT05: Water Efficiency Program</w:t>
            </w:r>
            <w:r w:rsidRPr="003272C7">
              <w:rPr>
                <w:rFonts w:cs="Arial"/>
                <w:noProof/>
              </w:rPr>
              <w:tab/>
            </w:r>
            <w:r w:rsidRPr="003272C7">
              <w:rPr>
                <w:rFonts w:cs="Arial"/>
                <w:noProof/>
              </w:rPr>
              <w:fldChar w:fldCharType="begin"/>
            </w:r>
            <w:r w:rsidRPr="003272C7">
              <w:rPr>
                <w:rFonts w:cs="Arial"/>
                <w:noProof/>
              </w:rPr>
              <w:instrText xml:space="preserve"> PAGEREF _Toc183777798 \h </w:instrText>
            </w:r>
            <w:r w:rsidRPr="003272C7">
              <w:rPr>
                <w:rFonts w:cs="Arial"/>
                <w:noProof/>
              </w:rPr>
            </w:r>
            <w:r w:rsidRPr="003272C7">
              <w:rPr>
                <w:rFonts w:cs="Arial"/>
                <w:noProof/>
              </w:rPr>
              <w:fldChar w:fldCharType="separate"/>
            </w:r>
            <w:r w:rsidR="0006141C">
              <w:rPr>
                <w:rFonts w:cs="Arial"/>
                <w:noProof/>
              </w:rPr>
              <w:t>50</w:t>
            </w:r>
            <w:r w:rsidRPr="003272C7">
              <w:rPr>
                <w:rFonts w:cs="Arial"/>
                <w:noProof/>
              </w:rPr>
              <w:fldChar w:fldCharType="end"/>
            </w:r>
          </w:hyperlink>
        </w:p>
        <w:p w14:paraId="6DD5571A" w14:textId="417B8142"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799" w:history="1">
            <w:r w:rsidRPr="003272C7">
              <w:rPr>
                <w:rStyle w:val="Hyperlink"/>
                <w:rFonts w:cs="Arial"/>
                <w:noProof/>
              </w:rPr>
              <w:t>1.22</w:t>
            </w:r>
            <w:r w:rsidRPr="00623380">
              <w:rPr>
                <w:rFonts w:cs="Arial"/>
                <w:noProof/>
                <w:kern w:val="2"/>
                <w:sz w:val="22"/>
                <w:szCs w:val="22"/>
                <w:lang w:val="en-US"/>
                <w14:ligatures w14:val="standardContextual"/>
              </w:rPr>
              <w:tab/>
            </w:r>
            <w:r w:rsidRPr="003272C7">
              <w:rPr>
                <w:rStyle w:val="Hyperlink"/>
                <w:rFonts w:cs="Arial"/>
                <w:noProof/>
              </w:rPr>
              <w:t>SIRS1: Rural Water Infrastructure Project Oversight and Governance (also currently includes reporting on Programs funded from other sources, e.g. East Grampians Water Supply Project)</w:t>
            </w:r>
            <w:r w:rsidRPr="003272C7">
              <w:rPr>
                <w:rFonts w:cs="Arial"/>
                <w:noProof/>
              </w:rPr>
              <w:tab/>
            </w:r>
            <w:r w:rsidRPr="003272C7">
              <w:rPr>
                <w:rFonts w:cs="Arial"/>
                <w:noProof/>
              </w:rPr>
              <w:fldChar w:fldCharType="begin"/>
            </w:r>
            <w:r w:rsidRPr="003272C7">
              <w:rPr>
                <w:rFonts w:cs="Arial"/>
                <w:noProof/>
              </w:rPr>
              <w:instrText xml:space="preserve"> PAGEREF _Toc183777799 \h </w:instrText>
            </w:r>
            <w:r w:rsidRPr="003272C7">
              <w:rPr>
                <w:rFonts w:cs="Arial"/>
                <w:noProof/>
              </w:rPr>
            </w:r>
            <w:r w:rsidRPr="003272C7">
              <w:rPr>
                <w:rFonts w:cs="Arial"/>
                <w:noProof/>
              </w:rPr>
              <w:fldChar w:fldCharType="separate"/>
            </w:r>
            <w:r w:rsidR="0006141C">
              <w:rPr>
                <w:rFonts w:cs="Arial"/>
                <w:noProof/>
              </w:rPr>
              <w:t>54</w:t>
            </w:r>
            <w:r w:rsidRPr="003272C7">
              <w:rPr>
                <w:rFonts w:cs="Arial"/>
                <w:noProof/>
              </w:rPr>
              <w:fldChar w:fldCharType="end"/>
            </w:r>
          </w:hyperlink>
        </w:p>
        <w:p w14:paraId="2C7B6BD2" w14:textId="2A1F50AF"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0" w:history="1">
            <w:r w:rsidRPr="003272C7">
              <w:rPr>
                <w:rStyle w:val="Hyperlink"/>
                <w:rFonts w:cs="Arial"/>
                <w:noProof/>
              </w:rPr>
              <w:t>1.23</w:t>
            </w:r>
            <w:r w:rsidRPr="00623380">
              <w:rPr>
                <w:rFonts w:cs="Arial"/>
                <w:noProof/>
                <w:kern w:val="2"/>
                <w:sz w:val="22"/>
                <w:szCs w:val="22"/>
                <w:lang w:val="en-US"/>
                <w14:ligatures w14:val="standardContextual"/>
              </w:rPr>
              <w:tab/>
            </w:r>
            <w:r w:rsidRPr="003272C7">
              <w:rPr>
                <w:rStyle w:val="Hyperlink"/>
                <w:rFonts w:cs="Arial"/>
                <w:noProof/>
              </w:rPr>
              <w:t>SIRS2 - Sustainable Irrigation Program Implementation  - Rural Water Policy Implementation</w:t>
            </w:r>
            <w:r w:rsidRPr="003272C7">
              <w:rPr>
                <w:rFonts w:cs="Arial"/>
                <w:noProof/>
              </w:rPr>
              <w:tab/>
            </w:r>
            <w:r w:rsidRPr="003272C7">
              <w:rPr>
                <w:rFonts w:cs="Arial"/>
                <w:noProof/>
              </w:rPr>
              <w:fldChar w:fldCharType="begin"/>
            </w:r>
            <w:r w:rsidRPr="003272C7">
              <w:rPr>
                <w:rFonts w:cs="Arial"/>
                <w:noProof/>
              </w:rPr>
              <w:instrText xml:space="preserve"> PAGEREF _Toc183777800 \h </w:instrText>
            </w:r>
            <w:r w:rsidRPr="003272C7">
              <w:rPr>
                <w:rFonts w:cs="Arial"/>
                <w:noProof/>
              </w:rPr>
            </w:r>
            <w:r w:rsidRPr="003272C7">
              <w:rPr>
                <w:rFonts w:cs="Arial"/>
                <w:noProof/>
              </w:rPr>
              <w:fldChar w:fldCharType="separate"/>
            </w:r>
            <w:r w:rsidR="0006141C">
              <w:rPr>
                <w:rFonts w:cs="Arial"/>
                <w:noProof/>
              </w:rPr>
              <w:t>56</w:t>
            </w:r>
            <w:r w:rsidRPr="003272C7">
              <w:rPr>
                <w:rFonts w:cs="Arial"/>
                <w:noProof/>
              </w:rPr>
              <w:fldChar w:fldCharType="end"/>
            </w:r>
          </w:hyperlink>
        </w:p>
        <w:p w14:paraId="15E41602" w14:textId="253C7164"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1" w:history="1">
            <w:r w:rsidRPr="003272C7">
              <w:rPr>
                <w:rStyle w:val="Hyperlink"/>
                <w:rFonts w:cs="Arial"/>
                <w:noProof/>
              </w:rPr>
              <w:t>1.24</w:t>
            </w:r>
            <w:r w:rsidRPr="00623380">
              <w:rPr>
                <w:rFonts w:cs="Arial"/>
                <w:noProof/>
                <w:kern w:val="2"/>
                <w:sz w:val="22"/>
                <w:szCs w:val="22"/>
                <w:lang w:val="en-US"/>
                <w14:ligatures w14:val="standardContextual"/>
              </w:rPr>
              <w:tab/>
            </w:r>
            <w:r w:rsidRPr="003272C7">
              <w:rPr>
                <w:rStyle w:val="Hyperlink"/>
                <w:rFonts w:cs="Arial"/>
                <w:noProof/>
              </w:rPr>
              <w:t>CWCT06: Aboriginal Water Program</w:t>
            </w:r>
            <w:r w:rsidRPr="003272C7">
              <w:rPr>
                <w:rFonts w:cs="Arial"/>
                <w:noProof/>
              </w:rPr>
              <w:tab/>
            </w:r>
            <w:r w:rsidRPr="003272C7">
              <w:rPr>
                <w:rFonts w:cs="Arial"/>
                <w:noProof/>
              </w:rPr>
              <w:fldChar w:fldCharType="begin"/>
            </w:r>
            <w:r w:rsidRPr="003272C7">
              <w:rPr>
                <w:rFonts w:cs="Arial"/>
                <w:noProof/>
              </w:rPr>
              <w:instrText xml:space="preserve"> PAGEREF _Toc183777801 \h </w:instrText>
            </w:r>
            <w:r w:rsidRPr="003272C7">
              <w:rPr>
                <w:rFonts w:cs="Arial"/>
                <w:noProof/>
              </w:rPr>
            </w:r>
            <w:r w:rsidRPr="003272C7">
              <w:rPr>
                <w:rFonts w:cs="Arial"/>
                <w:noProof/>
              </w:rPr>
              <w:fldChar w:fldCharType="separate"/>
            </w:r>
            <w:r w:rsidR="0006141C">
              <w:rPr>
                <w:rFonts w:cs="Arial"/>
                <w:noProof/>
              </w:rPr>
              <w:t>60</w:t>
            </w:r>
            <w:r w:rsidRPr="003272C7">
              <w:rPr>
                <w:rFonts w:cs="Arial"/>
                <w:noProof/>
              </w:rPr>
              <w:fldChar w:fldCharType="end"/>
            </w:r>
          </w:hyperlink>
        </w:p>
        <w:p w14:paraId="6A2CFF79" w14:textId="3BEAB2F0"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2" w:history="1">
            <w:r w:rsidRPr="003272C7">
              <w:rPr>
                <w:rStyle w:val="Hyperlink"/>
                <w:rFonts w:cs="Arial"/>
                <w:noProof/>
              </w:rPr>
              <w:t>1.25</w:t>
            </w:r>
            <w:r w:rsidRPr="00623380">
              <w:rPr>
                <w:rFonts w:cs="Arial"/>
                <w:noProof/>
                <w:kern w:val="2"/>
                <w:sz w:val="22"/>
                <w:szCs w:val="22"/>
                <w:lang w:val="en-US"/>
                <w14:ligatures w14:val="standardContextual"/>
              </w:rPr>
              <w:tab/>
            </w:r>
            <w:r w:rsidRPr="003272C7">
              <w:rPr>
                <w:rStyle w:val="Hyperlink"/>
                <w:rFonts w:cs="Arial"/>
                <w:noProof/>
              </w:rPr>
              <w:t>PSP1: Water Security, Resilience and Oversight of Strategic Investments / Long-term Water Security</w:t>
            </w:r>
            <w:r w:rsidRPr="003272C7">
              <w:rPr>
                <w:rFonts w:cs="Arial"/>
                <w:noProof/>
              </w:rPr>
              <w:tab/>
            </w:r>
            <w:r w:rsidRPr="003272C7">
              <w:rPr>
                <w:rFonts w:cs="Arial"/>
                <w:noProof/>
              </w:rPr>
              <w:fldChar w:fldCharType="begin"/>
            </w:r>
            <w:r w:rsidRPr="003272C7">
              <w:rPr>
                <w:rFonts w:cs="Arial"/>
                <w:noProof/>
              </w:rPr>
              <w:instrText xml:space="preserve"> PAGEREF _Toc183777802 \h </w:instrText>
            </w:r>
            <w:r w:rsidRPr="003272C7">
              <w:rPr>
                <w:rFonts w:cs="Arial"/>
                <w:noProof/>
              </w:rPr>
            </w:r>
            <w:r w:rsidRPr="003272C7">
              <w:rPr>
                <w:rFonts w:cs="Arial"/>
                <w:noProof/>
              </w:rPr>
              <w:fldChar w:fldCharType="separate"/>
            </w:r>
            <w:r w:rsidR="0006141C">
              <w:rPr>
                <w:rFonts w:cs="Arial"/>
                <w:noProof/>
              </w:rPr>
              <w:t>64</w:t>
            </w:r>
            <w:r w:rsidRPr="003272C7">
              <w:rPr>
                <w:rFonts w:cs="Arial"/>
                <w:noProof/>
              </w:rPr>
              <w:fldChar w:fldCharType="end"/>
            </w:r>
          </w:hyperlink>
        </w:p>
        <w:p w14:paraId="5B51C05D" w14:textId="59B90AA1"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3" w:history="1">
            <w:r w:rsidRPr="003272C7">
              <w:rPr>
                <w:rStyle w:val="Hyperlink"/>
                <w:rFonts w:cs="Arial"/>
                <w:noProof/>
              </w:rPr>
              <w:t>1.26</w:t>
            </w:r>
            <w:r w:rsidRPr="00623380">
              <w:rPr>
                <w:rFonts w:cs="Arial"/>
                <w:noProof/>
                <w:kern w:val="2"/>
                <w:sz w:val="22"/>
                <w:szCs w:val="22"/>
                <w:lang w:val="en-US"/>
                <w14:ligatures w14:val="standardContextual"/>
              </w:rPr>
              <w:tab/>
            </w:r>
            <w:r w:rsidRPr="003272C7">
              <w:rPr>
                <w:rStyle w:val="Hyperlink"/>
                <w:rFonts w:cs="Arial"/>
                <w:noProof/>
              </w:rPr>
              <w:t>PSP2: Sustainable Water Strategies (renamed from Central and Gippsland Region Sustainable Water Strategy)</w:t>
            </w:r>
            <w:r w:rsidRPr="003272C7">
              <w:rPr>
                <w:rFonts w:cs="Arial"/>
                <w:noProof/>
              </w:rPr>
              <w:tab/>
            </w:r>
            <w:r w:rsidRPr="003272C7">
              <w:rPr>
                <w:rFonts w:cs="Arial"/>
                <w:noProof/>
              </w:rPr>
              <w:fldChar w:fldCharType="begin"/>
            </w:r>
            <w:r w:rsidRPr="003272C7">
              <w:rPr>
                <w:rFonts w:cs="Arial"/>
                <w:noProof/>
              </w:rPr>
              <w:instrText xml:space="preserve"> PAGEREF _Toc183777803 \h </w:instrText>
            </w:r>
            <w:r w:rsidRPr="003272C7">
              <w:rPr>
                <w:rFonts w:cs="Arial"/>
                <w:noProof/>
              </w:rPr>
            </w:r>
            <w:r w:rsidRPr="003272C7">
              <w:rPr>
                <w:rFonts w:cs="Arial"/>
                <w:noProof/>
              </w:rPr>
              <w:fldChar w:fldCharType="separate"/>
            </w:r>
            <w:r w:rsidR="0006141C">
              <w:rPr>
                <w:rFonts w:cs="Arial"/>
                <w:noProof/>
              </w:rPr>
              <w:t>67</w:t>
            </w:r>
            <w:r w:rsidRPr="003272C7">
              <w:rPr>
                <w:rFonts w:cs="Arial"/>
                <w:noProof/>
              </w:rPr>
              <w:fldChar w:fldCharType="end"/>
            </w:r>
          </w:hyperlink>
        </w:p>
        <w:p w14:paraId="6A4D8FD7" w14:textId="78635ECA"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4" w:history="1">
            <w:r w:rsidRPr="003272C7">
              <w:rPr>
                <w:rStyle w:val="Hyperlink"/>
                <w:rFonts w:cs="Arial"/>
                <w:noProof/>
              </w:rPr>
              <w:t>1.27</w:t>
            </w:r>
            <w:r w:rsidRPr="00623380">
              <w:rPr>
                <w:rFonts w:cs="Arial"/>
                <w:noProof/>
                <w:kern w:val="2"/>
                <w:sz w:val="22"/>
                <w:szCs w:val="22"/>
                <w:lang w:val="en-US"/>
                <w14:ligatures w14:val="standardContextual"/>
              </w:rPr>
              <w:tab/>
            </w:r>
            <w:r w:rsidRPr="003272C7">
              <w:rPr>
                <w:rStyle w:val="Hyperlink"/>
                <w:rFonts w:cs="Arial"/>
                <w:noProof/>
              </w:rPr>
              <w:t>PSP3: Mitigating the Risks of Small Dams</w:t>
            </w:r>
            <w:r w:rsidRPr="003272C7">
              <w:rPr>
                <w:rFonts w:cs="Arial"/>
                <w:noProof/>
              </w:rPr>
              <w:tab/>
            </w:r>
            <w:r w:rsidRPr="003272C7">
              <w:rPr>
                <w:rFonts w:cs="Arial"/>
                <w:noProof/>
              </w:rPr>
              <w:fldChar w:fldCharType="begin"/>
            </w:r>
            <w:r w:rsidRPr="003272C7">
              <w:rPr>
                <w:rFonts w:cs="Arial"/>
                <w:noProof/>
              </w:rPr>
              <w:instrText xml:space="preserve"> PAGEREF _Toc183777804 \h </w:instrText>
            </w:r>
            <w:r w:rsidRPr="003272C7">
              <w:rPr>
                <w:rFonts w:cs="Arial"/>
                <w:noProof/>
              </w:rPr>
            </w:r>
            <w:r w:rsidRPr="003272C7">
              <w:rPr>
                <w:rFonts w:cs="Arial"/>
                <w:noProof/>
              </w:rPr>
              <w:fldChar w:fldCharType="separate"/>
            </w:r>
            <w:r w:rsidR="0006141C">
              <w:rPr>
                <w:rFonts w:cs="Arial"/>
                <w:noProof/>
              </w:rPr>
              <w:t>69</w:t>
            </w:r>
            <w:r w:rsidRPr="003272C7">
              <w:rPr>
                <w:rFonts w:cs="Arial"/>
                <w:noProof/>
              </w:rPr>
              <w:fldChar w:fldCharType="end"/>
            </w:r>
          </w:hyperlink>
        </w:p>
        <w:p w14:paraId="3C942610" w14:textId="695938B0"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5" w:history="1">
            <w:r w:rsidRPr="003272C7">
              <w:rPr>
                <w:rStyle w:val="Hyperlink"/>
                <w:rFonts w:cs="Arial"/>
                <w:noProof/>
              </w:rPr>
              <w:t>1.28</w:t>
            </w:r>
            <w:r w:rsidRPr="00623380">
              <w:rPr>
                <w:rFonts w:cs="Arial"/>
                <w:noProof/>
                <w:kern w:val="2"/>
                <w:sz w:val="22"/>
                <w:szCs w:val="22"/>
                <w:lang w:val="en-US"/>
                <w14:ligatures w14:val="standardContextual"/>
              </w:rPr>
              <w:tab/>
            </w:r>
            <w:r w:rsidRPr="003272C7">
              <w:rPr>
                <w:rStyle w:val="Hyperlink"/>
                <w:rFonts w:cs="Arial"/>
                <w:noProof/>
              </w:rPr>
              <w:t>CWCT07: CGRSWS Funding Stream 2 Diversify Water Sources and Increase Water Efficiency</w:t>
            </w:r>
            <w:r w:rsidRPr="003272C7">
              <w:rPr>
                <w:rFonts w:cs="Arial"/>
                <w:noProof/>
              </w:rPr>
              <w:tab/>
            </w:r>
            <w:r w:rsidRPr="003272C7">
              <w:rPr>
                <w:rFonts w:cs="Arial"/>
                <w:noProof/>
              </w:rPr>
              <w:fldChar w:fldCharType="begin"/>
            </w:r>
            <w:r w:rsidRPr="003272C7">
              <w:rPr>
                <w:rFonts w:cs="Arial"/>
                <w:noProof/>
              </w:rPr>
              <w:instrText xml:space="preserve"> PAGEREF _Toc183777805 \h </w:instrText>
            </w:r>
            <w:r w:rsidRPr="003272C7">
              <w:rPr>
                <w:rFonts w:cs="Arial"/>
                <w:noProof/>
              </w:rPr>
            </w:r>
            <w:r w:rsidRPr="003272C7">
              <w:rPr>
                <w:rFonts w:cs="Arial"/>
                <w:noProof/>
              </w:rPr>
              <w:fldChar w:fldCharType="separate"/>
            </w:r>
            <w:r w:rsidR="0006141C">
              <w:rPr>
                <w:rFonts w:cs="Arial"/>
                <w:noProof/>
              </w:rPr>
              <w:t>71</w:t>
            </w:r>
            <w:r w:rsidRPr="003272C7">
              <w:rPr>
                <w:rFonts w:cs="Arial"/>
                <w:noProof/>
              </w:rPr>
              <w:fldChar w:fldCharType="end"/>
            </w:r>
          </w:hyperlink>
        </w:p>
        <w:p w14:paraId="1A85106D" w14:textId="2A3C5A56"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6" w:history="1">
            <w:r w:rsidRPr="003272C7">
              <w:rPr>
                <w:rStyle w:val="Hyperlink"/>
                <w:rFonts w:cs="Arial"/>
                <w:noProof/>
              </w:rPr>
              <w:t>1.29</w:t>
            </w:r>
            <w:r w:rsidRPr="00623380">
              <w:rPr>
                <w:rFonts w:cs="Arial"/>
                <w:noProof/>
                <w:kern w:val="2"/>
                <w:sz w:val="22"/>
                <w:szCs w:val="22"/>
                <w:lang w:val="en-US"/>
                <w14:ligatures w14:val="standardContextual"/>
              </w:rPr>
              <w:tab/>
            </w:r>
            <w:r w:rsidRPr="003272C7">
              <w:rPr>
                <w:rStyle w:val="Hyperlink"/>
                <w:rFonts w:cs="Arial"/>
                <w:noProof/>
              </w:rPr>
              <w:t>CWCT08: CGRSWS Funding Stream 3 Waterway Health Complementary Measures and Catchment Management Improvement</w:t>
            </w:r>
            <w:r w:rsidRPr="003272C7">
              <w:rPr>
                <w:rFonts w:cs="Arial"/>
                <w:noProof/>
              </w:rPr>
              <w:tab/>
            </w:r>
            <w:r w:rsidRPr="003272C7">
              <w:rPr>
                <w:rFonts w:cs="Arial"/>
                <w:noProof/>
              </w:rPr>
              <w:fldChar w:fldCharType="begin"/>
            </w:r>
            <w:r w:rsidRPr="003272C7">
              <w:rPr>
                <w:rFonts w:cs="Arial"/>
                <w:noProof/>
              </w:rPr>
              <w:instrText xml:space="preserve"> PAGEREF _Toc183777806 \h </w:instrText>
            </w:r>
            <w:r w:rsidRPr="003272C7">
              <w:rPr>
                <w:rFonts w:cs="Arial"/>
                <w:noProof/>
              </w:rPr>
            </w:r>
            <w:r w:rsidRPr="003272C7">
              <w:rPr>
                <w:rFonts w:cs="Arial"/>
                <w:noProof/>
              </w:rPr>
              <w:fldChar w:fldCharType="separate"/>
            </w:r>
            <w:r w:rsidR="0006141C">
              <w:rPr>
                <w:rFonts w:cs="Arial"/>
                <w:noProof/>
              </w:rPr>
              <w:t>74</w:t>
            </w:r>
            <w:r w:rsidRPr="003272C7">
              <w:rPr>
                <w:rFonts w:cs="Arial"/>
                <w:noProof/>
              </w:rPr>
              <w:fldChar w:fldCharType="end"/>
            </w:r>
          </w:hyperlink>
        </w:p>
        <w:p w14:paraId="7DD3EC8D" w14:textId="1EA35FF9"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7" w:history="1">
            <w:r w:rsidRPr="003272C7">
              <w:rPr>
                <w:rStyle w:val="Hyperlink"/>
                <w:rFonts w:cs="Arial"/>
                <w:noProof/>
              </w:rPr>
              <w:t>1.30</w:t>
            </w:r>
            <w:r w:rsidRPr="00623380">
              <w:rPr>
                <w:rFonts w:cs="Arial"/>
                <w:noProof/>
                <w:kern w:val="2"/>
                <w:sz w:val="22"/>
                <w:szCs w:val="22"/>
                <w:lang w:val="en-US"/>
                <w14:ligatures w14:val="standardContextual"/>
              </w:rPr>
              <w:tab/>
            </w:r>
            <w:r w:rsidRPr="003272C7">
              <w:rPr>
                <w:rStyle w:val="Hyperlink"/>
                <w:rFonts w:cs="Arial"/>
                <w:noProof/>
              </w:rPr>
              <w:t>PSP4: CGRSWS Funding Stream 4 Enable Adaptation to a Variable Climate</w:t>
            </w:r>
            <w:r w:rsidRPr="003272C7">
              <w:rPr>
                <w:rFonts w:cs="Arial"/>
                <w:noProof/>
              </w:rPr>
              <w:tab/>
            </w:r>
            <w:r w:rsidRPr="003272C7">
              <w:rPr>
                <w:rFonts w:cs="Arial"/>
                <w:noProof/>
              </w:rPr>
              <w:fldChar w:fldCharType="begin"/>
            </w:r>
            <w:r w:rsidRPr="003272C7">
              <w:rPr>
                <w:rFonts w:cs="Arial"/>
                <w:noProof/>
              </w:rPr>
              <w:instrText xml:space="preserve"> PAGEREF _Toc183777807 \h </w:instrText>
            </w:r>
            <w:r w:rsidRPr="003272C7">
              <w:rPr>
                <w:rFonts w:cs="Arial"/>
                <w:noProof/>
              </w:rPr>
            </w:r>
            <w:r w:rsidRPr="003272C7">
              <w:rPr>
                <w:rFonts w:cs="Arial"/>
                <w:noProof/>
              </w:rPr>
              <w:fldChar w:fldCharType="separate"/>
            </w:r>
            <w:r w:rsidR="0006141C">
              <w:rPr>
                <w:rFonts w:cs="Arial"/>
                <w:noProof/>
              </w:rPr>
              <w:t>77</w:t>
            </w:r>
            <w:r w:rsidRPr="003272C7">
              <w:rPr>
                <w:rFonts w:cs="Arial"/>
                <w:noProof/>
              </w:rPr>
              <w:fldChar w:fldCharType="end"/>
            </w:r>
          </w:hyperlink>
        </w:p>
        <w:p w14:paraId="4626DDF3" w14:textId="787ACADC"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8" w:history="1">
            <w:r w:rsidRPr="003272C7">
              <w:rPr>
                <w:rStyle w:val="Hyperlink"/>
                <w:rFonts w:cs="Arial"/>
                <w:noProof/>
              </w:rPr>
              <w:t>1.31</w:t>
            </w:r>
            <w:r w:rsidRPr="00623380">
              <w:rPr>
                <w:rFonts w:cs="Arial"/>
                <w:noProof/>
                <w:kern w:val="2"/>
                <w:sz w:val="22"/>
                <w:szCs w:val="22"/>
                <w:lang w:val="en-US"/>
                <w14:ligatures w14:val="standardContextual"/>
              </w:rPr>
              <w:tab/>
            </w:r>
            <w:r w:rsidRPr="003272C7">
              <w:rPr>
                <w:rStyle w:val="Hyperlink"/>
                <w:rFonts w:cs="Arial"/>
                <w:noProof/>
              </w:rPr>
              <w:t>SIRS3: Building Flood Resilience in Victoria</w:t>
            </w:r>
            <w:r w:rsidRPr="003272C7">
              <w:rPr>
                <w:rFonts w:cs="Arial"/>
                <w:noProof/>
              </w:rPr>
              <w:tab/>
            </w:r>
            <w:r w:rsidRPr="003272C7">
              <w:rPr>
                <w:rFonts w:cs="Arial"/>
                <w:noProof/>
              </w:rPr>
              <w:fldChar w:fldCharType="begin"/>
            </w:r>
            <w:r w:rsidRPr="003272C7">
              <w:rPr>
                <w:rFonts w:cs="Arial"/>
                <w:noProof/>
              </w:rPr>
              <w:instrText xml:space="preserve"> PAGEREF _Toc183777808 \h </w:instrText>
            </w:r>
            <w:r w:rsidRPr="003272C7">
              <w:rPr>
                <w:rFonts w:cs="Arial"/>
                <w:noProof/>
              </w:rPr>
            </w:r>
            <w:r w:rsidRPr="003272C7">
              <w:rPr>
                <w:rFonts w:cs="Arial"/>
                <w:noProof/>
              </w:rPr>
              <w:fldChar w:fldCharType="separate"/>
            </w:r>
            <w:r w:rsidR="0006141C">
              <w:rPr>
                <w:rFonts w:cs="Arial"/>
                <w:noProof/>
              </w:rPr>
              <w:t>80</w:t>
            </w:r>
            <w:r w:rsidRPr="003272C7">
              <w:rPr>
                <w:rFonts w:cs="Arial"/>
                <w:noProof/>
              </w:rPr>
              <w:fldChar w:fldCharType="end"/>
            </w:r>
          </w:hyperlink>
        </w:p>
        <w:p w14:paraId="5C1D8F83" w14:textId="4192A138"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09" w:history="1">
            <w:r w:rsidRPr="003272C7">
              <w:rPr>
                <w:rStyle w:val="Hyperlink"/>
                <w:rFonts w:cs="Arial"/>
                <w:noProof/>
              </w:rPr>
              <w:t>1.32</w:t>
            </w:r>
            <w:r w:rsidRPr="00623380">
              <w:rPr>
                <w:rFonts w:cs="Arial"/>
                <w:noProof/>
                <w:kern w:val="2"/>
                <w:sz w:val="22"/>
                <w:szCs w:val="22"/>
                <w:lang w:val="en-US"/>
                <w14:ligatures w14:val="standardContextual"/>
              </w:rPr>
              <w:tab/>
            </w:r>
            <w:r w:rsidRPr="003272C7">
              <w:rPr>
                <w:rStyle w:val="Hyperlink"/>
                <w:rFonts w:cs="Arial"/>
                <w:noProof/>
              </w:rPr>
              <w:t>SIRS4: Central Bendigo Mine Rehabilitation Project - Groundwater</w:t>
            </w:r>
            <w:r w:rsidRPr="003272C7">
              <w:rPr>
                <w:rFonts w:cs="Arial"/>
                <w:noProof/>
              </w:rPr>
              <w:tab/>
            </w:r>
            <w:r w:rsidRPr="003272C7">
              <w:rPr>
                <w:rFonts w:cs="Arial"/>
                <w:noProof/>
              </w:rPr>
              <w:fldChar w:fldCharType="begin"/>
            </w:r>
            <w:r w:rsidRPr="003272C7">
              <w:rPr>
                <w:rFonts w:cs="Arial"/>
                <w:noProof/>
              </w:rPr>
              <w:instrText xml:space="preserve"> PAGEREF _Toc183777809 \h </w:instrText>
            </w:r>
            <w:r w:rsidRPr="003272C7">
              <w:rPr>
                <w:rFonts w:cs="Arial"/>
                <w:noProof/>
              </w:rPr>
            </w:r>
            <w:r w:rsidRPr="003272C7">
              <w:rPr>
                <w:rFonts w:cs="Arial"/>
                <w:noProof/>
              </w:rPr>
              <w:fldChar w:fldCharType="separate"/>
            </w:r>
            <w:r w:rsidR="0006141C">
              <w:rPr>
                <w:rFonts w:cs="Arial"/>
                <w:noProof/>
              </w:rPr>
              <w:t>83</w:t>
            </w:r>
            <w:r w:rsidRPr="003272C7">
              <w:rPr>
                <w:rFonts w:cs="Arial"/>
                <w:noProof/>
              </w:rPr>
              <w:fldChar w:fldCharType="end"/>
            </w:r>
          </w:hyperlink>
        </w:p>
        <w:p w14:paraId="7517856E" w14:textId="74F42C22"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0" w:history="1">
            <w:r w:rsidRPr="003272C7">
              <w:rPr>
                <w:rStyle w:val="Hyperlink"/>
                <w:rFonts w:cs="Arial"/>
                <w:noProof/>
              </w:rPr>
              <w:t>1.33</w:t>
            </w:r>
            <w:r w:rsidRPr="00623380">
              <w:rPr>
                <w:rFonts w:cs="Arial"/>
                <w:noProof/>
                <w:kern w:val="2"/>
                <w:sz w:val="22"/>
                <w:szCs w:val="22"/>
                <w:lang w:val="en-US"/>
                <w14:ligatures w14:val="standardContextual"/>
              </w:rPr>
              <w:tab/>
            </w:r>
            <w:r w:rsidRPr="003272C7">
              <w:rPr>
                <w:rStyle w:val="Hyperlink"/>
                <w:rFonts w:cs="Arial"/>
                <w:noProof/>
              </w:rPr>
              <w:t>CWCT09: Waterway Health</w:t>
            </w:r>
            <w:r w:rsidRPr="003272C7">
              <w:rPr>
                <w:rFonts w:cs="Arial"/>
                <w:noProof/>
              </w:rPr>
              <w:tab/>
            </w:r>
            <w:r w:rsidRPr="003272C7">
              <w:rPr>
                <w:rFonts w:cs="Arial"/>
                <w:noProof/>
              </w:rPr>
              <w:fldChar w:fldCharType="begin"/>
            </w:r>
            <w:r w:rsidRPr="003272C7">
              <w:rPr>
                <w:rFonts w:cs="Arial"/>
                <w:noProof/>
              </w:rPr>
              <w:instrText xml:space="preserve"> PAGEREF _Toc183777810 \h </w:instrText>
            </w:r>
            <w:r w:rsidRPr="003272C7">
              <w:rPr>
                <w:rFonts w:cs="Arial"/>
                <w:noProof/>
              </w:rPr>
            </w:r>
            <w:r w:rsidRPr="003272C7">
              <w:rPr>
                <w:rFonts w:cs="Arial"/>
                <w:noProof/>
              </w:rPr>
              <w:fldChar w:fldCharType="separate"/>
            </w:r>
            <w:r w:rsidR="0006141C">
              <w:rPr>
                <w:rFonts w:cs="Arial"/>
                <w:noProof/>
              </w:rPr>
              <w:t>86</w:t>
            </w:r>
            <w:r w:rsidRPr="003272C7">
              <w:rPr>
                <w:rFonts w:cs="Arial"/>
                <w:noProof/>
              </w:rPr>
              <w:fldChar w:fldCharType="end"/>
            </w:r>
          </w:hyperlink>
        </w:p>
        <w:p w14:paraId="2266BBEF" w14:textId="0880AB10"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1" w:history="1">
            <w:r w:rsidRPr="003272C7">
              <w:rPr>
                <w:rStyle w:val="Hyperlink"/>
                <w:rFonts w:cs="Arial"/>
                <w:noProof/>
              </w:rPr>
              <w:t>1.34</w:t>
            </w:r>
            <w:r w:rsidRPr="00623380">
              <w:rPr>
                <w:rFonts w:cs="Arial"/>
                <w:noProof/>
                <w:kern w:val="2"/>
                <w:sz w:val="22"/>
                <w:szCs w:val="22"/>
                <w:lang w:val="en-US"/>
                <w14:ligatures w14:val="standardContextual"/>
              </w:rPr>
              <w:tab/>
            </w:r>
            <w:r w:rsidRPr="003272C7">
              <w:rPr>
                <w:rStyle w:val="Hyperlink"/>
                <w:rFonts w:cs="Arial"/>
                <w:noProof/>
              </w:rPr>
              <w:t>CWCT10: Environmental Water</w:t>
            </w:r>
            <w:r w:rsidRPr="003272C7">
              <w:rPr>
                <w:rFonts w:cs="Arial"/>
                <w:noProof/>
              </w:rPr>
              <w:tab/>
            </w:r>
            <w:r w:rsidRPr="003272C7">
              <w:rPr>
                <w:rFonts w:cs="Arial"/>
                <w:noProof/>
              </w:rPr>
              <w:fldChar w:fldCharType="begin"/>
            </w:r>
            <w:r w:rsidRPr="003272C7">
              <w:rPr>
                <w:rFonts w:cs="Arial"/>
                <w:noProof/>
              </w:rPr>
              <w:instrText xml:space="preserve"> PAGEREF _Toc183777811 \h </w:instrText>
            </w:r>
            <w:r w:rsidRPr="003272C7">
              <w:rPr>
                <w:rFonts w:cs="Arial"/>
                <w:noProof/>
              </w:rPr>
            </w:r>
            <w:r w:rsidRPr="003272C7">
              <w:rPr>
                <w:rFonts w:cs="Arial"/>
                <w:noProof/>
              </w:rPr>
              <w:fldChar w:fldCharType="separate"/>
            </w:r>
            <w:r w:rsidR="0006141C">
              <w:rPr>
                <w:rFonts w:cs="Arial"/>
                <w:noProof/>
              </w:rPr>
              <w:t>90</w:t>
            </w:r>
            <w:r w:rsidRPr="003272C7">
              <w:rPr>
                <w:rFonts w:cs="Arial"/>
                <w:noProof/>
              </w:rPr>
              <w:fldChar w:fldCharType="end"/>
            </w:r>
          </w:hyperlink>
        </w:p>
        <w:p w14:paraId="5A4473C0" w14:textId="6F1ECE93"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2" w:history="1">
            <w:r w:rsidRPr="003272C7">
              <w:rPr>
                <w:rStyle w:val="Hyperlink"/>
                <w:rFonts w:cs="Arial"/>
                <w:noProof/>
              </w:rPr>
              <w:t>1.35</w:t>
            </w:r>
            <w:r w:rsidRPr="00623380">
              <w:rPr>
                <w:rFonts w:cs="Arial"/>
                <w:noProof/>
                <w:kern w:val="2"/>
                <w:sz w:val="22"/>
                <w:szCs w:val="22"/>
                <w:lang w:val="en-US"/>
                <w14:ligatures w14:val="standardContextual"/>
              </w:rPr>
              <w:tab/>
            </w:r>
            <w:r w:rsidRPr="003272C7">
              <w:rPr>
                <w:rStyle w:val="Hyperlink"/>
                <w:rFonts w:cs="Arial"/>
                <w:noProof/>
              </w:rPr>
              <w:t>SIRS6: Murray Programs</w:t>
            </w:r>
            <w:r w:rsidRPr="003272C7">
              <w:rPr>
                <w:rFonts w:cs="Arial"/>
                <w:noProof/>
              </w:rPr>
              <w:tab/>
            </w:r>
            <w:r w:rsidRPr="003272C7">
              <w:rPr>
                <w:rFonts w:cs="Arial"/>
                <w:noProof/>
              </w:rPr>
              <w:fldChar w:fldCharType="begin"/>
            </w:r>
            <w:r w:rsidRPr="003272C7">
              <w:rPr>
                <w:rFonts w:cs="Arial"/>
                <w:noProof/>
              </w:rPr>
              <w:instrText xml:space="preserve"> PAGEREF _Toc183777812 \h </w:instrText>
            </w:r>
            <w:r w:rsidRPr="003272C7">
              <w:rPr>
                <w:rFonts w:cs="Arial"/>
                <w:noProof/>
              </w:rPr>
            </w:r>
            <w:r w:rsidRPr="003272C7">
              <w:rPr>
                <w:rFonts w:cs="Arial"/>
                <w:noProof/>
              </w:rPr>
              <w:fldChar w:fldCharType="separate"/>
            </w:r>
            <w:r w:rsidR="0006141C">
              <w:rPr>
                <w:rFonts w:cs="Arial"/>
                <w:noProof/>
              </w:rPr>
              <w:t>94</w:t>
            </w:r>
            <w:r w:rsidRPr="003272C7">
              <w:rPr>
                <w:rFonts w:cs="Arial"/>
                <w:noProof/>
              </w:rPr>
              <w:fldChar w:fldCharType="end"/>
            </w:r>
          </w:hyperlink>
        </w:p>
        <w:p w14:paraId="0F1961DF" w14:textId="5980B13B"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3" w:history="1">
            <w:r w:rsidRPr="003272C7">
              <w:rPr>
                <w:rStyle w:val="Hyperlink"/>
                <w:rFonts w:cs="Arial"/>
                <w:noProof/>
              </w:rPr>
              <w:t>1.36</w:t>
            </w:r>
            <w:r w:rsidRPr="00623380">
              <w:rPr>
                <w:rFonts w:cs="Arial"/>
                <w:noProof/>
                <w:kern w:val="2"/>
                <w:sz w:val="22"/>
                <w:szCs w:val="22"/>
                <w:lang w:val="en-US"/>
                <w14:ligatures w14:val="standardContextual"/>
              </w:rPr>
              <w:tab/>
            </w:r>
            <w:r w:rsidRPr="003272C7">
              <w:rPr>
                <w:rStyle w:val="Hyperlink"/>
                <w:rFonts w:cs="Arial"/>
                <w:noProof/>
              </w:rPr>
              <w:t>CWCT11: Our Catchments Our Communities Program</w:t>
            </w:r>
            <w:r w:rsidRPr="003272C7">
              <w:rPr>
                <w:rFonts w:cs="Arial"/>
                <w:noProof/>
              </w:rPr>
              <w:tab/>
            </w:r>
            <w:r w:rsidRPr="003272C7">
              <w:rPr>
                <w:rFonts w:cs="Arial"/>
                <w:noProof/>
              </w:rPr>
              <w:fldChar w:fldCharType="begin"/>
            </w:r>
            <w:r w:rsidRPr="003272C7">
              <w:rPr>
                <w:rFonts w:cs="Arial"/>
                <w:noProof/>
              </w:rPr>
              <w:instrText xml:space="preserve"> PAGEREF _Toc183777813 \h </w:instrText>
            </w:r>
            <w:r w:rsidRPr="003272C7">
              <w:rPr>
                <w:rFonts w:cs="Arial"/>
                <w:noProof/>
              </w:rPr>
            </w:r>
            <w:r w:rsidRPr="003272C7">
              <w:rPr>
                <w:rFonts w:cs="Arial"/>
                <w:noProof/>
              </w:rPr>
              <w:fldChar w:fldCharType="separate"/>
            </w:r>
            <w:r w:rsidR="0006141C">
              <w:rPr>
                <w:rFonts w:cs="Arial"/>
                <w:noProof/>
              </w:rPr>
              <w:t>96</w:t>
            </w:r>
            <w:r w:rsidRPr="003272C7">
              <w:rPr>
                <w:rFonts w:cs="Arial"/>
                <w:noProof/>
              </w:rPr>
              <w:fldChar w:fldCharType="end"/>
            </w:r>
          </w:hyperlink>
        </w:p>
        <w:p w14:paraId="5BCC68AC" w14:textId="013BBD83"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4" w:history="1">
            <w:r w:rsidRPr="003272C7">
              <w:rPr>
                <w:rStyle w:val="Hyperlink"/>
                <w:rFonts w:cs="Arial"/>
                <w:noProof/>
              </w:rPr>
              <w:t>1.37</w:t>
            </w:r>
            <w:r w:rsidRPr="00623380">
              <w:rPr>
                <w:rFonts w:cs="Arial"/>
                <w:noProof/>
                <w:kern w:val="2"/>
                <w:sz w:val="22"/>
                <w:szCs w:val="22"/>
                <w:lang w:val="en-US"/>
                <w14:ligatures w14:val="standardContextual"/>
              </w:rPr>
              <w:tab/>
            </w:r>
            <w:r w:rsidRPr="003272C7">
              <w:rPr>
                <w:rStyle w:val="Hyperlink"/>
                <w:rFonts w:cs="Arial"/>
                <w:noProof/>
              </w:rPr>
              <w:t>SIRS5: Macalister Irrigation District Modernisation Project – Phase 2</w:t>
            </w:r>
            <w:r w:rsidRPr="003272C7">
              <w:rPr>
                <w:rFonts w:cs="Arial"/>
                <w:noProof/>
              </w:rPr>
              <w:tab/>
            </w:r>
            <w:r w:rsidRPr="003272C7">
              <w:rPr>
                <w:rFonts w:cs="Arial"/>
                <w:noProof/>
              </w:rPr>
              <w:fldChar w:fldCharType="begin"/>
            </w:r>
            <w:r w:rsidRPr="003272C7">
              <w:rPr>
                <w:rFonts w:cs="Arial"/>
                <w:noProof/>
              </w:rPr>
              <w:instrText xml:space="preserve"> PAGEREF _Toc183777814 \h </w:instrText>
            </w:r>
            <w:r w:rsidRPr="003272C7">
              <w:rPr>
                <w:rFonts w:cs="Arial"/>
                <w:noProof/>
              </w:rPr>
            </w:r>
            <w:r w:rsidRPr="003272C7">
              <w:rPr>
                <w:rFonts w:cs="Arial"/>
                <w:noProof/>
              </w:rPr>
              <w:fldChar w:fldCharType="separate"/>
            </w:r>
            <w:r w:rsidR="0006141C">
              <w:rPr>
                <w:rFonts w:cs="Arial"/>
                <w:noProof/>
              </w:rPr>
              <w:t>98</w:t>
            </w:r>
            <w:r w:rsidRPr="003272C7">
              <w:rPr>
                <w:rFonts w:cs="Arial"/>
                <w:noProof/>
              </w:rPr>
              <w:fldChar w:fldCharType="end"/>
            </w:r>
          </w:hyperlink>
        </w:p>
        <w:p w14:paraId="4BD88552" w14:textId="57B185CA" w:rsidR="00F70FDC" w:rsidRPr="00623380" w:rsidRDefault="00F70FDC">
          <w:pPr>
            <w:pStyle w:val="TOC2"/>
            <w:tabs>
              <w:tab w:val="left" w:pos="1701"/>
              <w:tab w:val="right" w:leader="dot" w:pos="9628"/>
            </w:tabs>
            <w:rPr>
              <w:rFonts w:cs="Arial"/>
              <w:noProof/>
              <w:kern w:val="2"/>
              <w:sz w:val="22"/>
              <w:szCs w:val="22"/>
              <w:lang w:val="en-US"/>
              <w14:ligatures w14:val="standardContextual"/>
            </w:rPr>
          </w:pPr>
          <w:hyperlink w:anchor="_Toc183777815" w:history="1">
            <w:r w:rsidRPr="003272C7">
              <w:rPr>
                <w:rStyle w:val="Hyperlink"/>
                <w:rFonts w:cs="Arial"/>
                <w:noProof/>
              </w:rPr>
              <w:t>1.38</w:t>
            </w:r>
            <w:r w:rsidRPr="00623380">
              <w:rPr>
                <w:rFonts w:cs="Arial"/>
                <w:noProof/>
                <w:kern w:val="2"/>
                <w:sz w:val="22"/>
                <w:szCs w:val="22"/>
                <w:lang w:val="en-US"/>
                <w14:ligatures w14:val="standardContextual"/>
              </w:rPr>
              <w:tab/>
            </w:r>
            <w:r w:rsidRPr="003272C7">
              <w:rPr>
                <w:rStyle w:val="Hyperlink"/>
                <w:rFonts w:cs="Arial"/>
                <w:noProof/>
              </w:rPr>
              <w:t>WRS19: Resilient Water Markets, Regional Communities and Infrastructure (Stream 1 and 2)</w:t>
            </w:r>
            <w:r w:rsidRPr="003272C7">
              <w:rPr>
                <w:rFonts w:cs="Arial"/>
                <w:noProof/>
              </w:rPr>
              <w:tab/>
            </w:r>
            <w:r w:rsidRPr="003272C7">
              <w:rPr>
                <w:rFonts w:cs="Arial"/>
                <w:noProof/>
              </w:rPr>
              <w:fldChar w:fldCharType="begin"/>
            </w:r>
            <w:r w:rsidRPr="003272C7">
              <w:rPr>
                <w:rFonts w:cs="Arial"/>
                <w:noProof/>
              </w:rPr>
              <w:instrText xml:space="preserve"> PAGEREF _Toc183777815 \h </w:instrText>
            </w:r>
            <w:r w:rsidRPr="003272C7">
              <w:rPr>
                <w:rFonts w:cs="Arial"/>
                <w:noProof/>
              </w:rPr>
            </w:r>
            <w:r w:rsidRPr="003272C7">
              <w:rPr>
                <w:rFonts w:cs="Arial"/>
                <w:noProof/>
              </w:rPr>
              <w:fldChar w:fldCharType="separate"/>
            </w:r>
            <w:r w:rsidR="0006141C">
              <w:rPr>
                <w:rFonts w:cs="Arial"/>
                <w:noProof/>
              </w:rPr>
              <w:t>101</w:t>
            </w:r>
            <w:r w:rsidRPr="003272C7">
              <w:rPr>
                <w:rFonts w:cs="Arial"/>
                <w:noProof/>
              </w:rPr>
              <w:fldChar w:fldCharType="end"/>
            </w:r>
          </w:hyperlink>
        </w:p>
        <w:p w14:paraId="053A0931" w14:textId="4C7F77C6" w:rsidR="008606D5" w:rsidRPr="003272C7" w:rsidRDefault="008606D5" w:rsidP="00C06DED">
          <w:pPr>
            <w:rPr>
              <w:rFonts w:cs="Arial"/>
            </w:rPr>
          </w:pPr>
          <w:r w:rsidRPr="003272C7">
            <w:rPr>
              <w:rFonts w:cs="Arial"/>
            </w:rPr>
            <w:fldChar w:fldCharType="end"/>
          </w:r>
        </w:p>
        <w:p w14:paraId="1E7F48F0" w14:textId="77777777" w:rsidR="0020292F" w:rsidRPr="003272C7" w:rsidRDefault="00000000" w:rsidP="0020292F">
          <w:pPr>
            <w:rPr>
              <w:rFonts w:cs="Arial"/>
            </w:rPr>
          </w:pPr>
        </w:p>
      </w:sdtContent>
    </w:sdt>
    <w:p w14:paraId="064069DC" w14:textId="77777777" w:rsidR="00FD3520" w:rsidRPr="003272C7" w:rsidRDefault="00FD3520" w:rsidP="00B46F37">
      <w:pPr>
        <w:rPr>
          <w:rFonts w:cs="Arial"/>
        </w:rPr>
      </w:pPr>
    </w:p>
    <w:p w14:paraId="622C8073" w14:textId="77777777" w:rsidR="00C61A1D" w:rsidRPr="003272C7" w:rsidRDefault="00C61A1D" w:rsidP="008A4CEE">
      <w:pPr>
        <w:pStyle w:val="BodyText"/>
        <w:rPr>
          <w:rFonts w:cs="Arial"/>
        </w:rPr>
        <w:sectPr w:rsidR="00C61A1D" w:rsidRPr="003272C7" w:rsidSect="00C61A1D">
          <w:pgSz w:w="11906" w:h="16838" w:code="9"/>
          <w:pgMar w:top="1134" w:right="1134" w:bottom="567" w:left="1134" w:header="567" w:footer="0" w:gutter="0"/>
          <w:pgNumType w:fmt="lowerRoman"/>
          <w:cols w:space="720"/>
          <w:docGrid w:linePitch="360"/>
        </w:sectPr>
      </w:pPr>
      <w:bookmarkStart w:id="1" w:name="_Toc42856228"/>
      <w:bookmarkStart w:id="2" w:name="_Toc42856071"/>
      <w:bookmarkStart w:id="3" w:name="_Toc41900238"/>
      <w:bookmarkStart w:id="4" w:name="_Toc41573219"/>
      <w:bookmarkEnd w:id="0"/>
    </w:p>
    <w:p w14:paraId="4584CC53" w14:textId="77777777" w:rsidR="00B242C3" w:rsidRPr="003272C7" w:rsidRDefault="00B242C3" w:rsidP="00B242C3">
      <w:pPr>
        <w:pStyle w:val="Heading2"/>
        <w:rPr>
          <w:rFonts w:cs="Arial"/>
        </w:rPr>
      </w:pPr>
      <w:bookmarkStart w:id="5" w:name="_Toc147410770"/>
      <w:bookmarkStart w:id="6" w:name="_Toc183777778"/>
      <w:bookmarkEnd w:id="1"/>
      <w:bookmarkEnd w:id="2"/>
      <w:bookmarkEnd w:id="3"/>
      <w:bookmarkEnd w:id="4"/>
      <w:r w:rsidRPr="003272C7">
        <w:rPr>
          <w:rFonts w:cs="Arial"/>
        </w:rPr>
        <w:lastRenderedPageBreak/>
        <w:t>CWCT01: Integrated Water Management (includes both Regional and Metro)</w:t>
      </w:r>
      <w:bookmarkEnd w:id="5"/>
      <w:bookmarkEnd w:id="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006B2D1C" w14:textId="77777777" w:rsidTr="009E0DB2">
        <w:trPr>
          <w:trHeight w:val="395"/>
        </w:trPr>
        <w:tc>
          <w:tcPr>
            <w:tcW w:w="979" w:type="pct"/>
            <w:shd w:val="clear" w:color="auto" w:fill="231EDC" w:themeFill="accent1"/>
          </w:tcPr>
          <w:p w14:paraId="129F6B9D" w14:textId="6C3E8547" w:rsidR="008A16DA" w:rsidRPr="003272C7" w:rsidRDefault="00C412A9" w:rsidP="008E12E9">
            <w:pPr>
              <w:pStyle w:val="TableHeading"/>
              <w:rPr>
                <w:rFonts w:cs="Arial"/>
              </w:rPr>
            </w:pPr>
            <w:r w:rsidRPr="003272C7">
              <w:rPr>
                <w:rFonts w:cs="Arial"/>
              </w:rPr>
              <w:t>Initiative</w:t>
            </w:r>
          </w:p>
        </w:tc>
        <w:tc>
          <w:tcPr>
            <w:tcW w:w="4021" w:type="pct"/>
            <w:shd w:val="clear" w:color="auto" w:fill="231EDC" w:themeFill="accent1"/>
          </w:tcPr>
          <w:p w14:paraId="08F02940" w14:textId="77777777" w:rsidR="00B242C3" w:rsidRPr="003272C7" w:rsidRDefault="00B242C3" w:rsidP="008E12E9">
            <w:pPr>
              <w:pStyle w:val="TableHeading"/>
              <w:rPr>
                <w:rFonts w:cs="Arial"/>
              </w:rPr>
            </w:pPr>
            <w:r w:rsidRPr="003272C7">
              <w:rPr>
                <w:rFonts w:cs="Arial"/>
              </w:rPr>
              <w:t>1. Enhancing urban water security, iconic urban waterways and recreational water</w:t>
            </w:r>
          </w:p>
        </w:tc>
      </w:tr>
      <w:tr w:rsidR="00B242C3" w:rsidRPr="003272C7" w14:paraId="306D8EA4" w14:textId="77777777" w:rsidTr="009E0DB2">
        <w:trPr>
          <w:trHeight w:val="259"/>
        </w:trPr>
        <w:tc>
          <w:tcPr>
            <w:tcW w:w="979" w:type="pct"/>
            <w:shd w:val="clear" w:color="auto" w:fill="231EDC" w:themeFill="accent1"/>
          </w:tcPr>
          <w:p w14:paraId="2AAE28C5" w14:textId="77777777" w:rsidR="00B242C3" w:rsidRPr="003272C7" w:rsidRDefault="00B242C3" w:rsidP="008E12E9">
            <w:pPr>
              <w:pStyle w:val="TableText"/>
              <w:rPr>
                <w:rFonts w:cs="Arial"/>
                <w:b/>
                <w:bCs/>
              </w:rPr>
            </w:pPr>
            <w:r w:rsidRPr="003272C7">
              <w:rPr>
                <w:rFonts w:cs="Arial"/>
                <w:b/>
                <w:bCs/>
              </w:rPr>
              <w:t>Project</w:t>
            </w:r>
          </w:p>
        </w:tc>
        <w:tc>
          <w:tcPr>
            <w:tcW w:w="4021" w:type="pct"/>
          </w:tcPr>
          <w:p w14:paraId="765EDDBD" w14:textId="0E2B0C5E" w:rsidR="00B242C3" w:rsidRPr="003272C7" w:rsidRDefault="00B242C3" w:rsidP="002C04AB">
            <w:pPr>
              <w:pStyle w:val="TableText"/>
              <w:rPr>
                <w:rFonts w:cs="Arial"/>
              </w:rPr>
            </w:pPr>
            <w:r w:rsidRPr="003272C7">
              <w:rPr>
                <w:rFonts w:cs="Arial"/>
              </w:rPr>
              <w:t xml:space="preserve">CWCT01: Integrated Water Management (includes both </w:t>
            </w:r>
            <w:r w:rsidR="00D8647D" w:rsidRPr="003272C7">
              <w:rPr>
                <w:rFonts w:cs="Arial"/>
              </w:rPr>
              <w:t xml:space="preserve">regional </w:t>
            </w:r>
            <w:r w:rsidRPr="003272C7">
              <w:rPr>
                <w:rFonts w:cs="Arial"/>
              </w:rPr>
              <w:t xml:space="preserve">and </w:t>
            </w:r>
            <w:r w:rsidR="00D8647D" w:rsidRPr="003272C7">
              <w:rPr>
                <w:rFonts w:cs="Arial"/>
              </w:rPr>
              <w:t>metro</w:t>
            </w:r>
            <w:r w:rsidRPr="003272C7">
              <w:rPr>
                <w:rFonts w:cs="Arial"/>
              </w:rPr>
              <w:t>)</w:t>
            </w:r>
          </w:p>
        </w:tc>
      </w:tr>
      <w:tr w:rsidR="00B242C3" w:rsidRPr="003272C7" w14:paraId="31D790D7" w14:textId="77777777" w:rsidTr="009E0DB2">
        <w:trPr>
          <w:trHeight w:val="259"/>
        </w:trPr>
        <w:tc>
          <w:tcPr>
            <w:tcW w:w="979" w:type="pct"/>
            <w:shd w:val="clear" w:color="auto" w:fill="231EDC" w:themeFill="accent1"/>
          </w:tcPr>
          <w:p w14:paraId="7605E5E4" w14:textId="77777777" w:rsidR="00B242C3" w:rsidRPr="003272C7" w:rsidRDefault="00B242C3" w:rsidP="008E12E9">
            <w:pPr>
              <w:pStyle w:val="TableText"/>
              <w:rPr>
                <w:rFonts w:cs="Arial"/>
                <w:b/>
                <w:bCs/>
              </w:rPr>
            </w:pPr>
            <w:r w:rsidRPr="003272C7">
              <w:rPr>
                <w:rFonts w:cs="Arial"/>
                <w:b/>
                <w:bCs/>
              </w:rPr>
              <w:t>Description</w:t>
            </w:r>
          </w:p>
          <w:p w14:paraId="5B51647F" w14:textId="77777777" w:rsidR="00B242C3" w:rsidRPr="003272C7" w:rsidRDefault="00B242C3" w:rsidP="008E12E9">
            <w:pPr>
              <w:pStyle w:val="TableText"/>
              <w:rPr>
                <w:rFonts w:cs="Arial"/>
                <w:b/>
                <w:bCs/>
              </w:rPr>
            </w:pPr>
          </w:p>
        </w:tc>
        <w:tc>
          <w:tcPr>
            <w:tcW w:w="4021" w:type="pct"/>
          </w:tcPr>
          <w:p w14:paraId="2FDCD428" w14:textId="77777777" w:rsidR="00142559" w:rsidRPr="003272C7" w:rsidRDefault="00B242C3" w:rsidP="008E12E9">
            <w:pPr>
              <w:pStyle w:val="TableText"/>
              <w:rPr>
                <w:rFonts w:cs="Arial"/>
              </w:rPr>
            </w:pPr>
            <w:r w:rsidRPr="003272C7">
              <w:rPr>
                <w:rFonts w:cs="Arial"/>
              </w:rPr>
              <w:t xml:space="preserve">This </w:t>
            </w:r>
            <w:r w:rsidR="00445736" w:rsidRPr="003272C7">
              <w:rPr>
                <w:rFonts w:cs="Arial"/>
              </w:rPr>
              <w:t>project</w:t>
            </w:r>
            <w:r w:rsidRPr="003272C7">
              <w:rPr>
                <w:rFonts w:cs="Arial"/>
              </w:rPr>
              <w:t xml:space="preserve"> seeks to address reduced water security and environmental impacts from discharge of harmful wastewater and stormwater from urban settings through:</w:t>
            </w:r>
          </w:p>
          <w:p w14:paraId="18B474CE" w14:textId="57FA13F7" w:rsidR="00B242C3" w:rsidRPr="003272C7" w:rsidRDefault="00B242C3" w:rsidP="002C04AB">
            <w:pPr>
              <w:pStyle w:val="TableNumber"/>
              <w:rPr>
                <w:rFonts w:cs="Arial"/>
              </w:rPr>
            </w:pPr>
            <w:r w:rsidRPr="003272C7">
              <w:rPr>
                <w:rFonts w:cs="Arial"/>
              </w:rPr>
              <w:t xml:space="preserve">Providing the </w:t>
            </w:r>
            <w:r w:rsidR="00D8647D" w:rsidRPr="003272C7">
              <w:rPr>
                <w:rFonts w:cs="Arial"/>
              </w:rPr>
              <w:t>Integrated Water Management (</w:t>
            </w:r>
            <w:r w:rsidRPr="003272C7">
              <w:rPr>
                <w:rFonts w:cs="Arial"/>
              </w:rPr>
              <w:t>IWM</w:t>
            </w:r>
            <w:r w:rsidR="00D8647D" w:rsidRPr="003272C7">
              <w:rPr>
                <w:rFonts w:cs="Arial"/>
              </w:rPr>
              <w:t>)</w:t>
            </w:r>
            <w:r w:rsidRPr="003272C7">
              <w:rPr>
                <w:rFonts w:cs="Arial"/>
              </w:rPr>
              <w:t xml:space="preserve"> Forums as a collaborative platform to facilitate the identification, assessment, and implementation of IWM</w:t>
            </w:r>
            <w:r w:rsidR="002C04AB" w:rsidRPr="003272C7">
              <w:rPr>
                <w:rFonts w:cs="Arial"/>
              </w:rPr>
              <w:t> </w:t>
            </w:r>
            <w:r w:rsidRPr="003272C7">
              <w:rPr>
                <w:rFonts w:cs="Arial"/>
              </w:rPr>
              <w:t>solutions</w:t>
            </w:r>
            <w:r w:rsidR="00D8647D" w:rsidRPr="003272C7">
              <w:rPr>
                <w:rFonts w:cs="Arial"/>
              </w:rPr>
              <w:t>.</w:t>
            </w:r>
          </w:p>
          <w:p w14:paraId="5DF1AEAB" w14:textId="15D7407B" w:rsidR="00B242C3" w:rsidRPr="003272C7" w:rsidRDefault="00B242C3" w:rsidP="002C04AB">
            <w:pPr>
              <w:pStyle w:val="TableNumber"/>
              <w:rPr>
                <w:rFonts w:cs="Arial"/>
              </w:rPr>
            </w:pPr>
            <w:r w:rsidRPr="003272C7">
              <w:rPr>
                <w:rFonts w:cs="Arial"/>
              </w:rPr>
              <w:t>Supporting policy reforms and capacity building to facilitate solution planning and</w:t>
            </w:r>
            <w:r w:rsidR="002C04AB" w:rsidRPr="003272C7">
              <w:rPr>
                <w:rFonts w:cs="Arial"/>
              </w:rPr>
              <w:t> </w:t>
            </w:r>
            <w:r w:rsidRPr="003272C7">
              <w:rPr>
                <w:rFonts w:cs="Arial"/>
              </w:rPr>
              <w:t>implementation</w:t>
            </w:r>
            <w:r w:rsidR="00D8647D" w:rsidRPr="003272C7">
              <w:rPr>
                <w:rFonts w:cs="Arial"/>
              </w:rPr>
              <w:t>.</w:t>
            </w:r>
          </w:p>
          <w:p w14:paraId="1BC6B9EE" w14:textId="3A4D17DF" w:rsidR="00B242C3" w:rsidRPr="003272C7" w:rsidRDefault="00B242C3" w:rsidP="002C04AB">
            <w:pPr>
              <w:pStyle w:val="TableNumber"/>
              <w:rPr>
                <w:rFonts w:cs="Arial"/>
              </w:rPr>
            </w:pPr>
            <w:r w:rsidRPr="003272C7">
              <w:rPr>
                <w:rFonts w:cs="Arial"/>
              </w:rPr>
              <w:t xml:space="preserve">Co-investment </w:t>
            </w:r>
            <w:r w:rsidR="007A2196" w:rsidRPr="003272C7">
              <w:rPr>
                <w:rFonts w:cs="Arial"/>
              </w:rPr>
              <w:t>p</w:t>
            </w:r>
            <w:r w:rsidRPr="003272C7">
              <w:rPr>
                <w:rFonts w:cs="Arial"/>
              </w:rPr>
              <w:t>rogram to facilitate the implementation of IWM solutions</w:t>
            </w:r>
            <w:r w:rsidR="00D8647D" w:rsidRPr="003272C7">
              <w:rPr>
                <w:rFonts w:cs="Arial"/>
              </w:rPr>
              <w:t>.</w:t>
            </w:r>
          </w:p>
        </w:tc>
      </w:tr>
      <w:tr w:rsidR="00B242C3" w:rsidRPr="003272C7" w14:paraId="736AA319" w14:textId="77777777" w:rsidTr="009E0DB2">
        <w:trPr>
          <w:trHeight w:val="259"/>
        </w:trPr>
        <w:tc>
          <w:tcPr>
            <w:tcW w:w="979" w:type="pct"/>
            <w:shd w:val="clear" w:color="auto" w:fill="231EDC" w:themeFill="accent1"/>
          </w:tcPr>
          <w:p w14:paraId="35DC567B" w14:textId="77777777" w:rsidR="00B242C3" w:rsidRPr="003272C7" w:rsidRDefault="00B242C3" w:rsidP="008E12E9">
            <w:pPr>
              <w:pStyle w:val="TableText"/>
              <w:rPr>
                <w:rFonts w:cs="Arial"/>
                <w:b/>
                <w:bCs/>
              </w:rPr>
            </w:pPr>
            <w:r w:rsidRPr="003272C7">
              <w:rPr>
                <w:rFonts w:cs="Arial"/>
                <w:b/>
                <w:bCs/>
              </w:rPr>
              <w:t>Outputs</w:t>
            </w:r>
          </w:p>
        </w:tc>
        <w:tc>
          <w:tcPr>
            <w:tcW w:w="4021" w:type="pct"/>
          </w:tcPr>
          <w:p w14:paraId="60EE865F" w14:textId="602D0D33" w:rsidR="00B242C3" w:rsidRPr="003272C7" w:rsidRDefault="00B242C3" w:rsidP="008102B3">
            <w:pPr>
              <w:pStyle w:val="TableBullet"/>
              <w:rPr>
                <w:rFonts w:cs="Arial"/>
              </w:rPr>
            </w:pPr>
            <w:r w:rsidRPr="003272C7">
              <w:rPr>
                <w:rFonts w:cs="Arial"/>
              </w:rPr>
              <w:t xml:space="preserve">15 functioning IWM Forums with a priority list of actions and </w:t>
            </w:r>
            <w:r w:rsidR="0000237B" w:rsidRPr="003272C7">
              <w:rPr>
                <w:rFonts w:cs="Arial"/>
              </w:rPr>
              <w:t xml:space="preserve">most regional forums with </w:t>
            </w:r>
            <w:r w:rsidRPr="003272C7">
              <w:rPr>
                <w:rFonts w:cs="Arial"/>
              </w:rPr>
              <w:t xml:space="preserve">a </w:t>
            </w:r>
            <w:r w:rsidR="0000237B" w:rsidRPr="003272C7">
              <w:rPr>
                <w:rFonts w:cs="Arial"/>
              </w:rPr>
              <w:t>refreshed</w:t>
            </w:r>
            <w:r w:rsidRPr="003272C7">
              <w:rPr>
                <w:rFonts w:cs="Arial"/>
              </w:rPr>
              <w:t xml:space="preserve"> strategic direction statement and Catchment Scale IWM Plans for the 5 </w:t>
            </w:r>
            <w:r w:rsidR="007A2196" w:rsidRPr="003272C7">
              <w:rPr>
                <w:rFonts w:cs="Arial"/>
              </w:rPr>
              <w:t>m</w:t>
            </w:r>
            <w:r w:rsidRPr="003272C7">
              <w:rPr>
                <w:rFonts w:cs="Arial"/>
              </w:rPr>
              <w:t>etro forums</w:t>
            </w:r>
            <w:r w:rsidR="007A2196" w:rsidRPr="003272C7">
              <w:rPr>
                <w:rFonts w:cs="Arial"/>
              </w:rPr>
              <w:t>.</w:t>
            </w:r>
          </w:p>
          <w:p w14:paraId="39A5D49C" w14:textId="67363241" w:rsidR="00B242C3" w:rsidRPr="003272C7" w:rsidRDefault="00B242C3" w:rsidP="008102B3">
            <w:pPr>
              <w:pStyle w:val="TableBullet"/>
              <w:rPr>
                <w:rFonts w:cs="Arial"/>
              </w:rPr>
            </w:pPr>
            <w:r w:rsidRPr="003272C7">
              <w:rPr>
                <w:rFonts w:cs="Arial"/>
              </w:rPr>
              <w:t>$14.</w:t>
            </w:r>
            <w:r w:rsidR="00F1319F" w:rsidRPr="003272C7">
              <w:rPr>
                <w:rFonts w:cs="Arial"/>
              </w:rPr>
              <w:t>8</w:t>
            </w:r>
            <w:r w:rsidRPr="003272C7">
              <w:rPr>
                <w:rFonts w:cs="Arial"/>
              </w:rPr>
              <w:t xml:space="preserve"> million co-invested in 5</w:t>
            </w:r>
            <w:r w:rsidR="00F1319F" w:rsidRPr="003272C7">
              <w:rPr>
                <w:rFonts w:cs="Arial"/>
              </w:rPr>
              <w:t>2</w:t>
            </w:r>
            <w:r w:rsidRPr="003272C7">
              <w:rPr>
                <w:rFonts w:cs="Arial"/>
              </w:rPr>
              <w:t xml:space="preserve"> IWM projects including:</w:t>
            </w:r>
          </w:p>
          <w:p w14:paraId="29DA464E" w14:textId="224EDC4B" w:rsidR="00B242C3" w:rsidRPr="003272C7" w:rsidRDefault="00D8647D" w:rsidP="008102B3">
            <w:pPr>
              <w:pStyle w:val="TableBullet2"/>
              <w:rPr>
                <w:rFonts w:cs="Arial"/>
              </w:rPr>
            </w:pPr>
            <w:r w:rsidRPr="003272C7">
              <w:rPr>
                <w:rFonts w:cs="Arial"/>
              </w:rPr>
              <w:t>C</w:t>
            </w:r>
            <w:r w:rsidR="00B242C3" w:rsidRPr="003272C7">
              <w:rPr>
                <w:rFonts w:cs="Arial"/>
              </w:rPr>
              <w:t xml:space="preserve">apital works for 3 stormwater harvesting systems, </w:t>
            </w:r>
            <w:r w:rsidR="00F1319F" w:rsidRPr="003272C7">
              <w:rPr>
                <w:rFonts w:cs="Arial"/>
              </w:rPr>
              <w:t>4</w:t>
            </w:r>
            <w:r w:rsidR="00B242C3" w:rsidRPr="003272C7">
              <w:rPr>
                <w:rFonts w:cs="Arial"/>
              </w:rPr>
              <w:t xml:space="preserve"> recycled water schemes and 2 rainwater harvesting systems</w:t>
            </w:r>
            <w:r w:rsidR="007A2196" w:rsidRPr="003272C7">
              <w:rPr>
                <w:rFonts w:cs="Arial"/>
              </w:rPr>
              <w:t>.</w:t>
            </w:r>
          </w:p>
          <w:p w14:paraId="229271F1" w14:textId="655DD069" w:rsidR="00F1319F" w:rsidRPr="003272C7" w:rsidRDefault="00D8647D" w:rsidP="008102B3">
            <w:pPr>
              <w:pStyle w:val="TableBullet2"/>
              <w:rPr>
                <w:rFonts w:cs="Arial"/>
              </w:rPr>
            </w:pPr>
            <w:r w:rsidRPr="003272C7">
              <w:rPr>
                <w:rFonts w:cs="Arial"/>
              </w:rPr>
              <w:t>C</w:t>
            </w:r>
            <w:r w:rsidR="00F1319F" w:rsidRPr="003272C7">
              <w:rPr>
                <w:rFonts w:cs="Arial"/>
              </w:rPr>
              <w:t>onstruction of 1 wetland and improvement works to 4 wetlands to capture and treat stormwater to support ecological health of waterways</w:t>
            </w:r>
            <w:r w:rsidR="007A2196" w:rsidRPr="003272C7">
              <w:rPr>
                <w:rFonts w:cs="Arial"/>
              </w:rPr>
              <w:t>.</w:t>
            </w:r>
          </w:p>
          <w:p w14:paraId="673FB98C" w14:textId="470EE57D" w:rsidR="00F1319F" w:rsidRPr="003272C7" w:rsidRDefault="00D8647D" w:rsidP="008102B3">
            <w:pPr>
              <w:pStyle w:val="TableBullet2"/>
              <w:rPr>
                <w:rFonts w:cs="Arial"/>
              </w:rPr>
            </w:pPr>
            <w:r w:rsidRPr="003272C7">
              <w:rPr>
                <w:rFonts w:cs="Arial"/>
              </w:rPr>
              <w:t>N</w:t>
            </w:r>
            <w:r w:rsidR="00F1319F" w:rsidRPr="003272C7">
              <w:rPr>
                <w:rFonts w:cs="Arial"/>
              </w:rPr>
              <w:t>aturalisation and ecological restoration works to 2.45</w:t>
            </w:r>
            <w:r w:rsidR="007A2196" w:rsidRPr="003272C7">
              <w:rPr>
                <w:rFonts w:cs="Arial"/>
              </w:rPr>
              <w:t xml:space="preserve"> </w:t>
            </w:r>
            <w:r w:rsidR="00F1319F" w:rsidRPr="003272C7">
              <w:rPr>
                <w:rFonts w:cs="Arial"/>
              </w:rPr>
              <w:t>km of creek line</w:t>
            </w:r>
            <w:r w:rsidR="007A2196" w:rsidRPr="003272C7">
              <w:rPr>
                <w:rFonts w:cs="Arial"/>
              </w:rPr>
              <w:t>.</w:t>
            </w:r>
          </w:p>
          <w:p w14:paraId="35C7EBD0" w14:textId="69349AED" w:rsidR="00B242C3" w:rsidRPr="003272C7" w:rsidRDefault="00D8647D" w:rsidP="008102B3">
            <w:pPr>
              <w:pStyle w:val="TableBullet2"/>
              <w:rPr>
                <w:rFonts w:cs="Arial"/>
              </w:rPr>
            </w:pPr>
            <w:r w:rsidRPr="003272C7">
              <w:rPr>
                <w:rFonts w:cs="Arial"/>
              </w:rPr>
              <w:t>Seven</w:t>
            </w:r>
            <w:r w:rsidR="00B242C3" w:rsidRPr="003272C7">
              <w:rPr>
                <w:rFonts w:cs="Arial"/>
              </w:rPr>
              <w:t xml:space="preserve"> </w:t>
            </w:r>
            <w:r w:rsidR="007A2196" w:rsidRPr="003272C7">
              <w:rPr>
                <w:rFonts w:cs="Arial"/>
              </w:rPr>
              <w:t>place based</w:t>
            </w:r>
            <w:r w:rsidR="00B242C3" w:rsidRPr="003272C7">
              <w:rPr>
                <w:rFonts w:cs="Arial"/>
              </w:rPr>
              <w:t xml:space="preserve"> IWM plans</w:t>
            </w:r>
            <w:r w:rsidR="007A2196" w:rsidRPr="003272C7">
              <w:rPr>
                <w:rFonts w:cs="Arial"/>
              </w:rPr>
              <w:t>.</w:t>
            </w:r>
          </w:p>
          <w:p w14:paraId="51AE5D5C" w14:textId="5C0F842D" w:rsidR="00B242C3" w:rsidRPr="003272C7" w:rsidRDefault="00D8647D" w:rsidP="008102B3">
            <w:pPr>
              <w:pStyle w:val="TableBullet2"/>
              <w:rPr>
                <w:rFonts w:cs="Arial"/>
              </w:rPr>
            </w:pPr>
            <w:r w:rsidRPr="003272C7">
              <w:rPr>
                <w:rFonts w:cs="Arial"/>
              </w:rPr>
              <w:t>Eight</w:t>
            </w:r>
            <w:r w:rsidR="00B242C3" w:rsidRPr="003272C7">
              <w:rPr>
                <w:rFonts w:cs="Arial"/>
              </w:rPr>
              <w:t xml:space="preserve"> detailed designs for alternative water projects</w:t>
            </w:r>
            <w:r w:rsidR="007A2196" w:rsidRPr="003272C7">
              <w:rPr>
                <w:rFonts w:cs="Arial"/>
              </w:rPr>
              <w:t>.</w:t>
            </w:r>
          </w:p>
          <w:p w14:paraId="29406140" w14:textId="490D423C" w:rsidR="00B242C3" w:rsidRPr="003272C7" w:rsidRDefault="007A2196" w:rsidP="008102B3">
            <w:pPr>
              <w:pStyle w:val="TableBullet2"/>
              <w:rPr>
                <w:rFonts w:cs="Arial"/>
              </w:rPr>
            </w:pPr>
            <w:r w:rsidRPr="003272C7">
              <w:rPr>
                <w:rFonts w:cs="Arial"/>
              </w:rPr>
              <w:t>Fourteen Traditional</w:t>
            </w:r>
            <w:r w:rsidR="00B242C3" w:rsidRPr="003272C7">
              <w:rPr>
                <w:rFonts w:cs="Arial"/>
              </w:rPr>
              <w:t xml:space="preserve"> Owner led IWM projects.</w:t>
            </w:r>
          </w:p>
          <w:p w14:paraId="749684A4" w14:textId="77777777" w:rsidR="00142559" w:rsidRPr="003272C7" w:rsidRDefault="00B242C3" w:rsidP="008102B3">
            <w:pPr>
              <w:pStyle w:val="TableBullet"/>
              <w:rPr>
                <w:rFonts w:cs="Arial"/>
              </w:rPr>
            </w:pPr>
            <w:r w:rsidRPr="003272C7">
              <w:rPr>
                <w:rFonts w:cs="Arial"/>
              </w:rPr>
              <w:t>Development and support to relevant policy reforms</w:t>
            </w:r>
            <w:r w:rsidR="007A2196" w:rsidRPr="003272C7">
              <w:rPr>
                <w:rFonts w:cs="Arial"/>
              </w:rPr>
              <w:t>.</w:t>
            </w:r>
          </w:p>
          <w:p w14:paraId="0BE5368E" w14:textId="49664CA0" w:rsidR="00B242C3" w:rsidRPr="003272C7" w:rsidRDefault="00B242C3" w:rsidP="008102B3">
            <w:pPr>
              <w:pStyle w:val="TableBullet"/>
              <w:rPr>
                <w:rFonts w:cs="Arial"/>
              </w:rPr>
            </w:pPr>
            <w:r w:rsidRPr="003272C7">
              <w:rPr>
                <w:rFonts w:cs="Arial"/>
              </w:rPr>
              <w:t>Capacity building</w:t>
            </w:r>
            <w:r w:rsidR="007A2196" w:rsidRPr="003272C7">
              <w:rPr>
                <w:rFonts w:cs="Arial"/>
              </w:rPr>
              <w:t>.</w:t>
            </w:r>
          </w:p>
        </w:tc>
      </w:tr>
      <w:tr w:rsidR="00B242C3" w:rsidRPr="003272C7" w14:paraId="6352F7C9" w14:textId="77777777" w:rsidTr="00035D7F">
        <w:trPr>
          <w:trHeight w:val="259"/>
        </w:trPr>
        <w:tc>
          <w:tcPr>
            <w:tcW w:w="5000" w:type="pct"/>
            <w:gridSpan w:val="2"/>
            <w:shd w:val="clear" w:color="auto" w:fill="231EDC" w:themeFill="accent1"/>
          </w:tcPr>
          <w:p w14:paraId="5CFFFB27" w14:textId="77777777" w:rsidR="00B242C3" w:rsidRPr="003272C7" w:rsidRDefault="00B242C3" w:rsidP="00E40751">
            <w:pPr>
              <w:pStyle w:val="TableText"/>
              <w:rPr>
                <w:rFonts w:cs="Arial"/>
                <w:b/>
                <w:bCs/>
              </w:rPr>
            </w:pPr>
            <w:r w:rsidRPr="003272C7">
              <w:rPr>
                <w:rFonts w:cs="Arial"/>
                <w:b/>
                <w:bCs/>
              </w:rPr>
              <w:t>Summary against evaluation domains</w:t>
            </w:r>
          </w:p>
        </w:tc>
      </w:tr>
      <w:tr w:rsidR="00B242C3" w:rsidRPr="003272C7" w14:paraId="7C745E97" w14:textId="77777777" w:rsidTr="009E0DB2">
        <w:trPr>
          <w:trHeight w:val="259"/>
        </w:trPr>
        <w:tc>
          <w:tcPr>
            <w:tcW w:w="979" w:type="pct"/>
            <w:shd w:val="clear" w:color="auto" w:fill="231EDC" w:themeFill="accent1"/>
          </w:tcPr>
          <w:p w14:paraId="00F8B416" w14:textId="77777777" w:rsidR="00B242C3" w:rsidRPr="003272C7" w:rsidRDefault="00B242C3" w:rsidP="008E12E9">
            <w:pPr>
              <w:pStyle w:val="TableText"/>
              <w:rPr>
                <w:rFonts w:cs="Arial"/>
                <w:b/>
                <w:bCs/>
              </w:rPr>
            </w:pPr>
            <w:r w:rsidRPr="003272C7">
              <w:rPr>
                <w:rFonts w:cs="Arial"/>
                <w:b/>
                <w:bCs/>
              </w:rPr>
              <w:t>Impact</w:t>
            </w:r>
          </w:p>
        </w:tc>
        <w:tc>
          <w:tcPr>
            <w:tcW w:w="4021" w:type="pct"/>
          </w:tcPr>
          <w:p w14:paraId="7A871DF9" w14:textId="77777777" w:rsidR="00142559" w:rsidRPr="003272C7" w:rsidRDefault="00B242C3" w:rsidP="00E40751">
            <w:pPr>
              <w:pStyle w:val="TableText"/>
              <w:rPr>
                <w:rFonts w:cs="Arial"/>
              </w:rPr>
            </w:pPr>
            <w:r w:rsidRPr="003272C7">
              <w:rPr>
                <w:rFonts w:cs="Arial"/>
              </w:rPr>
              <w:t xml:space="preserve">While there is some variability in the maturity of the </w:t>
            </w:r>
            <w:r w:rsidR="007A2196" w:rsidRPr="003272C7">
              <w:rPr>
                <w:rFonts w:cs="Arial"/>
              </w:rPr>
              <w:t xml:space="preserve">project </w:t>
            </w:r>
            <w:r w:rsidRPr="003272C7">
              <w:rPr>
                <w:rFonts w:cs="Arial"/>
              </w:rPr>
              <w:t xml:space="preserve">across metropolitan and regional areas of the State, the </w:t>
            </w:r>
            <w:r w:rsidR="007A2196" w:rsidRPr="003272C7">
              <w:rPr>
                <w:rFonts w:cs="Arial"/>
              </w:rPr>
              <w:t xml:space="preserve">project </w:t>
            </w:r>
            <w:r w:rsidRPr="003272C7">
              <w:rPr>
                <w:rFonts w:cs="Arial"/>
              </w:rPr>
              <w:t>has maintained the necessary foundations for putting IWM as business-as-usual water management practice in cities and towns and has generally achieved the intended medium-term outcomes</w:t>
            </w:r>
            <w:r w:rsidRPr="003272C7">
              <w:rPr>
                <w:rFonts w:cs="Arial"/>
                <w:vertAlign w:val="superscript"/>
              </w:rPr>
              <w:footnoteReference w:id="2"/>
            </w:r>
            <w:r w:rsidRPr="003272C7">
              <w:rPr>
                <w:rFonts w:cs="Arial"/>
              </w:rPr>
              <w:t>.</w:t>
            </w:r>
          </w:p>
          <w:p w14:paraId="60217034" w14:textId="0F779B22" w:rsidR="00B242C3" w:rsidRPr="003272C7" w:rsidRDefault="00B242C3" w:rsidP="00E40751">
            <w:pPr>
              <w:pStyle w:val="TableText"/>
              <w:rPr>
                <w:rFonts w:cs="Arial"/>
                <w:color w:val="5AE6FF" w:themeColor="accent3"/>
                <w:lang w:eastAsia="en-AU"/>
              </w:rPr>
            </w:pPr>
            <w:r w:rsidRPr="003272C7">
              <w:rPr>
                <w:rFonts w:cs="Arial"/>
              </w:rPr>
              <w:t>Key evidence includes</w:t>
            </w:r>
            <w:r w:rsidRPr="003272C7">
              <w:rPr>
                <w:rFonts w:cs="Arial"/>
                <w:lang w:eastAsia="en-AU"/>
              </w:rPr>
              <w:t>:</w:t>
            </w:r>
          </w:p>
          <w:p w14:paraId="7DDA6E47" w14:textId="77777777" w:rsidR="00B242C3" w:rsidRPr="003272C7" w:rsidRDefault="00B242C3" w:rsidP="0043317E">
            <w:pPr>
              <w:pStyle w:val="TableBullet"/>
              <w:rPr>
                <w:rFonts w:cs="Arial"/>
              </w:rPr>
            </w:pPr>
            <w:r w:rsidRPr="003272C7">
              <w:rPr>
                <w:rFonts w:cs="Arial"/>
              </w:rPr>
              <w:t>priority projects have moved from the planning stage into the delivery stage; there is action ‘on-the-ground’</w:t>
            </w:r>
          </w:p>
          <w:p w14:paraId="3FC59AF8" w14:textId="7DE57CFE" w:rsidR="00B242C3" w:rsidRPr="003272C7" w:rsidRDefault="00B242C3" w:rsidP="0043317E">
            <w:pPr>
              <w:pStyle w:val="TableBullet"/>
              <w:rPr>
                <w:rFonts w:cs="Arial"/>
              </w:rPr>
            </w:pPr>
            <w:r w:rsidRPr="003272C7">
              <w:rPr>
                <w:rFonts w:cs="Arial"/>
              </w:rPr>
              <w:t xml:space="preserve">almost all Strategic Direction Statements have been updated in regional Victoria, Catchment Scale IWM Plans are </w:t>
            </w:r>
            <w:r w:rsidR="008D085D" w:rsidRPr="003272C7">
              <w:rPr>
                <w:rFonts w:cs="Arial"/>
              </w:rPr>
              <w:t xml:space="preserve">finalised and </w:t>
            </w:r>
            <w:r w:rsidRPr="003272C7">
              <w:rPr>
                <w:rFonts w:cs="Arial"/>
              </w:rPr>
              <w:t xml:space="preserve">underway in </w:t>
            </w:r>
            <w:r w:rsidR="0067364B" w:rsidRPr="003272C7">
              <w:rPr>
                <w:rFonts w:cs="Arial"/>
              </w:rPr>
              <w:t xml:space="preserve">metropolitan </w:t>
            </w:r>
            <w:r w:rsidRPr="003272C7">
              <w:rPr>
                <w:rFonts w:cs="Arial"/>
              </w:rPr>
              <w:t>Melbourne, and priority projects are aligned to achieving the shared vision underpinned by a suite of strategic outcomes articulated in the strategic direction statements</w:t>
            </w:r>
            <w:r w:rsidR="0067364B" w:rsidRPr="003272C7">
              <w:rPr>
                <w:rFonts w:cs="Arial"/>
              </w:rPr>
              <w:t>.</w:t>
            </w:r>
          </w:p>
          <w:p w14:paraId="1AD6FBA1" w14:textId="0B0AAAE1" w:rsidR="00B242C3" w:rsidRPr="003272C7" w:rsidRDefault="00B242C3" w:rsidP="0043317E">
            <w:pPr>
              <w:pStyle w:val="TableBullet"/>
              <w:rPr>
                <w:rFonts w:cs="Arial"/>
              </w:rPr>
            </w:pPr>
            <w:r w:rsidRPr="003272C7">
              <w:rPr>
                <w:rFonts w:cs="Arial"/>
              </w:rPr>
              <w:t>relationships between IWM Forum partners have continued and strengthened</w:t>
            </w:r>
            <w:r w:rsidR="0067364B" w:rsidRPr="003272C7">
              <w:rPr>
                <w:rFonts w:cs="Arial"/>
              </w:rPr>
              <w:t>.</w:t>
            </w:r>
          </w:p>
          <w:p w14:paraId="448019AB" w14:textId="17A9E91A" w:rsidR="00B242C3" w:rsidRPr="003272C7" w:rsidRDefault="00B242C3" w:rsidP="0043317E">
            <w:pPr>
              <w:pStyle w:val="TableBullet"/>
              <w:rPr>
                <w:rFonts w:cs="Arial"/>
              </w:rPr>
            </w:pPr>
            <w:r w:rsidRPr="003272C7">
              <w:rPr>
                <w:rFonts w:cs="Arial"/>
              </w:rPr>
              <w:t>capacity and capability for applying IWM approaches have increased</w:t>
            </w:r>
            <w:r w:rsidR="0067364B" w:rsidRPr="003272C7">
              <w:rPr>
                <w:rFonts w:cs="Arial"/>
              </w:rPr>
              <w:t>.</w:t>
            </w:r>
          </w:p>
          <w:p w14:paraId="01658839" w14:textId="77777777" w:rsidR="00B242C3" w:rsidRPr="003272C7" w:rsidRDefault="00B242C3" w:rsidP="0043317E">
            <w:pPr>
              <w:pStyle w:val="TableBullet"/>
              <w:rPr>
                <w:rFonts w:cs="Arial"/>
              </w:rPr>
            </w:pPr>
            <w:r w:rsidRPr="003272C7">
              <w:rPr>
                <w:rFonts w:cs="Arial"/>
              </w:rPr>
              <w:t>important IWM policy developments have been endorsed.</w:t>
            </w:r>
          </w:p>
          <w:p w14:paraId="2F2790AE" w14:textId="77777777" w:rsidR="00B242C3" w:rsidRPr="003272C7" w:rsidRDefault="00B242C3" w:rsidP="00844B8A">
            <w:pPr>
              <w:pStyle w:val="TableText"/>
              <w:rPr>
                <w:rFonts w:cs="Arial"/>
              </w:rPr>
            </w:pPr>
            <w:r w:rsidRPr="003272C7">
              <w:rPr>
                <w:rFonts w:cs="Arial"/>
              </w:rPr>
              <w:t>Once complete, impacts of the Grant Program projects will include:</w:t>
            </w:r>
          </w:p>
          <w:p w14:paraId="1BE62FDE" w14:textId="3328E3EF" w:rsidR="00B242C3" w:rsidRPr="003272C7" w:rsidRDefault="00B242C3" w:rsidP="00844B8A">
            <w:pPr>
              <w:pStyle w:val="TableBullet"/>
              <w:rPr>
                <w:rFonts w:cs="Arial"/>
              </w:rPr>
            </w:pPr>
            <w:r w:rsidRPr="003272C7">
              <w:rPr>
                <w:rFonts w:cs="Arial"/>
              </w:rPr>
              <w:t xml:space="preserve">generation of </w:t>
            </w:r>
            <w:r w:rsidR="008D085D" w:rsidRPr="003272C7">
              <w:rPr>
                <w:rFonts w:cs="Arial"/>
              </w:rPr>
              <w:t>916 </w:t>
            </w:r>
            <w:r w:rsidRPr="003272C7">
              <w:rPr>
                <w:rFonts w:cs="Arial"/>
              </w:rPr>
              <w:t>ML/y</w:t>
            </w:r>
            <w:r w:rsidR="0067364B" w:rsidRPr="003272C7">
              <w:rPr>
                <w:rFonts w:cs="Arial"/>
              </w:rPr>
              <w:t>ea</w:t>
            </w:r>
            <w:r w:rsidRPr="003272C7">
              <w:rPr>
                <w:rFonts w:cs="Arial"/>
              </w:rPr>
              <w:t>r of alternative water for irrigation</w:t>
            </w:r>
            <w:r w:rsidR="0067364B" w:rsidRPr="003272C7">
              <w:rPr>
                <w:rFonts w:cs="Arial"/>
              </w:rPr>
              <w:t>.</w:t>
            </w:r>
          </w:p>
          <w:p w14:paraId="68C70FA8" w14:textId="424BC21E" w:rsidR="00B242C3" w:rsidRPr="003272C7" w:rsidRDefault="64BE984E" w:rsidP="00844B8A">
            <w:pPr>
              <w:pStyle w:val="TableBullet"/>
              <w:rPr>
                <w:rFonts w:cs="Arial"/>
              </w:rPr>
            </w:pPr>
            <w:r w:rsidRPr="003272C7">
              <w:rPr>
                <w:rFonts w:cs="Arial"/>
              </w:rPr>
              <w:t xml:space="preserve">prevented </w:t>
            </w:r>
            <w:r w:rsidR="008D085D" w:rsidRPr="003272C7">
              <w:rPr>
                <w:rFonts w:cs="Arial"/>
              </w:rPr>
              <w:t>8,407</w:t>
            </w:r>
            <w:r w:rsidR="00B242C3" w:rsidRPr="003272C7">
              <w:rPr>
                <w:rFonts w:cs="Arial"/>
              </w:rPr>
              <w:t xml:space="preserve"> kgs of nitrogen, </w:t>
            </w:r>
            <w:r w:rsidR="008D085D" w:rsidRPr="003272C7">
              <w:rPr>
                <w:rFonts w:cs="Arial"/>
              </w:rPr>
              <w:t>2,299</w:t>
            </w:r>
            <w:r w:rsidR="00B242C3" w:rsidRPr="003272C7">
              <w:rPr>
                <w:rFonts w:cs="Arial"/>
              </w:rPr>
              <w:t xml:space="preserve"> kgs of phosphorus and </w:t>
            </w:r>
            <w:r w:rsidR="008D085D" w:rsidRPr="003272C7">
              <w:rPr>
                <w:rFonts w:cs="Arial"/>
              </w:rPr>
              <w:t>258</w:t>
            </w:r>
            <w:r w:rsidR="00B242C3" w:rsidRPr="003272C7">
              <w:rPr>
                <w:rFonts w:cs="Arial"/>
              </w:rPr>
              <w:t xml:space="preserve"> tonnes of total suspended solids from </w:t>
            </w:r>
            <w:r w:rsidR="0875D84C" w:rsidRPr="003272C7">
              <w:rPr>
                <w:rFonts w:cs="Arial"/>
              </w:rPr>
              <w:t xml:space="preserve">entering </w:t>
            </w:r>
            <w:r w:rsidR="00B242C3" w:rsidRPr="003272C7">
              <w:rPr>
                <w:rFonts w:cs="Arial"/>
              </w:rPr>
              <w:t>our waterways every year</w:t>
            </w:r>
            <w:r w:rsidR="0067364B" w:rsidRPr="003272C7">
              <w:rPr>
                <w:rFonts w:cs="Arial"/>
              </w:rPr>
              <w:t>.</w:t>
            </w:r>
          </w:p>
          <w:p w14:paraId="37B08479" w14:textId="00CA9C3B" w:rsidR="00B242C3" w:rsidRPr="003272C7" w:rsidRDefault="00B242C3" w:rsidP="00844B8A">
            <w:pPr>
              <w:pStyle w:val="TableBullet"/>
              <w:rPr>
                <w:rFonts w:cs="Arial"/>
              </w:rPr>
            </w:pPr>
            <w:r w:rsidRPr="003272C7">
              <w:rPr>
                <w:rFonts w:cs="Arial"/>
              </w:rPr>
              <w:lastRenderedPageBreak/>
              <w:t>revegetation of 2</w:t>
            </w:r>
            <w:r w:rsidR="008D085D" w:rsidRPr="003272C7">
              <w:rPr>
                <w:rFonts w:cs="Arial"/>
              </w:rPr>
              <w:t>3</w:t>
            </w:r>
            <w:r w:rsidRPr="003272C7">
              <w:rPr>
                <w:rFonts w:cs="Arial"/>
              </w:rPr>
              <w:t> ha of riparian spaces</w:t>
            </w:r>
            <w:r w:rsidR="0067364B" w:rsidRPr="003272C7">
              <w:rPr>
                <w:rFonts w:cs="Arial"/>
              </w:rPr>
              <w:t>.</w:t>
            </w:r>
          </w:p>
          <w:p w14:paraId="09D6EF6D" w14:textId="79035ADC" w:rsidR="00B242C3" w:rsidRPr="003272C7" w:rsidRDefault="00B242C3" w:rsidP="00844B8A">
            <w:pPr>
              <w:pStyle w:val="TableBullet"/>
              <w:rPr>
                <w:rFonts w:cs="Arial"/>
              </w:rPr>
            </w:pPr>
            <w:r w:rsidRPr="003272C7">
              <w:rPr>
                <w:rFonts w:cs="Arial"/>
              </w:rPr>
              <w:t xml:space="preserve">construction or restoration of </w:t>
            </w:r>
            <w:r w:rsidR="008D085D" w:rsidRPr="003272C7">
              <w:rPr>
                <w:rFonts w:cs="Arial"/>
              </w:rPr>
              <w:t xml:space="preserve">5 </w:t>
            </w:r>
            <w:r w:rsidRPr="003272C7">
              <w:rPr>
                <w:rFonts w:cs="Arial"/>
              </w:rPr>
              <w:t>wetlands</w:t>
            </w:r>
            <w:r w:rsidR="0067364B" w:rsidRPr="003272C7">
              <w:rPr>
                <w:rFonts w:cs="Arial"/>
              </w:rPr>
              <w:t>.</w:t>
            </w:r>
          </w:p>
          <w:p w14:paraId="15ABD76E" w14:textId="42BD044B" w:rsidR="00B242C3" w:rsidRPr="003272C7" w:rsidRDefault="00B242C3" w:rsidP="00844B8A">
            <w:pPr>
              <w:pStyle w:val="TableBullet"/>
              <w:rPr>
                <w:rFonts w:cs="Arial"/>
              </w:rPr>
            </w:pPr>
            <w:r w:rsidRPr="003272C7">
              <w:rPr>
                <w:rFonts w:cs="Arial"/>
              </w:rPr>
              <w:t>naturalisation or restoration of 2.45 km of creek line.</w:t>
            </w:r>
          </w:p>
        </w:tc>
      </w:tr>
      <w:tr w:rsidR="00B242C3" w:rsidRPr="003272C7" w14:paraId="301D5634" w14:textId="77777777" w:rsidTr="009E0DB2">
        <w:trPr>
          <w:trHeight w:val="259"/>
        </w:trPr>
        <w:tc>
          <w:tcPr>
            <w:tcW w:w="979" w:type="pct"/>
            <w:shd w:val="clear" w:color="auto" w:fill="231EDC" w:themeFill="accent1"/>
          </w:tcPr>
          <w:p w14:paraId="175DB993"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01A4F37B" w14:textId="4B490963" w:rsidR="00B242C3" w:rsidRPr="005B5A93" w:rsidRDefault="00B242C3" w:rsidP="00C06DED">
            <w:pPr>
              <w:pStyle w:val="TableText"/>
              <w:rPr>
                <w:rFonts w:cs="Arial"/>
              </w:rPr>
            </w:pPr>
            <w:r w:rsidRPr="005B5A93">
              <w:rPr>
                <w:rFonts w:cs="Arial"/>
              </w:rPr>
              <w:t xml:space="preserve">The </w:t>
            </w:r>
            <w:r w:rsidR="0061768F" w:rsidRPr="005B5A93">
              <w:rPr>
                <w:rFonts w:cs="Arial"/>
              </w:rPr>
              <w:t xml:space="preserve">project </w:t>
            </w:r>
            <w:r w:rsidRPr="005B5A93">
              <w:rPr>
                <w:rFonts w:cs="Arial"/>
              </w:rPr>
              <w:t>has been delivered on time and within budget, including managing through the COVID-19 pandemic restrictions. Some delivery timelines of some projects required adjustment due to lock down restrictions and supply chain issues. Escalating prices did mean that some projects had to be rescoped or abandoned, but the vast majority have continued and ultimately been completed on time and within budget consistent with revised scopes where necessary.</w:t>
            </w:r>
          </w:p>
        </w:tc>
      </w:tr>
      <w:tr w:rsidR="00B242C3" w:rsidRPr="003272C7" w14:paraId="2A06016A" w14:textId="77777777" w:rsidTr="009E0DB2">
        <w:trPr>
          <w:trHeight w:val="259"/>
        </w:trPr>
        <w:tc>
          <w:tcPr>
            <w:tcW w:w="979" w:type="pct"/>
            <w:shd w:val="clear" w:color="auto" w:fill="231EDC" w:themeFill="accent1"/>
          </w:tcPr>
          <w:p w14:paraId="7080DC49"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3F4FD746" w14:textId="77777777" w:rsidR="00142559" w:rsidRPr="003272C7" w:rsidRDefault="00B242C3" w:rsidP="00844B8A">
            <w:pPr>
              <w:pStyle w:val="TableBullet"/>
              <w:rPr>
                <w:rFonts w:cs="Arial"/>
              </w:rPr>
            </w:pPr>
            <w:r w:rsidRPr="003272C7">
              <w:rPr>
                <w:rFonts w:cs="Arial"/>
              </w:rPr>
              <w:t xml:space="preserve">The </w:t>
            </w:r>
            <w:r w:rsidR="0061768F" w:rsidRPr="003272C7">
              <w:rPr>
                <w:rFonts w:cs="Arial"/>
              </w:rPr>
              <w:t xml:space="preserve">project </w:t>
            </w:r>
            <w:r w:rsidRPr="003272C7">
              <w:rPr>
                <w:rFonts w:cs="Arial"/>
              </w:rPr>
              <w:t>is highly aligned with the Victorian Government’s priorities, and particularly with respect to water security.</w:t>
            </w:r>
          </w:p>
          <w:p w14:paraId="19014A4A" w14:textId="5F078A41" w:rsidR="00B242C3" w:rsidRPr="003272C7" w:rsidRDefault="00B242C3" w:rsidP="00844B8A">
            <w:pPr>
              <w:pStyle w:val="TableBullet"/>
              <w:rPr>
                <w:rFonts w:cs="Arial"/>
              </w:rPr>
            </w:pPr>
            <w:r w:rsidRPr="003272C7">
              <w:rPr>
                <w:rFonts w:cs="Arial"/>
              </w:rPr>
              <w:t xml:space="preserve">The </w:t>
            </w:r>
            <w:r w:rsidR="0061768F" w:rsidRPr="003272C7">
              <w:rPr>
                <w:rFonts w:cs="Arial"/>
              </w:rPr>
              <w:t xml:space="preserve">project </w:t>
            </w:r>
            <w:r w:rsidRPr="003272C7">
              <w:rPr>
                <w:rFonts w:cs="Arial"/>
              </w:rPr>
              <w:t xml:space="preserve">framework is pitched at a high-level and has sufficient flexibility to remain relevant to Government throughout these changing priorities </w:t>
            </w:r>
            <w:r w:rsidR="00C260AC" w:rsidRPr="003272C7">
              <w:rPr>
                <w:rFonts w:cs="Arial"/>
              </w:rPr>
              <w:t>(</w:t>
            </w:r>
            <w:r w:rsidRPr="003272C7">
              <w:rPr>
                <w:rFonts w:cs="Arial"/>
              </w:rPr>
              <w:t>and spending patterns</w:t>
            </w:r>
            <w:r w:rsidR="00C260AC" w:rsidRPr="003272C7">
              <w:rPr>
                <w:rFonts w:cs="Arial"/>
              </w:rPr>
              <w:t>)</w:t>
            </w:r>
            <w:r w:rsidRPr="003272C7">
              <w:rPr>
                <w:rFonts w:cs="Arial"/>
              </w:rPr>
              <w:t>.</w:t>
            </w:r>
          </w:p>
          <w:p w14:paraId="618BBDF7" w14:textId="45AF692C" w:rsidR="00B242C3" w:rsidRPr="003272C7" w:rsidRDefault="00B242C3" w:rsidP="00844B8A">
            <w:pPr>
              <w:pStyle w:val="TableBullet"/>
              <w:rPr>
                <w:rFonts w:cs="Arial"/>
              </w:rPr>
            </w:pPr>
            <w:r w:rsidRPr="003272C7">
              <w:rPr>
                <w:rFonts w:cs="Arial"/>
              </w:rPr>
              <w:t xml:space="preserve">The </w:t>
            </w:r>
            <w:r w:rsidR="0061768F" w:rsidRPr="003272C7">
              <w:rPr>
                <w:rFonts w:cs="Arial"/>
              </w:rPr>
              <w:t xml:space="preserve">project </w:t>
            </w:r>
            <w:r w:rsidRPr="003272C7">
              <w:rPr>
                <w:rFonts w:cs="Arial"/>
              </w:rPr>
              <w:t>objectives and outcomes remain highly relevant to stakeholders.</w:t>
            </w:r>
          </w:p>
          <w:p w14:paraId="490398B4" w14:textId="7F179B86" w:rsidR="00B242C3" w:rsidRPr="003272C7" w:rsidRDefault="00B242C3" w:rsidP="00844B8A">
            <w:pPr>
              <w:pStyle w:val="TableBullet"/>
              <w:rPr>
                <w:rFonts w:cs="Arial"/>
              </w:rPr>
            </w:pPr>
            <w:r w:rsidRPr="003272C7">
              <w:rPr>
                <w:rFonts w:cs="Arial"/>
              </w:rPr>
              <w:t xml:space="preserve">There is sufficient flexibility in the </w:t>
            </w:r>
            <w:r w:rsidR="00C260AC" w:rsidRPr="003272C7">
              <w:rPr>
                <w:rFonts w:cs="Arial"/>
              </w:rPr>
              <w:t xml:space="preserve">project </w:t>
            </w:r>
            <w:r w:rsidRPr="003272C7">
              <w:rPr>
                <w:rFonts w:cs="Arial"/>
              </w:rPr>
              <w:t>framework to accommodate the changing expectations of stakeholders.</w:t>
            </w:r>
          </w:p>
        </w:tc>
      </w:tr>
      <w:tr w:rsidR="00B242C3" w:rsidRPr="003272C7" w14:paraId="7B0C3634" w14:textId="77777777" w:rsidTr="009E0DB2">
        <w:trPr>
          <w:trHeight w:val="259"/>
        </w:trPr>
        <w:tc>
          <w:tcPr>
            <w:tcW w:w="979" w:type="pct"/>
            <w:shd w:val="clear" w:color="auto" w:fill="231EDC" w:themeFill="accent1"/>
          </w:tcPr>
          <w:p w14:paraId="4371190C"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64DABD85" w14:textId="5169622C" w:rsidR="00B242C3" w:rsidRPr="003272C7" w:rsidRDefault="00B242C3" w:rsidP="00844B8A">
            <w:pPr>
              <w:pStyle w:val="TableBullet"/>
              <w:rPr>
                <w:rFonts w:cs="Arial"/>
              </w:rPr>
            </w:pPr>
            <w:r w:rsidRPr="003272C7">
              <w:rPr>
                <w:rFonts w:cs="Arial"/>
              </w:rPr>
              <w:t xml:space="preserve">The </w:t>
            </w:r>
            <w:r w:rsidR="00C260AC" w:rsidRPr="003272C7">
              <w:rPr>
                <w:rFonts w:cs="Arial"/>
              </w:rPr>
              <w:t xml:space="preserve">project </w:t>
            </w:r>
            <w:r w:rsidRPr="003272C7">
              <w:rPr>
                <w:rFonts w:cs="Arial"/>
              </w:rPr>
              <w:t>has leveraged significant in-kind support by members of the IWM Forum working groups, project and forum meetings and activities. Across the 15 IWM Forums, more than 580 people are directly involved.</w:t>
            </w:r>
          </w:p>
          <w:p w14:paraId="36A58131" w14:textId="17200650" w:rsidR="00B242C3" w:rsidRPr="003272C7" w:rsidRDefault="007F48AB" w:rsidP="00844B8A">
            <w:pPr>
              <w:pStyle w:val="TableBullet"/>
              <w:rPr>
                <w:rFonts w:cs="Arial"/>
              </w:rPr>
            </w:pPr>
            <w:r w:rsidRPr="003272C7">
              <w:rPr>
                <w:rFonts w:cs="Arial"/>
              </w:rPr>
              <w:t xml:space="preserve">This </w:t>
            </w:r>
            <w:r w:rsidR="00445736" w:rsidRPr="003272C7">
              <w:rPr>
                <w:rFonts w:cs="Arial"/>
              </w:rPr>
              <w:t>project</w:t>
            </w:r>
            <w:r w:rsidR="00FD1093" w:rsidRPr="003272C7">
              <w:rPr>
                <w:rFonts w:cs="Arial"/>
              </w:rPr>
              <w:t>’</w:t>
            </w:r>
            <w:r w:rsidRPr="003272C7">
              <w:rPr>
                <w:rFonts w:cs="Arial"/>
              </w:rPr>
              <w:t>s</w:t>
            </w:r>
            <w:r w:rsidR="00B242C3" w:rsidRPr="003272C7">
              <w:rPr>
                <w:rFonts w:cs="Arial"/>
              </w:rPr>
              <w:t xml:space="preserve"> investment in the IWM Program has leveraged $</w:t>
            </w:r>
            <w:r w:rsidR="00130B7B" w:rsidRPr="003272C7">
              <w:rPr>
                <w:rFonts w:cs="Arial"/>
              </w:rPr>
              <w:t>32.05</w:t>
            </w:r>
            <w:r w:rsidR="00B242C3" w:rsidRPr="003272C7">
              <w:rPr>
                <w:rFonts w:cs="Arial"/>
              </w:rPr>
              <w:t xml:space="preserve"> million in IWM Forum partner co-investments and more than $</w:t>
            </w:r>
            <w:r w:rsidR="00130B7B" w:rsidRPr="003272C7">
              <w:rPr>
                <w:rFonts w:cs="Arial"/>
              </w:rPr>
              <w:t>2.6</w:t>
            </w:r>
            <w:r w:rsidR="00B242C3" w:rsidRPr="003272C7">
              <w:rPr>
                <w:rFonts w:cs="Arial"/>
              </w:rPr>
              <w:t xml:space="preserve"> million of in-kind support.</w:t>
            </w:r>
          </w:p>
          <w:p w14:paraId="065A0188" w14:textId="77777777" w:rsidR="00B242C3" w:rsidRPr="003272C7" w:rsidRDefault="00B242C3" w:rsidP="00844B8A">
            <w:pPr>
              <w:pStyle w:val="TableBullet"/>
              <w:rPr>
                <w:rFonts w:cs="Arial"/>
              </w:rPr>
            </w:pPr>
            <w:r w:rsidRPr="003272C7">
              <w:rPr>
                <w:rFonts w:cs="Arial"/>
              </w:rPr>
              <w:t>The Program has demonstrated efficiency via:</w:t>
            </w:r>
          </w:p>
          <w:p w14:paraId="45F971E2" w14:textId="77777777" w:rsidR="00B242C3" w:rsidRPr="003272C7" w:rsidRDefault="00B242C3" w:rsidP="00BF1BEA">
            <w:pPr>
              <w:pStyle w:val="TableNumber2"/>
              <w:rPr>
                <w:rFonts w:cs="Arial"/>
              </w:rPr>
            </w:pPr>
            <w:r w:rsidRPr="003272C7">
              <w:rPr>
                <w:rFonts w:cs="Arial"/>
              </w:rPr>
              <w:t>operationalising the Program (i.e. putting systems and tools in place to support DEECA to deliver the Program efficiently)</w:t>
            </w:r>
          </w:p>
          <w:p w14:paraId="0D92BCC7" w14:textId="77777777" w:rsidR="00B242C3" w:rsidRPr="003272C7" w:rsidRDefault="00B242C3" w:rsidP="00BF1BEA">
            <w:pPr>
              <w:pStyle w:val="TableNumber2"/>
              <w:rPr>
                <w:rFonts w:cs="Arial"/>
              </w:rPr>
            </w:pPr>
            <w:r w:rsidRPr="003272C7">
              <w:rPr>
                <w:rFonts w:cs="Arial"/>
              </w:rPr>
              <w:t>the way Forum and Working / Practitioner Groups meetings are held</w:t>
            </w:r>
          </w:p>
          <w:p w14:paraId="5160D152" w14:textId="77777777" w:rsidR="00B242C3" w:rsidRPr="003272C7" w:rsidRDefault="00B242C3" w:rsidP="00BF1BEA">
            <w:pPr>
              <w:pStyle w:val="TableNumber2"/>
              <w:rPr>
                <w:rFonts w:cs="Arial"/>
              </w:rPr>
            </w:pPr>
            <w:r w:rsidRPr="003272C7">
              <w:rPr>
                <w:rFonts w:cs="Arial"/>
              </w:rPr>
              <w:t>the development of shared tools and resources</w:t>
            </w:r>
          </w:p>
          <w:p w14:paraId="0A4B0505" w14:textId="77777777" w:rsidR="00B242C3" w:rsidRPr="003272C7" w:rsidRDefault="00B242C3" w:rsidP="00BF1BEA">
            <w:pPr>
              <w:pStyle w:val="TableNumber2"/>
              <w:rPr>
                <w:rFonts w:cs="Arial"/>
              </w:rPr>
            </w:pPr>
            <w:r w:rsidRPr="003272C7">
              <w:rPr>
                <w:rFonts w:cs="Arial"/>
              </w:rPr>
              <w:t>the increase in funding available for IWM projects.</w:t>
            </w:r>
          </w:p>
        </w:tc>
      </w:tr>
      <w:tr w:rsidR="00B242C3" w:rsidRPr="003272C7" w14:paraId="349102B0" w14:textId="77777777" w:rsidTr="009E0DB2">
        <w:trPr>
          <w:trHeight w:val="259"/>
        </w:trPr>
        <w:tc>
          <w:tcPr>
            <w:tcW w:w="979" w:type="pct"/>
            <w:shd w:val="clear" w:color="auto" w:fill="231EDC" w:themeFill="accent1"/>
          </w:tcPr>
          <w:p w14:paraId="1E885B3C"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7020C777" w14:textId="147384DE" w:rsidR="00B242C3" w:rsidRPr="005B5A93" w:rsidRDefault="00B242C3" w:rsidP="00C06DED">
            <w:pPr>
              <w:pStyle w:val="TableText"/>
              <w:rPr>
                <w:rFonts w:cs="Arial"/>
              </w:rPr>
            </w:pPr>
            <w:r w:rsidRPr="005B5A93">
              <w:rPr>
                <w:rFonts w:cs="Arial"/>
              </w:rPr>
              <w:t xml:space="preserve">The </w:t>
            </w:r>
            <w:r w:rsidR="00FD1093" w:rsidRPr="005B5A93">
              <w:rPr>
                <w:rFonts w:cs="Arial"/>
              </w:rPr>
              <w:t xml:space="preserve">project </w:t>
            </w:r>
            <w:r w:rsidRPr="005B5A93">
              <w:rPr>
                <w:rFonts w:cs="Arial"/>
              </w:rPr>
              <w:t>has achieved a lasting legacy as evidenced by the many projects being identified and delivered through the Forum action plans and the significant engagement and participation in the IWM Forums and associated activities. However, there is still more work to do to secure the progress and investment to date as we continue into the acceleration phase of the transition. Government stepping back at this point would result in a backslide in leveraged investment that would be difficult to reverse.</w:t>
            </w:r>
          </w:p>
        </w:tc>
      </w:tr>
      <w:tr w:rsidR="00B242C3" w:rsidRPr="003272C7" w14:paraId="00346D5A" w14:textId="77777777" w:rsidTr="009E0DB2">
        <w:trPr>
          <w:trHeight w:val="259"/>
        </w:trPr>
        <w:tc>
          <w:tcPr>
            <w:tcW w:w="979" w:type="pct"/>
            <w:shd w:val="clear" w:color="auto" w:fill="231EDC" w:themeFill="accent1"/>
          </w:tcPr>
          <w:p w14:paraId="3A20E77D"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7A9A1734" w14:textId="77777777" w:rsidR="00142559" w:rsidRPr="003272C7" w:rsidRDefault="00B242C3" w:rsidP="00BF1BEA">
            <w:pPr>
              <w:pStyle w:val="TableNumber"/>
              <w:numPr>
                <w:ilvl w:val="0"/>
                <w:numId w:val="166"/>
              </w:numPr>
              <w:rPr>
                <w:rFonts w:cs="Arial"/>
              </w:rPr>
            </w:pPr>
            <w:r w:rsidRPr="003272C7">
              <w:rPr>
                <w:rFonts w:cs="Arial"/>
              </w:rPr>
              <w:t>IWM Forum and Policy development: Providing the IWM Forums as a collaborative platform to facilitate the identification, assessment, and implementation of IWM solutions that could directly address the problems in a place-based way, including supporting and developing relevant policy reforms and capacity building to facilitate the planning and implementation of the solutions.</w:t>
            </w:r>
          </w:p>
          <w:p w14:paraId="6D0B090C" w14:textId="46DF2BA4" w:rsidR="00B242C3" w:rsidRPr="003272C7" w:rsidRDefault="00B242C3" w:rsidP="00BF1BEA">
            <w:pPr>
              <w:pStyle w:val="TableNumber"/>
              <w:rPr>
                <w:rFonts w:cs="Arial"/>
              </w:rPr>
            </w:pPr>
            <w:r w:rsidRPr="003272C7">
              <w:rPr>
                <w:rFonts w:cs="Arial"/>
              </w:rPr>
              <w:t>Co-investment: An IWM Grant Program that co-invests in the following:</w:t>
            </w:r>
          </w:p>
          <w:p w14:paraId="5B67153B" w14:textId="77777777" w:rsidR="00B242C3" w:rsidRPr="003272C7" w:rsidRDefault="00B242C3" w:rsidP="00BF1BEA">
            <w:pPr>
              <w:pStyle w:val="TableNumber2"/>
              <w:rPr>
                <w:rFonts w:cs="Arial"/>
              </w:rPr>
            </w:pPr>
            <w:r w:rsidRPr="003272C7">
              <w:rPr>
                <w:rFonts w:cs="Arial"/>
              </w:rPr>
              <w:t>on-ground projects</w:t>
            </w:r>
          </w:p>
          <w:p w14:paraId="1CA66CA6" w14:textId="77777777" w:rsidR="00B242C3" w:rsidRPr="003272C7" w:rsidRDefault="00B242C3" w:rsidP="00BF1BEA">
            <w:pPr>
              <w:pStyle w:val="TableNumber2"/>
              <w:rPr>
                <w:rFonts w:cs="Arial"/>
              </w:rPr>
            </w:pPr>
            <w:r w:rsidRPr="003272C7">
              <w:rPr>
                <w:rFonts w:cs="Arial"/>
              </w:rPr>
              <w:t>IWM plans, feasibility studies, designs, business cases</w:t>
            </w:r>
          </w:p>
          <w:p w14:paraId="37A2EB94" w14:textId="77777777" w:rsidR="00B242C3" w:rsidRPr="003272C7" w:rsidRDefault="00B242C3" w:rsidP="00BF1BEA">
            <w:pPr>
              <w:pStyle w:val="TableNumber2"/>
              <w:rPr>
                <w:rFonts w:cs="Arial"/>
              </w:rPr>
            </w:pPr>
            <w:r w:rsidRPr="003272C7">
              <w:rPr>
                <w:rFonts w:cs="Arial"/>
              </w:rPr>
              <w:t>IWM officers in Traditional Owner organisations and regional Victoria.</w:t>
            </w:r>
          </w:p>
        </w:tc>
      </w:tr>
    </w:tbl>
    <w:p w14:paraId="081FC5BD" w14:textId="77777777" w:rsidR="00B242C3" w:rsidRPr="003272C7" w:rsidRDefault="00B242C3" w:rsidP="00B242C3">
      <w:pPr>
        <w:pStyle w:val="Heading2"/>
        <w:rPr>
          <w:rFonts w:cs="Arial"/>
        </w:rPr>
      </w:pPr>
      <w:bookmarkStart w:id="7" w:name="_Toc147410771"/>
      <w:bookmarkStart w:id="8" w:name="_Toc183777779"/>
      <w:r w:rsidRPr="003272C7">
        <w:rPr>
          <w:rFonts w:cs="Arial"/>
        </w:rPr>
        <w:lastRenderedPageBreak/>
        <w:t>CWCT02: Iconic Urban Waterways</w:t>
      </w:r>
      <w:bookmarkEnd w:id="7"/>
      <w:bookmarkEnd w:id="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389C20FB" w14:textId="77777777" w:rsidTr="005D16A1">
        <w:trPr>
          <w:trHeight w:val="395"/>
        </w:trPr>
        <w:tc>
          <w:tcPr>
            <w:tcW w:w="979" w:type="pct"/>
            <w:shd w:val="clear" w:color="auto" w:fill="231EDC" w:themeFill="accent1"/>
          </w:tcPr>
          <w:p w14:paraId="45F19556" w14:textId="358BF0BA" w:rsidR="00B242C3" w:rsidRPr="003272C7" w:rsidRDefault="00B242C3" w:rsidP="00487482">
            <w:pPr>
              <w:pStyle w:val="TableHeading"/>
              <w:keepLines/>
              <w:rPr>
                <w:rFonts w:cs="Arial"/>
              </w:rPr>
            </w:pPr>
            <w:r w:rsidRPr="003272C7">
              <w:rPr>
                <w:rFonts w:cs="Arial"/>
              </w:rPr>
              <w:br w:type="page"/>
            </w:r>
            <w:r w:rsidR="00C412A9" w:rsidRPr="003272C7">
              <w:rPr>
                <w:rFonts w:cs="Arial"/>
              </w:rPr>
              <w:t>Initiative</w:t>
            </w:r>
          </w:p>
        </w:tc>
        <w:tc>
          <w:tcPr>
            <w:tcW w:w="4021" w:type="pct"/>
            <w:shd w:val="clear" w:color="auto" w:fill="231EDC" w:themeFill="accent1"/>
          </w:tcPr>
          <w:p w14:paraId="5FFAEE7D" w14:textId="77777777" w:rsidR="00B242C3" w:rsidRPr="003272C7" w:rsidRDefault="00B242C3" w:rsidP="00487482">
            <w:pPr>
              <w:pStyle w:val="TableHeading"/>
              <w:keepLines/>
              <w:rPr>
                <w:rFonts w:cs="Arial"/>
              </w:rPr>
            </w:pPr>
            <w:r w:rsidRPr="003272C7">
              <w:rPr>
                <w:rFonts w:cs="Arial"/>
              </w:rPr>
              <w:t>1. Enhancing urban water security, iconic urban waterways and recreational water</w:t>
            </w:r>
          </w:p>
        </w:tc>
      </w:tr>
      <w:tr w:rsidR="00B242C3" w:rsidRPr="003272C7" w14:paraId="5C364EA7" w14:textId="77777777" w:rsidTr="005D16A1">
        <w:trPr>
          <w:trHeight w:val="259"/>
        </w:trPr>
        <w:tc>
          <w:tcPr>
            <w:tcW w:w="979" w:type="pct"/>
            <w:shd w:val="clear" w:color="auto" w:fill="231EDC" w:themeFill="accent1"/>
          </w:tcPr>
          <w:p w14:paraId="58AA026B" w14:textId="77777777" w:rsidR="00B242C3" w:rsidRPr="003272C7" w:rsidRDefault="00B242C3" w:rsidP="00487482">
            <w:pPr>
              <w:pStyle w:val="TableText"/>
              <w:keepNext/>
              <w:keepLines/>
              <w:rPr>
                <w:rFonts w:cs="Arial"/>
                <w:b/>
                <w:bCs/>
              </w:rPr>
            </w:pPr>
            <w:r w:rsidRPr="003272C7">
              <w:rPr>
                <w:rFonts w:cs="Arial"/>
                <w:b/>
                <w:bCs/>
              </w:rPr>
              <w:t>Project</w:t>
            </w:r>
          </w:p>
        </w:tc>
        <w:tc>
          <w:tcPr>
            <w:tcW w:w="4021" w:type="pct"/>
          </w:tcPr>
          <w:p w14:paraId="0D2B966B" w14:textId="77777777" w:rsidR="00B242C3" w:rsidRPr="003272C7" w:rsidRDefault="00B242C3" w:rsidP="00487482">
            <w:pPr>
              <w:pStyle w:val="TableText"/>
              <w:keepNext/>
              <w:keepLines/>
              <w:rPr>
                <w:rFonts w:cs="Arial"/>
              </w:rPr>
            </w:pPr>
            <w:bookmarkStart w:id="9" w:name="_Hlk147391751"/>
            <w:r w:rsidRPr="003272C7">
              <w:rPr>
                <w:rFonts w:cs="Arial"/>
              </w:rPr>
              <w:t>CWCT02: Iconic Urban Waterways</w:t>
            </w:r>
            <w:bookmarkEnd w:id="9"/>
          </w:p>
        </w:tc>
      </w:tr>
      <w:tr w:rsidR="00B242C3" w:rsidRPr="003272C7" w14:paraId="7428290B" w14:textId="77777777" w:rsidTr="005D16A1">
        <w:trPr>
          <w:trHeight w:val="259"/>
        </w:trPr>
        <w:tc>
          <w:tcPr>
            <w:tcW w:w="979" w:type="pct"/>
            <w:shd w:val="clear" w:color="auto" w:fill="231EDC" w:themeFill="accent1"/>
          </w:tcPr>
          <w:p w14:paraId="476D2A1F" w14:textId="2D25EEF3" w:rsidR="00B242C3" w:rsidRPr="003272C7" w:rsidRDefault="00B242C3" w:rsidP="00487482">
            <w:pPr>
              <w:pStyle w:val="TableText"/>
              <w:keepNext/>
              <w:keepLines/>
              <w:rPr>
                <w:rFonts w:cs="Arial"/>
                <w:b/>
                <w:bCs/>
              </w:rPr>
            </w:pPr>
            <w:r w:rsidRPr="003272C7">
              <w:rPr>
                <w:rFonts w:cs="Arial"/>
                <w:b/>
                <w:bCs/>
              </w:rPr>
              <w:t>Description</w:t>
            </w:r>
          </w:p>
        </w:tc>
        <w:tc>
          <w:tcPr>
            <w:tcW w:w="4021" w:type="pct"/>
          </w:tcPr>
          <w:p w14:paraId="41F5CE4A" w14:textId="662D57DC" w:rsidR="00B242C3" w:rsidRPr="003272C7" w:rsidRDefault="00B242C3" w:rsidP="00487482">
            <w:pPr>
              <w:pStyle w:val="TableText"/>
              <w:keepNext/>
              <w:keepLines/>
              <w:rPr>
                <w:rFonts w:cs="Arial"/>
              </w:rPr>
            </w:pPr>
            <w:r w:rsidRPr="003272C7">
              <w:rPr>
                <w:rFonts w:cs="Arial"/>
              </w:rPr>
              <w:t>Population growth and climate change are increasing demand for water while reducing availability from conventional sources, resulting in threats to our water security</w:t>
            </w:r>
            <w:r w:rsidR="005E53AF" w:rsidRPr="003272C7">
              <w:rPr>
                <w:rFonts w:cs="Arial"/>
              </w:rPr>
              <w:t>,</w:t>
            </w:r>
            <w:r w:rsidRPr="003272C7">
              <w:rPr>
                <w:rFonts w:cs="Arial"/>
              </w:rPr>
              <w:t xml:space="preserve"> urban waterways and Port Philip Bay. Rapid urbanisation associated with population growth is increasing harmful wastewater and stormwater discharges, adversely impacting land and water environments. At the same time, current management arrangements for our iconic urban waterways and their lands are not maximising the values they provide, with outcomes falling short of community expectations.</w:t>
            </w:r>
          </w:p>
          <w:p w14:paraId="0DF7BD5C" w14:textId="27842F3C" w:rsidR="00B242C3" w:rsidRPr="003272C7" w:rsidRDefault="00B242C3" w:rsidP="00487482">
            <w:pPr>
              <w:pStyle w:val="TableText"/>
              <w:keepNext/>
              <w:keepLines/>
              <w:rPr>
                <w:rFonts w:cs="Arial"/>
              </w:rPr>
            </w:pPr>
            <w:r w:rsidRPr="003272C7">
              <w:rPr>
                <w:rFonts w:cs="Arial"/>
              </w:rPr>
              <w:t xml:space="preserve">This </w:t>
            </w:r>
            <w:r w:rsidR="00445736" w:rsidRPr="003272C7">
              <w:rPr>
                <w:rFonts w:cs="Arial"/>
              </w:rPr>
              <w:t>project</w:t>
            </w:r>
            <w:r w:rsidRPr="003272C7">
              <w:rPr>
                <w:rFonts w:cs="Arial"/>
              </w:rPr>
              <w:t xml:space="preserve"> focuses on reducing the adverse economic, environmental, social and cultural impacts of these issues in iconic urban waterways - including the </w:t>
            </w:r>
            <w:r w:rsidR="0004083D" w:rsidRPr="003272C7">
              <w:rPr>
                <w:rFonts w:cs="Arial"/>
              </w:rPr>
              <w:t>Birrarung</w:t>
            </w:r>
            <w:r w:rsidR="008A5512" w:rsidRPr="003272C7">
              <w:rPr>
                <w:rFonts w:cs="Arial"/>
              </w:rPr>
              <w:t xml:space="preserve"> </w:t>
            </w:r>
            <w:r w:rsidR="0004083D" w:rsidRPr="003272C7">
              <w:rPr>
                <w:rFonts w:cs="Arial"/>
              </w:rPr>
              <w:t xml:space="preserve">/ </w:t>
            </w:r>
            <w:r w:rsidRPr="003272C7">
              <w:rPr>
                <w:rFonts w:cs="Arial"/>
              </w:rPr>
              <w:t xml:space="preserve">Yarra, </w:t>
            </w:r>
            <w:r w:rsidR="0004083D" w:rsidRPr="003272C7">
              <w:rPr>
                <w:rFonts w:cs="Arial"/>
              </w:rPr>
              <w:t>Mirrangbamurn</w:t>
            </w:r>
            <w:r w:rsidR="008A5512" w:rsidRPr="003272C7">
              <w:rPr>
                <w:rFonts w:cs="Arial"/>
              </w:rPr>
              <w:t xml:space="preserve"> </w:t>
            </w:r>
            <w:r w:rsidR="0027762B" w:rsidRPr="003272C7">
              <w:rPr>
                <w:rFonts w:cs="Arial"/>
              </w:rPr>
              <w:t xml:space="preserve">/ </w:t>
            </w:r>
            <w:r w:rsidRPr="003272C7">
              <w:rPr>
                <w:rFonts w:cs="Arial"/>
              </w:rPr>
              <w:t xml:space="preserve">Maribyrnong, </w:t>
            </w:r>
            <w:r w:rsidR="0027762B" w:rsidRPr="003272C7">
              <w:rPr>
                <w:rFonts w:cs="Arial"/>
              </w:rPr>
              <w:t>Wirribi Yulluk</w:t>
            </w:r>
            <w:r w:rsidR="008A5512" w:rsidRPr="003272C7">
              <w:rPr>
                <w:rFonts w:cs="Arial"/>
              </w:rPr>
              <w:t xml:space="preserve"> </w:t>
            </w:r>
            <w:r w:rsidR="0027762B" w:rsidRPr="003272C7">
              <w:rPr>
                <w:rFonts w:cs="Arial"/>
              </w:rPr>
              <w:t xml:space="preserve">/ </w:t>
            </w:r>
            <w:r w:rsidRPr="003272C7">
              <w:rPr>
                <w:rFonts w:cs="Arial"/>
              </w:rPr>
              <w:t xml:space="preserve">Werribee and </w:t>
            </w:r>
            <w:r w:rsidR="0027762B" w:rsidRPr="003272C7">
              <w:rPr>
                <w:rFonts w:cs="Arial"/>
              </w:rPr>
              <w:t>Parwan</w:t>
            </w:r>
            <w:r w:rsidR="008A5512" w:rsidRPr="003272C7">
              <w:rPr>
                <w:rFonts w:cs="Arial"/>
              </w:rPr>
              <w:t xml:space="preserve"> </w:t>
            </w:r>
            <w:r w:rsidR="00BD2B3C" w:rsidRPr="003272C7">
              <w:rPr>
                <w:rFonts w:cs="Arial"/>
              </w:rPr>
              <w:t xml:space="preserve">/ </w:t>
            </w:r>
            <w:r w:rsidRPr="003272C7">
              <w:rPr>
                <w:rFonts w:cs="Arial"/>
              </w:rPr>
              <w:t xml:space="preserve">Barwon </w:t>
            </w:r>
            <w:r w:rsidR="00BD2B3C" w:rsidRPr="003272C7">
              <w:rPr>
                <w:rFonts w:cs="Arial"/>
              </w:rPr>
              <w:t>Rivers</w:t>
            </w:r>
            <w:r w:rsidRPr="003272C7">
              <w:rPr>
                <w:rFonts w:cs="Arial"/>
              </w:rPr>
              <w:t>. This work has taken steps towards healthier local communities and environments, enhancement of values derived from water</w:t>
            </w:r>
            <w:r w:rsidR="00BD2B3C" w:rsidRPr="003272C7">
              <w:rPr>
                <w:rFonts w:cs="Arial"/>
              </w:rPr>
              <w:t>ways</w:t>
            </w:r>
            <w:r w:rsidRPr="003272C7">
              <w:rPr>
                <w:rFonts w:cs="Arial"/>
              </w:rPr>
              <w:t xml:space="preserve">, and support for integrated management of waterways and their lands in line with the cultural values of Traditional Owners. </w:t>
            </w:r>
          </w:p>
        </w:tc>
      </w:tr>
      <w:tr w:rsidR="00B242C3" w:rsidRPr="003272C7" w14:paraId="694B13D6" w14:textId="77777777" w:rsidTr="005D16A1">
        <w:trPr>
          <w:trHeight w:val="259"/>
        </w:trPr>
        <w:tc>
          <w:tcPr>
            <w:tcW w:w="979" w:type="pct"/>
            <w:shd w:val="clear" w:color="auto" w:fill="231EDC" w:themeFill="accent1"/>
          </w:tcPr>
          <w:p w14:paraId="43BB74CC" w14:textId="77777777" w:rsidR="00B242C3" w:rsidRPr="003272C7" w:rsidRDefault="00B242C3" w:rsidP="003B0283">
            <w:pPr>
              <w:pStyle w:val="TableText"/>
              <w:rPr>
                <w:rFonts w:cs="Arial"/>
                <w:b/>
                <w:bCs/>
              </w:rPr>
            </w:pPr>
            <w:r w:rsidRPr="003272C7">
              <w:rPr>
                <w:rFonts w:cs="Arial"/>
                <w:b/>
                <w:bCs/>
              </w:rPr>
              <w:t>Outputs</w:t>
            </w:r>
          </w:p>
        </w:tc>
        <w:tc>
          <w:tcPr>
            <w:tcW w:w="4021" w:type="pct"/>
          </w:tcPr>
          <w:p w14:paraId="097C7BDF" w14:textId="38D483AA" w:rsidR="00B242C3" w:rsidRPr="003272C7" w:rsidRDefault="00CD65B2" w:rsidP="003B0283">
            <w:pPr>
              <w:pStyle w:val="TableBullet"/>
              <w:rPr>
                <w:rFonts w:cs="Arial"/>
              </w:rPr>
            </w:pPr>
            <w:r w:rsidRPr="003272C7">
              <w:rPr>
                <w:rFonts w:cs="Arial"/>
              </w:rPr>
              <w:t xml:space="preserve">Burndap Birrarung burndap umarkoo, the </w:t>
            </w:r>
            <w:r w:rsidR="00B242C3" w:rsidRPr="003272C7">
              <w:rPr>
                <w:rFonts w:cs="Arial"/>
              </w:rPr>
              <w:t>Yarra Strategic Plan</w:t>
            </w:r>
            <w:r w:rsidRPr="003272C7">
              <w:rPr>
                <w:rFonts w:cs="Arial"/>
              </w:rPr>
              <w:t xml:space="preserve"> (YSP)</w:t>
            </w:r>
            <w:r w:rsidR="00C87D92" w:rsidRPr="003272C7">
              <w:rPr>
                <w:rFonts w:cs="Arial"/>
              </w:rPr>
              <w:t>.</w:t>
            </w:r>
          </w:p>
          <w:p w14:paraId="07A8D19D" w14:textId="43AC4D57" w:rsidR="00B242C3" w:rsidRPr="003272C7" w:rsidRDefault="00B242C3" w:rsidP="003B0283">
            <w:pPr>
              <w:pStyle w:val="TableBullet"/>
              <w:rPr>
                <w:rFonts w:cs="Arial"/>
              </w:rPr>
            </w:pPr>
            <w:r w:rsidRPr="003272C7">
              <w:rPr>
                <w:rFonts w:cs="Arial"/>
              </w:rPr>
              <w:t xml:space="preserve">Waterways of the West and Rivers of the Barwon </w:t>
            </w:r>
            <w:r w:rsidR="003B51DC" w:rsidRPr="00623380">
              <w:rPr>
                <w:rStyle w:val="normaltextrun"/>
                <w:rFonts w:cs="Arial"/>
              </w:rPr>
              <w:t xml:space="preserve">(Barre Warre Yulluk) </w:t>
            </w:r>
            <w:r w:rsidRPr="003272C7">
              <w:rPr>
                <w:rFonts w:cs="Arial"/>
              </w:rPr>
              <w:t>Action Plans</w:t>
            </w:r>
            <w:r w:rsidR="00CD65B2" w:rsidRPr="003272C7">
              <w:rPr>
                <w:rFonts w:cs="Arial"/>
              </w:rPr>
              <w:t xml:space="preserve">, </w:t>
            </w:r>
            <w:r w:rsidR="00CD65B2" w:rsidRPr="00623380">
              <w:rPr>
                <w:rStyle w:val="normaltextrun"/>
                <w:rFonts w:cs="Arial"/>
              </w:rPr>
              <w:t>referred to as the Action Plans</w:t>
            </w:r>
            <w:r w:rsidR="00C87D92" w:rsidRPr="003272C7">
              <w:rPr>
                <w:rStyle w:val="normaltextrun"/>
                <w:rFonts w:cs="Arial"/>
              </w:rPr>
              <w:t>.</w:t>
            </w:r>
          </w:p>
          <w:p w14:paraId="727E1EF7" w14:textId="33437920" w:rsidR="00B242C3" w:rsidRPr="003272C7" w:rsidRDefault="00B242C3" w:rsidP="003B0283">
            <w:pPr>
              <w:pStyle w:val="TableBullet"/>
              <w:rPr>
                <w:rFonts w:cs="Arial"/>
              </w:rPr>
            </w:pPr>
            <w:r w:rsidRPr="003272C7">
              <w:rPr>
                <w:rFonts w:cs="Arial"/>
              </w:rPr>
              <w:t>Annual reporting as required by the Yarra River Protection (Wilip-gin Birrarung murron) Act 2017 (the Act)</w:t>
            </w:r>
            <w:r w:rsidR="00C87D92" w:rsidRPr="003272C7">
              <w:rPr>
                <w:rFonts w:cs="Arial"/>
              </w:rPr>
              <w:t>.</w:t>
            </w:r>
          </w:p>
          <w:p w14:paraId="6B76ED01" w14:textId="56387EA1" w:rsidR="00B242C3" w:rsidRPr="003272C7" w:rsidRDefault="00B242C3" w:rsidP="003B0283">
            <w:pPr>
              <w:pStyle w:val="TableBullet"/>
              <w:rPr>
                <w:rFonts w:cs="Arial"/>
              </w:rPr>
            </w:pPr>
            <w:r w:rsidRPr="003272C7">
              <w:rPr>
                <w:rFonts w:cs="Arial"/>
              </w:rPr>
              <w:t>Annual report</w:t>
            </w:r>
            <w:r w:rsidR="003B51DC" w:rsidRPr="003272C7">
              <w:rPr>
                <w:rFonts w:cs="Arial"/>
              </w:rPr>
              <w:t>ing</w:t>
            </w:r>
            <w:r w:rsidRPr="003272C7">
              <w:rPr>
                <w:rFonts w:cs="Arial"/>
              </w:rPr>
              <w:t xml:space="preserve"> on </w:t>
            </w:r>
            <w:r w:rsidR="003B51DC" w:rsidRPr="003272C7">
              <w:rPr>
                <w:rFonts w:cs="Arial"/>
              </w:rPr>
              <w:t>the</w:t>
            </w:r>
            <w:r w:rsidRPr="003272C7">
              <w:rPr>
                <w:rFonts w:cs="Arial"/>
              </w:rPr>
              <w:t xml:space="preserve"> Waterways of the West and Rivers of the Barwon </w:t>
            </w:r>
            <w:r w:rsidR="003B51DC" w:rsidRPr="003272C7">
              <w:rPr>
                <w:rFonts w:cs="Arial"/>
              </w:rPr>
              <w:t xml:space="preserve">(Barre Warre Yulluk) </w:t>
            </w:r>
            <w:r w:rsidRPr="003272C7">
              <w:rPr>
                <w:rFonts w:cs="Arial"/>
              </w:rPr>
              <w:t>Action Plan</w:t>
            </w:r>
            <w:r w:rsidR="003B51DC" w:rsidRPr="003272C7">
              <w:rPr>
                <w:rFonts w:cs="Arial"/>
              </w:rPr>
              <w:t>s</w:t>
            </w:r>
            <w:r w:rsidR="00C87D92" w:rsidRPr="003272C7">
              <w:rPr>
                <w:rFonts w:cs="Arial"/>
              </w:rPr>
              <w:t>.</w:t>
            </w:r>
          </w:p>
          <w:p w14:paraId="4C6F2231" w14:textId="7C0E301A" w:rsidR="00B242C3" w:rsidRPr="003272C7" w:rsidRDefault="00B242C3" w:rsidP="003B0283">
            <w:pPr>
              <w:pStyle w:val="TableBullet"/>
              <w:rPr>
                <w:rFonts w:cs="Arial"/>
              </w:rPr>
            </w:pPr>
            <w:r w:rsidRPr="003272C7">
              <w:rPr>
                <w:rFonts w:cs="Arial"/>
              </w:rPr>
              <w:t>Delivery of priority projects as per funding agreements, aligning with the Action Plans and YSP</w:t>
            </w:r>
            <w:r w:rsidR="00C87D92" w:rsidRPr="003272C7">
              <w:rPr>
                <w:rFonts w:cs="Arial"/>
              </w:rPr>
              <w:t>.</w:t>
            </w:r>
          </w:p>
          <w:p w14:paraId="5E7FA21E" w14:textId="0E6AFE64" w:rsidR="00B242C3" w:rsidRPr="003272C7" w:rsidRDefault="00B242C3" w:rsidP="003B0283">
            <w:pPr>
              <w:pStyle w:val="TableBullet"/>
              <w:rPr>
                <w:rFonts w:cs="Arial"/>
              </w:rPr>
            </w:pPr>
            <w:r w:rsidRPr="003272C7">
              <w:rPr>
                <w:rFonts w:cs="Arial"/>
              </w:rPr>
              <w:t xml:space="preserve">Engagement and capacity building </w:t>
            </w:r>
            <w:r w:rsidR="00D72ADF" w:rsidRPr="003272C7">
              <w:rPr>
                <w:rFonts w:cs="Arial"/>
              </w:rPr>
              <w:t xml:space="preserve">with </w:t>
            </w:r>
            <w:r w:rsidRPr="003272C7">
              <w:rPr>
                <w:rFonts w:cs="Arial"/>
              </w:rPr>
              <w:t>Traditional Owners, recreational users, community, management agencies and funding bodies in place-based planning</w:t>
            </w:r>
            <w:r w:rsidR="00C87D92" w:rsidRPr="003272C7">
              <w:rPr>
                <w:rFonts w:cs="Arial"/>
              </w:rPr>
              <w:t>.</w:t>
            </w:r>
          </w:p>
          <w:p w14:paraId="617B3D73" w14:textId="108D77AF" w:rsidR="00B242C3" w:rsidRPr="003272C7" w:rsidRDefault="00B242C3" w:rsidP="003B0283">
            <w:pPr>
              <w:pStyle w:val="TableBullet"/>
              <w:rPr>
                <w:rFonts w:cs="Arial"/>
              </w:rPr>
            </w:pPr>
            <w:r w:rsidRPr="003272C7">
              <w:rPr>
                <w:rFonts w:cs="Arial"/>
              </w:rPr>
              <w:t>Governance obligations under the Act regarding Birrarung Council and the YSP lead agency</w:t>
            </w:r>
            <w:r w:rsidR="00C87D92" w:rsidRPr="003272C7">
              <w:rPr>
                <w:rFonts w:cs="Arial"/>
              </w:rPr>
              <w:t>.</w:t>
            </w:r>
          </w:p>
          <w:p w14:paraId="4FF15BD6" w14:textId="32A4CFCA" w:rsidR="00B242C3" w:rsidRPr="003272C7" w:rsidRDefault="00D72ADF" w:rsidP="003B0283">
            <w:pPr>
              <w:pStyle w:val="TableBullet"/>
              <w:rPr>
                <w:rFonts w:cs="Arial"/>
              </w:rPr>
            </w:pPr>
            <w:r w:rsidRPr="003272C7">
              <w:rPr>
                <w:rFonts w:cs="Arial"/>
              </w:rPr>
              <w:t>Commencement of processes and policy development</w:t>
            </w:r>
            <w:r w:rsidR="00B242C3" w:rsidRPr="003272C7">
              <w:rPr>
                <w:rFonts w:cs="Arial"/>
              </w:rPr>
              <w:t xml:space="preserve"> to recognise iconic waterways as living entities and the Traditional Owners as the ‘voice of these living entities’</w:t>
            </w:r>
            <w:r w:rsidR="00C87D92" w:rsidRPr="003272C7">
              <w:rPr>
                <w:rFonts w:cs="Arial"/>
              </w:rPr>
              <w:t>.</w:t>
            </w:r>
          </w:p>
          <w:p w14:paraId="795D12A1" w14:textId="09A7FA44" w:rsidR="00B242C3" w:rsidRPr="003272C7" w:rsidRDefault="00B242C3" w:rsidP="003B0283">
            <w:pPr>
              <w:pStyle w:val="TableBullet"/>
              <w:rPr>
                <w:rFonts w:cs="Arial"/>
              </w:rPr>
            </w:pPr>
            <w:r w:rsidRPr="003272C7">
              <w:rPr>
                <w:rFonts w:cs="Arial"/>
              </w:rPr>
              <w:t>Recognition and protection of the waterway amenity values on iconic urban waterways</w:t>
            </w:r>
            <w:r w:rsidR="00C87D92" w:rsidRPr="003272C7">
              <w:rPr>
                <w:rFonts w:cs="Arial"/>
              </w:rPr>
              <w:t>.</w:t>
            </w:r>
          </w:p>
          <w:p w14:paraId="210E0479" w14:textId="5205C3BA" w:rsidR="00B242C3" w:rsidRPr="003272C7" w:rsidRDefault="00FA4BB2" w:rsidP="003B0283">
            <w:pPr>
              <w:pStyle w:val="TableBullet"/>
              <w:rPr>
                <w:rFonts w:cs="Arial"/>
              </w:rPr>
            </w:pPr>
            <w:r w:rsidRPr="003272C7">
              <w:rPr>
                <w:rFonts w:cs="Arial"/>
              </w:rPr>
              <w:t>Monitoring and e</w:t>
            </w:r>
            <w:r w:rsidR="00B242C3" w:rsidRPr="003272C7">
              <w:rPr>
                <w:rFonts w:cs="Arial"/>
              </w:rPr>
              <w:t xml:space="preserve">valuation </w:t>
            </w:r>
            <w:r w:rsidRPr="003272C7">
              <w:rPr>
                <w:rFonts w:cs="Arial"/>
              </w:rPr>
              <w:t xml:space="preserve">frameworks for the </w:t>
            </w:r>
            <w:r w:rsidR="00B242C3" w:rsidRPr="003272C7">
              <w:rPr>
                <w:rFonts w:cs="Arial"/>
              </w:rPr>
              <w:t xml:space="preserve">Waterways of the West and Rivers of the Barwon </w:t>
            </w:r>
            <w:r w:rsidRPr="003272C7">
              <w:rPr>
                <w:rFonts w:cs="Arial"/>
              </w:rPr>
              <w:t xml:space="preserve">(Barre Warre Yulluk) </w:t>
            </w:r>
            <w:r w:rsidR="00B242C3" w:rsidRPr="003272C7">
              <w:rPr>
                <w:rFonts w:cs="Arial"/>
              </w:rPr>
              <w:t>Action Plans</w:t>
            </w:r>
            <w:r w:rsidR="00C87D92" w:rsidRPr="003272C7">
              <w:rPr>
                <w:rFonts w:cs="Arial"/>
              </w:rPr>
              <w:t>.</w:t>
            </w:r>
          </w:p>
          <w:p w14:paraId="02A0AE4B" w14:textId="77586ABF" w:rsidR="00B242C3" w:rsidRPr="003272C7" w:rsidRDefault="002123D7" w:rsidP="003B0283">
            <w:pPr>
              <w:pStyle w:val="TableBullet"/>
              <w:rPr>
                <w:rFonts w:cs="Arial"/>
              </w:rPr>
            </w:pPr>
            <w:r w:rsidRPr="00623380">
              <w:rPr>
                <w:rStyle w:val="normaltextrun"/>
                <w:rFonts w:cs="Arial"/>
              </w:rPr>
              <w:t>Design and delivery of the Green Links Grants Program (Round 1).</w:t>
            </w:r>
            <w:r w:rsidRPr="003272C7">
              <w:rPr>
                <w:rStyle w:val="eop"/>
                <w:rFonts w:cs="Arial"/>
                <w:shd w:val="clear" w:color="auto" w:fill="FFFFFF"/>
              </w:rPr>
              <w:t> </w:t>
            </w:r>
          </w:p>
        </w:tc>
      </w:tr>
      <w:tr w:rsidR="00B242C3" w:rsidRPr="003272C7" w14:paraId="712363AE" w14:textId="77777777" w:rsidTr="005D16A1">
        <w:trPr>
          <w:trHeight w:val="259"/>
        </w:trPr>
        <w:tc>
          <w:tcPr>
            <w:tcW w:w="5000" w:type="pct"/>
            <w:gridSpan w:val="2"/>
            <w:shd w:val="clear" w:color="auto" w:fill="231EDC" w:themeFill="accent1"/>
          </w:tcPr>
          <w:p w14:paraId="0044F97A" w14:textId="77777777" w:rsidR="00B242C3" w:rsidRPr="003272C7" w:rsidRDefault="00B242C3" w:rsidP="004D1562">
            <w:pPr>
              <w:pStyle w:val="TableTextBold"/>
              <w:rPr>
                <w:rFonts w:cs="Arial"/>
              </w:rPr>
            </w:pPr>
            <w:r w:rsidRPr="003272C7">
              <w:rPr>
                <w:rFonts w:cs="Arial"/>
              </w:rPr>
              <w:t>Summary against evaluation domains</w:t>
            </w:r>
          </w:p>
        </w:tc>
      </w:tr>
      <w:tr w:rsidR="00B242C3" w:rsidRPr="003272C7" w14:paraId="05905644" w14:textId="77777777" w:rsidTr="005D16A1">
        <w:trPr>
          <w:trHeight w:val="259"/>
        </w:trPr>
        <w:tc>
          <w:tcPr>
            <w:tcW w:w="979" w:type="pct"/>
            <w:shd w:val="clear" w:color="auto" w:fill="231EDC" w:themeFill="accent1"/>
          </w:tcPr>
          <w:p w14:paraId="75B40A69"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14FD77F9" w14:textId="77777777" w:rsidR="00142559" w:rsidRPr="003272C7" w:rsidRDefault="00B242C3" w:rsidP="00603580">
            <w:pPr>
              <w:pStyle w:val="TableBullet"/>
              <w:rPr>
                <w:rFonts w:cs="Arial"/>
              </w:rPr>
            </w:pPr>
            <w:r w:rsidRPr="003272C7">
              <w:rPr>
                <w:rFonts w:cs="Arial"/>
              </w:rPr>
              <w:t xml:space="preserve">This </w:t>
            </w:r>
            <w:r w:rsidR="00C87D92" w:rsidRPr="003272C7">
              <w:rPr>
                <w:rFonts w:cs="Arial"/>
              </w:rPr>
              <w:t xml:space="preserve">project </w:t>
            </w:r>
            <w:r w:rsidRPr="003272C7">
              <w:rPr>
                <w:rFonts w:cs="Arial"/>
              </w:rPr>
              <w:t xml:space="preserve">has delivered the </w:t>
            </w:r>
            <w:r w:rsidR="00DE45E7" w:rsidRPr="003272C7">
              <w:rPr>
                <w:rFonts w:cs="Arial"/>
              </w:rPr>
              <w:t>YSP</w:t>
            </w:r>
            <w:r w:rsidRPr="003272C7">
              <w:rPr>
                <w:rFonts w:cs="Arial"/>
              </w:rPr>
              <w:t xml:space="preserve"> and </w:t>
            </w:r>
            <w:r w:rsidR="00DE45E7" w:rsidRPr="003272C7">
              <w:rPr>
                <w:rFonts w:cs="Arial"/>
              </w:rPr>
              <w:t>the</w:t>
            </w:r>
            <w:r w:rsidRPr="003272C7">
              <w:rPr>
                <w:rFonts w:cs="Arial"/>
              </w:rPr>
              <w:t xml:space="preserve"> Action Plans as key strategies whose policies and actions underpin a fundamental shift in how we view and manage our urban waterways. Building on Ministerial Advisory Committee </w:t>
            </w:r>
            <w:r w:rsidR="00DE45E7" w:rsidRPr="003272C7">
              <w:rPr>
                <w:rFonts w:cs="Arial"/>
              </w:rPr>
              <w:t xml:space="preserve">(MAC) </w:t>
            </w:r>
            <w:r w:rsidRPr="003272C7">
              <w:rPr>
                <w:rFonts w:cs="Arial"/>
              </w:rPr>
              <w:t>processes, and the voices heard from our Traditional Owners and community through the MAC’s and extensive community engagement, the YSP and Action Plans introduce and embed stronger partnerships with Traditional Owners and collaborative governance to manage waterways as living and integrated entities.</w:t>
            </w:r>
            <w:r w:rsidR="008A39D6" w:rsidRPr="00623380">
              <w:rPr>
                <w:rFonts w:cs="Arial"/>
              </w:rPr>
              <w:t xml:space="preserve"> The program also supports the Secretariat functions of the Birrarung Council. This has included the employment of an E</w:t>
            </w:r>
            <w:r w:rsidR="00125585" w:rsidRPr="003272C7">
              <w:rPr>
                <w:rFonts w:cs="Arial"/>
              </w:rPr>
              <w:t xml:space="preserve">xecutive </w:t>
            </w:r>
            <w:r w:rsidR="008A39D6" w:rsidRPr="00623380">
              <w:rPr>
                <w:rFonts w:cs="Arial"/>
              </w:rPr>
              <w:t>O</w:t>
            </w:r>
            <w:r w:rsidR="00125585" w:rsidRPr="003272C7">
              <w:rPr>
                <w:rFonts w:cs="Arial"/>
              </w:rPr>
              <w:t>fficer</w:t>
            </w:r>
            <w:r w:rsidR="008A39D6" w:rsidRPr="00623380">
              <w:rPr>
                <w:rFonts w:cs="Arial"/>
              </w:rPr>
              <w:t xml:space="preserve"> and an admin position, as well as ongoing operational costs such as sitting fees, meeting costs and some modest professional services.</w:t>
            </w:r>
          </w:p>
          <w:p w14:paraId="74049EE9" w14:textId="77777777" w:rsidR="00142559" w:rsidRPr="003272C7" w:rsidRDefault="003266D9" w:rsidP="00603580">
            <w:pPr>
              <w:pStyle w:val="TableBullet"/>
              <w:rPr>
                <w:rFonts w:cs="Arial"/>
              </w:rPr>
            </w:pPr>
            <w:r w:rsidRPr="00623380">
              <w:rPr>
                <w:rFonts w:cs="Arial"/>
              </w:rPr>
              <w:t xml:space="preserve">Burndap Birrarung burndap umarkoo, the </w:t>
            </w:r>
            <w:r w:rsidR="00B242C3" w:rsidRPr="003272C7">
              <w:rPr>
                <w:rFonts w:cs="Arial"/>
              </w:rPr>
              <w:t xml:space="preserve">Yarra Strategic Plan: The </w:t>
            </w:r>
            <w:r w:rsidR="000115C7" w:rsidRPr="003272C7">
              <w:rPr>
                <w:rFonts w:cs="Arial"/>
              </w:rPr>
              <w:t xml:space="preserve">project </w:t>
            </w:r>
            <w:r w:rsidR="00B242C3" w:rsidRPr="003272C7">
              <w:rPr>
                <w:rFonts w:cs="Arial"/>
              </w:rPr>
              <w:t xml:space="preserve">has provided the policy support and funding to kick-start implementation of the YSP. </w:t>
            </w:r>
            <w:r w:rsidR="00B242C3" w:rsidRPr="003272C7" w:rsidDel="002E1424">
              <w:rPr>
                <w:rFonts w:cs="Arial"/>
              </w:rPr>
              <w:lastRenderedPageBreak/>
              <w:t>88 projects</w:t>
            </w:r>
            <w:r w:rsidR="00B242C3" w:rsidRPr="003272C7">
              <w:rPr>
                <w:rFonts w:cs="Arial"/>
              </w:rPr>
              <w:t xml:space="preserve"> are</w:t>
            </w:r>
            <w:r w:rsidR="00B242C3" w:rsidRPr="003272C7" w:rsidDel="002E1424">
              <w:rPr>
                <w:rFonts w:cs="Arial"/>
              </w:rPr>
              <w:t xml:space="preserve"> being undertaken to protect and enhance the river and its parklands - </w:t>
            </w:r>
            <w:r w:rsidR="00B242C3" w:rsidRPr="003272C7" w:rsidDel="0033281D">
              <w:rPr>
                <w:rFonts w:cs="Arial"/>
              </w:rPr>
              <w:t>significant progress across the 40 actions of Part 1</w:t>
            </w:r>
            <w:r w:rsidR="00B242C3" w:rsidRPr="003272C7">
              <w:rPr>
                <w:rFonts w:cs="Arial"/>
              </w:rPr>
              <w:t xml:space="preserve"> of the YSP</w:t>
            </w:r>
            <w:r w:rsidR="00B242C3" w:rsidRPr="003272C7" w:rsidDel="0033281D">
              <w:rPr>
                <w:rFonts w:cs="Arial"/>
              </w:rPr>
              <w:t xml:space="preserve">, with </w:t>
            </w:r>
            <w:r w:rsidR="00B502CD" w:rsidRPr="003272C7">
              <w:rPr>
                <w:rFonts w:cs="Arial"/>
              </w:rPr>
              <w:t>nine</w:t>
            </w:r>
            <w:r w:rsidR="00B502CD" w:rsidRPr="003272C7" w:rsidDel="002E1424">
              <w:rPr>
                <w:rFonts w:cs="Arial"/>
              </w:rPr>
              <w:t xml:space="preserve"> </w:t>
            </w:r>
            <w:r w:rsidR="00B242C3" w:rsidRPr="003272C7" w:rsidDel="0033281D">
              <w:rPr>
                <w:rFonts w:cs="Arial"/>
              </w:rPr>
              <w:t xml:space="preserve">delivered, </w:t>
            </w:r>
            <w:r w:rsidR="00B502CD" w:rsidRPr="003272C7">
              <w:rPr>
                <w:rFonts w:cs="Arial"/>
              </w:rPr>
              <w:t>21</w:t>
            </w:r>
            <w:r w:rsidR="00B502CD" w:rsidRPr="003272C7" w:rsidDel="0033281D">
              <w:rPr>
                <w:rFonts w:cs="Arial"/>
              </w:rPr>
              <w:t xml:space="preserve"> </w:t>
            </w:r>
            <w:r w:rsidR="00B242C3" w:rsidRPr="003272C7" w:rsidDel="0033281D">
              <w:rPr>
                <w:rFonts w:cs="Arial"/>
              </w:rPr>
              <w:t xml:space="preserve">in progress and </w:t>
            </w:r>
            <w:r w:rsidR="00B502CD" w:rsidRPr="003272C7">
              <w:rPr>
                <w:rFonts w:cs="Arial"/>
              </w:rPr>
              <w:t>10</w:t>
            </w:r>
            <w:r w:rsidR="00B502CD" w:rsidRPr="003272C7" w:rsidDel="0033281D">
              <w:rPr>
                <w:rFonts w:cs="Arial"/>
              </w:rPr>
              <w:t xml:space="preserve"> </w:t>
            </w:r>
            <w:r w:rsidR="00B242C3" w:rsidRPr="003272C7" w:rsidDel="0033281D">
              <w:rPr>
                <w:rFonts w:cs="Arial"/>
              </w:rPr>
              <w:t>in their planning phase</w:t>
            </w:r>
            <w:r w:rsidR="00B242C3" w:rsidRPr="003272C7">
              <w:rPr>
                <w:rFonts w:cs="Arial"/>
              </w:rPr>
              <w:t>.</w:t>
            </w:r>
          </w:p>
          <w:p w14:paraId="7B4AF470" w14:textId="24127B1F" w:rsidR="00B242C3" w:rsidRPr="003272C7" w:rsidRDefault="00B242C3" w:rsidP="00603580">
            <w:pPr>
              <w:pStyle w:val="TableBullet"/>
              <w:rPr>
                <w:rFonts w:cs="Arial"/>
              </w:rPr>
            </w:pPr>
            <w:r w:rsidRPr="003272C7">
              <w:rPr>
                <w:rFonts w:cs="Arial"/>
              </w:rPr>
              <w:t xml:space="preserve">Waterways of the West and Rivers of the Barwon </w:t>
            </w:r>
            <w:r w:rsidR="001A32CE" w:rsidRPr="003272C7">
              <w:rPr>
                <w:rFonts w:cs="Arial"/>
              </w:rPr>
              <w:t>(</w:t>
            </w:r>
            <w:r w:rsidR="001A32CE" w:rsidRPr="00623380">
              <w:rPr>
                <w:rFonts w:cs="Arial"/>
              </w:rPr>
              <w:t xml:space="preserve">Barre Warre Yulluk) </w:t>
            </w:r>
            <w:r w:rsidRPr="003272C7">
              <w:rPr>
                <w:rFonts w:cs="Arial"/>
              </w:rPr>
              <w:t>Action Plans: The Action Plans contain</w:t>
            </w:r>
            <w:r w:rsidR="001A32CE" w:rsidRPr="003272C7">
              <w:rPr>
                <w:rFonts w:cs="Arial"/>
              </w:rPr>
              <w:t>ed 35</w:t>
            </w:r>
            <w:r w:rsidRPr="003272C7">
              <w:rPr>
                <w:rFonts w:cs="Arial"/>
              </w:rPr>
              <w:t xml:space="preserve"> short-term actions to be delivered in the first year of implementation</w:t>
            </w:r>
            <w:r w:rsidR="001A32CE" w:rsidRPr="00623380">
              <w:rPr>
                <w:rFonts w:cs="Arial"/>
              </w:rPr>
              <w:t xml:space="preserve"> and 35 longer-term within 5 years. All short-term actions have been delivered or are on-going as they relate to self-determine priorities or longer-term policy such as the Healthy Waterway Strategy</w:t>
            </w:r>
            <w:r w:rsidRPr="003272C7">
              <w:rPr>
                <w:rFonts w:cs="Arial"/>
              </w:rPr>
              <w:t>. In addition</w:t>
            </w:r>
            <w:r w:rsidR="00CA7E23" w:rsidRPr="003272C7">
              <w:rPr>
                <w:rFonts w:cs="Arial"/>
              </w:rPr>
              <w:t>,</w:t>
            </w:r>
            <w:r w:rsidRPr="003272C7">
              <w:rPr>
                <w:rFonts w:cs="Arial"/>
              </w:rPr>
              <w:t xml:space="preserve"> the </w:t>
            </w:r>
            <w:r w:rsidR="00CA7E23" w:rsidRPr="003272C7">
              <w:rPr>
                <w:rFonts w:cs="Arial"/>
              </w:rPr>
              <w:t xml:space="preserve">project </w:t>
            </w:r>
            <w:r w:rsidRPr="003272C7">
              <w:rPr>
                <w:rFonts w:cs="Arial"/>
              </w:rPr>
              <w:t>supported broader implementation of the Action Plan’s key directions through targeted investment and the Iconic Urban Waterways Grants Program</w:t>
            </w:r>
            <w:r w:rsidR="00BF5F0D" w:rsidRPr="00623380">
              <w:rPr>
                <w:rFonts w:cs="Arial"/>
              </w:rPr>
              <w:t xml:space="preserve"> including funding for strategic corridor plans such as the Kitjarra-dja-bul bullarto langi-ut Master Plan and the Lower Werribee Waterways Amenity Action</w:t>
            </w:r>
            <w:r w:rsidR="00603580" w:rsidRPr="003272C7">
              <w:rPr>
                <w:rFonts w:cs="Arial"/>
              </w:rPr>
              <w:t> </w:t>
            </w:r>
            <w:r w:rsidR="00BF5F0D" w:rsidRPr="00623380">
              <w:rPr>
                <w:rFonts w:cs="Arial"/>
              </w:rPr>
              <w:t>Plan</w:t>
            </w:r>
            <w:r w:rsidR="00743E51" w:rsidRPr="003272C7">
              <w:rPr>
                <w:rFonts w:cs="Arial"/>
              </w:rPr>
              <w:t>.</w:t>
            </w:r>
          </w:p>
        </w:tc>
      </w:tr>
      <w:tr w:rsidR="00B242C3" w:rsidRPr="003272C7" w14:paraId="560CE8A9" w14:textId="77777777" w:rsidTr="005D16A1">
        <w:trPr>
          <w:trHeight w:val="259"/>
        </w:trPr>
        <w:tc>
          <w:tcPr>
            <w:tcW w:w="979" w:type="pct"/>
            <w:shd w:val="clear" w:color="auto" w:fill="231EDC" w:themeFill="accent1"/>
          </w:tcPr>
          <w:p w14:paraId="0D4A1FA2" w14:textId="77777777" w:rsidR="00B242C3" w:rsidRPr="003272C7" w:rsidRDefault="00B242C3" w:rsidP="0031634E">
            <w:pPr>
              <w:pStyle w:val="TableText"/>
              <w:rPr>
                <w:rFonts w:cs="Arial"/>
                <w:b/>
                <w:bCs/>
              </w:rPr>
            </w:pPr>
            <w:r w:rsidRPr="003272C7">
              <w:rPr>
                <w:rFonts w:cs="Arial"/>
                <w:b/>
                <w:bCs/>
              </w:rPr>
              <w:lastRenderedPageBreak/>
              <w:t>Effectiveness</w:t>
            </w:r>
          </w:p>
        </w:tc>
        <w:tc>
          <w:tcPr>
            <w:tcW w:w="4021" w:type="pct"/>
          </w:tcPr>
          <w:p w14:paraId="6FAC54C7" w14:textId="45E38E34" w:rsidR="00B242C3" w:rsidRPr="003272C7" w:rsidRDefault="00B242C3" w:rsidP="0031634E">
            <w:pPr>
              <w:pStyle w:val="TableBullet"/>
              <w:rPr>
                <w:rFonts w:cs="Arial"/>
              </w:rPr>
            </w:pPr>
            <w:r w:rsidRPr="003272C7">
              <w:rPr>
                <w:rFonts w:cs="Arial"/>
              </w:rPr>
              <w:t xml:space="preserve">The </w:t>
            </w:r>
            <w:r w:rsidR="00A61641" w:rsidRPr="003272C7">
              <w:rPr>
                <w:rFonts w:cs="Arial"/>
              </w:rPr>
              <w:t xml:space="preserve">project </w:t>
            </w:r>
            <w:r w:rsidRPr="003272C7">
              <w:rPr>
                <w:rFonts w:cs="Arial"/>
              </w:rPr>
              <w:t xml:space="preserve">budget </w:t>
            </w:r>
            <w:r w:rsidR="00BF5F0D" w:rsidRPr="003272C7">
              <w:rPr>
                <w:rFonts w:cs="Arial"/>
              </w:rPr>
              <w:t>w</w:t>
            </w:r>
            <w:r w:rsidRPr="003272C7">
              <w:rPr>
                <w:rFonts w:cs="Arial"/>
              </w:rPr>
              <w:t xml:space="preserve">as fully expended each financial year over the EC5 period, </w:t>
            </w:r>
            <w:r w:rsidR="00BF5F0D" w:rsidRPr="003272C7">
              <w:rPr>
                <w:rFonts w:cs="Arial"/>
              </w:rPr>
              <w:t>funding</w:t>
            </w:r>
            <w:r w:rsidRPr="003272C7">
              <w:rPr>
                <w:rFonts w:cs="Arial"/>
              </w:rPr>
              <w:t xml:space="preserve"> project delivery, grants programs, and professional services supporting key policy and action delivery</w:t>
            </w:r>
            <w:r w:rsidR="00743E51" w:rsidRPr="003272C7">
              <w:rPr>
                <w:rFonts w:cs="Arial"/>
              </w:rPr>
              <w:t xml:space="preserve"> for example</w:t>
            </w:r>
            <w:r w:rsidRPr="003272C7">
              <w:rPr>
                <w:rFonts w:cs="Arial"/>
              </w:rPr>
              <w:t>.</w:t>
            </w:r>
          </w:p>
          <w:p w14:paraId="666FB893" w14:textId="77777777" w:rsidR="00142559" w:rsidRPr="003272C7" w:rsidRDefault="00B242C3" w:rsidP="0031634E">
            <w:pPr>
              <w:pStyle w:val="TableBullet"/>
              <w:rPr>
                <w:rFonts w:cs="Arial"/>
              </w:rPr>
            </w:pPr>
            <w:r w:rsidRPr="003272C7">
              <w:rPr>
                <w:rFonts w:cs="Arial"/>
              </w:rPr>
              <w:t xml:space="preserve">The launch of the Actions Plans and YSP </w:t>
            </w:r>
            <w:r w:rsidR="00743E51" w:rsidRPr="003272C7">
              <w:rPr>
                <w:rFonts w:cs="Arial"/>
              </w:rPr>
              <w:t>was</w:t>
            </w:r>
            <w:r w:rsidRPr="003272C7">
              <w:rPr>
                <w:rFonts w:cs="Arial"/>
              </w:rPr>
              <w:t xml:space="preserve"> slightly delayed due to myriad factors, including ensuring appropriate engagement and endorsement by Traditional Owners. However initial delays have not impacted on delivery of both policy and action-based activities of the Program by DEECA, and partner organisations. Priority actions from each of the Plans were supported prior to the launch to enable smooth transition into implementation, and to maintain the momentum built with stakeholders during the development of the Plans.</w:t>
            </w:r>
          </w:p>
          <w:p w14:paraId="671B2FAD" w14:textId="42DA0CAC" w:rsidR="00B242C3" w:rsidRPr="003272C7" w:rsidRDefault="00B242C3" w:rsidP="00603580">
            <w:pPr>
              <w:pStyle w:val="TableBullet"/>
              <w:rPr>
                <w:rFonts w:cs="Arial"/>
              </w:rPr>
            </w:pPr>
            <w:r w:rsidRPr="003272C7">
              <w:rPr>
                <w:rFonts w:cs="Arial"/>
              </w:rPr>
              <w:t xml:space="preserve">Grants provided by the Program to delivery partners for governance, implementation of key actions, or via the Iconic Urban Waterways Grants Program have been expended and </w:t>
            </w:r>
            <w:r w:rsidR="007E3642" w:rsidRPr="003272C7">
              <w:rPr>
                <w:rFonts w:cs="Arial"/>
              </w:rPr>
              <w:t xml:space="preserve">most </w:t>
            </w:r>
            <w:r w:rsidRPr="003272C7">
              <w:rPr>
                <w:rFonts w:cs="Arial"/>
              </w:rPr>
              <w:t xml:space="preserve">projects </w:t>
            </w:r>
            <w:r w:rsidR="007E3642" w:rsidRPr="003272C7">
              <w:rPr>
                <w:rFonts w:cs="Arial"/>
              </w:rPr>
              <w:t>delivered</w:t>
            </w:r>
            <w:r w:rsidRPr="003272C7">
              <w:rPr>
                <w:rFonts w:cs="Arial"/>
              </w:rPr>
              <w:t xml:space="preserve"> by the end of EC5</w:t>
            </w:r>
            <w:r w:rsidR="007E3642" w:rsidRPr="003272C7">
              <w:rPr>
                <w:rFonts w:cs="Arial"/>
              </w:rPr>
              <w:t xml:space="preserve"> with </w:t>
            </w:r>
            <w:r w:rsidR="00A61641" w:rsidRPr="003272C7">
              <w:rPr>
                <w:rFonts w:cs="Arial"/>
              </w:rPr>
              <w:t>variations</w:t>
            </w:r>
            <w:r w:rsidR="007E3642" w:rsidRPr="003272C7">
              <w:rPr>
                <w:rFonts w:cs="Arial"/>
              </w:rPr>
              <w:t xml:space="preserve"> approved for those that required additional time to deliver agreed</w:t>
            </w:r>
            <w:r w:rsidR="00603580" w:rsidRPr="003272C7">
              <w:rPr>
                <w:rFonts w:cs="Arial"/>
              </w:rPr>
              <w:t> </w:t>
            </w:r>
            <w:r w:rsidR="007E3642" w:rsidRPr="003272C7">
              <w:rPr>
                <w:rFonts w:cs="Arial"/>
              </w:rPr>
              <w:t>outcomes</w:t>
            </w:r>
            <w:r w:rsidRPr="003272C7">
              <w:rPr>
                <w:rFonts w:cs="Arial"/>
              </w:rPr>
              <w:t>.</w:t>
            </w:r>
          </w:p>
          <w:p w14:paraId="3F7EC756" w14:textId="61260B01" w:rsidR="00B242C3" w:rsidRPr="003272C7" w:rsidRDefault="00B242C3" w:rsidP="00603580">
            <w:pPr>
              <w:pStyle w:val="TableBullet"/>
              <w:rPr>
                <w:rFonts w:cs="Arial"/>
              </w:rPr>
            </w:pPr>
            <w:r w:rsidRPr="003272C7">
              <w:rPr>
                <w:rFonts w:cs="Arial"/>
              </w:rPr>
              <w:t xml:space="preserve">The </w:t>
            </w:r>
            <w:r w:rsidR="009132D9" w:rsidRPr="003272C7">
              <w:rPr>
                <w:rFonts w:cs="Arial"/>
              </w:rPr>
              <w:t xml:space="preserve">project </w:t>
            </w:r>
            <w:r w:rsidRPr="003272C7">
              <w:rPr>
                <w:rFonts w:cs="Arial"/>
              </w:rPr>
              <w:t>worked closely with Traditional Owner partners in providing funding to support their involvement in policy development, project-based work and Elder time, capacity building and training. This included building in flexibility such that Traditional Owners could exercise self-determination within the scope of involvement in the urban water policy space.</w:t>
            </w:r>
          </w:p>
          <w:p w14:paraId="277E3740" w14:textId="77777777" w:rsidR="00142559" w:rsidRPr="003272C7" w:rsidRDefault="009A5BCE" w:rsidP="00603580">
            <w:pPr>
              <w:pStyle w:val="TableBullet"/>
              <w:rPr>
                <w:rFonts w:cs="Arial"/>
              </w:rPr>
            </w:pPr>
            <w:r w:rsidRPr="003272C7">
              <w:rPr>
                <w:rFonts w:cs="Arial"/>
              </w:rPr>
              <w:t xml:space="preserve">The </w:t>
            </w:r>
            <w:r w:rsidR="009132D9" w:rsidRPr="003272C7">
              <w:rPr>
                <w:rFonts w:cs="Arial"/>
              </w:rPr>
              <w:t xml:space="preserve">project </w:t>
            </w:r>
            <w:r w:rsidRPr="003272C7">
              <w:rPr>
                <w:rFonts w:cs="Arial"/>
              </w:rPr>
              <w:t>supported the effective operations and legislative obligations of the Birrarung Council, in providing independent advice and advocacy on behalf of the Birrarung to the Minister for Water and wider community, including preparation of the annual report on the YSP, tabled annual report to Parliament.</w:t>
            </w:r>
          </w:p>
          <w:p w14:paraId="635F2D31" w14:textId="211BC060" w:rsidR="00142559" w:rsidRPr="003272C7" w:rsidRDefault="009A5BCE" w:rsidP="00603580">
            <w:pPr>
              <w:pStyle w:val="TableBullet"/>
              <w:rPr>
                <w:rFonts w:cs="Arial"/>
              </w:rPr>
            </w:pPr>
            <w:r w:rsidRPr="003272C7">
              <w:rPr>
                <w:rFonts w:cs="Arial"/>
              </w:rPr>
              <w:t xml:space="preserve">The </w:t>
            </w:r>
            <w:r w:rsidR="009132D9" w:rsidRPr="003272C7">
              <w:rPr>
                <w:rFonts w:cs="Arial"/>
              </w:rPr>
              <w:t xml:space="preserve">project </w:t>
            </w:r>
            <w:r w:rsidRPr="003272C7">
              <w:rPr>
                <w:rFonts w:cs="Arial"/>
              </w:rPr>
              <w:t>worked in partnership to develop policies and actions found in the Central Gippsland Region Sustainable Water Strategy (CGRSWS), Water is Life</w:t>
            </w:r>
            <w:r w:rsidR="009132D9" w:rsidRPr="003272C7">
              <w:rPr>
                <w:rFonts w:cs="Arial"/>
              </w:rPr>
              <w:t>: Traditional Owner Access to Water Roadmap</w:t>
            </w:r>
            <w:r w:rsidRPr="003272C7">
              <w:rPr>
                <w:rFonts w:cs="Arial"/>
              </w:rPr>
              <w:t xml:space="preserve">, and upcoming Victorian Waterways Management Strategy (expected 2025). The </w:t>
            </w:r>
            <w:r w:rsidR="009132D9" w:rsidRPr="003272C7">
              <w:rPr>
                <w:rFonts w:cs="Arial"/>
              </w:rPr>
              <w:t xml:space="preserve">project </w:t>
            </w:r>
            <w:r w:rsidRPr="003272C7">
              <w:rPr>
                <w:rFonts w:cs="Arial"/>
              </w:rPr>
              <w:t xml:space="preserve">worked in partnership with the Department of Transport and Planning, Melbourne Water, Corangamite Catchment Management Authority, Environment Protection Authority Victoria, Parks Victoria, and as well as </w:t>
            </w:r>
            <w:r w:rsidR="005F2EB5" w:rsidRPr="003272C7">
              <w:rPr>
                <w:rFonts w:cs="Arial"/>
              </w:rPr>
              <w:t>l</w:t>
            </w:r>
            <w:r w:rsidRPr="003272C7">
              <w:rPr>
                <w:rFonts w:cs="Arial"/>
              </w:rPr>
              <w:t xml:space="preserve">ocal </w:t>
            </w:r>
            <w:r w:rsidR="005F2EB5" w:rsidRPr="003272C7">
              <w:rPr>
                <w:rFonts w:cs="Arial"/>
              </w:rPr>
              <w:t>g</w:t>
            </w:r>
            <w:r w:rsidRPr="003272C7">
              <w:rPr>
                <w:rFonts w:cs="Arial"/>
              </w:rPr>
              <w:t xml:space="preserve">overnment </w:t>
            </w:r>
            <w:r w:rsidR="005F2EB5" w:rsidRPr="003272C7">
              <w:rPr>
                <w:rFonts w:cs="Arial"/>
              </w:rPr>
              <w:t>a</w:t>
            </w:r>
            <w:r w:rsidRPr="003272C7">
              <w:rPr>
                <w:rFonts w:cs="Arial"/>
              </w:rPr>
              <w:t>uthorities and</w:t>
            </w:r>
            <w:r w:rsidR="00603580" w:rsidRPr="003272C7">
              <w:rPr>
                <w:rFonts w:cs="Arial"/>
              </w:rPr>
              <w:t> </w:t>
            </w:r>
            <w:r w:rsidRPr="003272C7">
              <w:rPr>
                <w:rFonts w:cs="Arial"/>
              </w:rPr>
              <w:t>community.</w:t>
            </w:r>
          </w:p>
          <w:p w14:paraId="1900FD94" w14:textId="24F4EE1A" w:rsidR="00B242C3" w:rsidRPr="003272C7" w:rsidRDefault="009A5BCE" w:rsidP="00603580">
            <w:pPr>
              <w:pStyle w:val="TableBullet"/>
              <w:rPr>
                <w:rFonts w:cs="Arial"/>
              </w:rPr>
            </w:pPr>
            <w:r w:rsidRPr="00623380">
              <w:rPr>
                <w:rFonts w:cs="Arial"/>
              </w:rPr>
              <w:t>The Green Links Grants Program was able to leverage the work and relationships built by the program and focused funding in year one within a program area that encompassed the boundaries of the YSP and Actions Plans.</w:t>
            </w:r>
            <w:r w:rsidRPr="00623380">
              <w:rPr>
                <w:rStyle w:val="eop"/>
                <w:rFonts w:cs="Arial"/>
                <w:sz w:val="19"/>
                <w:szCs w:val="19"/>
              </w:rPr>
              <w:t> </w:t>
            </w:r>
          </w:p>
        </w:tc>
      </w:tr>
      <w:tr w:rsidR="00B242C3" w:rsidRPr="003272C7" w14:paraId="4B9F9735" w14:textId="77777777" w:rsidTr="005D16A1">
        <w:trPr>
          <w:trHeight w:val="259"/>
        </w:trPr>
        <w:tc>
          <w:tcPr>
            <w:tcW w:w="979" w:type="pct"/>
            <w:shd w:val="clear" w:color="auto" w:fill="231EDC" w:themeFill="accent1"/>
          </w:tcPr>
          <w:p w14:paraId="484689B0"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551D0D29" w14:textId="376E474E" w:rsidR="00B242C3" w:rsidRPr="003272C7" w:rsidRDefault="00B242C3" w:rsidP="0031634E">
            <w:pPr>
              <w:pStyle w:val="TableText"/>
              <w:rPr>
                <w:rFonts w:cs="Arial"/>
              </w:rPr>
            </w:pPr>
            <w:r w:rsidRPr="003272C7">
              <w:rPr>
                <w:rFonts w:cs="Arial"/>
              </w:rPr>
              <w:t xml:space="preserve">This </w:t>
            </w:r>
            <w:r w:rsidR="005035BA" w:rsidRPr="003272C7">
              <w:rPr>
                <w:rFonts w:cs="Arial"/>
              </w:rPr>
              <w:t xml:space="preserve">project </w:t>
            </w:r>
            <w:r w:rsidRPr="003272C7">
              <w:rPr>
                <w:rFonts w:cs="Arial"/>
              </w:rPr>
              <w:t xml:space="preserve">supported Water for Victoria commitments to transform our cities and towns into the most resilient and liveable in the world so that our communities can thrive in all climates. The </w:t>
            </w:r>
            <w:r w:rsidR="005035BA" w:rsidRPr="003272C7">
              <w:rPr>
                <w:rFonts w:cs="Arial"/>
              </w:rPr>
              <w:t xml:space="preserve">project </w:t>
            </w:r>
            <w:r w:rsidRPr="003272C7">
              <w:rPr>
                <w:rFonts w:cs="Arial"/>
              </w:rPr>
              <w:t>has:</w:t>
            </w:r>
          </w:p>
          <w:p w14:paraId="568ED122" w14:textId="2FF0A64E" w:rsidR="00B242C3" w:rsidRPr="003272C7" w:rsidRDefault="00B242C3" w:rsidP="00603580">
            <w:pPr>
              <w:pStyle w:val="TableBullet"/>
              <w:rPr>
                <w:rFonts w:cs="Arial"/>
              </w:rPr>
            </w:pPr>
            <w:r w:rsidRPr="003272C7">
              <w:rPr>
                <w:rFonts w:cs="Arial"/>
              </w:rPr>
              <w:t xml:space="preserve">progressed YSP and </w:t>
            </w:r>
            <w:r w:rsidR="009A5BCE" w:rsidRPr="003272C7">
              <w:rPr>
                <w:rFonts w:cs="Arial"/>
              </w:rPr>
              <w:t>the</w:t>
            </w:r>
            <w:r w:rsidRPr="003272C7">
              <w:rPr>
                <w:rFonts w:cs="Arial"/>
              </w:rPr>
              <w:t xml:space="preserve"> Action Plans, including legislative requirements of </w:t>
            </w:r>
            <w:r w:rsidR="00AC03FE" w:rsidRPr="003272C7">
              <w:rPr>
                <w:rFonts w:cs="Arial"/>
              </w:rPr>
              <w:t>t</w:t>
            </w:r>
            <w:r w:rsidR="00AC03FE" w:rsidRPr="00623380">
              <w:rPr>
                <w:rFonts w:cs="Arial"/>
              </w:rPr>
              <w:t>he Yarra River Protection (Wilip-gin Birrarung murron) Act 2017</w:t>
            </w:r>
            <w:r w:rsidR="00BA3B21" w:rsidRPr="003272C7">
              <w:rPr>
                <w:rFonts w:cs="Arial"/>
              </w:rPr>
              <w:t>.</w:t>
            </w:r>
          </w:p>
          <w:p w14:paraId="3FF9ED21" w14:textId="7CA66FDA" w:rsidR="00B242C3" w:rsidRPr="003272C7" w:rsidRDefault="00B242C3" w:rsidP="00603580">
            <w:pPr>
              <w:pStyle w:val="TableBullet"/>
              <w:rPr>
                <w:rFonts w:cs="Arial"/>
              </w:rPr>
            </w:pPr>
            <w:r w:rsidRPr="003272C7">
              <w:rPr>
                <w:rFonts w:cs="Arial"/>
              </w:rPr>
              <w:t xml:space="preserve">addressed commitments and contributed policy to CGRSWS and </w:t>
            </w:r>
            <w:r w:rsidR="00D57BBF" w:rsidRPr="003272C7">
              <w:rPr>
                <w:rFonts w:cs="Arial"/>
              </w:rPr>
              <w:t>Water is Life, and upcoming Victorian Waterways Management Strategy</w:t>
            </w:r>
            <w:r w:rsidR="00BA3B21" w:rsidRPr="003272C7">
              <w:rPr>
                <w:rFonts w:cs="Arial"/>
              </w:rPr>
              <w:t>.</w:t>
            </w:r>
          </w:p>
          <w:p w14:paraId="720AD46A" w14:textId="67C0CE5D" w:rsidR="00B242C3" w:rsidRPr="003272C7" w:rsidRDefault="00B242C3" w:rsidP="00603580">
            <w:pPr>
              <w:pStyle w:val="TableBullet"/>
              <w:rPr>
                <w:rFonts w:cs="Arial"/>
              </w:rPr>
            </w:pPr>
            <w:r w:rsidRPr="003272C7">
              <w:rPr>
                <w:rFonts w:cs="Arial"/>
              </w:rPr>
              <w:lastRenderedPageBreak/>
              <w:t>aligned to policy – Plan Melbourne, Biodiversity 2037, Marine and Coastal Policy, and Health Waterways Strategy (HWS)</w:t>
            </w:r>
            <w:r w:rsidR="00BA3B21" w:rsidRPr="003272C7">
              <w:rPr>
                <w:rFonts w:cs="Arial"/>
              </w:rPr>
              <w:t>.</w:t>
            </w:r>
          </w:p>
          <w:p w14:paraId="2483E703" w14:textId="5B420DD7" w:rsidR="00B242C3" w:rsidRPr="003272C7" w:rsidRDefault="00B242C3" w:rsidP="00603580">
            <w:pPr>
              <w:pStyle w:val="TableBullet"/>
              <w:rPr>
                <w:rFonts w:cs="Arial"/>
              </w:rPr>
            </w:pPr>
            <w:r w:rsidRPr="003272C7">
              <w:rPr>
                <w:rFonts w:cs="Arial"/>
              </w:rPr>
              <w:t>progressed the Green Links election commitment</w:t>
            </w:r>
            <w:r w:rsidR="00AC03FE" w:rsidRPr="00623380">
              <w:rPr>
                <w:rFonts w:cs="Arial"/>
              </w:rPr>
              <w:t>, launching and awarding funding to 23 projects that will directly repair and revegetate almost 200 hectares of urban waterway corrido</w:t>
            </w:r>
            <w:r w:rsidR="00A302E7" w:rsidRPr="003272C7">
              <w:rPr>
                <w:rFonts w:cs="Arial"/>
              </w:rPr>
              <w:t>r.</w:t>
            </w:r>
          </w:p>
          <w:p w14:paraId="73422558" w14:textId="26FF5E62" w:rsidR="00B242C3" w:rsidRPr="003272C7" w:rsidRDefault="00B242C3" w:rsidP="00A37FD1">
            <w:pPr>
              <w:pStyle w:val="TableText"/>
              <w:rPr>
                <w:rFonts w:cs="Arial"/>
              </w:rPr>
            </w:pPr>
            <w:r w:rsidRPr="003272C7">
              <w:rPr>
                <w:rFonts w:cs="Arial"/>
              </w:rPr>
              <w:t xml:space="preserve">The </w:t>
            </w:r>
            <w:r w:rsidR="00D57BBF" w:rsidRPr="003272C7">
              <w:rPr>
                <w:rFonts w:cs="Arial"/>
              </w:rPr>
              <w:t xml:space="preserve">project </w:t>
            </w:r>
            <w:r w:rsidRPr="003272C7">
              <w:rPr>
                <w:rFonts w:cs="Arial"/>
              </w:rPr>
              <w:t xml:space="preserve">outcomes contribute to the goals of </w:t>
            </w:r>
            <w:r w:rsidRPr="003272C7">
              <w:rPr>
                <w:rFonts w:cs="Arial"/>
                <w:i/>
                <w:iCs/>
              </w:rPr>
              <w:t>Water for Victoria</w:t>
            </w:r>
            <w:r w:rsidRPr="003272C7">
              <w:rPr>
                <w:rFonts w:cs="Arial"/>
              </w:rPr>
              <w:t xml:space="preserve">, particularly Chapter 3: Waterway and Catchment Health (improving planning arrangements for urban waterways and outcomes of Yarra Ministerial Advisory Committee), and Chapter 5: Resilient and Liveable Cities and towns. </w:t>
            </w:r>
          </w:p>
        </w:tc>
      </w:tr>
      <w:tr w:rsidR="00B242C3" w:rsidRPr="003272C7" w14:paraId="080853F4" w14:textId="77777777" w:rsidTr="005D16A1">
        <w:trPr>
          <w:trHeight w:val="259"/>
        </w:trPr>
        <w:tc>
          <w:tcPr>
            <w:tcW w:w="979" w:type="pct"/>
            <w:shd w:val="clear" w:color="auto" w:fill="231EDC" w:themeFill="accent1"/>
          </w:tcPr>
          <w:p w14:paraId="44789802" w14:textId="77777777" w:rsidR="00B242C3" w:rsidRPr="003272C7" w:rsidRDefault="00B242C3" w:rsidP="00C06DED">
            <w:pPr>
              <w:pStyle w:val="TableText"/>
              <w:rPr>
                <w:rFonts w:cs="Arial"/>
                <w:b/>
                <w:bCs/>
                <w:szCs w:val="18"/>
              </w:rPr>
            </w:pPr>
            <w:r w:rsidRPr="003272C7">
              <w:rPr>
                <w:rFonts w:cs="Arial"/>
                <w:b/>
                <w:bCs/>
                <w:szCs w:val="18"/>
              </w:rPr>
              <w:lastRenderedPageBreak/>
              <w:t>Efficiency</w:t>
            </w:r>
          </w:p>
        </w:tc>
        <w:tc>
          <w:tcPr>
            <w:tcW w:w="4021" w:type="pct"/>
          </w:tcPr>
          <w:p w14:paraId="69445271" w14:textId="77777777" w:rsidR="00142559" w:rsidRPr="003272C7" w:rsidRDefault="00B242C3" w:rsidP="000F050E">
            <w:pPr>
              <w:pStyle w:val="TableText"/>
              <w:rPr>
                <w:rFonts w:cs="Arial"/>
              </w:rPr>
            </w:pPr>
            <w:r w:rsidRPr="003272C7">
              <w:rPr>
                <w:rFonts w:cs="Arial"/>
              </w:rPr>
              <w:t xml:space="preserve">The </w:t>
            </w:r>
            <w:r w:rsidR="00D757C7" w:rsidRPr="003272C7">
              <w:rPr>
                <w:rFonts w:cs="Arial"/>
              </w:rPr>
              <w:t xml:space="preserve">project </w:t>
            </w:r>
            <w:r w:rsidRPr="003272C7">
              <w:rPr>
                <w:rFonts w:cs="Arial"/>
              </w:rPr>
              <w:t xml:space="preserve">has leveraged </w:t>
            </w:r>
            <w:r w:rsidRPr="003272C7">
              <w:rPr>
                <w:rFonts w:cs="Arial"/>
                <w:bCs/>
              </w:rPr>
              <w:t>$</w:t>
            </w:r>
            <w:r w:rsidR="00241817" w:rsidRPr="003272C7">
              <w:rPr>
                <w:rFonts w:cs="Arial"/>
                <w:bCs/>
              </w:rPr>
              <w:t>1,883,047</w:t>
            </w:r>
            <w:r w:rsidRPr="003272C7">
              <w:rPr>
                <w:rFonts w:cs="Arial"/>
              </w:rPr>
              <w:t xml:space="preserve"> in co-contributions towards grants awarded during EC5. The co-contribution types linked to Iconic </w:t>
            </w:r>
            <w:r w:rsidR="00241817" w:rsidRPr="003272C7">
              <w:rPr>
                <w:rFonts w:cs="Arial"/>
              </w:rPr>
              <w:t xml:space="preserve">Urban Waterways Grants </w:t>
            </w:r>
            <w:r w:rsidRPr="003272C7">
              <w:rPr>
                <w:rFonts w:cs="Arial"/>
              </w:rPr>
              <w:t>is a total of $</w:t>
            </w:r>
            <w:r w:rsidR="00241817" w:rsidRPr="003272C7">
              <w:rPr>
                <w:rFonts w:cs="Arial"/>
              </w:rPr>
              <w:t>1</w:t>
            </w:r>
            <w:r w:rsidR="00EB3639" w:rsidRPr="003272C7">
              <w:rPr>
                <w:rFonts w:cs="Arial"/>
              </w:rPr>
              <w:t>,180,690</w:t>
            </w:r>
            <w:r w:rsidRPr="003272C7">
              <w:rPr>
                <w:rFonts w:cs="Arial"/>
              </w:rPr>
              <w:t xml:space="preserve"> in-kind contributions, and </w:t>
            </w:r>
            <w:r w:rsidRPr="003272C7">
              <w:rPr>
                <w:rFonts w:cs="Arial"/>
                <w:bCs/>
              </w:rPr>
              <w:t>$</w:t>
            </w:r>
            <w:r w:rsidR="00EB3639" w:rsidRPr="003272C7">
              <w:rPr>
                <w:rFonts w:cs="Arial"/>
                <w:bCs/>
              </w:rPr>
              <w:t>702,357</w:t>
            </w:r>
            <w:r w:rsidRPr="003272C7">
              <w:rPr>
                <w:rFonts w:cs="Arial"/>
              </w:rPr>
              <w:t xml:space="preserve"> of cash co-contributions. The total amount invested by government was $17.128 million, so grant co-contributions is equivalent to </w:t>
            </w:r>
            <w:r w:rsidR="00BD71F9" w:rsidRPr="003272C7">
              <w:rPr>
                <w:rFonts w:cs="Arial"/>
              </w:rPr>
              <w:t>10.9</w:t>
            </w:r>
            <w:r w:rsidRPr="003272C7">
              <w:rPr>
                <w:rFonts w:cs="Arial"/>
              </w:rPr>
              <w:t>% of this total.</w:t>
            </w:r>
          </w:p>
          <w:p w14:paraId="5813CD0A" w14:textId="77777777" w:rsidR="00142559" w:rsidRPr="003272C7" w:rsidRDefault="00BD71F9" w:rsidP="000F050E">
            <w:pPr>
              <w:pStyle w:val="TableText"/>
              <w:rPr>
                <w:rFonts w:cs="Arial"/>
              </w:rPr>
            </w:pPr>
            <w:r w:rsidRPr="003272C7">
              <w:rPr>
                <w:rFonts w:cs="Arial"/>
              </w:rPr>
              <w:t>In</w:t>
            </w:r>
            <w:r w:rsidRPr="00623380">
              <w:rPr>
                <w:rFonts w:cs="Arial"/>
                <w:sz w:val="19"/>
                <w:szCs w:val="19"/>
              </w:rPr>
              <w:t xml:space="preserve"> </w:t>
            </w:r>
            <w:r w:rsidRPr="003272C7">
              <w:rPr>
                <w:rFonts w:cs="Arial"/>
              </w:rPr>
              <w:t>addition</w:t>
            </w:r>
            <w:r w:rsidR="007A7709" w:rsidRPr="003272C7">
              <w:rPr>
                <w:rFonts w:cs="Arial"/>
              </w:rPr>
              <w:t>,</w:t>
            </w:r>
            <w:r w:rsidRPr="003272C7">
              <w:rPr>
                <w:rFonts w:cs="Arial"/>
              </w:rPr>
              <w:t xml:space="preserve"> the Green Links Grants Program, a $10 million dollar investment to protect the states waterways for wildlife, leveraged $4.4 million in co-contributions under Round 1</w:t>
            </w:r>
            <w:r w:rsidR="007A7709" w:rsidRPr="003272C7">
              <w:rPr>
                <w:rFonts w:cs="Arial"/>
              </w:rPr>
              <w:t xml:space="preserve"> (</w:t>
            </w:r>
            <w:r w:rsidRPr="003272C7">
              <w:rPr>
                <w:rFonts w:cs="Arial"/>
              </w:rPr>
              <w:t>$2,821,109.00 in cash and $1,673,176.00 in in-kind contributions</w:t>
            </w:r>
            <w:r w:rsidR="007A7709" w:rsidRPr="003272C7">
              <w:rPr>
                <w:rFonts w:cs="Arial"/>
              </w:rPr>
              <w:t>)</w:t>
            </w:r>
            <w:r w:rsidRPr="003272C7">
              <w:rPr>
                <w:rFonts w:cs="Arial"/>
              </w:rPr>
              <w:t>.</w:t>
            </w:r>
          </w:p>
          <w:p w14:paraId="6B326E8F" w14:textId="42DD3304" w:rsidR="00142559" w:rsidRPr="003272C7" w:rsidRDefault="00BD71F9" w:rsidP="000F050E">
            <w:pPr>
              <w:pStyle w:val="TableText"/>
              <w:rPr>
                <w:rFonts w:cs="Arial"/>
              </w:rPr>
            </w:pPr>
            <w:r w:rsidRPr="00623380">
              <w:rPr>
                <w:rFonts w:cs="Arial"/>
              </w:rPr>
              <w:t>Further, the Federal Government</w:t>
            </w:r>
            <w:r w:rsidRPr="00623380">
              <w:rPr>
                <w:rFonts w:cs="Arial" w:hint="eastAsia"/>
              </w:rPr>
              <w:t>’</w:t>
            </w:r>
            <w:r w:rsidRPr="00623380">
              <w:rPr>
                <w:rFonts w:cs="Arial"/>
              </w:rPr>
              <w:t xml:space="preserve">s Urban Rivers and Catchments Program (URCP) (Tranche 1 Grants) closely aligns and is supported by this Program. URCP is an $200 million investment into Urban Rivers, $15.89 million of which is being administered through Victorian State Government </w:t>
            </w:r>
            <w:r w:rsidRPr="00623380">
              <w:rPr>
                <w:rFonts w:cs="Arial" w:hint="eastAsia"/>
              </w:rPr>
              <w:t>–</w:t>
            </w:r>
            <w:r w:rsidRPr="00623380">
              <w:rPr>
                <w:rFonts w:cs="Arial"/>
              </w:rPr>
              <w:t xml:space="preserve"> the responsibility resting with this</w:t>
            </w:r>
            <w:r w:rsidR="00603580" w:rsidRPr="003272C7">
              <w:rPr>
                <w:rFonts w:cs="Arial"/>
              </w:rPr>
              <w:t> </w:t>
            </w:r>
            <w:r w:rsidR="00DB48B3" w:rsidRPr="003272C7">
              <w:rPr>
                <w:rFonts w:cs="Arial"/>
              </w:rPr>
              <w:t>project</w:t>
            </w:r>
            <w:r w:rsidRPr="00623380">
              <w:rPr>
                <w:rFonts w:cs="Arial"/>
              </w:rPr>
              <w:t>.</w:t>
            </w:r>
          </w:p>
          <w:p w14:paraId="1360EA47" w14:textId="75C6EB01" w:rsidR="00B242C3" w:rsidRPr="00623380" w:rsidRDefault="00B242C3" w:rsidP="000F050E">
            <w:pPr>
              <w:pStyle w:val="TableText"/>
              <w:rPr>
                <w:rFonts w:cs="Arial"/>
                <w:sz w:val="19"/>
                <w:szCs w:val="19"/>
              </w:rPr>
            </w:pPr>
            <w:r w:rsidRPr="003272C7">
              <w:rPr>
                <w:rFonts w:cs="Arial"/>
              </w:rPr>
              <w:t xml:space="preserve">The co-investment does not reflect leveraged investment not captured through a formal grant process, such as in-kind support contributed </w:t>
            </w:r>
            <w:r w:rsidR="00DB48B3" w:rsidRPr="003272C7">
              <w:rPr>
                <w:rFonts w:cs="Arial"/>
              </w:rPr>
              <w:t>to</w:t>
            </w:r>
            <w:r w:rsidRPr="003272C7">
              <w:rPr>
                <w:rFonts w:cs="Arial"/>
              </w:rPr>
              <w:t xml:space="preserve"> the development of the YSP and Action Plans.</w:t>
            </w:r>
          </w:p>
        </w:tc>
      </w:tr>
      <w:tr w:rsidR="00B242C3" w:rsidRPr="003272C7" w14:paraId="0C2EB788" w14:textId="77777777" w:rsidTr="005D16A1">
        <w:trPr>
          <w:trHeight w:val="259"/>
        </w:trPr>
        <w:tc>
          <w:tcPr>
            <w:tcW w:w="979" w:type="pct"/>
            <w:shd w:val="clear" w:color="auto" w:fill="231EDC" w:themeFill="accent1"/>
          </w:tcPr>
          <w:p w14:paraId="428966EC"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2C3E36D0" w14:textId="2DA911C7" w:rsidR="00B242C3" w:rsidRPr="003272C7" w:rsidRDefault="00B242C3" w:rsidP="001F0A93">
            <w:pPr>
              <w:pStyle w:val="TableBullet"/>
              <w:rPr>
                <w:rFonts w:cs="Arial"/>
              </w:rPr>
            </w:pPr>
            <w:r w:rsidRPr="003272C7">
              <w:rPr>
                <w:rFonts w:cs="Arial"/>
              </w:rPr>
              <w:t xml:space="preserve">The strong legislative and institutional frameworks established by the Act and YSP are enduring, and this Program has contributed to the early implementation of these frameworks by funding the lead agency role, </w:t>
            </w:r>
            <w:r w:rsidR="00FB2F25" w:rsidRPr="003272C7">
              <w:rPr>
                <w:rFonts w:cs="Arial"/>
              </w:rPr>
              <w:t>the Birrarung Council and Secretariat functions,</w:t>
            </w:r>
            <w:r w:rsidR="00CD3150" w:rsidRPr="003272C7">
              <w:rPr>
                <w:rFonts w:cs="Arial"/>
              </w:rPr>
              <w:t xml:space="preserve"> </w:t>
            </w:r>
            <w:r w:rsidRPr="003272C7">
              <w:rPr>
                <w:rFonts w:cs="Arial"/>
              </w:rPr>
              <w:t xml:space="preserve">Traditional Owner partners, and projects that encourage </w:t>
            </w:r>
            <w:r w:rsidR="00FB2F25" w:rsidRPr="003272C7">
              <w:rPr>
                <w:rFonts w:cs="Arial"/>
              </w:rPr>
              <w:t xml:space="preserve">a </w:t>
            </w:r>
            <w:r w:rsidRPr="003272C7">
              <w:rPr>
                <w:rFonts w:cs="Arial"/>
              </w:rPr>
              <w:t>collaborative approach to managing the Birrarung.</w:t>
            </w:r>
          </w:p>
          <w:p w14:paraId="0654D4B1" w14:textId="77777777" w:rsidR="00142559" w:rsidRPr="003272C7" w:rsidRDefault="00B242C3" w:rsidP="001F0A93">
            <w:pPr>
              <w:pStyle w:val="TableBullet"/>
              <w:rPr>
                <w:rFonts w:cs="Arial"/>
              </w:rPr>
            </w:pPr>
            <w:r w:rsidRPr="003272C7">
              <w:rPr>
                <w:rFonts w:cs="Arial"/>
              </w:rPr>
              <w:t>Similarly, the Community Vision’s for the Action Plans have been incorporated into Regional Catchment Strategies, waterway masterplans, and other documentation that will endure beyond the tenure of the Action Plans themselves.</w:t>
            </w:r>
          </w:p>
          <w:p w14:paraId="779437D4" w14:textId="5484D10D" w:rsidR="00B242C3" w:rsidRPr="003272C7" w:rsidRDefault="00B242C3" w:rsidP="001F0A93">
            <w:pPr>
              <w:pStyle w:val="TableBullet"/>
              <w:rPr>
                <w:rFonts w:cs="Arial"/>
                <w:lang w:eastAsia="en-AU"/>
              </w:rPr>
            </w:pPr>
            <w:r w:rsidRPr="003272C7">
              <w:rPr>
                <w:rFonts w:cs="Arial"/>
              </w:rPr>
              <w:t xml:space="preserve">Finally, this </w:t>
            </w:r>
            <w:r w:rsidR="00F92EC9" w:rsidRPr="003272C7">
              <w:rPr>
                <w:rFonts w:cs="Arial"/>
              </w:rPr>
              <w:t xml:space="preserve">project </w:t>
            </w:r>
            <w:r w:rsidRPr="003272C7">
              <w:rPr>
                <w:rFonts w:cs="Arial"/>
              </w:rPr>
              <w:t xml:space="preserve">has set foundational policy that will inform urban waterway management policy to be included in the new Victorian Waterway Management Strategy. This will extend on existing contributions of this </w:t>
            </w:r>
            <w:r w:rsidR="00F92EC9" w:rsidRPr="003272C7">
              <w:rPr>
                <w:rFonts w:cs="Arial"/>
              </w:rPr>
              <w:t xml:space="preserve">project </w:t>
            </w:r>
            <w:r w:rsidRPr="003272C7">
              <w:rPr>
                <w:rFonts w:cs="Arial"/>
              </w:rPr>
              <w:t xml:space="preserve">to the </w:t>
            </w:r>
            <w:r w:rsidR="00F92EC9" w:rsidRPr="003272C7">
              <w:rPr>
                <w:rFonts w:cs="Arial"/>
              </w:rPr>
              <w:t>CGRSWS</w:t>
            </w:r>
            <w:r w:rsidRPr="003272C7">
              <w:rPr>
                <w:rFonts w:cs="Arial"/>
              </w:rPr>
              <w:t xml:space="preserve"> and Water is Life</w:t>
            </w:r>
            <w:r w:rsidR="00F92EC9" w:rsidRPr="003272C7">
              <w:rPr>
                <w:rFonts w:cs="Arial"/>
              </w:rPr>
              <w:t>: Traditional Owner Access to Water Roadmap</w:t>
            </w:r>
            <w:r w:rsidRPr="003272C7">
              <w:rPr>
                <w:rFonts w:cs="Arial"/>
              </w:rPr>
              <w:t>.</w:t>
            </w:r>
            <w:r w:rsidRPr="003272C7">
              <w:rPr>
                <w:rFonts w:cs="Arial"/>
                <w:lang w:eastAsia="en-AU"/>
              </w:rPr>
              <w:t xml:space="preserve"> </w:t>
            </w:r>
          </w:p>
        </w:tc>
      </w:tr>
      <w:tr w:rsidR="00B242C3" w:rsidRPr="003272C7" w14:paraId="7D80B111" w14:textId="77777777" w:rsidTr="005D16A1">
        <w:trPr>
          <w:trHeight w:val="259"/>
        </w:trPr>
        <w:tc>
          <w:tcPr>
            <w:tcW w:w="979" w:type="pct"/>
            <w:shd w:val="clear" w:color="auto" w:fill="231EDC" w:themeFill="accent1"/>
          </w:tcPr>
          <w:p w14:paraId="77438517"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7455B565" w14:textId="77777777" w:rsidR="00B242C3" w:rsidRPr="003272C7" w:rsidRDefault="00B242C3" w:rsidP="001F0A93">
            <w:pPr>
              <w:pStyle w:val="TableText"/>
              <w:rPr>
                <w:rFonts w:cs="Arial"/>
                <w:lang w:eastAsia="en-AU"/>
              </w:rPr>
            </w:pPr>
            <w:r w:rsidRPr="003272C7">
              <w:rPr>
                <w:rFonts w:cs="Arial"/>
              </w:rPr>
              <w:t xml:space="preserve">The </w:t>
            </w:r>
            <w:r w:rsidRPr="003272C7">
              <w:rPr>
                <w:rFonts w:cs="Arial"/>
                <w:lang w:eastAsia="en-AU"/>
              </w:rPr>
              <w:t>key needs to be addressed through future funding are:</w:t>
            </w:r>
          </w:p>
          <w:p w14:paraId="171CCF37" w14:textId="1563FFDA" w:rsidR="00B242C3" w:rsidRPr="003272C7" w:rsidRDefault="00B242C3" w:rsidP="00907234">
            <w:pPr>
              <w:pStyle w:val="TableNumber2"/>
              <w:numPr>
                <w:ilvl w:val="1"/>
                <w:numId w:val="177"/>
              </w:numPr>
              <w:rPr>
                <w:rFonts w:cs="Arial"/>
                <w:lang w:eastAsia="en-AU"/>
              </w:rPr>
            </w:pPr>
            <w:r w:rsidRPr="003272C7">
              <w:rPr>
                <w:rFonts w:cs="Arial"/>
                <w:lang w:eastAsia="en-AU"/>
              </w:rPr>
              <w:t xml:space="preserve">Implementation of water portfolio priorities in Victorian Government’s </w:t>
            </w:r>
            <w:r w:rsidR="00F92EC9" w:rsidRPr="003272C7">
              <w:rPr>
                <w:rFonts w:cs="Arial"/>
                <w:lang w:eastAsia="en-AU"/>
              </w:rPr>
              <w:t>i</w:t>
            </w:r>
            <w:r w:rsidRPr="003272C7">
              <w:rPr>
                <w:rFonts w:cs="Arial"/>
                <w:lang w:eastAsia="en-AU"/>
              </w:rPr>
              <w:t xml:space="preserve">conic </w:t>
            </w:r>
            <w:r w:rsidR="00F92EC9" w:rsidRPr="003272C7">
              <w:rPr>
                <w:rFonts w:cs="Arial"/>
                <w:lang w:eastAsia="en-AU"/>
              </w:rPr>
              <w:t>u</w:t>
            </w:r>
            <w:r w:rsidR="00CD3150" w:rsidRPr="003272C7">
              <w:rPr>
                <w:rFonts w:cs="Arial"/>
                <w:lang w:eastAsia="en-AU"/>
              </w:rPr>
              <w:t xml:space="preserve">rban </w:t>
            </w:r>
            <w:r w:rsidR="00F92EC9" w:rsidRPr="003272C7">
              <w:rPr>
                <w:rFonts w:cs="Arial"/>
                <w:lang w:eastAsia="en-AU"/>
              </w:rPr>
              <w:t>w</w:t>
            </w:r>
            <w:r w:rsidR="00CD3150" w:rsidRPr="003272C7">
              <w:rPr>
                <w:rFonts w:cs="Arial"/>
                <w:lang w:eastAsia="en-AU"/>
              </w:rPr>
              <w:t xml:space="preserve">aterway </w:t>
            </w:r>
            <w:r w:rsidR="00F92EC9" w:rsidRPr="003272C7">
              <w:rPr>
                <w:rFonts w:cs="Arial"/>
                <w:lang w:eastAsia="en-AU"/>
              </w:rPr>
              <w:t>p</w:t>
            </w:r>
            <w:r w:rsidR="00CD3150" w:rsidRPr="003272C7">
              <w:rPr>
                <w:rFonts w:cs="Arial"/>
                <w:lang w:eastAsia="en-AU"/>
              </w:rPr>
              <w:t xml:space="preserve">lans </w:t>
            </w:r>
            <w:r w:rsidRPr="003272C7">
              <w:rPr>
                <w:rFonts w:cs="Arial"/>
                <w:lang w:eastAsia="en-AU"/>
              </w:rPr>
              <w:t xml:space="preserve">- </w:t>
            </w:r>
            <w:r w:rsidR="006666FA" w:rsidRPr="003272C7">
              <w:rPr>
                <w:rFonts w:cs="Arial"/>
                <w:lang w:eastAsia="en-AU"/>
              </w:rPr>
              <w:t>the</w:t>
            </w:r>
            <w:r w:rsidRPr="003272C7">
              <w:rPr>
                <w:rFonts w:cs="Arial"/>
                <w:lang w:eastAsia="en-AU"/>
              </w:rPr>
              <w:t xml:space="preserve"> YSP, </w:t>
            </w:r>
            <w:r w:rsidRPr="003272C7">
              <w:rPr>
                <w:rFonts w:cs="Arial"/>
                <w:i/>
                <w:iCs/>
                <w:lang w:eastAsia="en-AU"/>
              </w:rPr>
              <w:t>Waterways of the West</w:t>
            </w:r>
            <w:r w:rsidRPr="003272C7">
              <w:rPr>
                <w:rFonts w:cs="Arial"/>
                <w:lang w:eastAsia="en-AU"/>
              </w:rPr>
              <w:t xml:space="preserve"> and </w:t>
            </w:r>
            <w:r w:rsidRPr="003272C7">
              <w:rPr>
                <w:rFonts w:cs="Arial"/>
                <w:i/>
                <w:iCs/>
                <w:lang w:eastAsia="en-AU"/>
              </w:rPr>
              <w:t>Rivers of the Barwon (Barre Warre Yulluk)</w:t>
            </w:r>
            <w:r w:rsidRPr="003272C7">
              <w:rPr>
                <w:rFonts w:cs="Arial"/>
                <w:lang w:eastAsia="en-AU"/>
              </w:rPr>
              <w:t xml:space="preserve"> Action Plans.</w:t>
            </w:r>
          </w:p>
          <w:p w14:paraId="47463DA2" w14:textId="44B37683" w:rsidR="00B242C3" w:rsidRPr="003272C7" w:rsidRDefault="00B242C3" w:rsidP="001F0A93">
            <w:pPr>
              <w:pStyle w:val="TableNumber2"/>
              <w:rPr>
                <w:rFonts w:cs="Arial"/>
                <w:lang w:eastAsia="en-AU"/>
              </w:rPr>
            </w:pPr>
            <w:r w:rsidRPr="003272C7">
              <w:rPr>
                <w:rFonts w:cs="Arial"/>
                <w:lang w:eastAsia="en-AU"/>
              </w:rPr>
              <w:t xml:space="preserve">Driving the water portfolio’s commitment to drive key water reforms, policy and actions from the </w:t>
            </w:r>
            <w:r w:rsidR="00F92EC9" w:rsidRPr="003272C7">
              <w:rPr>
                <w:rFonts w:cs="Arial"/>
                <w:lang w:eastAsia="en-AU"/>
              </w:rPr>
              <w:t xml:space="preserve">iconic </w:t>
            </w:r>
            <w:r w:rsidR="006666FA" w:rsidRPr="003272C7">
              <w:rPr>
                <w:rFonts w:cs="Arial"/>
                <w:lang w:eastAsia="en-AU"/>
              </w:rPr>
              <w:t xml:space="preserve">urban </w:t>
            </w:r>
            <w:r w:rsidR="00F92EC9" w:rsidRPr="003272C7">
              <w:rPr>
                <w:rFonts w:cs="Arial"/>
                <w:lang w:eastAsia="en-AU"/>
              </w:rPr>
              <w:t>w</w:t>
            </w:r>
            <w:r w:rsidR="006666FA" w:rsidRPr="003272C7">
              <w:rPr>
                <w:rFonts w:cs="Arial"/>
                <w:lang w:eastAsia="en-AU"/>
              </w:rPr>
              <w:t xml:space="preserve">aterways </w:t>
            </w:r>
            <w:r w:rsidR="00F92EC9" w:rsidRPr="003272C7">
              <w:rPr>
                <w:rFonts w:cs="Arial"/>
                <w:lang w:eastAsia="en-AU"/>
              </w:rPr>
              <w:t>p</w:t>
            </w:r>
            <w:r w:rsidR="006666FA" w:rsidRPr="003272C7">
              <w:rPr>
                <w:rFonts w:cs="Arial"/>
                <w:lang w:eastAsia="en-AU"/>
              </w:rPr>
              <w:t>lans</w:t>
            </w:r>
            <w:r w:rsidRPr="003272C7">
              <w:rPr>
                <w:rFonts w:cs="Arial"/>
                <w:lang w:eastAsia="en-AU"/>
              </w:rPr>
              <w:t xml:space="preserve"> into business as usual for these regions and to benefit waterways and communities across Victoria.</w:t>
            </w:r>
            <w:r w:rsidR="00DD2E4C" w:rsidRPr="003272C7">
              <w:rPr>
                <w:rFonts w:cs="Arial"/>
                <w:lang w:eastAsia="en-AU"/>
              </w:rPr>
              <w:t xml:space="preserve"> Under </w:t>
            </w:r>
            <w:r w:rsidR="000E40E1" w:rsidRPr="003272C7">
              <w:rPr>
                <w:rFonts w:cs="Arial"/>
                <w:lang w:eastAsia="en-AU"/>
              </w:rPr>
              <w:t>sixth tranche of Environmental Contributions (</w:t>
            </w:r>
            <w:r w:rsidR="00DD2E4C" w:rsidRPr="003272C7">
              <w:rPr>
                <w:rFonts w:cs="Arial"/>
                <w:lang w:eastAsia="en-AU"/>
              </w:rPr>
              <w:t>EC6</w:t>
            </w:r>
            <w:r w:rsidR="000E40E1" w:rsidRPr="003272C7">
              <w:rPr>
                <w:rFonts w:cs="Arial"/>
                <w:lang w:eastAsia="en-AU"/>
              </w:rPr>
              <w:t>)</w:t>
            </w:r>
            <w:r w:rsidR="00DD2E4C" w:rsidRPr="003272C7">
              <w:rPr>
                <w:rFonts w:cs="Arial"/>
                <w:lang w:eastAsia="en-AU"/>
              </w:rPr>
              <w:t xml:space="preserve"> the Program will look to deliver:</w:t>
            </w:r>
          </w:p>
          <w:p w14:paraId="3B9C28B5" w14:textId="77777777" w:rsidR="00142559" w:rsidRPr="003272C7" w:rsidRDefault="00DD2E4C" w:rsidP="001F0A93">
            <w:pPr>
              <w:pStyle w:val="BulletLevel2"/>
              <w:rPr>
                <w:rFonts w:cs="Arial"/>
              </w:rPr>
            </w:pPr>
            <w:r w:rsidRPr="003272C7">
              <w:rPr>
                <w:rFonts w:cs="Arial"/>
              </w:rPr>
              <w:t>Outcome 1 of Water is Life: Development of legislative proposals for consideration by Government to recognise waterways and their surrounding lands as living, integrated, natural, and cultural entities in law, with Traditional Owners recognised as a unique ‘voice’ of the living entities (also building on the Action Plan actions).  </w:t>
            </w:r>
          </w:p>
          <w:p w14:paraId="5EE7342C" w14:textId="0266C4E5" w:rsidR="00DD2E4C" w:rsidRPr="003272C7" w:rsidRDefault="00DD2E4C" w:rsidP="001F0A93">
            <w:pPr>
              <w:pStyle w:val="BulletLevel2"/>
              <w:rPr>
                <w:rFonts w:cs="Arial"/>
              </w:rPr>
            </w:pPr>
            <w:r w:rsidRPr="003272C7">
              <w:rPr>
                <w:rFonts w:cs="Arial"/>
              </w:rPr>
              <w:t>Priority water portfolio actions and policy work in</w:t>
            </w:r>
            <w:r w:rsidR="000E40E1" w:rsidRPr="003272C7">
              <w:rPr>
                <w:rFonts w:cs="Arial"/>
              </w:rPr>
              <w:t xml:space="preserve"> the</w:t>
            </w:r>
            <w:r w:rsidRPr="003272C7">
              <w:rPr>
                <w:rFonts w:cs="Arial"/>
              </w:rPr>
              <w:t xml:space="preserve"> </w:t>
            </w:r>
            <w:r w:rsidR="000E40E1" w:rsidRPr="003272C7">
              <w:rPr>
                <w:rFonts w:cs="Arial"/>
              </w:rPr>
              <w:t xml:space="preserve">YSP </w:t>
            </w:r>
            <w:r w:rsidRPr="003272C7">
              <w:rPr>
                <w:rFonts w:cs="Arial"/>
              </w:rPr>
              <w:t xml:space="preserve">and Action Plans, including at least 3 waterway pollution prevention </w:t>
            </w:r>
            <w:r w:rsidR="00445736" w:rsidRPr="003272C7">
              <w:rPr>
                <w:rFonts w:cs="Arial"/>
              </w:rPr>
              <w:t>project</w:t>
            </w:r>
            <w:r w:rsidRPr="003272C7">
              <w:rPr>
                <w:rFonts w:cs="Arial"/>
              </w:rPr>
              <w:t xml:space="preserve">s in Melbourne’s west; place-based, holistic strategic planning for protection of urban </w:t>
            </w:r>
            <w:r w:rsidRPr="003272C7">
              <w:rPr>
                <w:rFonts w:cs="Arial"/>
              </w:rPr>
              <w:lastRenderedPageBreak/>
              <w:t>waterway corridors and coastal wetlands; and enhancing waterway amenity for Melbourne and regional cities and towns</w:t>
            </w:r>
            <w:r w:rsidR="000E40E1" w:rsidRPr="003272C7">
              <w:rPr>
                <w:rFonts w:cs="Arial"/>
              </w:rPr>
              <w:t>.</w:t>
            </w:r>
          </w:p>
          <w:p w14:paraId="532C0A03" w14:textId="77777777" w:rsidR="00142559" w:rsidRPr="003272C7" w:rsidRDefault="00DD2E4C" w:rsidP="001F0A93">
            <w:pPr>
              <w:pStyle w:val="BulletLevel2"/>
              <w:rPr>
                <w:rFonts w:cs="Arial"/>
              </w:rPr>
            </w:pPr>
            <w:r w:rsidRPr="003272C7">
              <w:rPr>
                <w:rFonts w:cs="Arial"/>
              </w:rPr>
              <w:t>Governance of the Birrarung: Funding the lead agency role and the Birrarung Council to enable the Yarra (Birrarung) to be managed as one connected and living entity as required by the Yarra River Protection (Wilip-gin Birrarung murron) Act 2017. </w:t>
            </w:r>
          </w:p>
          <w:p w14:paraId="6CB742B8" w14:textId="0A64AC20" w:rsidR="00B242C3" w:rsidRPr="003272C7" w:rsidRDefault="00B242C3" w:rsidP="00907234">
            <w:pPr>
              <w:pStyle w:val="TableNumber2"/>
              <w:rPr>
                <w:rFonts w:cs="Arial"/>
                <w:lang w:eastAsia="en-AU"/>
              </w:rPr>
            </w:pPr>
            <w:r w:rsidRPr="003272C7">
              <w:rPr>
                <w:rFonts w:cs="Arial"/>
                <w:lang w:eastAsia="en-AU"/>
              </w:rPr>
              <w:t>Continuing implementation of the 10-year YSP, to show incremental progress in plan delivery and ongoing commitment to the governance to enable the Birrarung</w:t>
            </w:r>
            <w:r w:rsidR="000E40E1" w:rsidRPr="003272C7">
              <w:rPr>
                <w:rFonts w:cs="Arial"/>
                <w:lang w:eastAsia="en-AU"/>
              </w:rPr>
              <w:t xml:space="preserve"> (Yarra River)</w:t>
            </w:r>
            <w:r w:rsidRPr="003272C7">
              <w:rPr>
                <w:rFonts w:cs="Arial"/>
                <w:lang w:eastAsia="en-AU"/>
              </w:rPr>
              <w:t xml:space="preserve"> to be managed as one connected and living entity, across organisational boundaries, as envisaged by the Act.</w:t>
            </w:r>
          </w:p>
          <w:p w14:paraId="639F9E17" w14:textId="021703EA" w:rsidR="00B242C3" w:rsidRPr="003272C7" w:rsidRDefault="00B242C3" w:rsidP="00CC1A8F">
            <w:pPr>
              <w:pStyle w:val="TableNumber2"/>
              <w:rPr>
                <w:rFonts w:cs="Arial"/>
              </w:rPr>
            </w:pPr>
            <w:r w:rsidRPr="003272C7">
              <w:rPr>
                <w:rFonts w:cs="Arial"/>
              </w:rPr>
              <w:t>Resourc</w:t>
            </w:r>
            <w:r w:rsidR="00D94035" w:rsidRPr="003272C7">
              <w:rPr>
                <w:rFonts w:cs="Arial"/>
              </w:rPr>
              <w:t>ing the delivery of the</w:t>
            </w:r>
            <w:r w:rsidRPr="003272C7">
              <w:rPr>
                <w:rFonts w:cs="Arial"/>
              </w:rPr>
              <w:t xml:space="preserve"> Green Links </w:t>
            </w:r>
            <w:r w:rsidR="00DF6E4C" w:rsidRPr="00623380">
              <w:rPr>
                <w:rFonts w:cs="Arial"/>
              </w:rPr>
              <w:t>Grants Program (the remaining $4 million of the $10 million committed in the</w:t>
            </w:r>
            <w:r w:rsidR="00D7158C" w:rsidRPr="003272C7">
              <w:rPr>
                <w:rFonts w:cs="Arial"/>
              </w:rPr>
              <w:t xml:space="preserve"> ‘</w:t>
            </w:r>
            <w:r w:rsidR="00DF6E4C" w:rsidRPr="00623380">
              <w:rPr>
                <w:rFonts w:cs="Arial"/>
              </w:rPr>
              <w:t>Protecting Waterways so our wildlife can thrive</w:t>
            </w:r>
            <w:r w:rsidR="000D4761" w:rsidRPr="003272C7">
              <w:rPr>
                <w:rFonts w:cs="Arial"/>
              </w:rPr>
              <w:t xml:space="preserve"> –</w:t>
            </w:r>
            <w:r w:rsidR="00DF6E4C" w:rsidRPr="00623380">
              <w:rPr>
                <w:rFonts w:cs="Arial"/>
              </w:rPr>
              <w:t xml:space="preserve"> Green Links</w:t>
            </w:r>
            <w:r w:rsidR="00D7158C" w:rsidRPr="003272C7">
              <w:rPr>
                <w:rFonts w:cs="Arial"/>
              </w:rPr>
              <w:t>’</w:t>
            </w:r>
            <w:r w:rsidR="000D4761" w:rsidRPr="003272C7">
              <w:rPr>
                <w:rFonts w:cs="Arial"/>
              </w:rPr>
              <w:t xml:space="preserve"> </w:t>
            </w:r>
            <w:r w:rsidR="00DF6E4C" w:rsidRPr="00623380">
              <w:rPr>
                <w:rFonts w:cs="Arial"/>
              </w:rPr>
              <w:t xml:space="preserve">election commitment) </w:t>
            </w:r>
            <w:r w:rsidRPr="003272C7">
              <w:rPr>
                <w:rFonts w:cs="Arial"/>
              </w:rPr>
              <w:t xml:space="preserve">and the Federal Urban Rivers and Catchments Program </w:t>
            </w:r>
            <w:r w:rsidR="00D97441" w:rsidRPr="003272C7">
              <w:rPr>
                <w:rFonts w:cs="Arial"/>
              </w:rPr>
              <w:t xml:space="preserve">which involves overseeing </w:t>
            </w:r>
            <w:r w:rsidRPr="003272C7">
              <w:rPr>
                <w:rFonts w:cs="Arial"/>
              </w:rPr>
              <w:t>up to $17.6 million of federal funds for urban waterway projects</w:t>
            </w:r>
            <w:r w:rsidR="00D97441" w:rsidRPr="003272C7">
              <w:rPr>
                <w:rFonts w:cs="Arial"/>
              </w:rPr>
              <w:t>.</w:t>
            </w:r>
            <w:r w:rsidRPr="003272C7">
              <w:rPr>
                <w:rFonts w:cs="Arial"/>
              </w:rPr>
              <w:t xml:space="preserve"> </w:t>
            </w:r>
          </w:p>
        </w:tc>
      </w:tr>
    </w:tbl>
    <w:p w14:paraId="5A9D2BD8" w14:textId="0388B5FF" w:rsidR="00B242C3" w:rsidRPr="003272C7" w:rsidRDefault="00B242C3" w:rsidP="00B242C3">
      <w:pPr>
        <w:pStyle w:val="Heading2"/>
        <w:rPr>
          <w:rFonts w:cs="Arial"/>
        </w:rPr>
      </w:pPr>
      <w:bookmarkStart w:id="10" w:name="_Toc147410772"/>
      <w:bookmarkStart w:id="11" w:name="_Toc183777780"/>
      <w:r w:rsidRPr="003272C7">
        <w:rPr>
          <w:rFonts w:cs="Arial"/>
        </w:rPr>
        <w:lastRenderedPageBreak/>
        <w:t>CWCT03: Recreational Values Program</w:t>
      </w:r>
      <w:bookmarkEnd w:id="10"/>
      <w:bookmarkEnd w:id="11"/>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5A809E7" w14:textId="77777777" w:rsidTr="005D16A1">
        <w:trPr>
          <w:trHeight w:val="395"/>
        </w:trPr>
        <w:tc>
          <w:tcPr>
            <w:tcW w:w="979" w:type="pct"/>
            <w:shd w:val="clear" w:color="auto" w:fill="231EDC" w:themeFill="accent1"/>
          </w:tcPr>
          <w:p w14:paraId="5AA7F368" w14:textId="549ED3D4" w:rsidR="00B242C3" w:rsidRPr="003272C7" w:rsidRDefault="00C412A9" w:rsidP="00D874A2">
            <w:pPr>
              <w:pStyle w:val="TableHeading"/>
              <w:rPr>
                <w:rFonts w:cs="Arial"/>
              </w:rPr>
            </w:pPr>
            <w:r w:rsidRPr="003272C7">
              <w:rPr>
                <w:rFonts w:cs="Arial"/>
              </w:rPr>
              <w:t>Initiative</w:t>
            </w:r>
          </w:p>
        </w:tc>
        <w:tc>
          <w:tcPr>
            <w:tcW w:w="4021" w:type="pct"/>
            <w:shd w:val="clear" w:color="auto" w:fill="231EDC" w:themeFill="accent1"/>
          </w:tcPr>
          <w:p w14:paraId="7831B2DF" w14:textId="02EFA542" w:rsidR="00B242C3" w:rsidRPr="003272C7" w:rsidRDefault="00B242C3" w:rsidP="00F17149">
            <w:pPr>
              <w:pStyle w:val="TableHeading"/>
              <w:rPr>
                <w:rFonts w:cs="Arial"/>
              </w:rPr>
            </w:pPr>
            <w:r w:rsidRPr="003272C7">
              <w:rPr>
                <w:rFonts w:cs="Arial"/>
              </w:rPr>
              <w:t>Enhancing urban water security, iconic urban waterways and recreational water</w:t>
            </w:r>
          </w:p>
        </w:tc>
      </w:tr>
      <w:tr w:rsidR="00B242C3" w:rsidRPr="003272C7" w14:paraId="015A4F10" w14:textId="77777777" w:rsidTr="005D16A1">
        <w:trPr>
          <w:trHeight w:val="341"/>
        </w:trPr>
        <w:tc>
          <w:tcPr>
            <w:tcW w:w="979" w:type="pct"/>
            <w:shd w:val="clear" w:color="auto" w:fill="231EDC" w:themeFill="accent1"/>
          </w:tcPr>
          <w:p w14:paraId="3A90A42E" w14:textId="77777777" w:rsidR="00B242C3" w:rsidRPr="003272C7" w:rsidRDefault="00B242C3" w:rsidP="001E2D5C">
            <w:pPr>
              <w:pStyle w:val="TableText"/>
              <w:rPr>
                <w:rFonts w:cs="Arial"/>
                <w:b/>
                <w:bCs/>
              </w:rPr>
            </w:pPr>
            <w:r w:rsidRPr="003272C7">
              <w:rPr>
                <w:rFonts w:cs="Arial"/>
                <w:b/>
                <w:bCs/>
              </w:rPr>
              <w:t>Project</w:t>
            </w:r>
          </w:p>
        </w:tc>
        <w:tc>
          <w:tcPr>
            <w:tcW w:w="4021" w:type="pct"/>
          </w:tcPr>
          <w:p w14:paraId="59F75A91" w14:textId="77777777" w:rsidR="00B242C3" w:rsidRPr="003272C7" w:rsidRDefault="00B242C3" w:rsidP="001E2D5C">
            <w:pPr>
              <w:pStyle w:val="TableText"/>
              <w:rPr>
                <w:rFonts w:cs="Arial"/>
              </w:rPr>
            </w:pPr>
            <w:bookmarkStart w:id="12" w:name="_Hlk147391794"/>
            <w:r w:rsidRPr="003272C7">
              <w:rPr>
                <w:rFonts w:cs="Arial"/>
              </w:rPr>
              <w:t>CWCT03: Recreational Values Program</w:t>
            </w:r>
            <w:bookmarkEnd w:id="12"/>
          </w:p>
        </w:tc>
      </w:tr>
      <w:tr w:rsidR="00B242C3" w:rsidRPr="003272C7" w14:paraId="34C16E66" w14:textId="77777777" w:rsidTr="005D16A1">
        <w:trPr>
          <w:trHeight w:val="259"/>
        </w:trPr>
        <w:tc>
          <w:tcPr>
            <w:tcW w:w="979" w:type="pct"/>
            <w:shd w:val="clear" w:color="auto" w:fill="231EDC" w:themeFill="accent1"/>
          </w:tcPr>
          <w:p w14:paraId="579C860D" w14:textId="683AFF2B" w:rsidR="00B242C3" w:rsidRPr="003272C7" w:rsidRDefault="00B242C3" w:rsidP="001E2D5C">
            <w:pPr>
              <w:pStyle w:val="TableText"/>
              <w:rPr>
                <w:rFonts w:cs="Arial"/>
                <w:b/>
                <w:bCs/>
              </w:rPr>
            </w:pPr>
            <w:r w:rsidRPr="003272C7">
              <w:rPr>
                <w:rFonts w:cs="Arial"/>
                <w:b/>
                <w:bCs/>
              </w:rPr>
              <w:t>Description</w:t>
            </w:r>
          </w:p>
        </w:tc>
        <w:tc>
          <w:tcPr>
            <w:tcW w:w="4021" w:type="pct"/>
          </w:tcPr>
          <w:p w14:paraId="408B2F5B" w14:textId="77777777" w:rsidR="00142559" w:rsidRPr="003272C7" w:rsidRDefault="002503D0" w:rsidP="001E2D5C">
            <w:pPr>
              <w:pStyle w:val="TableText"/>
              <w:rPr>
                <w:rFonts w:cs="Arial"/>
              </w:rPr>
            </w:pPr>
            <w:r w:rsidRPr="003272C7">
              <w:rPr>
                <w:rFonts w:cs="Arial"/>
              </w:rPr>
              <w:t xml:space="preserve">The </w:t>
            </w:r>
            <w:r w:rsidR="00D757C7" w:rsidRPr="003272C7">
              <w:rPr>
                <w:rFonts w:cs="Arial"/>
              </w:rPr>
              <w:t>p</w:t>
            </w:r>
            <w:r w:rsidRPr="003272C7">
              <w:rPr>
                <w:rFonts w:cs="Arial"/>
              </w:rPr>
              <w:t>rogram sought to address problems identified through Water for Victoria Chapter 7 Recognising Recreational Values, which highlighted that recreational values were not necessarily being considered in water management planning, and therefore potential opportunities for shared benefits were being missed.</w:t>
            </w:r>
          </w:p>
          <w:p w14:paraId="754009B5" w14:textId="10F5CB76" w:rsidR="00B242C3" w:rsidRPr="003272C7" w:rsidRDefault="002503D0" w:rsidP="001E2D5C">
            <w:pPr>
              <w:pStyle w:val="TableText"/>
              <w:rPr>
                <w:rFonts w:cs="Arial"/>
              </w:rPr>
            </w:pPr>
            <w:r w:rsidRPr="003272C7">
              <w:rPr>
                <w:rFonts w:cs="Arial"/>
              </w:rPr>
              <w:t>The program supported recreational objectives and improved access for the community to better enjoy waterways. This included providing better information to the community to support understanding of the opportunities and limitations on recreational use of waterways and water storages and confidence in the water decision-making that supports this. It also included the development of better management approaches to achieve recreational and social objectives through site or region-specific case study projects.</w:t>
            </w:r>
          </w:p>
        </w:tc>
      </w:tr>
      <w:tr w:rsidR="00B242C3" w:rsidRPr="003272C7" w14:paraId="5C709953" w14:textId="77777777" w:rsidTr="005D16A1">
        <w:trPr>
          <w:trHeight w:val="259"/>
        </w:trPr>
        <w:tc>
          <w:tcPr>
            <w:tcW w:w="979" w:type="pct"/>
            <w:shd w:val="clear" w:color="auto" w:fill="231EDC" w:themeFill="accent1"/>
          </w:tcPr>
          <w:p w14:paraId="7BB50C74" w14:textId="77777777" w:rsidR="00B242C3" w:rsidRPr="003272C7" w:rsidRDefault="00B242C3" w:rsidP="001E2D5C">
            <w:pPr>
              <w:pStyle w:val="TableText"/>
              <w:rPr>
                <w:rFonts w:cs="Arial"/>
                <w:b/>
                <w:bCs/>
              </w:rPr>
            </w:pPr>
            <w:r w:rsidRPr="003272C7">
              <w:rPr>
                <w:rFonts w:cs="Arial"/>
                <w:b/>
                <w:bCs/>
              </w:rPr>
              <w:t>Outputs</w:t>
            </w:r>
          </w:p>
        </w:tc>
        <w:tc>
          <w:tcPr>
            <w:tcW w:w="4021" w:type="pct"/>
          </w:tcPr>
          <w:p w14:paraId="21DAE966" w14:textId="5171D5B4" w:rsidR="00124FD7" w:rsidRPr="003272C7" w:rsidRDefault="00124FD7" w:rsidP="001E2D5C">
            <w:pPr>
              <w:pStyle w:val="TableBullet"/>
              <w:rPr>
                <w:rFonts w:cs="Arial"/>
              </w:rPr>
            </w:pPr>
            <w:r w:rsidRPr="003272C7">
              <w:rPr>
                <w:rFonts w:cs="Arial"/>
              </w:rPr>
              <w:t>Distribution of $</w:t>
            </w:r>
            <w:r w:rsidR="004E2F2C" w:rsidRPr="003272C7">
              <w:rPr>
                <w:rFonts w:cs="Arial"/>
              </w:rPr>
              <w:t>3.3</w:t>
            </w:r>
            <w:r w:rsidRPr="003272C7">
              <w:rPr>
                <w:rFonts w:cs="Arial"/>
              </w:rPr>
              <w:t xml:space="preserve"> million of grants funds to support 19 projects and 11 organisations focused on improving recreational outcomes.</w:t>
            </w:r>
          </w:p>
          <w:p w14:paraId="6638AFEA" w14:textId="230316C5" w:rsidR="00124FD7" w:rsidRPr="003272C7" w:rsidRDefault="00124FD7" w:rsidP="001E2D5C">
            <w:pPr>
              <w:pStyle w:val="TableBullet"/>
              <w:rPr>
                <w:rFonts w:cs="Arial"/>
              </w:rPr>
            </w:pPr>
            <w:r w:rsidRPr="003272C7">
              <w:rPr>
                <w:rFonts w:cs="Arial"/>
              </w:rPr>
              <w:t xml:space="preserve">Flagship Water Wannon project – new ways to facilitate recreation using water corporation assets, </w:t>
            </w:r>
            <w:r w:rsidR="000B1AAD" w:rsidRPr="003272C7">
              <w:rPr>
                <w:rFonts w:cs="Arial"/>
              </w:rPr>
              <w:t xml:space="preserve">including </w:t>
            </w:r>
            <w:r w:rsidRPr="003272C7">
              <w:rPr>
                <w:rFonts w:cs="Arial"/>
              </w:rPr>
              <w:t>4 planning and community engagement projects (recreational opportunities master planning, options assessment, car counters, cultural heritage monitoring).</w:t>
            </w:r>
          </w:p>
          <w:p w14:paraId="27C19740" w14:textId="77777777" w:rsidR="00124FD7" w:rsidRPr="003272C7" w:rsidRDefault="00124FD7" w:rsidP="001E2D5C">
            <w:pPr>
              <w:pStyle w:val="TableBullet"/>
              <w:rPr>
                <w:rFonts w:cs="Arial"/>
              </w:rPr>
            </w:pPr>
            <w:r w:rsidRPr="003272C7">
              <w:rPr>
                <w:rFonts w:cs="Arial"/>
              </w:rPr>
              <w:t>15 projects completed by 30 June 2024, with four EC5 projects to be completed by June 2025.</w:t>
            </w:r>
          </w:p>
          <w:p w14:paraId="48D433AA" w14:textId="77777777" w:rsidR="00124FD7" w:rsidRPr="003272C7" w:rsidRDefault="00124FD7" w:rsidP="001E2D5C">
            <w:pPr>
              <w:pStyle w:val="TableBullet"/>
              <w:rPr>
                <w:rFonts w:cs="Arial"/>
              </w:rPr>
            </w:pPr>
            <w:r w:rsidRPr="003272C7">
              <w:rPr>
                <w:rFonts w:cs="Arial"/>
              </w:rPr>
              <w:t>Created better linkages between DEECA, the water sector, Traditional Owners and related government portfolios to achieve greater collaboration, inform decision-making and leverage investment to achieve shared objectives.</w:t>
            </w:r>
          </w:p>
          <w:p w14:paraId="0FCECA31" w14:textId="77777777" w:rsidR="00124FD7" w:rsidRPr="003272C7" w:rsidRDefault="00124FD7" w:rsidP="001E2D5C">
            <w:pPr>
              <w:pStyle w:val="TableBullet"/>
              <w:rPr>
                <w:rFonts w:cs="Arial"/>
              </w:rPr>
            </w:pPr>
            <w:r w:rsidRPr="003272C7">
              <w:rPr>
                <w:rFonts w:cs="Arial"/>
              </w:rPr>
              <w:t>Implemented (and then controlled easing of) COVID-19 restrictions across 40 recreational areas, in collaboration with water corporations and DEECA’s emergency management and public land teams.</w:t>
            </w:r>
          </w:p>
          <w:p w14:paraId="3AD2418B" w14:textId="77777777" w:rsidR="00142559" w:rsidRPr="003272C7" w:rsidRDefault="00124FD7" w:rsidP="001E2D5C">
            <w:pPr>
              <w:pStyle w:val="TableBullet"/>
              <w:rPr>
                <w:rFonts w:cs="Arial"/>
              </w:rPr>
            </w:pPr>
            <w:r w:rsidRPr="003272C7">
              <w:rPr>
                <w:rFonts w:cs="Arial"/>
              </w:rPr>
              <w:t xml:space="preserve">Introduced new </w:t>
            </w:r>
            <w:r w:rsidRPr="003272C7">
              <w:rPr>
                <w:rFonts w:cs="Arial"/>
                <w:i/>
                <w:iCs/>
              </w:rPr>
              <w:t>Water (Recreational Area) Regulations 2023</w:t>
            </w:r>
            <w:r w:rsidRPr="003272C7">
              <w:rPr>
                <w:rFonts w:cs="Arial"/>
              </w:rPr>
              <w:t xml:space="preserve">, which came into operation in August 2023. The regulations enable water corporations and </w:t>
            </w:r>
            <w:r w:rsidR="00D757C7" w:rsidRPr="003272C7">
              <w:rPr>
                <w:rFonts w:cs="Arial"/>
              </w:rPr>
              <w:t>CMAs</w:t>
            </w:r>
            <w:r w:rsidRPr="003272C7">
              <w:rPr>
                <w:rFonts w:cs="Arial"/>
              </w:rPr>
              <w:t xml:space="preserve"> to manage safe public recreation at determined recreational areas, while ensuring their range of values and uses are protected.</w:t>
            </w:r>
          </w:p>
          <w:p w14:paraId="358B8DF3" w14:textId="4F38383C" w:rsidR="00124FD7" w:rsidRPr="003272C7" w:rsidRDefault="00124FD7" w:rsidP="001E2D5C">
            <w:pPr>
              <w:pStyle w:val="TableBullet"/>
              <w:rPr>
                <w:rFonts w:cs="Arial"/>
              </w:rPr>
            </w:pPr>
            <w:r w:rsidRPr="003272C7">
              <w:rPr>
                <w:rFonts w:cs="Arial"/>
              </w:rPr>
              <w:t xml:space="preserve">Provided $556,990 to 6 water corporations and one </w:t>
            </w:r>
            <w:r w:rsidR="00D757C7" w:rsidRPr="003272C7">
              <w:rPr>
                <w:rFonts w:cs="Arial"/>
              </w:rPr>
              <w:t>CMA</w:t>
            </w:r>
            <w:r w:rsidRPr="003272C7">
              <w:rPr>
                <w:rFonts w:cs="Arial"/>
              </w:rPr>
              <w:t xml:space="preserve"> to support the development of recreational area management plans required under the new </w:t>
            </w:r>
            <w:r w:rsidRPr="003272C7">
              <w:rPr>
                <w:rFonts w:cs="Arial"/>
                <w:i/>
                <w:iCs/>
              </w:rPr>
              <w:t>Water (Recreational Area) Regulations 2023</w:t>
            </w:r>
            <w:r w:rsidRPr="003272C7">
              <w:rPr>
                <w:rFonts w:cs="Arial"/>
              </w:rPr>
              <w:t>.</w:t>
            </w:r>
          </w:p>
          <w:p w14:paraId="45D16C2F" w14:textId="77777777" w:rsidR="00124FD7" w:rsidRPr="003272C7" w:rsidRDefault="00124FD7" w:rsidP="001E2D5C">
            <w:pPr>
              <w:pStyle w:val="TableBullet"/>
              <w:rPr>
                <w:rFonts w:cs="Arial"/>
              </w:rPr>
            </w:pPr>
            <w:r w:rsidRPr="003272C7">
              <w:rPr>
                <w:rFonts w:cs="Arial"/>
              </w:rPr>
              <w:lastRenderedPageBreak/>
              <w:t>Development of the draft Greens Lake Action Plan, representing a new way of working collaboratively with water corporations, Traditional Owners and the recreation community to generate shared outcomes.</w:t>
            </w:r>
          </w:p>
          <w:p w14:paraId="0E3016CD" w14:textId="77777777" w:rsidR="00124FD7" w:rsidRPr="003272C7" w:rsidRDefault="00124FD7" w:rsidP="001E2D5C">
            <w:pPr>
              <w:pStyle w:val="TableBullet"/>
              <w:rPr>
                <w:rFonts w:cs="Arial"/>
              </w:rPr>
            </w:pPr>
            <w:r w:rsidRPr="003272C7">
              <w:rPr>
                <w:rFonts w:cs="Arial"/>
              </w:rPr>
              <w:t xml:space="preserve">Working constructively to embed recreational values in the new </w:t>
            </w:r>
            <w:r w:rsidRPr="003272C7">
              <w:rPr>
                <w:rFonts w:cs="Arial"/>
                <w:i/>
                <w:iCs/>
              </w:rPr>
              <w:t>Victorian Waterway Management Strategy</w:t>
            </w:r>
            <w:r w:rsidRPr="003272C7">
              <w:rPr>
                <w:rFonts w:cs="Arial"/>
              </w:rPr>
              <w:t>.</w:t>
            </w:r>
          </w:p>
          <w:p w14:paraId="65E77423" w14:textId="4A827A40" w:rsidR="00124FD7" w:rsidRPr="003272C7" w:rsidRDefault="00124FD7" w:rsidP="001E2D5C">
            <w:pPr>
              <w:pStyle w:val="TableBullet"/>
              <w:rPr>
                <w:rFonts w:cs="Arial"/>
              </w:rPr>
            </w:pPr>
            <w:r w:rsidRPr="003272C7">
              <w:rPr>
                <w:rFonts w:cs="Arial"/>
              </w:rPr>
              <w:t xml:space="preserve">During the October 2022 floods, damage occurred to recreation infrastructure and $900,000 was allocated through a Treasurer’s Advance to water corporations and </w:t>
            </w:r>
            <w:r w:rsidR="00D757C7" w:rsidRPr="003272C7">
              <w:rPr>
                <w:rFonts w:cs="Arial"/>
              </w:rPr>
              <w:t>CMAs</w:t>
            </w:r>
            <w:r w:rsidRPr="003272C7">
              <w:rPr>
                <w:rFonts w:cs="Arial"/>
              </w:rPr>
              <w:t xml:space="preserve"> for flood recovery works to repair recreation infrastructure.</w:t>
            </w:r>
          </w:p>
          <w:p w14:paraId="04476955" w14:textId="7F33CBD2" w:rsidR="002175A7" w:rsidRPr="003272C7" w:rsidRDefault="00124FD7" w:rsidP="001E2D5C">
            <w:pPr>
              <w:pStyle w:val="TableBullet"/>
              <w:rPr>
                <w:rFonts w:cs="Arial"/>
              </w:rPr>
            </w:pPr>
            <w:r w:rsidRPr="003272C7">
              <w:rPr>
                <w:rFonts w:cs="Arial"/>
              </w:rPr>
              <w:t xml:space="preserve">Consideration of recreational access to drinking water storages, including a policy statement in the </w:t>
            </w:r>
            <w:r w:rsidR="00D757C7" w:rsidRPr="003272C7">
              <w:rPr>
                <w:rFonts w:cs="Arial"/>
              </w:rPr>
              <w:t xml:space="preserve">CGRSWS </w:t>
            </w:r>
            <w:r w:rsidRPr="003272C7">
              <w:rPr>
                <w:rFonts w:cs="Arial"/>
              </w:rPr>
              <w:t>and collaboration with Melbourne Water to consider access to Tarago Reservoir.</w:t>
            </w:r>
          </w:p>
          <w:p w14:paraId="038D3D2D" w14:textId="3E64ADD7" w:rsidR="00B242C3" w:rsidRPr="003272C7" w:rsidRDefault="00124FD7" w:rsidP="001E2D5C">
            <w:pPr>
              <w:pStyle w:val="TableBullet"/>
              <w:rPr>
                <w:rFonts w:cs="Arial"/>
              </w:rPr>
            </w:pPr>
            <w:r w:rsidRPr="003272C7">
              <w:rPr>
                <w:rFonts w:cs="Arial"/>
              </w:rPr>
              <w:t>Progressed the Victorian Government’s election commitment to open Tarago Reservoir to on-water recreation, including administration of funding agreements to Melbourne Water and Gippsland Water to upgrade Tarago, Neerim South and Warragul treatment plants, providing governance oversight of the project through secretariat of the Tarago Implementation Steering Committee, leading Traditional Owner engagement and providing input to community engagement.</w:t>
            </w:r>
          </w:p>
        </w:tc>
      </w:tr>
      <w:tr w:rsidR="00B242C3" w:rsidRPr="003272C7" w14:paraId="11789DBB" w14:textId="77777777" w:rsidTr="005D16A1">
        <w:trPr>
          <w:trHeight w:val="259"/>
        </w:trPr>
        <w:tc>
          <w:tcPr>
            <w:tcW w:w="5000" w:type="pct"/>
            <w:gridSpan w:val="2"/>
            <w:shd w:val="clear" w:color="auto" w:fill="231EDC" w:themeFill="accent1"/>
          </w:tcPr>
          <w:p w14:paraId="66B6E4E9" w14:textId="77777777" w:rsidR="00B242C3" w:rsidRPr="003272C7" w:rsidRDefault="00B242C3" w:rsidP="00792DAA">
            <w:pPr>
              <w:pStyle w:val="TableTextBold"/>
              <w:rPr>
                <w:rFonts w:cs="Arial"/>
              </w:rPr>
            </w:pPr>
            <w:r w:rsidRPr="003272C7">
              <w:rPr>
                <w:rFonts w:cs="Arial"/>
              </w:rPr>
              <w:lastRenderedPageBreak/>
              <w:t>Summary against evaluation domains</w:t>
            </w:r>
          </w:p>
        </w:tc>
      </w:tr>
      <w:tr w:rsidR="00B242C3" w:rsidRPr="003272C7" w14:paraId="745E7AD2" w14:textId="77777777" w:rsidTr="005D16A1">
        <w:trPr>
          <w:trHeight w:val="259"/>
        </w:trPr>
        <w:tc>
          <w:tcPr>
            <w:tcW w:w="979" w:type="pct"/>
            <w:shd w:val="clear" w:color="auto" w:fill="231EDC" w:themeFill="accent1"/>
          </w:tcPr>
          <w:p w14:paraId="5B47D5AA"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6DDCC694" w14:textId="77777777" w:rsidR="00B242C3" w:rsidRPr="003272C7" w:rsidRDefault="00B242C3" w:rsidP="00232E74">
            <w:pPr>
              <w:pStyle w:val="TableTextBold"/>
              <w:rPr>
                <w:rFonts w:cs="Arial"/>
              </w:rPr>
            </w:pPr>
            <w:r w:rsidRPr="003272C7">
              <w:rPr>
                <w:rFonts w:cs="Arial"/>
              </w:rPr>
              <w:t>Inclusion of social and recreational values of water in water and waterway planning as business-as-usual practice across the water sector</w:t>
            </w:r>
          </w:p>
          <w:p w14:paraId="49BB0437" w14:textId="33FFAA1D" w:rsidR="00B242C3" w:rsidRPr="003272C7" w:rsidRDefault="00B242C3" w:rsidP="00232E74">
            <w:pPr>
              <w:pStyle w:val="TableBullet"/>
              <w:rPr>
                <w:rFonts w:cs="Arial"/>
              </w:rPr>
            </w:pPr>
            <w:r w:rsidRPr="003272C7">
              <w:rPr>
                <w:rFonts w:cs="Arial"/>
              </w:rPr>
              <w:t xml:space="preserve">All water corporations, CMAs and the </w:t>
            </w:r>
            <w:r w:rsidR="00D757C7" w:rsidRPr="003272C7">
              <w:rPr>
                <w:rFonts w:cs="Arial"/>
              </w:rPr>
              <w:t>Victorian Environmental Water Holder (</w:t>
            </w:r>
            <w:r w:rsidRPr="003272C7">
              <w:rPr>
                <w:rFonts w:cs="Arial"/>
              </w:rPr>
              <w:t>VEWH</w:t>
            </w:r>
            <w:r w:rsidR="00D757C7" w:rsidRPr="003272C7">
              <w:rPr>
                <w:rFonts w:cs="Arial"/>
              </w:rPr>
              <w:t>)</w:t>
            </w:r>
            <w:r w:rsidRPr="003272C7">
              <w:rPr>
                <w:rFonts w:cs="Arial"/>
              </w:rPr>
              <w:t xml:space="preserve"> include</w:t>
            </w:r>
            <w:r w:rsidR="003A5A73" w:rsidRPr="003272C7">
              <w:rPr>
                <w:rFonts w:cs="Arial"/>
              </w:rPr>
              <w:t>d</w:t>
            </w:r>
            <w:r w:rsidRPr="003272C7">
              <w:rPr>
                <w:rFonts w:cs="Arial"/>
              </w:rPr>
              <w:t xml:space="preserve"> social and recreational values in corporate planning.</w:t>
            </w:r>
          </w:p>
          <w:p w14:paraId="269D93EA" w14:textId="10E95685" w:rsidR="00B242C3" w:rsidRPr="003272C7" w:rsidRDefault="00B242C3" w:rsidP="00232E74">
            <w:pPr>
              <w:pStyle w:val="TableBullet"/>
              <w:rPr>
                <w:rFonts w:cs="Arial"/>
              </w:rPr>
            </w:pPr>
            <w:r w:rsidRPr="003272C7">
              <w:rPr>
                <w:rFonts w:cs="Arial"/>
              </w:rPr>
              <w:t>Wannon Water demonstration project provides a model for valuing water corporation assets for recreation: shared with industry, guidelines produced and circulated</w:t>
            </w:r>
            <w:r w:rsidR="00D757C7" w:rsidRPr="003272C7">
              <w:rPr>
                <w:rFonts w:cs="Arial"/>
              </w:rPr>
              <w:t>.</w:t>
            </w:r>
          </w:p>
          <w:p w14:paraId="7520D8F6" w14:textId="77777777" w:rsidR="00142559" w:rsidRPr="003272C7" w:rsidRDefault="00B242C3" w:rsidP="00232E74">
            <w:pPr>
              <w:pStyle w:val="TableBullet"/>
              <w:rPr>
                <w:rFonts w:cs="Arial"/>
              </w:rPr>
            </w:pPr>
            <w:r w:rsidRPr="003272C7">
              <w:rPr>
                <w:rFonts w:cs="Arial"/>
              </w:rPr>
              <w:t xml:space="preserve">Glenelg Hopkins CMA partnership project for the Merri River </w:t>
            </w:r>
            <w:r w:rsidR="00430D05" w:rsidRPr="003272C7">
              <w:rPr>
                <w:rFonts w:cs="Arial"/>
              </w:rPr>
              <w:t xml:space="preserve">demonstrated </w:t>
            </w:r>
            <w:r w:rsidRPr="003272C7">
              <w:rPr>
                <w:rFonts w:cs="Arial"/>
              </w:rPr>
              <w:t>value of partnering locally with Council and community to achieve recreation, social and environmental outcomes.</w:t>
            </w:r>
          </w:p>
          <w:p w14:paraId="69240AF2" w14:textId="2D17623F" w:rsidR="00B242C3" w:rsidRPr="003272C7" w:rsidRDefault="00B242C3" w:rsidP="00232E74">
            <w:pPr>
              <w:pStyle w:val="TableBullet"/>
              <w:rPr>
                <w:rFonts w:cs="Arial"/>
              </w:rPr>
            </w:pPr>
            <w:r w:rsidRPr="003272C7">
              <w:rPr>
                <w:rFonts w:cs="Arial"/>
              </w:rPr>
              <w:t>Melbourne Water inclusion of Yan Yean Reservoir and Tarago Reservoir recreation access projects in their price plan.</w:t>
            </w:r>
          </w:p>
          <w:p w14:paraId="26C4DC9A" w14:textId="210360AF" w:rsidR="00B242C3" w:rsidRPr="003272C7" w:rsidRDefault="00B242C3" w:rsidP="00232E74">
            <w:pPr>
              <w:pStyle w:val="TableBullet"/>
              <w:rPr>
                <w:rFonts w:cs="Arial"/>
              </w:rPr>
            </w:pPr>
            <w:r w:rsidRPr="003272C7">
              <w:rPr>
                <w:rFonts w:cs="Arial"/>
              </w:rPr>
              <w:t xml:space="preserve">Water Corporations enabling access to new recreation assets under own </w:t>
            </w:r>
            <w:r w:rsidR="00445736" w:rsidRPr="003272C7">
              <w:rPr>
                <w:rFonts w:cs="Arial"/>
              </w:rPr>
              <w:t>project</w:t>
            </w:r>
            <w:r w:rsidRPr="003272C7">
              <w:rPr>
                <w:rFonts w:cs="Arial"/>
              </w:rPr>
              <w:t>.</w:t>
            </w:r>
          </w:p>
          <w:p w14:paraId="3E183582" w14:textId="77777777" w:rsidR="00142559" w:rsidRPr="003272C7" w:rsidRDefault="00B242C3" w:rsidP="00232E74">
            <w:pPr>
              <w:pStyle w:val="TableTextBold"/>
              <w:rPr>
                <w:rFonts w:cs="Arial"/>
                <w:lang w:eastAsia="en-AU"/>
              </w:rPr>
            </w:pPr>
            <w:r w:rsidRPr="003272C7">
              <w:rPr>
                <w:rFonts w:cs="Arial"/>
                <w:lang w:eastAsia="en-AU"/>
              </w:rPr>
              <w:t>Improved understanding by the Victorian communities on how to achieve their recreational objectives</w:t>
            </w:r>
          </w:p>
          <w:p w14:paraId="472DE127" w14:textId="0A06B346" w:rsidR="008A1FE2" w:rsidRPr="003272C7" w:rsidRDefault="008A1FE2" w:rsidP="00232E74">
            <w:pPr>
              <w:pStyle w:val="TableBullet"/>
              <w:rPr>
                <w:rFonts w:cs="Arial"/>
              </w:rPr>
            </w:pPr>
            <w:r w:rsidRPr="003272C7">
              <w:rPr>
                <w:rFonts w:cs="Arial"/>
              </w:rPr>
              <w:t>The My Victorian Waterway Survey</w:t>
            </w:r>
            <w:r w:rsidR="000B1AAD" w:rsidRPr="003272C7">
              <w:rPr>
                <w:rFonts w:cs="Arial"/>
              </w:rPr>
              <w:t>,</w:t>
            </w:r>
            <w:r w:rsidRPr="003272C7">
              <w:rPr>
                <w:rFonts w:cs="Arial"/>
              </w:rPr>
              <w:t xml:space="preserve"> conducted in 2022, attracted 6,240 individual respondents. When asked how recreation beside waterways can be improved, the top priorities for most respondents were investment in toilets (57%), walking tracks (51%) and visitor facilities (43%).</w:t>
            </w:r>
          </w:p>
          <w:p w14:paraId="46237467" w14:textId="69A26A94" w:rsidR="008A1FE2" w:rsidRPr="003272C7" w:rsidRDefault="008A1FE2" w:rsidP="00232E74">
            <w:pPr>
              <w:pStyle w:val="TableBullet"/>
              <w:rPr>
                <w:rFonts w:cs="Arial"/>
              </w:rPr>
            </w:pPr>
            <w:r w:rsidRPr="003272C7">
              <w:rPr>
                <w:rFonts w:cs="Arial"/>
              </w:rPr>
              <w:t>New Goulburn-Murray Water platform for community survey to inform their recreation</w:t>
            </w:r>
            <w:r w:rsidR="00232E74" w:rsidRPr="003272C7">
              <w:rPr>
                <w:rFonts w:cs="Arial"/>
              </w:rPr>
              <w:t> </w:t>
            </w:r>
            <w:r w:rsidRPr="003272C7">
              <w:rPr>
                <w:rFonts w:cs="Arial"/>
              </w:rPr>
              <w:t>planning.</w:t>
            </w:r>
          </w:p>
          <w:p w14:paraId="59356816" w14:textId="6E3E9CF0" w:rsidR="008A1FE2" w:rsidRPr="003272C7" w:rsidRDefault="008A1FE2" w:rsidP="00232E74">
            <w:pPr>
              <w:pStyle w:val="TableBullet"/>
              <w:rPr>
                <w:rFonts w:cs="Arial"/>
              </w:rPr>
            </w:pPr>
            <w:r w:rsidRPr="003272C7">
              <w:rPr>
                <w:rFonts w:cs="Arial"/>
              </w:rPr>
              <w:t>High levels of engagement from the local and general community through Engage Victoria consultation processes, for both the Draft Greens Lake Action Plan (144 survey respondents) and the Draft Water (Recreational Area) Regulations (85 respondents) including strong attendance at two online information sessions (23 and</w:t>
            </w:r>
            <w:r w:rsidR="00232E74" w:rsidRPr="003272C7">
              <w:rPr>
                <w:rFonts w:cs="Arial"/>
              </w:rPr>
              <w:t> </w:t>
            </w:r>
            <w:r w:rsidRPr="003272C7">
              <w:rPr>
                <w:rFonts w:cs="Arial"/>
              </w:rPr>
              <w:t>29).</w:t>
            </w:r>
          </w:p>
          <w:p w14:paraId="70E6F792" w14:textId="77777777" w:rsidR="008A1FE2" w:rsidRPr="003272C7" w:rsidRDefault="008A1FE2" w:rsidP="00232E74">
            <w:pPr>
              <w:pStyle w:val="TableBullet"/>
              <w:rPr>
                <w:rFonts w:cs="Arial"/>
              </w:rPr>
            </w:pPr>
            <w:r w:rsidRPr="003272C7">
              <w:rPr>
                <w:rFonts w:cs="Arial"/>
              </w:rPr>
              <w:t>New requirement for site-based management planning for recreational areas through the new regulations, including requirement managing authorities to prepare a recreational area management plan for each, and to for consult with the Traditional Owner groups and the community during the development of plans.</w:t>
            </w:r>
          </w:p>
          <w:p w14:paraId="6D7D5F4B" w14:textId="77777777" w:rsidR="00142559" w:rsidRPr="003272C7" w:rsidRDefault="00B242C3" w:rsidP="00232E74">
            <w:pPr>
              <w:pStyle w:val="TableTextBold"/>
              <w:rPr>
                <w:rFonts w:cs="Arial"/>
                <w:lang w:eastAsia="en-AU"/>
              </w:rPr>
            </w:pPr>
            <w:r w:rsidRPr="003272C7">
              <w:rPr>
                <w:rFonts w:cs="Arial"/>
                <w:lang w:eastAsia="en-AU"/>
              </w:rPr>
              <w:t>Improved access to recreational opportunities on and around water-based natural spaces and water storages</w:t>
            </w:r>
          </w:p>
          <w:p w14:paraId="1A3D2791" w14:textId="03018CA6" w:rsidR="001008DC" w:rsidRPr="003272C7" w:rsidRDefault="001008DC" w:rsidP="00232E74">
            <w:pPr>
              <w:pStyle w:val="TableBullet"/>
              <w:rPr>
                <w:rFonts w:cs="Arial"/>
              </w:rPr>
            </w:pPr>
            <w:r w:rsidRPr="003272C7">
              <w:rPr>
                <w:rFonts w:cs="Arial"/>
              </w:rPr>
              <w:t>19 local or regional scale infrastructure projects funded through EC5 Recreational Values Program grants. This includes on-ground community recreational facilities completed, such as:</w:t>
            </w:r>
          </w:p>
          <w:p w14:paraId="372399AD" w14:textId="77777777" w:rsidR="001008DC" w:rsidRPr="003272C7" w:rsidRDefault="001008DC" w:rsidP="00232E74">
            <w:pPr>
              <w:pStyle w:val="TableBullet"/>
              <w:rPr>
                <w:rFonts w:cs="Arial"/>
              </w:rPr>
            </w:pPr>
            <w:r w:rsidRPr="003272C7">
              <w:rPr>
                <w:rFonts w:cs="Arial"/>
              </w:rPr>
              <w:t>Merri River All Abilities Kayak launch.</w:t>
            </w:r>
          </w:p>
          <w:p w14:paraId="6BCB5DEF" w14:textId="77777777" w:rsidR="001008DC" w:rsidRPr="003272C7" w:rsidRDefault="001008DC" w:rsidP="00232E74">
            <w:pPr>
              <w:pStyle w:val="TableBullet"/>
              <w:rPr>
                <w:rFonts w:cs="Arial"/>
              </w:rPr>
            </w:pPr>
            <w:r w:rsidRPr="003272C7">
              <w:rPr>
                <w:rFonts w:cs="Arial"/>
              </w:rPr>
              <w:t>Trawool Reservoir fishing platform and Walking Track.</w:t>
            </w:r>
          </w:p>
          <w:p w14:paraId="13373A13" w14:textId="77777777" w:rsidR="00142559" w:rsidRPr="003272C7" w:rsidRDefault="001008DC" w:rsidP="00232E74">
            <w:pPr>
              <w:pStyle w:val="TableBullet"/>
              <w:rPr>
                <w:rFonts w:cs="Arial"/>
              </w:rPr>
            </w:pPr>
            <w:r w:rsidRPr="003272C7">
              <w:rPr>
                <w:rFonts w:cs="Arial"/>
              </w:rPr>
              <w:lastRenderedPageBreak/>
              <w:t>Waranga Basin all abilities picnic and barbeque area.</w:t>
            </w:r>
          </w:p>
          <w:p w14:paraId="5FC0E2C8" w14:textId="28AD1624" w:rsidR="001008DC" w:rsidRPr="003272C7" w:rsidRDefault="001008DC" w:rsidP="00232E74">
            <w:pPr>
              <w:pStyle w:val="TableBullet"/>
              <w:rPr>
                <w:rFonts w:cs="Arial"/>
              </w:rPr>
            </w:pPr>
            <w:r w:rsidRPr="003272C7">
              <w:rPr>
                <w:rFonts w:cs="Arial"/>
              </w:rPr>
              <w:t>Public toilets at Bullarto Reservoir.</w:t>
            </w:r>
          </w:p>
          <w:p w14:paraId="05C8EC33" w14:textId="77777777" w:rsidR="001008DC" w:rsidRPr="003272C7" w:rsidRDefault="001008DC" w:rsidP="00232E74">
            <w:pPr>
              <w:pStyle w:val="TableBullet"/>
              <w:rPr>
                <w:rFonts w:cs="Arial"/>
              </w:rPr>
            </w:pPr>
            <w:r w:rsidRPr="003272C7">
              <w:rPr>
                <w:rFonts w:cs="Arial"/>
              </w:rPr>
              <w:t>Kayak/canoe launching and access points on the Jamieson River.</w:t>
            </w:r>
          </w:p>
          <w:p w14:paraId="081A1654" w14:textId="4EA5A8FF" w:rsidR="001008DC" w:rsidRPr="003272C7" w:rsidRDefault="001008DC" w:rsidP="00232E74">
            <w:pPr>
              <w:pStyle w:val="TableBullet"/>
              <w:rPr>
                <w:rFonts w:cs="Arial"/>
              </w:rPr>
            </w:pPr>
            <w:r w:rsidRPr="003272C7">
              <w:rPr>
                <w:rFonts w:cs="Arial"/>
              </w:rPr>
              <w:t>Significant assessment, planning and design of new recreation access opportunities at Yan Yean and Tarago Reservoirs, in partnership with Melbourne</w:t>
            </w:r>
            <w:r w:rsidR="00216E20" w:rsidRPr="003272C7">
              <w:rPr>
                <w:rFonts w:cs="Arial"/>
              </w:rPr>
              <w:t> </w:t>
            </w:r>
            <w:r w:rsidRPr="003272C7">
              <w:rPr>
                <w:rFonts w:cs="Arial"/>
              </w:rPr>
              <w:t>Water.</w:t>
            </w:r>
          </w:p>
          <w:p w14:paraId="6BD75806" w14:textId="77777777" w:rsidR="001008DC" w:rsidRPr="003272C7" w:rsidRDefault="001008DC" w:rsidP="00232E74">
            <w:pPr>
              <w:pStyle w:val="TableBullet"/>
              <w:rPr>
                <w:rFonts w:cs="Arial"/>
              </w:rPr>
            </w:pPr>
            <w:r w:rsidRPr="003272C7">
              <w:rPr>
                <w:rFonts w:cs="Arial"/>
              </w:rPr>
              <w:t>New recreation opportunities created at Goulburn Valley Water sites (Dunyak Moira and Trawool) and Grampians Wimmera Mallee Water sites.</w:t>
            </w:r>
          </w:p>
          <w:p w14:paraId="3564BAC9" w14:textId="7597F854" w:rsidR="00B242C3" w:rsidRPr="003272C7" w:rsidRDefault="001008DC" w:rsidP="00232E74">
            <w:pPr>
              <w:pStyle w:val="TableBullet"/>
              <w:rPr>
                <w:rFonts w:cs="Arial"/>
                <w:lang w:eastAsia="en-AU"/>
              </w:rPr>
            </w:pPr>
            <w:r w:rsidRPr="003272C7">
              <w:rPr>
                <w:rFonts w:cs="Arial"/>
              </w:rPr>
              <w:t xml:space="preserve">Determined two new recreational areas under the </w:t>
            </w:r>
            <w:r w:rsidRPr="003272C7">
              <w:rPr>
                <w:rFonts w:cs="Arial"/>
                <w:i/>
                <w:iCs/>
              </w:rPr>
              <w:t>Water Act 1989</w:t>
            </w:r>
            <w:r w:rsidRPr="003272C7">
              <w:rPr>
                <w:rFonts w:cs="Arial"/>
              </w:rPr>
              <w:t xml:space="preserve"> (Barwon River </w:t>
            </w:r>
            <w:r w:rsidR="003C2ACC" w:rsidRPr="003272C7">
              <w:rPr>
                <w:rFonts w:cs="Arial"/>
              </w:rPr>
              <w:t xml:space="preserve">through </w:t>
            </w:r>
            <w:r w:rsidRPr="003272C7">
              <w:rPr>
                <w:rFonts w:cs="Arial"/>
              </w:rPr>
              <w:t xml:space="preserve">Geelong and Dunyak Moira) to apply the </w:t>
            </w:r>
            <w:r w:rsidRPr="003272C7">
              <w:rPr>
                <w:rFonts w:cs="Arial"/>
                <w:i/>
                <w:iCs/>
              </w:rPr>
              <w:t>Water (Recreational Area) Regulations 2023</w:t>
            </w:r>
            <w:r w:rsidRPr="003272C7">
              <w:rPr>
                <w:rFonts w:cs="Arial"/>
              </w:rPr>
              <w:t xml:space="preserve"> and enable improved management and control of areas for the managing authorities. Explored options for a new recreation opportunity at Waranga Basin to act as an offset for lost recreation opportunities at Greens</w:t>
            </w:r>
            <w:r w:rsidR="00216E20" w:rsidRPr="003272C7">
              <w:rPr>
                <w:rFonts w:cs="Arial"/>
              </w:rPr>
              <w:t> </w:t>
            </w:r>
            <w:r w:rsidRPr="003272C7">
              <w:rPr>
                <w:rFonts w:cs="Arial"/>
              </w:rPr>
              <w:t>Lake.</w:t>
            </w:r>
          </w:p>
        </w:tc>
      </w:tr>
      <w:tr w:rsidR="00B242C3" w:rsidRPr="003272C7" w14:paraId="7A0AC680" w14:textId="77777777" w:rsidTr="005D16A1">
        <w:trPr>
          <w:trHeight w:val="259"/>
        </w:trPr>
        <w:tc>
          <w:tcPr>
            <w:tcW w:w="979" w:type="pct"/>
            <w:shd w:val="clear" w:color="auto" w:fill="231EDC" w:themeFill="accent1"/>
          </w:tcPr>
          <w:p w14:paraId="679AC744" w14:textId="77777777" w:rsidR="00B242C3" w:rsidRPr="003272C7" w:rsidRDefault="00B242C3" w:rsidP="004A1FE7">
            <w:pPr>
              <w:pStyle w:val="TableText"/>
              <w:rPr>
                <w:rFonts w:cs="Arial"/>
                <w:b/>
                <w:bCs/>
              </w:rPr>
            </w:pPr>
            <w:r w:rsidRPr="003272C7">
              <w:rPr>
                <w:rFonts w:cs="Arial"/>
                <w:b/>
                <w:bCs/>
              </w:rPr>
              <w:lastRenderedPageBreak/>
              <w:t>Effectiveness</w:t>
            </w:r>
          </w:p>
        </w:tc>
        <w:tc>
          <w:tcPr>
            <w:tcW w:w="4021" w:type="pct"/>
          </w:tcPr>
          <w:p w14:paraId="37DB7B02" w14:textId="77777777" w:rsidR="00B242C3" w:rsidRPr="003272C7" w:rsidRDefault="00B242C3" w:rsidP="004A1FE7">
            <w:pPr>
              <w:pStyle w:val="TableText"/>
              <w:rPr>
                <w:rFonts w:cs="Arial"/>
              </w:rPr>
            </w:pPr>
            <w:r w:rsidRPr="003272C7">
              <w:rPr>
                <w:rFonts w:cs="Arial"/>
              </w:rPr>
              <w:t>The COVID-19 pandemic had a significant impact on delivery timing but was able to be managed through a variation process to bring them back on track (with modified timing).</w:t>
            </w:r>
          </w:p>
        </w:tc>
      </w:tr>
      <w:tr w:rsidR="00B242C3" w:rsidRPr="003272C7" w14:paraId="48158BAD" w14:textId="77777777" w:rsidTr="005D16A1">
        <w:trPr>
          <w:trHeight w:val="259"/>
        </w:trPr>
        <w:tc>
          <w:tcPr>
            <w:tcW w:w="979" w:type="pct"/>
            <w:shd w:val="clear" w:color="auto" w:fill="231EDC" w:themeFill="accent1"/>
          </w:tcPr>
          <w:p w14:paraId="0A6E2759"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28EF9F88" w14:textId="77777777" w:rsidR="00142559" w:rsidRPr="003272C7" w:rsidRDefault="00B242C3" w:rsidP="004A1FE7">
            <w:pPr>
              <w:pStyle w:val="TableBullet"/>
              <w:rPr>
                <w:rFonts w:cs="Arial"/>
              </w:rPr>
            </w:pPr>
            <w:r w:rsidRPr="003272C7">
              <w:rPr>
                <w:rFonts w:cs="Arial"/>
              </w:rPr>
              <w:t xml:space="preserve">Recognising Recreational Values has been specifically targeted at delivering the three actions in </w:t>
            </w:r>
            <w:r w:rsidRPr="003272C7">
              <w:rPr>
                <w:rFonts w:cs="Arial"/>
                <w:i/>
                <w:iCs/>
              </w:rPr>
              <w:t>Water for Victoria</w:t>
            </w:r>
            <w:r w:rsidRPr="003272C7">
              <w:rPr>
                <w:rFonts w:cs="Arial"/>
              </w:rPr>
              <w:t xml:space="preserve"> Chapter 7, and this has been achieved.</w:t>
            </w:r>
          </w:p>
          <w:p w14:paraId="6AD7968B" w14:textId="1A361C7D" w:rsidR="00B242C3" w:rsidRPr="003272C7" w:rsidRDefault="00B242C3" w:rsidP="004A1FE7">
            <w:pPr>
              <w:pStyle w:val="TableBullet"/>
              <w:rPr>
                <w:rFonts w:cs="Arial"/>
              </w:rPr>
            </w:pPr>
            <w:r w:rsidRPr="003272C7">
              <w:rPr>
                <w:rFonts w:cs="Arial"/>
              </w:rPr>
              <w:t xml:space="preserve">The strategic context for the </w:t>
            </w:r>
            <w:r w:rsidR="003C2ACC" w:rsidRPr="003272C7">
              <w:rPr>
                <w:rFonts w:cs="Arial"/>
              </w:rPr>
              <w:t xml:space="preserve">program </w:t>
            </w:r>
            <w:r w:rsidRPr="003272C7">
              <w:rPr>
                <w:rFonts w:cs="Arial"/>
              </w:rPr>
              <w:t xml:space="preserve">has not shifted significantly since it was created following the 2016 release of </w:t>
            </w:r>
            <w:r w:rsidRPr="003272C7">
              <w:rPr>
                <w:rFonts w:cs="Arial"/>
                <w:i/>
                <w:iCs/>
              </w:rPr>
              <w:t>Water for Victoria</w:t>
            </w:r>
            <w:r w:rsidRPr="003272C7">
              <w:rPr>
                <w:rFonts w:cs="Arial"/>
              </w:rPr>
              <w:t xml:space="preserve">. A commitment to enhancing the recreational values of water is articulated in Chapter 7 </w:t>
            </w:r>
            <w:r w:rsidRPr="003272C7">
              <w:rPr>
                <w:rFonts w:cs="Arial"/>
                <w:i/>
                <w:iCs/>
              </w:rPr>
              <w:t>of Water for Victoria</w:t>
            </w:r>
            <w:r w:rsidRPr="003272C7">
              <w:rPr>
                <w:rFonts w:cs="Arial"/>
              </w:rPr>
              <w:t xml:space="preserve"> (and Actions 7.1, 7.2 and 7.3). If anything, following this commitment and work through EC4 to implement it, the strategic context of the Program and community expectations have sharpened, as well as noticeable growth in the capability and willingness of water corporations to support recreational values.</w:t>
            </w:r>
          </w:p>
          <w:p w14:paraId="24173FE7" w14:textId="77777777" w:rsidR="00142559" w:rsidRPr="003272C7" w:rsidRDefault="00B242C3" w:rsidP="004A1FE7">
            <w:pPr>
              <w:pStyle w:val="TableBullet"/>
              <w:rPr>
                <w:rFonts w:cs="Arial"/>
              </w:rPr>
            </w:pPr>
            <w:r w:rsidRPr="003272C7">
              <w:rPr>
                <w:rFonts w:cs="Arial"/>
              </w:rPr>
              <w:t>Significant ‘wins’ by the community to improve recreational offerings at waterways, such as the 2018 election commitment to open six central Victorian water storages to recreation have demonstrated to the community the benefits of doing so.</w:t>
            </w:r>
          </w:p>
          <w:p w14:paraId="72C9F053" w14:textId="6D71069A" w:rsidR="00B242C3" w:rsidRPr="003272C7" w:rsidRDefault="00B242C3" w:rsidP="004A1FE7">
            <w:pPr>
              <w:pStyle w:val="TableBullet"/>
              <w:rPr>
                <w:rFonts w:cs="Arial"/>
              </w:rPr>
            </w:pPr>
            <w:r w:rsidRPr="003272C7">
              <w:rPr>
                <w:rFonts w:cs="Arial"/>
              </w:rPr>
              <w:t>Restriction of recreational activity during the pandemic has only underscored the importance of recreation in the everyday lives of Victorians and the benefits that waterways offer for mental health and well-being.</w:t>
            </w:r>
          </w:p>
        </w:tc>
      </w:tr>
      <w:tr w:rsidR="00B242C3" w:rsidRPr="003272C7" w14:paraId="4C4AB42B" w14:textId="77777777" w:rsidTr="005D16A1">
        <w:trPr>
          <w:trHeight w:val="259"/>
        </w:trPr>
        <w:tc>
          <w:tcPr>
            <w:tcW w:w="979" w:type="pct"/>
            <w:shd w:val="clear" w:color="auto" w:fill="231EDC" w:themeFill="accent1"/>
          </w:tcPr>
          <w:p w14:paraId="7D9C387F"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0E0F503A" w14:textId="1AB5DFE1" w:rsidR="00850433" w:rsidRPr="003272C7" w:rsidRDefault="00850433" w:rsidP="004A1FE7">
            <w:pPr>
              <w:pStyle w:val="TableBullet"/>
              <w:rPr>
                <w:rFonts w:cs="Arial"/>
              </w:rPr>
            </w:pPr>
            <w:r w:rsidRPr="003272C7">
              <w:rPr>
                <w:rFonts w:cs="Arial"/>
              </w:rPr>
              <w:t xml:space="preserve">Annually, the </w:t>
            </w:r>
            <w:r w:rsidR="003C2ACC" w:rsidRPr="003272C7">
              <w:rPr>
                <w:rFonts w:cs="Arial"/>
              </w:rPr>
              <w:t xml:space="preserve">program </w:t>
            </w:r>
            <w:r w:rsidRPr="003272C7">
              <w:rPr>
                <w:rFonts w:cs="Arial"/>
              </w:rPr>
              <w:t xml:space="preserve">budget was fully expended to within 5% of budget, and was fully expended at the end of the EC5 period. This reflects the careful planning that went into establishing the </w:t>
            </w:r>
            <w:r w:rsidR="003C2ACC" w:rsidRPr="003272C7">
              <w:rPr>
                <w:rFonts w:cs="Arial"/>
              </w:rPr>
              <w:t xml:space="preserve">program </w:t>
            </w:r>
            <w:r w:rsidRPr="003272C7">
              <w:rPr>
                <w:rFonts w:cs="Arial"/>
              </w:rPr>
              <w:t xml:space="preserve">and funding arrangements. The grants </w:t>
            </w:r>
            <w:r w:rsidR="003C2ACC" w:rsidRPr="003272C7">
              <w:rPr>
                <w:rFonts w:cs="Arial"/>
              </w:rPr>
              <w:t xml:space="preserve">program </w:t>
            </w:r>
            <w:r w:rsidRPr="003272C7">
              <w:rPr>
                <w:rFonts w:cs="Arial"/>
              </w:rPr>
              <w:t xml:space="preserve">was initially allocated over a </w:t>
            </w:r>
            <w:r w:rsidR="0043359D" w:rsidRPr="003272C7">
              <w:rPr>
                <w:rFonts w:cs="Arial"/>
              </w:rPr>
              <w:t>2</w:t>
            </w:r>
            <w:r w:rsidRPr="003272C7">
              <w:rPr>
                <w:rFonts w:cs="Arial"/>
              </w:rPr>
              <w:t xml:space="preserve">-year time period, which was a useful timeframe to realistically plan and deliver the relatively small planning and infrastructure projects that have been funded to date. Further grants were allocated in the final quarter of 2024 to expend the EC5 budget through an </w:t>
            </w:r>
            <w:r w:rsidR="003C2ACC" w:rsidRPr="003272C7">
              <w:rPr>
                <w:rFonts w:cs="Arial"/>
              </w:rPr>
              <w:t>expression</w:t>
            </w:r>
            <w:r w:rsidR="00C704D2" w:rsidRPr="003272C7">
              <w:rPr>
                <w:rFonts w:cs="Arial"/>
              </w:rPr>
              <w:t xml:space="preserve"> </w:t>
            </w:r>
            <w:r w:rsidR="003C2ACC" w:rsidRPr="003272C7">
              <w:rPr>
                <w:rFonts w:cs="Arial"/>
              </w:rPr>
              <w:t>of</w:t>
            </w:r>
            <w:r w:rsidR="00C704D2" w:rsidRPr="003272C7">
              <w:rPr>
                <w:rFonts w:cs="Arial"/>
              </w:rPr>
              <w:t xml:space="preserve"> </w:t>
            </w:r>
            <w:r w:rsidR="003C2ACC" w:rsidRPr="003272C7">
              <w:rPr>
                <w:rFonts w:cs="Arial"/>
              </w:rPr>
              <w:t xml:space="preserve">interest </w:t>
            </w:r>
            <w:r w:rsidRPr="003272C7">
              <w:rPr>
                <w:rFonts w:cs="Arial"/>
              </w:rPr>
              <w:t>process.</w:t>
            </w:r>
          </w:p>
          <w:p w14:paraId="72E16774" w14:textId="77777777" w:rsidR="00B242C3" w:rsidRPr="003272C7" w:rsidRDefault="00B242C3" w:rsidP="004A1FE7">
            <w:pPr>
              <w:pStyle w:val="TableBullet"/>
              <w:rPr>
                <w:rFonts w:cs="Arial"/>
                <w:lang w:eastAsia="zh-CN"/>
              </w:rPr>
            </w:pPr>
            <w:r w:rsidRPr="003272C7">
              <w:rPr>
                <w:rFonts w:cs="Arial"/>
              </w:rPr>
              <w:t>Most funds were spent as grants made to our lead delivery partners, CMAs and water corporations to deliver the projects locally in their respective communities. Often this was also done in partnership with other agencies, Traditional Owners and community groups. The CMAs and water corporations were best placed to lead delivery of the projects as in most cases they had existing relationships with these partners locally. Interestingly, cases where projects were delayed may reflect where these local relationships were not as strong or are still developing.</w:t>
            </w:r>
            <w:r w:rsidRPr="003272C7">
              <w:rPr>
                <w:rFonts w:cs="Arial"/>
                <w:lang w:eastAsia="zh-CN"/>
              </w:rPr>
              <w:t xml:space="preserve"> </w:t>
            </w:r>
          </w:p>
        </w:tc>
      </w:tr>
      <w:tr w:rsidR="00B242C3" w:rsidRPr="003272C7" w14:paraId="57A1B647" w14:textId="77777777" w:rsidTr="005D16A1">
        <w:trPr>
          <w:trHeight w:val="259"/>
        </w:trPr>
        <w:tc>
          <w:tcPr>
            <w:tcW w:w="979" w:type="pct"/>
            <w:shd w:val="clear" w:color="auto" w:fill="231EDC" w:themeFill="accent1"/>
          </w:tcPr>
          <w:p w14:paraId="68EEA62B"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5731B032" w14:textId="547CE314" w:rsidR="009F282A" w:rsidRPr="003272C7" w:rsidRDefault="009F282A" w:rsidP="00452749">
            <w:pPr>
              <w:pStyle w:val="TableText"/>
              <w:rPr>
                <w:rFonts w:cs="Arial"/>
                <w:b/>
                <w:bCs/>
              </w:rPr>
            </w:pPr>
            <w:r w:rsidRPr="003272C7">
              <w:rPr>
                <w:rFonts w:cs="Arial"/>
                <w:b/>
                <w:bCs/>
              </w:rPr>
              <w:t xml:space="preserve">Development of Water (Recreational Area) Regulations 2023: </w:t>
            </w:r>
            <w:r w:rsidRPr="003272C7">
              <w:rPr>
                <w:rFonts w:cs="Arial"/>
              </w:rPr>
              <w:t xml:space="preserve">creates a lasting legacy for water corporations and </w:t>
            </w:r>
            <w:r w:rsidR="00C704D2" w:rsidRPr="003272C7">
              <w:rPr>
                <w:rFonts w:cs="Arial"/>
              </w:rPr>
              <w:t>CMAs</w:t>
            </w:r>
            <w:r w:rsidRPr="003272C7">
              <w:rPr>
                <w:rFonts w:cs="Arial"/>
              </w:rPr>
              <w:t xml:space="preserve"> to consider recreation in the management of these sites as part of their regular planning and operations, and to consider the needs of the community and Traditional Owners in the process.</w:t>
            </w:r>
          </w:p>
          <w:p w14:paraId="1721ACDB" w14:textId="77777777" w:rsidR="00142559" w:rsidRPr="003272C7" w:rsidRDefault="009F282A" w:rsidP="00452749">
            <w:pPr>
              <w:pStyle w:val="TableText"/>
              <w:rPr>
                <w:rFonts w:cs="Arial"/>
                <w:b/>
                <w:bCs/>
              </w:rPr>
            </w:pPr>
            <w:r w:rsidRPr="003272C7">
              <w:rPr>
                <w:rFonts w:cs="Arial"/>
                <w:b/>
                <w:bCs/>
              </w:rPr>
              <w:t xml:space="preserve">Water storage openings: </w:t>
            </w:r>
            <w:r w:rsidRPr="003272C7">
              <w:rPr>
                <w:rFonts w:cs="Arial"/>
              </w:rPr>
              <w:t xml:space="preserve">Following the successful opening of Coliban Water storages to recreation in 2020, and the announcement of the commitment to open Tarago Reservoir to on-water recreation, more lasting opportunities have arisen for the Victorian community to enjoy the benefits of water-based recreation at more </w:t>
            </w:r>
            <w:r w:rsidRPr="003272C7">
              <w:rPr>
                <w:rFonts w:cs="Arial"/>
              </w:rPr>
              <w:lastRenderedPageBreak/>
              <w:t xml:space="preserve">diverse locations. This is supported by the establishment of Policy 4-5 of the </w:t>
            </w:r>
            <w:r w:rsidR="00C704D2" w:rsidRPr="003272C7">
              <w:rPr>
                <w:rFonts w:cs="Arial"/>
              </w:rPr>
              <w:t>CGRSWS</w:t>
            </w:r>
            <w:r w:rsidRPr="003272C7">
              <w:rPr>
                <w:rFonts w:cs="Arial"/>
              </w:rPr>
              <w:t>, creating a clear pathway for considering opening water storages. DEECA also support</w:t>
            </w:r>
            <w:r w:rsidR="00C704D2" w:rsidRPr="003272C7">
              <w:rPr>
                <w:rFonts w:cs="Arial"/>
              </w:rPr>
              <w:t>ed</w:t>
            </w:r>
            <w:r w:rsidRPr="003272C7">
              <w:rPr>
                <w:rFonts w:cs="Arial"/>
              </w:rPr>
              <w:t xml:space="preserve"> Goulburn Valley Water in developing a new walking track at Trawool Reservoir, as well as assisted them in determining Dunyak Moira as a recreational area under the </w:t>
            </w:r>
            <w:r w:rsidRPr="003272C7">
              <w:rPr>
                <w:rFonts w:cs="Arial"/>
                <w:i/>
                <w:iCs/>
              </w:rPr>
              <w:t>Water Act 1989</w:t>
            </w:r>
            <w:r w:rsidRPr="003272C7">
              <w:rPr>
                <w:rFonts w:cs="Arial"/>
              </w:rPr>
              <w:t>, opening up new access for communities to ensure.</w:t>
            </w:r>
          </w:p>
          <w:p w14:paraId="6935FFC2" w14:textId="49D4AC0C" w:rsidR="00B242C3" w:rsidRPr="003272C7" w:rsidRDefault="00B242C3" w:rsidP="00452749">
            <w:pPr>
              <w:pStyle w:val="TableText"/>
              <w:rPr>
                <w:rFonts w:cs="Arial"/>
                <w:lang w:eastAsia="en-AU"/>
              </w:rPr>
            </w:pPr>
            <w:r w:rsidRPr="003272C7">
              <w:rPr>
                <w:rFonts w:cs="Arial"/>
                <w:b/>
                <w:bCs/>
              </w:rPr>
              <w:t xml:space="preserve">Improved partnerships and relationships: </w:t>
            </w:r>
            <w:r w:rsidRPr="003272C7">
              <w:rPr>
                <w:rFonts w:cs="Arial"/>
              </w:rPr>
              <w:t xml:space="preserve">The diverse ranges of projects, policy and regulatory development undertaken by the small Recreational Values team has forged lasting cross-agency relationships across water corporations, </w:t>
            </w:r>
            <w:r w:rsidR="00C704D2" w:rsidRPr="003272C7">
              <w:rPr>
                <w:rFonts w:cs="Arial"/>
              </w:rPr>
              <w:t>CMAs</w:t>
            </w:r>
            <w:r w:rsidRPr="003272C7">
              <w:rPr>
                <w:rFonts w:cs="Arial"/>
              </w:rPr>
              <w:t>, the Victorian Fisheries Authority, Better Boating Victoria, Traditional Owner groups and</w:t>
            </w:r>
            <w:r w:rsidR="00216E20" w:rsidRPr="003272C7">
              <w:rPr>
                <w:rFonts w:cs="Arial"/>
              </w:rPr>
              <w:t> </w:t>
            </w:r>
            <w:r w:rsidRPr="003272C7">
              <w:rPr>
                <w:rFonts w:cs="Arial"/>
              </w:rPr>
              <w:t xml:space="preserve">others. </w:t>
            </w:r>
          </w:p>
        </w:tc>
      </w:tr>
      <w:tr w:rsidR="00B242C3" w:rsidRPr="003272C7" w14:paraId="631239B2" w14:textId="77777777" w:rsidTr="005D16A1">
        <w:trPr>
          <w:trHeight w:val="259"/>
        </w:trPr>
        <w:tc>
          <w:tcPr>
            <w:tcW w:w="979" w:type="pct"/>
            <w:shd w:val="clear" w:color="auto" w:fill="231EDC" w:themeFill="accent1"/>
          </w:tcPr>
          <w:p w14:paraId="71DAA4D8" w14:textId="77777777" w:rsidR="00B242C3" w:rsidRPr="003272C7" w:rsidRDefault="00B242C3" w:rsidP="00C06DED">
            <w:pPr>
              <w:pStyle w:val="TableText"/>
              <w:rPr>
                <w:rFonts w:cs="Arial"/>
                <w:b/>
                <w:bCs/>
                <w:szCs w:val="18"/>
              </w:rPr>
            </w:pPr>
            <w:r w:rsidRPr="003272C7">
              <w:rPr>
                <w:rFonts w:cs="Arial"/>
                <w:b/>
                <w:bCs/>
                <w:szCs w:val="18"/>
              </w:rPr>
              <w:lastRenderedPageBreak/>
              <w:t>Future priorities</w:t>
            </w:r>
          </w:p>
        </w:tc>
        <w:tc>
          <w:tcPr>
            <w:tcW w:w="4021" w:type="pct"/>
          </w:tcPr>
          <w:p w14:paraId="707DCB68" w14:textId="17203881" w:rsidR="007E5055" w:rsidRPr="003272C7" w:rsidRDefault="007E5055" w:rsidP="00452749">
            <w:pPr>
              <w:pStyle w:val="TableText"/>
              <w:rPr>
                <w:rFonts w:cs="Arial"/>
              </w:rPr>
            </w:pPr>
            <w:r w:rsidRPr="003272C7">
              <w:rPr>
                <w:rFonts w:cs="Arial"/>
              </w:rPr>
              <w:t xml:space="preserve">Over 2024-2028, the </w:t>
            </w:r>
            <w:r w:rsidR="00C704D2" w:rsidRPr="003272C7">
              <w:rPr>
                <w:rFonts w:cs="Arial"/>
              </w:rPr>
              <w:t>p</w:t>
            </w:r>
            <w:r w:rsidRPr="003272C7">
              <w:rPr>
                <w:rFonts w:cs="Arial"/>
              </w:rPr>
              <w:t xml:space="preserve">rogram will be moving to further embed recreational values in planning and management as business as usual for the water sector, and to explore options for additional, sustainable and alternative sources of funding (including opportunities for co-funding from other delivery partners, such as from local councils). This shift will allow the program to build on its foundational work, and to implement the 2019 amendments to the </w:t>
            </w:r>
            <w:r w:rsidRPr="003272C7">
              <w:rPr>
                <w:rFonts w:cs="Arial"/>
                <w:i/>
                <w:iCs/>
              </w:rPr>
              <w:t>Water Act 1989</w:t>
            </w:r>
            <w:r w:rsidRPr="003272C7">
              <w:rPr>
                <w:rFonts w:cs="Arial"/>
              </w:rPr>
              <w:t xml:space="preserve"> to further consider recreational values and objectives of Victoria</w:t>
            </w:r>
            <w:r w:rsidR="00536989" w:rsidRPr="003272C7">
              <w:rPr>
                <w:rFonts w:cs="Arial"/>
              </w:rPr>
              <w:t>’s</w:t>
            </w:r>
            <w:r w:rsidRPr="003272C7">
              <w:rPr>
                <w:rFonts w:cs="Arial"/>
              </w:rPr>
              <w:t xml:space="preserve"> waterways. With a modest grant program for EC6, the next four years of the </w:t>
            </w:r>
            <w:r w:rsidR="00C704D2" w:rsidRPr="003272C7">
              <w:rPr>
                <w:rFonts w:cs="Arial"/>
              </w:rPr>
              <w:t xml:space="preserve">program </w:t>
            </w:r>
            <w:r w:rsidRPr="003272C7">
              <w:rPr>
                <w:rFonts w:cs="Arial"/>
              </w:rPr>
              <w:t>will focus on how to support the water sector in the prioritisation and decision-making for recreational values projects, ensuring that funding is allocated strategically to enable to greatest benefit to the community.</w:t>
            </w:r>
          </w:p>
          <w:p w14:paraId="6BF2F79D" w14:textId="3490E080" w:rsidR="00B242C3" w:rsidRPr="003272C7" w:rsidRDefault="00B242C3" w:rsidP="00792DAA">
            <w:pPr>
              <w:pStyle w:val="TableText"/>
              <w:rPr>
                <w:rFonts w:cs="Arial"/>
              </w:rPr>
            </w:pPr>
            <w:r w:rsidRPr="003272C7">
              <w:rPr>
                <w:rFonts w:cs="Arial"/>
              </w:rPr>
              <w:t>What will be important going forward is understanding and being able to build a real case for further investment, and demonstrating how this can be prioritised. The new Recreational Area Management Plans as a requirement through the regulations will help bring some consistency to planning for recreation at water storages. More broadly, embedding the consideration of recreation and shared benefits as a principle in regional waterway strategies will help with decision-making about investment at a local level.</w:t>
            </w:r>
          </w:p>
        </w:tc>
      </w:tr>
    </w:tbl>
    <w:p w14:paraId="1B3C501B" w14:textId="22ED0A44" w:rsidR="00B242C3" w:rsidRPr="003272C7" w:rsidRDefault="00B242C3" w:rsidP="00B242C3">
      <w:pPr>
        <w:pStyle w:val="Heading2"/>
        <w:rPr>
          <w:rFonts w:cs="Arial"/>
        </w:rPr>
      </w:pPr>
      <w:bookmarkStart w:id="13" w:name="_Toc147410773"/>
      <w:bookmarkStart w:id="14" w:name="_Toc183777781"/>
      <w:r w:rsidRPr="003272C7">
        <w:rPr>
          <w:rFonts w:cs="Arial"/>
        </w:rPr>
        <w:t xml:space="preserve">CWCT04: </w:t>
      </w:r>
      <w:r w:rsidR="00271AE7" w:rsidRPr="003272C7">
        <w:rPr>
          <w:rFonts w:cs="Arial"/>
        </w:rPr>
        <w:t>R</w:t>
      </w:r>
      <w:r w:rsidRPr="003272C7">
        <w:rPr>
          <w:rFonts w:cs="Arial"/>
        </w:rPr>
        <w:t xml:space="preserve">ecycled </w:t>
      </w:r>
      <w:r w:rsidR="00271AE7" w:rsidRPr="003272C7">
        <w:rPr>
          <w:rFonts w:cs="Arial"/>
        </w:rPr>
        <w:t>W</w:t>
      </w:r>
      <w:r w:rsidRPr="003272C7">
        <w:rPr>
          <w:rFonts w:cs="Arial"/>
        </w:rPr>
        <w:t xml:space="preserve">ater, </w:t>
      </w:r>
      <w:r w:rsidR="00271AE7" w:rsidRPr="003272C7">
        <w:rPr>
          <w:rFonts w:cs="Arial"/>
        </w:rPr>
        <w:t>S</w:t>
      </w:r>
      <w:r w:rsidRPr="003272C7">
        <w:rPr>
          <w:rFonts w:cs="Arial"/>
        </w:rPr>
        <w:t xml:space="preserve">tormwater and </w:t>
      </w:r>
      <w:r w:rsidR="00271AE7" w:rsidRPr="003272C7">
        <w:rPr>
          <w:rFonts w:cs="Arial"/>
        </w:rPr>
        <w:t>O</w:t>
      </w:r>
      <w:r w:rsidRPr="003272C7">
        <w:rPr>
          <w:rFonts w:cs="Arial"/>
        </w:rPr>
        <w:t xml:space="preserve">nsite </w:t>
      </w:r>
      <w:r w:rsidR="00271AE7" w:rsidRPr="003272C7">
        <w:rPr>
          <w:rFonts w:cs="Arial"/>
        </w:rPr>
        <w:t>W</w:t>
      </w:r>
      <w:r w:rsidRPr="003272C7">
        <w:rPr>
          <w:rFonts w:cs="Arial"/>
        </w:rPr>
        <w:t xml:space="preserve">astewater </w:t>
      </w:r>
      <w:r w:rsidR="00271AE7" w:rsidRPr="003272C7">
        <w:rPr>
          <w:rFonts w:cs="Arial"/>
        </w:rPr>
        <w:t>P</w:t>
      </w:r>
      <w:r w:rsidRPr="003272C7">
        <w:rPr>
          <w:rFonts w:cs="Arial"/>
        </w:rPr>
        <w:t>olicy</w:t>
      </w:r>
      <w:bookmarkEnd w:id="13"/>
      <w:bookmarkEnd w:id="14"/>
      <w:r w:rsidRPr="003272C7">
        <w:rPr>
          <w:rFonts w:cs="Arial"/>
        </w:rPr>
        <w:t xml:space="preserve"> </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F7295D" w:rsidRPr="003272C7" w14:paraId="49751FA9" w14:textId="77777777" w:rsidTr="005D16A1">
        <w:trPr>
          <w:trHeight w:val="395"/>
        </w:trPr>
        <w:tc>
          <w:tcPr>
            <w:tcW w:w="979" w:type="pct"/>
            <w:shd w:val="clear" w:color="auto" w:fill="231EDC" w:themeFill="accent1"/>
          </w:tcPr>
          <w:p w14:paraId="73D9E190" w14:textId="6C31580F" w:rsidR="00B242C3" w:rsidRPr="003272C7" w:rsidRDefault="00C412A9" w:rsidP="00D14291">
            <w:pPr>
              <w:pStyle w:val="TableHeading"/>
              <w:rPr>
                <w:rFonts w:cs="Arial"/>
              </w:rPr>
            </w:pPr>
            <w:r w:rsidRPr="003272C7">
              <w:rPr>
                <w:rFonts w:cs="Arial"/>
              </w:rPr>
              <w:t>Initiative</w:t>
            </w:r>
          </w:p>
        </w:tc>
        <w:tc>
          <w:tcPr>
            <w:tcW w:w="4021" w:type="pct"/>
            <w:shd w:val="clear" w:color="auto" w:fill="231EDC" w:themeFill="accent1"/>
          </w:tcPr>
          <w:p w14:paraId="08AF55A4" w14:textId="77777777" w:rsidR="00B242C3" w:rsidRPr="003272C7" w:rsidRDefault="00B242C3" w:rsidP="00D14291">
            <w:pPr>
              <w:pStyle w:val="TableHeading"/>
              <w:rPr>
                <w:rFonts w:cs="Arial"/>
              </w:rPr>
            </w:pPr>
            <w:r w:rsidRPr="003272C7">
              <w:rPr>
                <w:rFonts w:cs="Arial"/>
              </w:rPr>
              <w:t>Enhancing urban water security, iconic urban waterways and recreational water</w:t>
            </w:r>
          </w:p>
        </w:tc>
      </w:tr>
      <w:tr w:rsidR="00F7295D" w:rsidRPr="003272C7" w14:paraId="06E8DD2B" w14:textId="77777777" w:rsidTr="005D16A1">
        <w:trPr>
          <w:trHeight w:val="341"/>
        </w:trPr>
        <w:tc>
          <w:tcPr>
            <w:tcW w:w="979" w:type="pct"/>
            <w:shd w:val="clear" w:color="auto" w:fill="231EDC" w:themeFill="accent1"/>
          </w:tcPr>
          <w:p w14:paraId="2D4C813E" w14:textId="77777777" w:rsidR="00B242C3" w:rsidRPr="003272C7" w:rsidRDefault="00B242C3" w:rsidP="002C0FCF">
            <w:pPr>
              <w:pStyle w:val="TableText"/>
              <w:rPr>
                <w:rFonts w:cs="Arial"/>
                <w:b/>
                <w:bCs/>
              </w:rPr>
            </w:pPr>
            <w:r w:rsidRPr="003272C7">
              <w:rPr>
                <w:rFonts w:cs="Arial"/>
                <w:b/>
                <w:bCs/>
              </w:rPr>
              <w:t>Project</w:t>
            </w:r>
          </w:p>
        </w:tc>
        <w:tc>
          <w:tcPr>
            <w:tcW w:w="4021" w:type="pct"/>
          </w:tcPr>
          <w:p w14:paraId="6B07021C" w14:textId="77777777" w:rsidR="00B242C3" w:rsidRPr="003272C7" w:rsidRDefault="00B242C3" w:rsidP="002C0FCF">
            <w:pPr>
              <w:pStyle w:val="TableText"/>
              <w:rPr>
                <w:rFonts w:cs="Arial"/>
              </w:rPr>
            </w:pPr>
            <w:r w:rsidRPr="003272C7">
              <w:rPr>
                <w:rFonts w:cs="Arial"/>
              </w:rPr>
              <w:t>CWCT04: Recycled water, stormwater and onsite wastewater policy</w:t>
            </w:r>
          </w:p>
        </w:tc>
      </w:tr>
      <w:tr w:rsidR="00F7295D" w:rsidRPr="003272C7" w14:paraId="1505CE25" w14:textId="77777777" w:rsidTr="005D16A1">
        <w:trPr>
          <w:trHeight w:val="259"/>
        </w:trPr>
        <w:tc>
          <w:tcPr>
            <w:tcW w:w="979" w:type="pct"/>
            <w:shd w:val="clear" w:color="auto" w:fill="231EDC" w:themeFill="accent1"/>
          </w:tcPr>
          <w:p w14:paraId="03030C73" w14:textId="198D8E78" w:rsidR="00B242C3" w:rsidRPr="003272C7" w:rsidRDefault="00B242C3" w:rsidP="00C06DED">
            <w:pPr>
              <w:pStyle w:val="TableText"/>
              <w:rPr>
                <w:rFonts w:cs="Arial"/>
                <w:b/>
                <w:bCs/>
                <w:szCs w:val="18"/>
              </w:rPr>
            </w:pPr>
            <w:r w:rsidRPr="003272C7">
              <w:rPr>
                <w:rFonts w:cs="Arial"/>
                <w:b/>
                <w:bCs/>
                <w:szCs w:val="18"/>
              </w:rPr>
              <w:t>Description</w:t>
            </w:r>
          </w:p>
        </w:tc>
        <w:tc>
          <w:tcPr>
            <w:tcW w:w="4021" w:type="pct"/>
          </w:tcPr>
          <w:p w14:paraId="49DE4450" w14:textId="77777777" w:rsidR="00142559" w:rsidRPr="003272C7" w:rsidRDefault="00B242C3" w:rsidP="00F35AAB">
            <w:pPr>
              <w:pStyle w:val="TableText"/>
              <w:rPr>
                <w:rFonts w:cs="Arial"/>
              </w:rPr>
            </w:pPr>
            <w:r w:rsidRPr="003272C7">
              <w:rPr>
                <w:rFonts w:cs="Arial"/>
              </w:rPr>
              <w:t>Urbanisation is altering our natural systems through high levels of water consumption and increases in stormwater and wastewater volumes. The investment aimed at contributing to enhancing urban water security and reducing the impacts of urban water discharges by increasing the uptake of recycled water, rainwater and stormwater and an integrated and adaptive approach to managing urban water and wastewater systems. Investment included:</w:t>
            </w:r>
          </w:p>
          <w:p w14:paraId="63CB3941" w14:textId="5580D0FC" w:rsidR="009111B6" w:rsidRPr="003272C7" w:rsidRDefault="009111B6" w:rsidP="00F35AAB">
            <w:pPr>
              <w:pStyle w:val="TableBullet"/>
              <w:rPr>
                <w:rFonts w:cs="Arial"/>
                <w:lang w:eastAsia="zh-CN"/>
              </w:rPr>
            </w:pPr>
            <w:r w:rsidRPr="003272C7">
              <w:rPr>
                <w:rFonts w:cs="Arial"/>
                <w:lang w:eastAsia="zh-CN"/>
              </w:rPr>
              <w:t>$2.350 million for the onsite domestic wastewater Program to deliver on recommendations made from the Victorian Auditor General Office audit report relating to onsite domestic wastewater management including updated guidance</w:t>
            </w:r>
            <w:r w:rsidR="00C704D2" w:rsidRPr="003272C7">
              <w:rPr>
                <w:rFonts w:cs="Arial"/>
                <w:lang w:eastAsia="zh-CN"/>
              </w:rPr>
              <w:t>.</w:t>
            </w:r>
          </w:p>
          <w:p w14:paraId="066063AF" w14:textId="5CAA4A43" w:rsidR="009111B6" w:rsidRPr="003272C7" w:rsidRDefault="009111B6" w:rsidP="00F35AAB">
            <w:pPr>
              <w:pStyle w:val="TableBullet"/>
              <w:rPr>
                <w:rFonts w:cs="Arial"/>
                <w:lang w:eastAsia="zh-CN"/>
              </w:rPr>
            </w:pPr>
            <w:r w:rsidRPr="003272C7">
              <w:rPr>
                <w:rFonts w:cs="Arial"/>
                <w:lang w:eastAsia="zh-CN"/>
              </w:rPr>
              <w:t>On-site Domestic Wastewater Management (ODWM) grants provided $1.36 million to councils to improve management onsite wastewater systems</w:t>
            </w:r>
            <w:r w:rsidR="00C704D2" w:rsidRPr="003272C7">
              <w:rPr>
                <w:rFonts w:cs="Arial"/>
                <w:lang w:eastAsia="zh-CN"/>
              </w:rPr>
              <w:t>.</w:t>
            </w:r>
          </w:p>
          <w:p w14:paraId="507E36B6" w14:textId="5759C120" w:rsidR="00B242C3" w:rsidRPr="003272C7" w:rsidRDefault="009111B6" w:rsidP="00F35AAB">
            <w:pPr>
              <w:pStyle w:val="TableBullet"/>
              <w:rPr>
                <w:rFonts w:cs="Arial"/>
                <w:lang w:eastAsia="zh-CN"/>
              </w:rPr>
            </w:pPr>
            <w:r w:rsidRPr="003272C7">
              <w:rPr>
                <w:rFonts w:cs="Arial"/>
                <w:lang w:eastAsia="zh-CN"/>
              </w:rPr>
              <w:t>$8.284 million towards stormwater, recycled water, and rainwater policy reform.</w:t>
            </w:r>
          </w:p>
        </w:tc>
      </w:tr>
      <w:tr w:rsidR="00F7295D" w:rsidRPr="003272C7" w14:paraId="2E769AA9" w14:textId="77777777" w:rsidTr="005D16A1">
        <w:trPr>
          <w:trHeight w:val="259"/>
        </w:trPr>
        <w:tc>
          <w:tcPr>
            <w:tcW w:w="979" w:type="pct"/>
            <w:shd w:val="clear" w:color="auto" w:fill="231EDC" w:themeFill="accent1"/>
          </w:tcPr>
          <w:p w14:paraId="1AC215BE"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22C8EB9F" w14:textId="0A277A7D" w:rsidR="00B242C3" w:rsidRPr="003272C7" w:rsidRDefault="00B242C3" w:rsidP="00F35AAB">
            <w:pPr>
              <w:pStyle w:val="TableBullet"/>
              <w:rPr>
                <w:rFonts w:cs="Arial"/>
                <w:lang w:eastAsia="zh-CN"/>
              </w:rPr>
            </w:pPr>
            <w:r w:rsidRPr="003272C7">
              <w:rPr>
                <w:rFonts w:cs="Arial"/>
                <w:lang w:eastAsia="zh-CN"/>
              </w:rPr>
              <w:t>Identification of policy and actions in the CGRSWS that support the increased use of recycled water, rainwater, and stormwater</w:t>
            </w:r>
            <w:r w:rsidR="00C704D2" w:rsidRPr="003272C7">
              <w:rPr>
                <w:rFonts w:cs="Arial"/>
                <w:lang w:eastAsia="zh-CN"/>
              </w:rPr>
              <w:t>.</w:t>
            </w:r>
          </w:p>
          <w:p w14:paraId="370572E7" w14:textId="77777777" w:rsidR="00B53ECB" w:rsidRPr="003272C7" w:rsidRDefault="00B53ECB" w:rsidP="00F35AAB">
            <w:pPr>
              <w:pStyle w:val="TableTextBold"/>
              <w:rPr>
                <w:rFonts w:cs="Arial"/>
              </w:rPr>
            </w:pPr>
            <w:r w:rsidRPr="003272C7">
              <w:rPr>
                <w:rFonts w:cs="Arial"/>
              </w:rPr>
              <w:t>Recycled water</w:t>
            </w:r>
          </w:p>
          <w:p w14:paraId="6715CC7A" w14:textId="6BC26788" w:rsidR="00B53ECB" w:rsidRPr="003272C7" w:rsidRDefault="00B53ECB" w:rsidP="00F35AAB">
            <w:pPr>
              <w:pStyle w:val="TableBullet"/>
              <w:rPr>
                <w:rFonts w:cs="Arial"/>
                <w:lang w:eastAsia="zh-CN"/>
              </w:rPr>
            </w:pPr>
            <w:r w:rsidRPr="003272C7">
              <w:rPr>
                <w:rFonts w:cs="Arial"/>
                <w:lang w:eastAsia="zh-CN"/>
              </w:rPr>
              <w:t>Updated regulatory guidelines which support the increased use of recycled water (</w:t>
            </w:r>
            <w:r w:rsidR="00FC5A3C" w:rsidRPr="003272C7">
              <w:rPr>
                <w:rFonts w:cs="Arial"/>
                <w:lang w:eastAsia="zh-CN"/>
              </w:rPr>
              <w:t>Environment Protection Authority Victoria (</w:t>
            </w:r>
            <w:r w:rsidRPr="003272C7">
              <w:rPr>
                <w:rFonts w:cs="Arial"/>
                <w:lang w:eastAsia="zh-CN"/>
              </w:rPr>
              <w:t>EPA</w:t>
            </w:r>
            <w:r w:rsidR="00FC5A3C" w:rsidRPr="003272C7">
              <w:rPr>
                <w:rFonts w:cs="Arial"/>
                <w:lang w:eastAsia="zh-CN"/>
              </w:rPr>
              <w:t>)</w:t>
            </w:r>
            <w:r w:rsidRPr="003272C7">
              <w:rPr>
                <w:rFonts w:cs="Arial"/>
                <w:lang w:eastAsia="zh-CN"/>
              </w:rPr>
              <w:t xml:space="preserve"> publications 168, 1910 and</w:t>
            </w:r>
            <w:r w:rsidR="00216E20" w:rsidRPr="003272C7">
              <w:rPr>
                <w:rFonts w:cs="Arial"/>
                <w:lang w:eastAsia="zh-CN"/>
              </w:rPr>
              <w:t> </w:t>
            </w:r>
            <w:r w:rsidRPr="003272C7">
              <w:rPr>
                <w:rFonts w:cs="Arial"/>
                <w:lang w:eastAsia="zh-CN"/>
              </w:rPr>
              <w:t>1911)</w:t>
            </w:r>
            <w:r w:rsidR="00C704D2" w:rsidRPr="003272C7">
              <w:rPr>
                <w:rFonts w:cs="Arial"/>
                <w:lang w:eastAsia="zh-CN"/>
              </w:rPr>
              <w:t>.</w:t>
            </w:r>
          </w:p>
          <w:p w14:paraId="4A5245E0" w14:textId="1D431FCD" w:rsidR="00B53ECB" w:rsidRPr="003272C7" w:rsidRDefault="00B53ECB" w:rsidP="00F35AAB">
            <w:pPr>
              <w:pStyle w:val="TableBullet"/>
              <w:rPr>
                <w:rFonts w:cs="Arial"/>
                <w:lang w:eastAsia="zh-CN"/>
              </w:rPr>
            </w:pPr>
            <w:r w:rsidRPr="003272C7">
              <w:rPr>
                <w:rFonts w:cs="Arial"/>
                <w:lang w:eastAsia="zh-CN"/>
              </w:rPr>
              <w:t>Completed template guidance for recycled water use to help industry apply and adjust to the new Victorian recycled water guidelines.</w:t>
            </w:r>
          </w:p>
          <w:p w14:paraId="651E8061" w14:textId="77777777" w:rsidR="00142559" w:rsidRPr="003272C7" w:rsidRDefault="00B53ECB" w:rsidP="00F35AAB">
            <w:pPr>
              <w:pStyle w:val="TableBullet"/>
              <w:rPr>
                <w:rFonts w:cs="Arial"/>
                <w:lang w:eastAsia="zh-CN"/>
              </w:rPr>
            </w:pPr>
            <w:r w:rsidRPr="003272C7">
              <w:rPr>
                <w:rFonts w:cs="Arial"/>
                <w:lang w:eastAsia="zh-CN"/>
              </w:rPr>
              <w:lastRenderedPageBreak/>
              <w:t>Acquitted all three recommendations from the Victorian Auditor General’s Office audit on supplying and using recycled water.</w:t>
            </w:r>
          </w:p>
          <w:p w14:paraId="74373ACD" w14:textId="58CA54A7" w:rsidR="00B53ECB" w:rsidRPr="003272C7" w:rsidRDefault="00B53ECB" w:rsidP="00F35AAB">
            <w:pPr>
              <w:pStyle w:val="TableBullet"/>
              <w:rPr>
                <w:rFonts w:cs="Arial"/>
                <w:lang w:eastAsia="zh-CN"/>
              </w:rPr>
            </w:pPr>
            <w:r w:rsidRPr="003272C7">
              <w:rPr>
                <w:rFonts w:cs="Arial"/>
                <w:lang w:eastAsia="zh-CN"/>
              </w:rPr>
              <w:t>Completed improvements to recycled water data reporting categories used by the Essential Services Commission and the Victorian Water Accounts</w:t>
            </w:r>
            <w:r w:rsidR="00C704D2" w:rsidRPr="003272C7">
              <w:rPr>
                <w:rFonts w:cs="Arial"/>
                <w:lang w:eastAsia="zh-CN"/>
              </w:rPr>
              <w:t>.</w:t>
            </w:r>
          </w:p>
          <w:p w14:paraId="05D7BF4A" w14:textId="6E1315DB" w:rsidR="00B53ECB" w:rsidRPr="003272C7" w:rsidRDefault="00B53ECB" w:rsidP="00F35AAB">
            <w:pPr>
              <w:pStyle w:val="TableBullet"/>
              <w:rPr>
                <w:rFonts w:cs="Arial"/>
                <w:lang w:eastAsia="zh-CN"/>
              </w:rPr>
            </w:pPr>
            <w:r w:rsidRPr="003272C7">
              <w:rPr>
                <w:rFonts w:cs="Arial"/>
                <w:lang w:eastAsia="zh-CN"/>
              </w:rPr>
              <w:t>Funded testing and analysis of emerging contaminants in recycled water at wastewater treatment plants across Victoria (EPA Publication 2054)</w:t>
            </w:r>
            <w:r w:rsidR="00C704D2" w:rsidRPr="003272C7">
              <w:rPr>
                <w:rFonts w:cs="Arial"/>
                <w:lang w:eastAsia="zh-CN"/>
              </w:rPr>
              <w:t>.</w:t>
            </w:r>
          </w:p>
          <w:p w14:paraId="40D23441" w14:textId="4BB319EB" w:rsidR="00B53ECB" w:rsidRPr="003272C7" w:rsidRDefault="00B53ECB" w:rsidP="00F35AAB">
            <w:pPr>
              <w:pStyle w:val="TableBullet"/>
              <w:rPr>
                <w:rFonts w:cs="Arial"/>
                <w:lang w:eastAsia="zh-CN"/>
              </w:rPr>
            </w:pPr>
            <w:r w:rsidRPr="003272C7">
              <w:rPr>
                <w:rFonts w:cs="Arial"/>
                <w:lang w:eastAsia="zh-CN"/>
              </w:rPr>
              <w:t>Provision of funding to EPA for priority projects to further enhance understanding of emerging contaminants in recycled water, including development of EPA guidance and analysis of crops irrigated with recycled water</w:t>
            </w:r>
            <w:r w:rsidR="00C704D2" w:rsidRPr="003272C7">
              <w:rPr>
                <w:rFonts w:cs="Arial"/>
                <w:lang w:eastAsia="zh-CN"/>
              </w:rPr>
              <w:t>.</w:t>
            </w:r>
          </w:p>
          <w:p w14:paraId="5B2B6832" w14:textId="05A676F9" w:rsidR="00B53ECB" w:rsidRPr="003272C7" w:rsidRDefault="00B53ECB" w:rsidP="00F35AAB">
            <w:pPr>
              <w:pStyle w:val="TableBullet"/>
              <w:rPr>
                <w:rFonts w:cs="Arial"/>
                <w:lang w:eastAsia="zh-CN"/>
              </w:rPr>
            </w:pPr>
            <w:r w:rsidRPr="003272C7">
              <w:rPr>
                <w:rFonts w:cs="Arial"/>
                <w:lang w:eastAsia="zh-CN"/>
              </w:rPr>
              <w:t>Gap analysis of recycled water education and engagement and progression of associated recommendations</w:t>
            </w:r>
            <w:r w:rsidR="00C704D2" w:rsidRPr="003272C7">
              <w:rPr>
                <w:rFonts w:cs="Arial"/>
                <w:lang w:eastAsia="zh-CN"/>
              </w:rPr>
              <w:t>.</w:t>
            </w:r>
          </w:p>
          <w:p w14:paraId="2B49240D" w14:textId="6099B0A7" w:rsidR="00B53ECB" w:rsidRPr="003272C7" w:rsidRDefault="00B53ECB" w:rsidP="00F35AAB">
            <w:pPr>
              <w:pStyle w:val="TableBullet"/>
              <w:rPr>
                <w:rFonts w:cs="Arial"/>
                <w:lang w:eastAsia="zh-CN"/>
              </w:rPr>
            </w:pPr>
            <w:r w:rsidRPr="003272C7">
              <w:rPr>
                <w:rFonts w:cs="Arial"/>
                <w:lang w:eastAsia="zh-CN"/>
              </w:rPr>
              <w:t>Risk framework for use of alternative water for environmental benefit (EPA publication 3005)</w:t>
            </w:r>
            <w:r w:rsidR="00C704D2" w:rsidRPr="003272C7">
              <w:rPr>
                <w:rFonts w:cs="Arial"/>
                <w:lang w:eastAsia="zh-CN"/>
              </w:rPr>
              <w:t>.</w:t>
            </w:r>
          </w:p>
          <w:p w14:paraId="2FF8D10E" w14:textId="77777777" w:rsidR="00B53ECB" w:rsidRPr="003272C7" w:rsidRDefault="00B53ECB" w:rsidP="00F35AAB">
            <w:pPr>
              <w:pStyle w:val="TableTextBold"/>
              <w:rPr>
                <w:rFonts w:cs="Arial"/>
              </w:rPr>
            </w:pPr>
            <w:r w:rsidRPr="003272C7">
              <w:rPr>
                <w:rFonts w:cs="Arial"/>
              </w:rPr>
              <w:t>Stormwater and rainwater</w:t>
            </w:r>
          </w:p>
          <w:p w14:paraId="7778C0C0" w14:textId="15509211" w:rsidR="00B53ECB" w:rsidRPr="003272C7" w:rsidRDefault="00B53ECB" w:rsidP="00F35AAB">
            <w:pPr>
              <w:pStyle w:val="TableBullet"/>
              <w:rPr>
                <w:rFonts w:cs="Arial"/>
                <w:lang w:eastAsia="zh-CN"/>
              </w:rPr>
            </w:pPr>
            <w:r w:rsidRPr="003272C7">
              <w:rPr>
                <w:rFonts w:cs="Arial"/>
                <w:lang w:eastAsia="zh-CN"/>
              </w:rPr>
              <w:t>Undertook a cost benefit analysis and regulatory impact statement on expanding domestic rainwater tank installation</w:t>
            </w:r>
            <w:r w:rsidR="00FC5A3C" w:rsidRPr="003272C7">
              <w:rPr>
                <w:rFonts w:cs="Arial"/>
                <w:lang w:eastAsia="zh-CN"/>
              </w:rPr>
              <w:t>.</w:t>
            </w:r>
          </w:p>
          <w:p w14:paraId="6E878E91" w14:textId="4E437BE1" w:rsidR="00B53ECB" w:rsidRPr="003272C7" w:rsidRDefault="00B53ECB" w:rsidP="00F35AAB">
            <w:pPr>
              <w:pStyle w:val="TableBullet"/>
              <w:rPr>
                <w:rFonts w:cs="Arial"/>
                <w:lang w:eastAsia="zh-CN"/>
              </w:rPr>
            </w:pPr>
            <w:r w:rsidRPr="003272C7">
              <w:rPr>
                <w:rFonts w:cs="Arial"/>
                <w:lang w:eastAsia="zh-CN"/>
              </w:rPr>
              <w:t>Undertook a cost benefit analysis to investigate the feasibility of mandating EPA’s stormwater flow reduction targets</w:t>
            </w:r>
            <w:r w:rsidR="00FC5A3C" w:rsidRPr="003272C7">
              <w:rPr>
                <w:rFonts w:cs="Arial"/>
                <w:lang w:eastAsia="zh-CN"/>
              </w:rPr>
              <w:t>.</w:t>
            </w:r>
          </w:p>
          <w:p w14:paraId="61754497" w14:textId="2E4CD54F" w:rsidR="00B53ECB" w:rsidRPr="003272C7" w:rsidRDefault="00B53ECB" w:rsidP="00F35AAB">
            <w:pPr>
              <w:pStyle w:val="TableBullet"/>
              <w:rPr>
                <w:rFonts w:cs="Arial"/>
                <w:lang w:eastAsia="zh-CN"/>
              </w:rPr>
            </w:pPr>
            <w:r w:rsidRPr="003272C7">
              <w:rPr>
                <w:rFonts w:cs="Arial"/>
                <w:lang w:eastAsia="zh-CN"/>
              </w:rPr>
              <w:t xml:space="preserve">Developed draft guidance for councils on implementing stormwater offsets schemes including a policy paper, practice note and draft </w:t>
            </w:r>
            <w:r w:rsidR="00755F19" w:rsidRPr="003272C7">
              <w:rPr>
                <w:rFonts w:cs="Arial"/>
                <w:lang w:eastAsia="zh-CN"/>
              </w:rPr>
              <w:t xml:space="preserve">Victoria Planning Provisions </w:t>
            </w:r>
            <w:r w:rsidRPr="003272C7">
              <w:rPr>
                <w:rFonts w:cs="Arial"/>
                <w:lang w:eastAsia="zh-CN"/>
              </w:rPr>
              <w:t>amendment</w:t>
            </w:r>
            <w:r w:rsidR="00FC5A3C" w:rsidRPr="003272C7">
              <w:rPr>
                <w:rFonts w:cs="Arial"/>
                <w:lang w:eastAsia="zh-CN"/>
              </w:rPr>
              <w:t>.</w:t>
            </w:r>
          </w:p>
          <w:p w14:paraId="6AD52EB1" w14:textId="335856AC" w:rsidR="00B53ECB" w:rsidRPr="003272C7" w:rsidRDefault="00B53ECB" w:rsidP="00F35AAB">
            <w:pPr>
              <w:pStyle w:val="TableBullet"/>
              <w:rPr>
                <w:rFonts w:cs="Arial"/>
                <w:lang w:eastAsia="zh-CN"/>
              </w:rPr>
            </w:pPr>
            <w:r w:rsidRPr="003272C7">
              <w:rPr>
                <w:rFonts w:cs="Arial"/>
                <w:lang w:eastAsia="zh-CN"/>
              </w:rPr>
              <w:t>Developed guidance to planning system users in the form of an online Resource Portal and Navigator Tool</w:t>
            </w:r>
            <w:r w:rsidR="00FC5A3C" w:rsidRPr="003272C7">
              <w:rPr>
                <w:rFonts w:cs="Arial"/>
                <w:lang w:eastAsia="zh-CN"/>
              </w:rPr>
              <w:t>.</w:t>
            </w:r>
          </w:p>
          <w:p w14:paraId="0F6D3457" w14:textId="3C0C34CE" w:rsidR="00B53ECB" w:rsidRPr="003272C7" w:rsidRDefault="00B53ECB" w:rsidP="00F35AAB">
            <w:pPr>
              <w:pStyle w:val="TableBullet"/>
              <w:rPr>
                <w:rFonts w:cs="Arial"/>
                <w:lang w:eastAsia="zh-CN"/>
              </w:rPr>
            </w:pPr>
            <w:r w:rsidRPr="003272C7">
              <w:rPr>
                <w:rFonts w:cs="Arial"/>
                <w:lang w:eastAsia="zh-CN"/>
              </w:rPr>
              <w:t xml:space="preserve">Developed a new tool to help planning system users (developers, engineers, councils) demonstrate compliance with their stormwater obligations under the </w:t>
            </w:r>
            <w:r w:rsidR="00FC5A3C" w:rsidRPr="003272C7">
              <w:rPr>
                <w:rFonts w:cs="Arial"/>
                <w:lang w:eastAsia="zh-CN"/>
              </w:rPr>
              <w:t xml:space="preserve">Victoria Planning Provisions </w:t>
            </w:r>
            <w:r w:rsidRPr="003272C7">
              <w:rPr>
                <w:rFonts w:cs="Arial"/>
                <w:lang w:eastAsia="zh-CN"/>
              </w:rPr>
              <w:t xml:space="preserve">(due for launch early </w:t>
            </w:r>
            <w:r w:rsidR="00FC5A3C" w:rsidRPr="003272C7">
              <w:rPr>
                <w:rFonts w:cs="Arial"/>
                <w:lang w:eastAsia="zh-CN"/>
              </w:rPr>
              <w:t>2024</w:t>
            </w:r>
            <w:r w:rsidR="000A726B" w:rsidRPr="003272C7">
              <w:rPr>
                <w:rFonts w:cs="Arial"/>
                <w:lang w:eastAsia="zh-CN"/>
              </w:rPr>
              <w:t>-</w:t>
            </w:r>
            <w:r w:rsidRPr="003272C7">
              <w:rPr>
                <w:rFonts w:cs="Arial"/>
                <w:lang w:eastAsia="zh-CN"/>
              </w:rPr>
              <w:t>25)</w:t>
            </w:r>
            <w:r w:rsidR="00FC5A3C" w:rsidRPr="003272C7">
              <w:rPr>
                <w:rFonts w:cs="Arial"/>
                <w:lang w:eastAsia="zh-CN"/>
              </w:rPr>
              <w:t>.</w:t>
            </w:r>
          </w:p>
          <w:p w14:paraId="0B8DA01A" w14:textId="77777777" w:rsidR="00142559" w:rsidRPr="003272C7" w:rsidRDefault="00B53ECB" w:rsidP="00F35AAB">
            <w:pPr>
              <w:pStyle w:val="TableBullet"/>
              <w:rPr>
                <w:rFonts w:cs="Arial"/>
                <w:lang w:eastAsia="zh-CN"/>
              </w:rPr>
            </w:pPr>
            <w:r w:rsidRPr="003272C7">
              <w:rPr>
                <w:rFonts w:cs="Arial"/>
                <w:lang w:eastAsia="zh-CN"/>
              </w:rPr>
              <w:t xml:space="preserve">Delivered training and capacity building sessions on stormwater planning requirements in partnership with industry to a statewide audience of local government, </w:t>
            </w:r>
            <w:r w:rsidR="00FC5A3C" w:rsidRPr="003272C7">
              <w:rPr>
                <w:rFonts w:cs="Arial"/>
                <w:lang w:eastAsia="zh-CN"/>
              </w:rPr>
              <w:t xml:space="preserve">CMAs </w:t>
            </w:r>
            <w:r w:rsidRPr="003272C7">
              <w:rPr>
                <w:rFonts w:cs="Arial"/>
                <w:lang w:eastAsia="zh-CN"/>
              </w:rPr>
              <w:t>, water corporations and the land development industry.</w:t>
            </w:r>
          </w:p>
          <w:p w14:paraId="4D8DF4D1" w14:textId="48554D91" w:rsidR="00B53ECB" w:rsidRPr="003272C7" w:rsidRDefault="00B53ECB" w:rsidP="001732CB">
            <w:pPr>
              <w:pStyle w:val="TableBullet"/>
              <w:rPr>
                <w:rFonts w:cs="Arial"/>
                <w:lang w:eastAsia="zh-CN"/>
              </w:rPr>
            </w:pPr>
            <w:r w:rsidRPr="003272C7">
              <w:rPr>
                <w:rFonts w:cs="Arial"/>
                <w:lang w:eastAsia="zh-CN"/>
              </w:rPr>
              <w:t xml:space="preserve">Produced an animated education video for communities, local government and land development industry on the benefits of </w:t>
            </w:r>
            <w:r w:rsidR="00FC5A3C" w:rsidRPr="003272C7">
              <w:rPr>
                <w:rFonts w:cs="Arial"/>
                <w:lang w:eastAsia="zh-CN"/>
              </w:rPr>
              <w:t>IWM</w:t>
            </w:r>
            <w:r w:rsidRPr="003272C7">
              <w:rPr>
                <w:rFonts w:cs="Arial"/>
                <w:lang w:eastAsia="zh-CN"/>
              </w:rPr>
              <w:t>.</w:t>
            </w:r>
          </w:p>
          <w:p w14:paraId="59F5DFF3" w14:textId="122285BF" w:rsidR="00B53ECB" w:rsidRPr="003272C7" w:rsidRDefault="00B53ECB" w:rsidP="001732CB">
            <w:pPr>
              <w:pStyle w:val="TableBullet"/>
              <w:rPr>
                <w:rFonts w:cs="Arial"/>
                <w:lang w:eastAsia="zh-CN"/>
              </w:rPr>
            </w:pPr>
            <w:r w:rsidRPr="003272C7">
              <w:rPr>
                <w:rFonts w:cs="Arial"/>
                <w:lang w:eastAsia="zh-CN"/>
              </w:rPr>
              <w:t>Advice to government on roles and responsibilities for stormwater assets and services (</w:t>
            </w:r>
            <w:r w:rsidR="006A0BCE" w:rsidRPr="003272C7">
              <w:rPr>
                <w:rFonts w:cs="Arial"/>
                <w:lang w:eastAsia="zh-CN"/>
              </w:rPr>
              <w:t>Melbourne Urban Stormwater Institutional Arrangements (</w:t>
            </w:r>
            <w:r w:rsidRPr="003272C7">
              <w:rPr>
                <w:rFonts w:cs="Arial"/>
                <w:lang w:eastAsia="zh-CN"/>
              </w:rPr>
              <w:t>MUSIA</w:t>
            </w:r>
            <w:r w:rsidR="006A0BCE" w:rsidRPr="003272C7">
              <w:rPr>
                <w:rFonts w:cs="Arial"/>
                <w:lang w:eastAsia="zh-CN"/>
              </w:rPr>
              <w:t>)</w:t>
            </w:r>
            <w:r w:rsidRPr="003272C7">
              <w:rPr>
                <w:rFonts w:cs="Arial"/>
                <w:lang w:eastAsia="zh-CN"/>
              </w:rPr>
              <w:t>)</w:t>
            </w:r>
            <w:r w:rsidR="00FC5A3C" w:rsidRPr="003272C7">
              <w:rPr>
                <w:rFonts w:cs="Arial"/>
                <w:lang w:eastAsia="zh-CN"/>
              </w:rPr>
              <w:t>.</w:t>
            </w:r>
          </w:p>
          <w:p w14:paraId="489D47F1" w14:textId="15B4A00E" w:rsidR="00B53ECB" w:rsidRPr="003272C7" w:rsidRDefault="00B53ECB" w:rsidP="001732CB">
            <w:pPr>
              <w:pStyle w:val="TableBullet"/>
              <w:rPr>
                <w:rFonts w:cs="Arial"/>
                <w:lang w:eastAsia="zh-CN"/>
              </w:rPr>
            </w:pPr>
            <w:r w:rsidRPr="003272C7">
              <w:rPr>
                <w:rFonts w:cs="Arial"/>
                <w:lang w:eastAsia="zh-CN"/>
              </w:rPr>
              <w:t>Contract management of an $8m grant to Wyndham City Council for delivery of Greening the Pipeline zone 5 through the Suburban Parks Program (note the grant was via a separate funding source)</w:t>
            </w:r>
            <w:r w:rsidR="00FC5A3C" w:rsidRPr="003272C7">
              <w:rPr>
                <w:rFonts w:cs="Arial"/>
                <w:lang w:eastAsia="zh-CN"/>
              </w:rPr>
              <w:t>.</w:t>
            </w:r>
          </w:p>
          <w:p w14:paraId="5AC0D4CB" w14:textId="77777777" w:rsidR="00F50672" w:rsidRPr="003272C7" w:rsidRDefault="00F50672" w:rsidP="00F35AAB">
            <w:pPr>
              <w:pStyle w:val="TableTextBold"/>
              <w:rPr>
                <w:rFonts w:cs="Arial"/>
              </w:rPr>
            </w:pPr>
            <w:r w:rsidRPr="003272C7">
              <w:rPr>
                <w:rFonts w:cs="Arial"/>
              </w:rPr>
              <w:t>Onsite Domestic Wastewater</w:t>
            </w:r>
          </w:p>
          <w:p w14:paraId="412596FA" w14:textId="77777777" w:rsidR="00142559" w:rsidRPr="003272C7" w:rsidRDefault="00717CDF" w:rsidP="001732CB">
            <w:pPr>
              <w:pStyle w:val="TableBullet"/>
              <w:rPr>
                <w:rFonts w:cs="Arial"/>
              </w:rPr>
            </w:pPr>
            <w:r w:rsidRPr="003272C7">
              <w:rPr>
                <w:rFonts w:cs="Arial"/>
              </w:rPr>
              <w:t>Co-designed new instrument titled Obligations of Managers of Land or Infrastructure (OMLI)</w:t>
            </w:r>
            <w:r w:rsidR="0043359D" w:rsidRPr="003272C7">
              <w:rPr>
                <w:rFonts w:cs="Arial"/>
              </w:rPr>
              <w:t>.</w:t>
            </w:r>
          </w:p>
          <w:p w14:paraId="726EC914" w14:textId="2C39D177" w:rsidR="00717CDF" w:rsidRPr="003272C7" w:rsidRDefault="00717CDF" w:rsidP="001732CB">
            <w:pPr>
              <w:pStyle w:val="TableBullet"/>
              <w:rPr>
                <w:rFonts w:cs="Arial"/>
              </w:rPr>
            </w:pPr>
            <w:r w:rsidRPr="003272C7">
              <w:rPr>
                <w:rFonts w:cs="Arial"/>
              </w:rPr>
              <w:t>Updated Guidance Planning permit applications in special water supply catchment areas</w:t>
            </w:r>
            <w:r w:rsidR="0043359D" w:rsidRPr="003272C7">
              <w:rPr>
                <w:rFonts w:cs="Arial"/>
              </w:rPr>
              <w:t>.</w:t>
            </w:r>
          </w:p>
          <w:p w14:paraId="1F24EFCA" w14:textId="297445A6" w:rsidR="00717CDF" w:rsidRPr="003272C7" w:rsidRDefault="00717CDF" w:rsidP="001732CB">
            <w:pPr>
              <w:pStyle w:val="TableBullet"/>
              <w:rPr>
                <w:rFonts w:cs="Arial"/>
              </w:rPr>
            </w:pPr>
            <w:r w:rsidRPr="003272C7">
              <w:rPr>
                <w:rFonts w:cs="Arial"/>
              </w:rPr>
              <w:t>Updated Guidelines for developing, reviewing and updating Onsite Wastewater Management Plans</w:t>
            </w:r>
            <w:r w:rsidR="006A0BCE" w:rsidRPr="003272C7">
              <w:rPr>
                <w:rFonts w:cs="Arial"/>
              </w:rPr>
              <w:t xml:space="preserve"> (OWMP)</w:t>
            </w:r>
            <w:r w:rsidRPr="003272C7">
              <w:rPr>
                <w:rFonts w:cs="Arial"/>
              </w:rPr>
              <w:t xml:space="preserve"> &amp; OWMP risk assessment guidelines</w:t>
            </w:r>
            <w:r w:rsidR="0043359D" w:rsidRPr="003272C7">
              <w:rPr>
                <w:rFonts w:cs="Arial"/>
              </w:rPr>
              <w:t>.</w:t>
            </w:r>
          </w:p>
          <w:p w14:paraId="6A5AC24D" w14:textId="77777777" w:rsidR="00142559" w:rsidRPr="003272C7" w:rsidRDefault="00717CDF" w:rsidP="001732CB">
            <w:pPr>
              <w:pStyle w:val="TableBullet"/>
              <w:rPr>
                <w:rFonts w:cs="Arial"/>
              </w:rPr>
            </w:pPr>
            <w:r w:rsidRPr="003272C7">
              <w:rPr>
                <w:rFonts w:cs="Arial"/>
              </w:rPr>
              <w:t>Updated EPA guidance on the contents of a domestic wastewater plan</w:t>
            </w:r>
            <w:r w:rsidR="0043359D" w:rsidRPr="003272C7">
              <w:rPr>
                <w:rFonts w:cs="Arial"/>
              </w:rPr>
              <w:t>.</w:t>
            </w:r>
          </w:p>
          <w:p w14:paraId="67D25D23" w14:textId="18680A2B" w:rsidR="00717CDF" w:rsidRPr="003272C7" w:rsidRDefault="00717CDF" w:rsidP="001732CB">
            <w:pPr>
              <w:pStyle w:val="TableBullet"/>
              <w:rPr>
                <w:rFonts w:cs="Arial"/>
              </w:rPr>
            </w:pPr>
            <w:r w:rsidRPr="003272C7">
              <w:rPr>
                <w:rFonts w:cs="Arial"/>
              </w:rPr>
              <w:t xml:space="preserve">Updated Guidelines for </w:t>
            </w:r>
            <w:r w:rsidR="0043359D" w:rsidRPr="003272C7">
              <w:rPr>
                <w:rFonts w:cs="Arial"/>
              </w:rPr>
              <w:t xml:space="preserve">onsite wastewater management </w:t>
            </w:r>
            <w:r w:rsidRPr="003272C7">
              <w:rPr>
                <w:rFonts w:cs="Arial"/>
              </w:rPr>
              <w:t xml:space="preserve">and </w:t>
            </w:r>
            <w:r w:rsidR="00AA6403" w:rsidRPr="003272C7">
              <w:rPr>
                <w:rFonts w:cs="Arial"/>
              </w:rPr>
              <w:t xml:space="preserve">Guidelines for </w:t>
            </w:r>
            <w:r w:rsidR="0043359D" w:rsidRPr="003272C7">
              <w:rPr>
                <w:rFonts w:cs="Arial"/>
              </w:rPr>
              <w:t xml:space="preserve">effluent </w:t>
            </w:r>
            <w:r w:rsidRPr="003272C7">
              <w:rPr>
                <w:rFonts w:cs="Arial"/>
              </w:rPr>
              <w:t>dispersal and recycling systems</w:t>
            </w:r>
            <w:r w:rsidR="0043359D" w:rsidRPr="003272C7">
              <w:rPr>
                <w:rFonts w:cs="Arial"/>
              </w:rPr>
              <w:t>.</w:t>
            </w:r>
          </w:p>
          <w:p w14:paraId="72652CDA" w14:textId="22FA7E81" w:rsidR="00B242C3" w:rsidRPr="003272C7" w:rsidRDefault="00717CDF" w:rsidP="001732CB">
            <w:pPr>
              <w:pStyle w:val="TableBullet"/>
              <w:rPr>
                <w:rFonts w:cs="Arial"/>
              </w:rPr>
            </w:pPr>
            <w:r w:rsidRPr="003272C7">
              <w:rPr>
                <w:rFonts w:cs="Arial"/>
              </w:rPr>
              <w:t>58 grants</w:t>
            </w:r>
            <w:r w:rsidRPr="003272C7">
              <w:rPr>
                <w:rFonts w:cs="Arial"/>
                <w:lang w:eastAsia="zh-CN"/>
              </w:rPr>
              <w:t xml:space="preserve"> to local councils to improvement management of wastewater planning</w:t>
            </w:r>
            <w:r w:rsidR="0043359D" w:rsidRPr="003272C7">
              <w:rPr>
                <w:rFonts w:cs="Arial"/>
                <w:lang w:eastAsia="zh-CN"/>
              </w:rPr>
              <w:t>.</w:t>
            </w:r>
          </w:p>
        </w:tc>
      </w:tr>
      <w:tr w:rsidR="00B242C3" w:rsidRPr="003272C7" w14:paraId="12EED86C" w14:textId="77777777" w:rsidTr="005D16A1">
        <w:trPr>
          <w:trHeight w:val="259"/>
        </w:trPr>
        <w:tc>
          <w:tcPr>
            <w:tcW w:w="5000" w:type="pct"/>
            <w:gridSpan w:val="2"/>
            <w:shd w:val="clear" w:color="auto" w:fill="231EDC" w:themeFill="accent1"/>
          </w:tcPr>
          <w:p w14:paraId="17181BCA" w14:textId="77777777" w:rsidR="00B242C3" w:rsidRPr="003272C7" w:rsidRDefault="00B242C3" w:rsidP="00C06DED">
            <w:pPr>
              <w:pStyle w:val="TableText"/>
              <w:rPr>
                <w:rFonts w:cs="Arial"/>
                <w:b/>
                <w:bCs/>
                <w:szCs w:val="18"/>
              </w:rPr>
            </w:pPr>
            <w:r w:rsidRPr="003272C7">
              <w:rPr>
                <w:rFonts w:cs="Arial"/>
                <w:b/>
                <w:bCs/>
                <w:szCs w:val="18"/>
              </w:rPr>
              <w:lastRenderedPageBreak/>
              <w:t>Summary against evaluation domains</w:t>
            </w:r>
          </w:p>
        </w:tc>
      </w:tr>
      <w:tr w:rsidR="00F7295D" w:rsidRPr="003272C7" w14:paraId="5729128D" w14:textId="77777777" w:rsidTr="005D16A1">
        <w:trPr>
          <w:trHeight w:val="259"/>
        </w:trPr>
        <w:tc>
          <w:tcPr>
            <w:tcW w:w="979" w:type="pct"/>
            <w:shd w:val="clear" w:color="auto" w:fill="231EDC" w:themeFill="accent1"/>
          </w:tcPr>
          <w:p w14:paraId="6FF15803"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24303FDC" w14:textId="77777777" w:rsidR="00B242C3" w:rsidRPr="003272C7" w:rsidRDefault="00B242C3" w:rsidP="00F35AAB">
            <w:pPr>
              <w:pStyle w:val="TableTextBold"/>
              <w:rPr>
                <w:rFonts w:cs="Arial"/>
              </w:rPr>
            </w:pPr>
            <w:r w:rsidRPr="003272C7">
              <w:rPr>
                <w:rFonts w:cs="Arial"/>
              </w:rPr>
              <w:t>Increase in the uptake of recycled water, stormwater and rainwater for appropriate uses across Victoria</w:t>
            </w:r>
          </w:p>
          <w:p w14:paraId="6A0EA998" w14:textId="19E29D73" w:rsidR="00B242C3" w:rsidRPr="003272C7" w:rsidRDefault="00B242C3" w:rsidP="001732CB">
            <w:pPr>
              <w:pStyle w:val="TableBullet"/>
              <w:rPr>
                <w:rFonts w:cs="Arial"/>
              </w:rPr>
            </w:pPr>
            <w:r w:rsidRPr="003272C7">
              <w:rPr>
                <w:rFonts w:cs="Arial"/>
              </w:rPr>
              <w:t>Recycled water use data is not yet available for the complete EC5 period to date, however the 2-year average from (2020</w:t>
            </w:r>
            <w:r w:rsidR="002E707E" w:rsidRPr="003272C7">
              <w:rPr>
                <w:rFonts w:cs="Arial"/>
              </w:rPr>
              <w:t>-</w:t>
            </w:r>
            <w:r w:rsidRPr="003272C7">
              <w:rPr>
                <w:rFonts w:cs="Arial"/>
              </w:rPr>
              <w:t>21 to</w:t>
            </w:r>
            <w:r w:rsidR="00AC3E0B" w:rsidRPr="003272C7">
              <w:rPr>
                <w:rFonts w:cs="Arial"/>
              </w:rPr>
              <w:t xml:space="preserve"> </w:t>
            </w:r>
            <w:r w:rsidRPr="003272C7">
              <w:rPr>
                <w:rFonts w:cs="Arial"/>
              </w:rPr>
              <w:t>2021</w:t>
            </w:r>
            <w:r w:rsidR="002E707E" w:rsidRPr="003272C7">
              <w:rPr>
                <w:rFonts w:cs="Arial"/>
              </w:rPr>
              <w:t>-</w:t>
            </w:r>
            <w:r w:rsidRPr="003272C7">
              <w:rPr>
                <w:rFonts w:cs="Arial"/>
              </w:rPr>
              <w:t>22) is 16%. This is slightly lower than the 5-year average of 18% largely due to high rainfall over the period reducing the demand for recycled water.</w:t>
            </w:r>
          </w:p>
          <w:p w14:paraId="19F6117F" w14:textId="77777777" w:rsidR="00142559" w:rsidRPr="003272C7" w:rsidRDefault="00B242C3" w:rsidP="001732CB">
            <w:pPr>
              <w:pStyle w:val="TableBullet"/>
              <w:rPr>
                <w:rFonts w:cs="Arial"/>
              </w:rPr>
            </w:pPr>
            <w:r w:rsidRPr="003272C7">
              <w:rPr>
                <w:rFonts w:cs="Arial"/>
              </w:rPr>
              <w:lastRenderedPageBreak/>
              <w:t xml:space="preserve">DEECA estimates that through the IWM grants </w:t>
            </w:r>
            <w:r w:rsidR="0043359D" w:rsidRPr="003272C7">
              <w:rPr>
                <w:rFonts w:cs="Arial"/>
              </w:rPr>
              <w:t xml:space="preserve">program, DEECA has </w:t>
            </w:r>
            <w:r w:rsidRPr="003272C7">
              <w:rPr>
                <w:rFonts w:cs="Arial"/>
              </w:rPr>
              <w:t>co-funded 550 </w:t>
            </w:r>
            <w:r w:rsidR="001623E0" w:rsidRPr="003272C7">
              <w:rPr>
                <w:rFonts w:cs="Arial"/>
              </w:rPr>
              <w:t>M</w:t>
            </w:r>
            <w:r w:rsidRPr="003272C7">
              <w:rPr>
                <w:rFonts w:cs="Arial"/>
              </w:rPr>
              <w:t>L/y</w:t>
            </w:r>
            <w:r w:rsidR="0043359D" w:rsidRPr="003272C7">
              <w:rPr>
                <w:rFonts w:cs="Arial"/>
              </w:rPr>
              <w:t>ea</w:t>
            </w:r>
            <w:r w:rsidRPr="003272C7">
              <w:rPr>
                <w:rFonts w:cs="Arial"/>
              </w:rPr>
              <w:t>r of additional stormwater through 15 projects.</w:t>
            </w:r>
          </w:p>
          <w:p w14:paraId="7455CF45" w14:textId="48059A1C" w:rsidR="00B242C3" w:rsidRPr="003272C7" w:rsidRDefault="00B242C3" w:rsidP="00F35AAB">
            <w:pPr>
              <w:pStyle w:val="TableTextBold"/>
              <w:rPr>
                <w:rFonts w:cs="Arial"/>
              </w:rPr>
            </w:pPr>
            <w:r w:rsidRPr="003272C7">
              <w:rPr>
                <w:rFonts w:cs="Arial"/>
              </w:rPr>
              <w:t>Increased number of stormwater offsets schemes established by local governments across Victoria</w:t>
            </w:r>
          </w:p>
          <w:p w14:paraId="346FFFF5" w14:textId="77777777" w:rsidR="00C75643" w:rsidRPr="003272C7" w:rsidRDefault="00C75643" w:rsidP="001732CB">
            <w:pPr>
              <w:pStyle w:val="TableBullet"/>
              <w:rPr>
                <w:rFonts w:cs="Arial"/>
              </w:rPr>
            </w:pPr>
            <w:r w:rsidRPr="003272C7">
              <w:rPr>
                <w:rFonts w:cs="Arial"/>
              </w:rPr>
              <w:t>Four councils have implemented schemes, including City of Kingston, Mornington Peninsula Shire and Mooney Valley City Council.</w:t>
            </w:r>
          </w:p>
          <w:p w14:paraId="47BB1EDD" w14:textId="77777777" w:rsidR="00C75643" w:rsidRPr="003272C7" w:rsidRDefault="00C75643" w:rsidP="001732CB">
            <w:pPr>
              <w:pStyle w:val="TableBullet"/>
              <w:rPr>
                <w:rFonts w:cs="Arial"/>
              </w:rPr>
            </w:pPr>
            <w:r w:rsidRPr="003272C7">
              <w:rPr>
                <w:rFonts w:cs="Arial"/>
              </w:rPr>
              <w:t>Several councils are currently looking into setting up offset schemes and are due to implement schemes in late 2024, including Merri-bek City Council, Hume City Council and City of Greater Bendigo.</w:t>
            </w:r>
          </w:p>
          <w:p w14:paraId="15C07059" w14:textId="77777777" w:rsidR="00B242C3" w:rsidRPr="003272C7" w:rsidRDefault="00B242C3" w:rsidP="00F35AAB">
            <w:pPr>
              <w:pStyle w:val="TableTextBold"/>
              <w:rPr>
                <w:rFonts w:cs="Arial"/>
              </w:rPr>
            </w:pPr>
            <w:r w:rsidRPr="003272C7">
              <w:rPr>
                <w:rFonts w:cs="Arial"/>
              </w:rPr>
              <w:t>Improved support for the implementation of stormwater management requirements under the planning scheme</w:t>
            </w:r>
          </w:p>
          <w:p w14:paraId="1096A017" w14:textId="77777777" w:rsidR="00142559" w:rsidRPr="003272C7" w:rsidRDefault="003D740A" w:rsidP="001732CB">
            <w:pPr>
              <w:pStyle w:val="TableBullet"/>
              <w:rPr>
                <w:rFonts w:cs="Arial"/>
              </w:rPr>
            </w:pPr>
            <w:r w:rsidRPr="003272C7">
              <w:rPr>
                <w:rFonts w:cs="Arial"/>
              </w:rPr>
              <w:t>Twenty capacity building training sessions on Victoria’s stormwater planning requirements have been delivered in partnership with industry, to a statewide audience of over 900 people.</w:t>
            </w:r>
          </w:p>
          <w:p w14:paraId="7C074C45" w14:textId="77777777" w:rsidR="00142559" w:rsidRPr="003272C7" w:rsidRDefault="003D740A" w:rsidP="001732CB">
            <w:pPr>
              <w:pStyle w:val="TableBullet"/>
              <w:rPr>
                <w:rFonts w:cs="Arial"/>
              </w:rPr>
            </w:pPr>
            <w:r w:rsidRPr="003272C7">
              <w:rPr>
                <w:rFonts w:cs="Arial"/>
              </w:rPr>
              <w:t>Course evaluation consistently shows participants having 100% satisfaction with training courses noting improvement in knowledge and skills, likelihood to change practice, and try new approaches.</w:t>
            </w:r>
          </w:p>
          <w:p w14:paraId="0699D911" w14:textId="2A2F84D3" w:rsidR="003D740A" w:rsidRPr="003272C7" w:rsidRDefault="003D740A" w:rsidP="001732CB">
            <w:pPr>
              <w:pStyle w:val="TableBullet"/>
              <w:rPr>
                <w:rFonts w:cs="Arial"/>
              </w:rPr>
            </w:pPr>
            <w:r w:rsidRPr="003272C7">
              <w:rPr>
                <w:rFonts w:cs="Arial"/>
              </w:rPr>
              <w:t>In June 2022, DEECA engaged a consultant to upgrade the STORM Tool. This has gone through several rounds of user testing and is mostly ready to launch. The final product is due for launch in early 2024-25.</w:t>
            </w:r>
            <w:r w:rsidR="00142559" w:rsidRPr="003272C7">
              <w:rPr>
                <w:rFonts w:cs="Arial"/>
              </w:rPr>
              <w:t xml:space="preserve"> </w:t>
            </w:r>
          </w:p>
        </w:tc>
      </w:tr>
      <w:tr w:rsidR="00F7295D" w:rsidRPr="003272C7" w14:paraId="26F5CDB5" w14:textId="77777777" w:rsidTr="005D16A1">
        <w:trPr>
          <w:trHeight w:val="259"/>
        </w:trPr>
        <w:tc>
          <w:tcPr>
            <w:tcW w:w="979" w:type="pct"/>
            <w:shd w:val="clear" w:color="auto" w:fill="231EDC" w:themeFill="accent1"/>
          </w:tcPr>
          <w:p w14:paraId="5DB99FF6"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5BA0D2E5" w14:textId="77777777" w:rsidR="00142559" w:rsidRPr="003272C7" w:rsidRDefault="00B242C3" w:rsidP="001732CB">
            <w:pPr>
              <w:pStyle w:val="TableText"/>
              <w:rPr>
                <w:rFonts w:cs="Arial"/>
                <w:lang w:eastAsia="en-AU"/>
              </w:rPr>
            </w:pPr>
            <w:r w:rsidRPr="003272C7">
              <w:rPr>
                <w:rFonts w:eastAsia="Calibri" w:cs="Arial"/>
                <w:b/>
                <w:bCs/>
              </w:rPr>
              <w:t xml:space="preserve">Recycled water and Stormwater projects: </w:t>
            </w:r>
            <w:r w:rsidRPr="003272C7">
              <w:rPr>
                <w:rFonts w:cs="Arial"/>
                <w:lang w:eastAsia="en-AU"/>
              </w:rPr>
              <w:t xml:space="preserve">Investments made under the </w:t>
            </w:r>
            <w:r w:rsidR="00445736" w:rsidRPr="003272C7">
              <w:rPr>
                <w:rFonts w:cs="Arial"/>
                <w:lang w:eastAsia="en-AU"/>
              </w:rPr>
              <w:t>project</w:t>
            </w:r>
            <w:r w:rsidRPr="003272C7">
              <w:rPr>
                <w:rFonts w:cs="Arial"/>
                <w:lang w:eastAsia="en-AU"/>
              </w:rPr>
              <w:t xml:space="preserve"> were largely delivered on time and to budget however some project timelines were extended to account for unforeseeable circumstances, such as resourcing challenges, intellectual property issues, or engagement delays. For the most part, these delays did not prevent the planned outcomes from being achieved.</w:t>
            </w:r>
          </w:p>
          <w:p w14:paraId="4004529A" w14:textId="77777777" w:rsidR="00142559" w:rsidRPr="003272C7" w:rsidRDefault="00B242C3" w:rsidP="001732CB">
            <w:pPr>
              <w:pStyle w:val="TableText"/>
              <w:rPr>
                <w:rFonts w:cs="Arial"/>
                <w:lang w:eastAsia="en-AU"/>
              </w:rPr>
            </w:pPr>
            <w:r w:rsidRPr="003272C7">
              <w:rPr>
                <w:rFonts w:eastAsia="Calibri" w:cs="Arial"/>
                <w:b/>
                <w:iCs/>
              </w:rPr>
              <w:t>Onsite Domestic Wastewater Management projects:</w:t>
            </w:r>
            <w:r w:rsidRPr="003272C7">
              <w:rPr>
                <w:rFonts w:eastAsia="Calibri" w:cs="Arial"/>
                <w:b/>
                <w:i/>
              </w:rPr>
              <w:t xml:space="preserve"> </w:t>
            </w:r>
            <w:r w:rsidR="001D07B2" w:rsidRPr="003272C7">
              <w:rPr>
                <w:rFonts w:cs="Arial"/>
                <w:lang w:eastAsia="en-AU"/>
              </w:rPr>
              <w:t>DEECA provided 58 of the 65 eligible councils with grants to focus on data improvements, updating OWMPs or to undertake risk reducing activities as outlined in Council OWMPs. Analysis of council final reports, has shown the grants program has achieved the following:</w:t>
            </w:r>
          </w:p>
          <w:p w14:paraId="7394F11D" w14:textId="29B280CF" w:rsidR="001D07B2" w:rsidRPr="003272C7" w:rsidRDefault="001D07B2" w:rsidP="001732CB">
            <w:pPr>
              <w:pStyle w:val="TableBullet"/>
              <w:rPr>
                <w:rFonts w:cs="Arial"/>
              </w:rPr>
            </w:pPr>
            <w:r w:rsidRPr="003272C7">
              <w:rPr>
                <w:rFonts w:cs="Arial"/>
              </w:rPr>
              <w:t>89% of councils with onsite wastewater systems have undertaken onsite wastewater management improvements</w:t>
            </w:r>
            <w:r w:rsidR="00367A8E" w:rsidRPr="003272C7">
              <w:rPr>
                <w:rFonts w:cs="Arial"/>
              </w:rPr>
              <w:t>.</w:t>
            </w:r>
          </w:p>
          <w:p w14:paraId="30175026" w14:textId="77777777" w:rsidR="00142559" w:rsidRPr="003272C7" w:rsidRDefault="001D07B2" w:rsidP="001732CB">
            <w:pPr>
              <w:pStyle w:val="TableBullet"/>
              <w:rPr>
                <w:rFonts w:cs="Arial"/>
              </w:rPr>
            </w:pPr>
            <w:r w:rsidRPr="003272C7">
              <w:rPr>
                <w:rFonts w:cs="Arial"/>
              </w:rPr>
              <w:t xml:space="preserve">More councils have transitioned from the </w:t>
            </w:r>
            <w:r w:rsidR="007B76DA" w:rsidRPr="003272C7">
              <w:rPr>
                <w:rFonts w:cs="Arial"/>
              </w:rPr>
              <w:t>S</w:t>
            </w:r>
            <w:r w:rsidR="00793EC5" w:rsidRPr="003272C7">
              <w:rPr>
                <w:rFonts w:cs="Arial"/>
              </w:rPr>
              <w:t xml:space="preserve">tate </w:t>
            </w:r>
            <w:r w:rsidR="007B76DA" w:rsidRPr="003272C7">
              <w:rPr>
                <w:rFonts w:cs="Arial"/>
              </w:rPr>
              <w:t>E</w:t>
            </w:r>
            <w:r w:rsidR="00793EC5" w:rsidRPr="003272C7">
              <w:rPr>
                <w:rFonts w:cs="Arial"/>
              </w:rPr>
              <w:t xml:space="preserve">nvironment </w:t>
            </w:r>
            <w:r w:rsidR="007B76DA" w:rsidRPr="003272C7">
              <w:rPr>
                <w:rFonts w:cs="Arial"/>
              </w:rPr>
              <w:t>P</w:t>
            </w:r>
            <w:r w:rsidR="00793EC5" w:rsidRPr="003272C7">
              <w:rPr>
                <w:rFonts w:cs="Arial"/>
              </w:rPr>
              <w:t xml:space="preserve">rotection </w:t>
            </w:r>
            <w:r w:rsidR="007B76DA" w:rsidRPr="003272C7">
              <w:rPr>
                <w:rFonts w:cs="Arial"/>
              </w:rPr>
              <w:t>P</w:t>
            </w:r>
            <w:r w:rsidR="00793EC5" w:rsidRPr="003272C7">
              <w:rPr>
                <w:rFonts w:cs="Arial"/>
              </w:rPr>
              <w:t>olicy</w:t>
            </w:r>
            <w:r w:rsidR="00793EC5" w:rsidRPr="003272C7" w:rsidDel="00793EC5">
              <w:rPr>
                <w:rFonts w:cs="Arial"/>
              </w:rPr>
              <w:t xml:space="preserve"> </w:t>
            </w:r>
            <w:r w:rsidRPr="003272C7">
              <w:rPr>
                <w:rFonts w:cs="Arial"/>
              </w:rPr>
              <w:t>(Waters</w:t>
            </w:r>
            <w:r w:rsidR="00367A8E" w:rsidRPr="003272C7">
              <w:rPr>
                <w:rFonts w:cs="Arial"/>
              </w:rPr>
              <w:t xml:space="preserve"> of Victoria</w:t>
            </w:r>
            <w:r w:rsidRPr="003272C7">
              <w:rPr>
                <w:rFonts w:cs="Arial"/>
              </w:rPr>
              <w:t>) obligations and are better placed to achieve the obligations under the OMLI.</w:t>
            </w:r>
          </w:p>
          <w:p w14:paraId="51F98619" w14:textId="77777777" w:rsidR="00142559" w:rsidRPr="003272C7" w:rsidRDefault="001D07B2" w:rsidP="001732CB">
            <w:pPr>
              <w:pStyle w:val="TableBullet"/>
              <w:rPr>
                <w:rFonts w:cs="Arial"/>
              </w:rPr>
            </w:pPr>
            <w:r w:rsidRPr="003272C7">
              <w:rPr>
                <w:rFonts w:cs="Arial"/>
              </w:rPr>
              <w:t>Councils have indicated that they will continue working on projects related to their grant, with several able to engage staff to undertake further onsite wastewater activities.</w:t>
            </w:r>
          </w:p>
          <w:p w14:paraId="1F695530" w14:textId="625E2D37" w:rsidR="00B242C3" w:rsidRPr="00623380" w:rsidRDefault="001D07B2" w:rsidP="001732CB">
            <w:pPr>
              <w:pStyle w:val="TableText"/>
              <w:rPr>
                <w:rFonts w:cs="Arial"/>
                <w:lang w:eastAsia="en-AU"/>
              </w:rPr>
            </w:pPr>
            <w:r w:rsidRPr="003272C7">
              <w:rPr>
                <w:rFonts w:cs="Arial"/>
                <w:lang w:eastAsia="en-AU"/>
              </w:rPr>
              <w:t>This has incentivised 89% of councils with OWS to improve management and planning processes. ODWM investments were delivered on time and on budget.</w:t>
            </w:r>
          </w:p>
        </w:tc>
      </w:tr>
      <w:tr w:rsidR="00F7295D" w:rsidRPr="003272C7" w14:paraId="44D334E8" w14:textId="77777777" w:rsidTr="005D16A1">
        <w:trPr>
          <w:trHeight w:val="259"/>
        </w:trPr>
        <w:tc>
          <w:tcPr>
            <w:tcW w:w="979" w:type="pct"/>
            <w:shd w:val="clear" w:color="auto" w:fill="231EDC" w:themeFill="accent1"/>
          </w:tcPr>
          <w:p w14:paraId="3EE1663B"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770FB4E1" w14:textId="77777777" w:rsidR="00142559" w:rsidRPr="003272C7" w:rsidRDefault="00BD4510" w:rsidP="001732CB">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progressed and built on </w:t>
            </w:r>
            <w:r w:rsidR="00445736" w:rsidRPr="003272C7">
              <w:rPr>
                <w:rFonts w:cs="Arial"/>
              </w:rPr>
              <w:t>project</w:t>
            </w:r>
            <w:r w:rsidRPr="003272C7">
              <w:rPr>
                <w:rFonts w:cs="Arial"/>
              </w:rPr>
              <w:t xml:space="preserve">s and investments already underway from 2016-17 to 2019-20, via the Victorian Government investment of $54.167 million of </w:t>
            </w:r>
            <w:r w:rsidR="00367A8E" w:rsidRPr="003272C7">
              <w:rPr>
                <w:rFonts w:cs="Arial"/>
              </w:rPr>
              <w:t>EC4</w:t>
            </w:r>
            <w:r w:rsidRPr="003272C7">
              <w:rPr>
                <w:rFonts w:cs="Arial"/>
              </w:rPr>
              <w:t xml:space="preserve"> funds across the whole </w:t>
            </w:r>
            <w:r w:rsidR="00445736" w:rsidRPr="003272C7">
              <w:rPr>
                <w:rFonts w:cs="Arial"/>
              </w:rPr>
              <w:t>project</w:t>
            </w:r>
            <w:r w:rsidRPr="003272C7">
              <w:rPr>
                <w:rFonts w:cs="Arial"/>
              </w:rPr>
              <w:t xml:space="preserve"> (which also included the </w:t>
            </w:r>
            <w:r w:rsidR="00367A8E" w:rsidRPr="003272C7">
              <w:rPr>
                <w:rFonts w:cs="Arial"/>
              </w:rPr>
              <w:t>IWM</w:t>
            </w:r>
            <w:r w:rsidRPr="003272C7">
              <w:rPr>
                <w:rFonts w:cs="Arial"/>
              </w:rPr>
              <w:t xml:space="preserve"> program). The </w:t>
            </w:r>
            <w:r w:rsidR="00445736" w:rsidRPr="003272C7">
              <w:rPr>
                <w:rFonts w:cs="Arial"/>
              </w:rPr>
              <w:t>project</w:t>
            </w:r>
            <w:r w:rsidRPr="003272C7">
              <w:rPr>
                <w:rFonts w:cs="Arial"/>
              </w:rPr>
              <w:t xml:space="preserve"> aligned with the objectives of the </w:t>
            </w:r>
            <w:r w:rsidR="00F7295D" w:rsidRPr="003272C7">
              <w:rPr>
                <w:rFonts w:cs="Arial"/>
              </w:rPr>
              <w:t>EC</w:t>
            </w:r>
            <w:r w:rsidRPr="003272C7">
              <w:rPr>
                <w:rFonts w:cs="Arial"/>
              </w:rPr>
              <w:t xml:space="preserve"> and implemented policy and legislative commitments – including those under Water for Victoria (2016), requirements outlined in the Productivity Commission’s National Water Reform Report, the Port Phillip Bay Environmental Management Plan 2017-2027 and the VAGO audit Managing the Environmental Impacts of Domestic Wastewater requirements. Several new government strategies and policy documents were introduced which may have slightly altered the focus of discrete projects, but the fundamental direction remains the same.</w:t>
            </w:r>
          </w:p>
          <w:p w14:paraId="7033F15A" w14:textId="77777777" w:rsidR="00142559" w:rsidRPr="003272C7" w:rsidRDefault="00BD4510" w:rsidP="001732CB">
            <w:pPr>
              <w:pStyle w:val="TableBullet"/>
              <w:rPr>
                <w:rFonts w:cs="Arial"/>
              </w:rPr>
            </w:pPr>
            <w:r w:rsidRPr="003272C7">
              <w:rPr>
                <w:rFonts w:cs="Arial"/>
              </w:rPr>
              <w:t>Socio-political shifts due to COVID and the rise in costs of living. The rise in cost of living has suppressed the appetite for any changes in regulations</w:t>
            </w:r>
            <w:r w:rsidR="00F7295D" w:rsidRPr="003272C7">
              <w:rPr>
                <w:rFonts w:cs="Arial"/>
              </w:rPr>
              <w:t xml:space="preserve"> </w:t>
            </w:r>
            <w:r w:rsidRPr="003272C7">
              <w:rPr>
                <w:rFonts w:cs="Arial"/>
              </w:rPr>
              <w:t>/</w:t>
            </w:r>
            <w:r w:rsidR="00F7295D" w:rsidRPr="003272C7">
              <w:rPr>
                <w:rFonts w:cs="Arial"/>
              </w:rPr>
              <w:t xml:space="preserve"> </w:t>
            </w:r>
            <w:r w:rsidRPr="003272C7">
              <w:rPr>
                <w:rFonts w:cs="Arial"/>
              </w:rPr>
              <w:t>obligations that would increase costs to households. This has had flow on impacts to projects such as the improving rainwater tank regulation which proposed to expand the development types required to install rainwater tanks.</w:t>
            </w:r>
          </w:p>
          <w:p w14:paraId="2533871D" w14:textId="67883A5D" w:rsidR="00B242C3" w:rsidRPr="003272C7" w:rsidRDefault="00BD4510" w:rsidP="001732CB">
            <w:pPr>
              <w:pStyle w:val="TableBullet"/>
              <w:rPr>
                <w:rFonts w:cs="Arial"/>
              </w:rPr>
            </w:pPr>
            <w:r w:rsidRPr="003272C7">
              <w:rPr>
                <w:rFonts w:cs="Arial"/>
              </w:rPr>
              <w:lastRenderedPageBreak/>
              <w:t>Climate conditions: floods and 3 wet years due to La Nina conditions has contributed to full storages. This challenges the perceived ‘need’ for public investment in stormwater and recycled water projects.</w:t>
            </w:r>
          </w:p>
        </w:tc>
      </w:tr>
      <w:tr w:rsidR="00F7295D" w:rsidRPr="003272C7" w14:paraId="1509352B" w14:textId="77777777" w:rsidTr="005D16A1">
        <w:trPr>
          <w:trHeight w:val="259"/>
        </w:trPr>
        <w:tc>
          <w:tcPr>
            <w:tcW w:w="979" w:type="pct"/>
            <w:shd w:val="clear" w:color="auto" w:fill="231EDC" w:themeFill="accent1"/>
          </w:tcPr>
          <w:p w14:paraId="75A18C28" w14:textId="77777777" w:rsidR="00B242C3" w:rsidRPr="003272C7" w:rsidRDefault="00B242C3" w:rsidP="00C06DED">
            <w:pPr>
              <w:pStyle w:val="TableText"/>
              <w:rPr>
                <w:rFonts w:cs="Arial"/>
                <w:b/>
                <w:bCs/>
                <w:szCs w:val="18"/>
              </w:rPr>
            </w:pPr>
            <w:r w:rsidRPr="003272C7">
              <w:rPr>
                <w:rFonts w:cs="Arial"/>
                <w:b/>
                <w:bCs/>
                <w:szCs w:val="18"/>
              </w:rPr>
              <w:lastRenderedPageBreak/>
              <w:t>Efficiency</w:t>
            </w:r>
          </w:p>
        </w:tc>
        <w:tc>
          <w:tcPr>
            <w:tcW w:w="4021" w:type="pct"/>
          </w:tcPr>
          <w:p w14:paraId="5E3BF554" w14:textId="77777777" w:rsidR="00142559" w:rsidRPr="003272C7" w:rsidRDefault="00B242C3" w:rsidP="001732CB">
            <w:pPr>
              <w:pStyle w:val="TableText"/>
              <w:rPr>
                <w:rFonts w:cs="Arial"/>
                <w:lang w:eastAsia="en-AU"/>
              </w:rPr>
            </w:pPr>
            <w:r w:rsidRPr="003272C7">
              <w:rPr>
                <w:rFonts w:cs="Arial"/>
                <w:lang w:eastAsia="en-AU"/>
              </w:rPr>
              <w:t xml:space="preserve">Several of the projects funded through the </w:t>
            </w:r>
            <w:r w:rsidR="00445736" w:rsidRPr="003272C7">
              <w:rPr>
                <w:rFonts w:cs="Arial"/>
                <w:lang w:eastAsia="en-AU"/>
              </w:rPr>
              <w:t>project</w:t>
            </w:r>
            <w:r w:rsidRPr="003272C7">
              <w:rPr>
                <w:rFonts w:cs="Arial"/>
                <w:lang w:eastAsia="en-AU"/>
              </w:rPr>
              <w:t xml:space="preserve"> leveraged</w:t>
            </w:r>
            <w:r w:rsidRPr="003272C7">
              <w:rPr>
                <w:rFonts w:eastAsia="Arial" w:cs="Arial"/>
                <w:lang w:eastAsia="en-AU"/>
              </w:rPr>
              <w:t xml:space="preserve"> in-kind support </w:t>
            </w:r>
            <w:r w:rsidRPr="003272C7">
              <w:rPr>
                <w:rFonts w:cs="Arial"/>
                <w:lang w:eastAsia="en-AU"/>
              </w:rPr>
              <w:t>and co-investment from multiple organisations, including:</w:t>
            </w:r>
          </w:p>
          <w:p w14:paraId="64799039" w14:textId="4C186087" w:rsidR="00BC1A12" w:rsidRPr="003272C7" w:rsidRDefault="00BC1A12" w:rsidP="001732CB">
            <w:pPr>
              <w:pStyle w:val="TableBullet"/>
              <w:rPr>
                <w:rFonts w:cs="Arial"/>
              </w:rPr>
            </w:pPr>
            <w:r w:rsidRPr="003272C7">
              <w:rPr>
                <w:rFonts w:cs="Arial"/>
              </w:rPr>
              <w:t>Recycled water: $144,000 co-contributions by Dep</w:t>
            </w:r>
            <w:r w:rsidR="0043359D" w:rsidRPr="003272C7">
              <w:rPr>
                <w:rFonts w:cs="Arial"/>
              </w:rPr>
              <w:t>ar</w:t>
            </w:r>
            <w:r w:rsidRPr="003272C7">
              <w:rPr>
                <w:rFonts w:cs="Arial"/>
              </w:rPr>
              <w:t>t</w:t>
            </w:r>
            <w:r w:rsidR="0043359D" w:rsidRPr="003272C7">
              <w:rPr>
                <w:rFonts w:cs="Arial"/>
              </w:rPr>
              <w:t>ment</w:t>
            </w:r>
            <w:r w:rsidRPr="003272C7">
              <w:rPr>
                <w:rFonts w:cs="Arial"/>
              </w:rPr>
              <w:t xml:space="preserve"> of Health, </w:t>
            </w:r>
            <w:r w:rsidR="0043359D" w:rsidRPr="003272C7">
              <w:rPr>
                <w:rFonts w:cs="Arial"/>
              </w:rPr>
              <w:t>water corporations</w:t>
            </w:r>
            <w:r w:rsidRPr="003272C7">
              <w:rPr>
                <w:rFonts w:cs="Arial"/>
              </w:rPr>
              <w:t xml:space="preserve"> and EPA, plus in-kind 4.0 </w:t>
            </w:r>
            <w:r w:rsidR="0043359D" w:rsidRPr="003272C7">
              <w:rPr>
                <w:rFonts w:cs="Arial"/>
              </w:rPr>
              <w:t xml:space="preserve">full-time equivalent </w:t>
            </w:r>
            <w:r w:rsidRPr="003272C7">
              <w:rPr>
                <w:rFonts w:cs="Arial"/>
              </w:rPr>
              <w:t>contributions</w:t>
            </w:r>
            <w:r w:rsidR="0043359D" w:rsidRPr="003272C7">
              <w:rPr>
                <w:rFonts w:cs="Arial"/>
              </w:rPr>
              <w:t>.</w:t>
            </w:r>
          </w:p>
          <w:p w14:paraId="269ED18C" w14:textId="5C3A5358" w:rsidR="00BC1A12" w:rsidRPr="003272C7" w:rsidRDefault="00BC1A12" w:rsidP="001732CB">
            <w:pPr>
              <w:pStyle w:val="TableBullet"/>
              <w:rPr>
                <w:rFonts w:cs="Arial"/>
              </w:rPr>
            </w:pPr>
            <w:r w:rsidRPr="003272C7">
              <w:rPr>
                <w:rFonts w:cs="Arial"/>
              </w:rPr>
              <w:t>Stormwater: MUSIA co-investment by Melbourne Water $368,000, $80,000 co-contributions for Fishermen’s Bend Smart Rainwater Tanks Governance Study</w:t>
            </w:r>
            <w:r w:rsidR="0043359D" w:rsidRPr="003272C7">
              <w:rPr>
                <w:rFonts w:cs="Arial"/>
              </w:rPr>
              <w:t>.</w:t>
            </w:r>
          </w:p>
          <w:p w14:paraId="581ABE73" w14:textId="5000B708" w:rsidR="00B242C3" w:rsidRPr="00623380" w:rsidRDefault="00BC1A12" w:rsidP="001732CB">
            <w:pPr>
              <w:pStyle w:val="TableBullet"/>
              <w:rPr>
                <w:rFonts w:cs="Arial"/>
                <w:b/>
                <w:bCs/>
                <w:lang w:eastAsia="en-AU"/>
              </w:rPr>
            </w:pPr>
            <w:r w:rsidRPr="003272C7">
              <w:rPr>
                <w:rFonts w:cs="Arial"/>
              </w:rPr>
              <w:t>Onsite Domestic Wastewater Management Grants Program: for onsite domestic water management planning: councils reported a contribution of $896,000.</w:t>
            </w:r>
          </w:p>
        </w:tc>
      </w:tr>
      <w:tr w:rsidR="00F7295D" w:rsidRPr="003272C7" w14:paraId="07BE8BDB" w14:textId="77777777" w:rsidTr="005D16A1">
        <w:trPr>
          <w:trHeight w:val="259"/>
        </w:trPr>
        <w:tc>
          <w:tcPr>
            <w:tcW w:w="979" w:type="pct"/>
            <w:shd w:val="clear" w:color="auto" w:fill="231EDC" w:themeFill="accent1"/>
          </w:tcPr>
          <w:p w14:paraId="1D4981F9"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280BEEA5" w14:textId="6EAA6313" w:rsidR="00B242C3" w:rsidRPr="003272C7" w:rsidRDefault="00B242C3" w:rsidP="00F35AAB">
            <w:pPr>
              <w:pStyle w:val="TableTextBold"/>
              <w:rPr>
                <w:rFonts w:cs="Arial"/>
              </w:rPr>
            </w:pPr>
            <w:r w:rsidRPr="003272C7">
              <w:rPr>
                <w:rFonts w:cs="Arial"/>
              </w:rPr>
              <w:t>Customer and community acceptance</w:t>
            </w:r>
            <w:r w:rsidR="00F7295D" w:rsidRPr="003272C7">
              <w:rPr>
                <w:rFonts w:cs="Arial"/>
              </w:rPr>
              <w:t xml:space="preserve"> </w:t>
            </w:r>
            <w:r w:rsidRPr="003272C7">
              <w:rPr>
                <w:rFonts w:cs="Arial"/>
              </w:rPr>
              <w:t>/</w:t>
            </w:r>
            <w:r w:rsidR="00F7295D" w:rsidRPr="003272C7">
              <w:rPr>
                <w:rFonts w:cs="Arial"/>
              </w:rPr>
              <w:t xml:space="preserve"> </w:t>
            </w:r>
            <w:r w:rsidRPr="003272C7">
              <w:rPr>
                <w:rFonts w:cs="Arial"/>
              </w:rPr>
              <w:t>comfort of alternative water use is increasing</w:t>
            </w:r>
            <w:r w:rsidR="00F7295D" w:rsidRPr="003272C7">
              <w:rPr>
                <w:rFonts w:cs="Arial"/>
              </w:rPr>
              <w:t>:</w:t>
            </w:r>
          </w:p>
          <w:p w14:paraId="13D3356C" w14:textId="77777777" w:rsidR="00142559" w:rsidRPr="003272C7" w:rsidRDefault="00B242C3" w:rsidP="001732CB">
            <w:pPr>
              <w:pStyle w:val="TableBullet"/>
              <w:rPr>
                <w:rFonts w:cs="Arial"/>
              </w:rPr>
            </w:pPr>
            <w:r w:rsidRPr="003272C7">
              <w:rPr>
                <w:rFonts w:cs="Arial"/>
              </w:rPr>
              <w:t>Feedback from the CGRSWS showed that there is strong support from the community on the use of recycled water and stormwater for household use, excluding drinking water (98% strongly agree or agree), industry (94% strongly agree or agree), irrigating open space (94% strongly agree or agree), agricultural use (88% strongly agree or agree), boosting water levels and flows in rivers to support river health (73% strongly agree</w:t>
            </w:r>
            <w:r w:rsidR="00F7295D" w:rsidRPr="003272C7">
              <w:rPr>
                <w:rFonts w:cs="Arial"/>
              </w:rPr>
              <w:t xml:space="preserve"> or </w:t>
            </w:r>
            <w:r w:rsidRPr="003272C7">
              <w:rPr>
                <w:rFonts w:cs="Arial"/>
              </w:rPr>
              <w:t>agree).</w:t>
            </w:r>
          </w:p>
          <w:p w14:paraId="5DDF4D84" w14:textId="06B9753C" w:rsidR="00B242C3" w:rsidRPr="003272C7" w:rsidRDefault="00B242C3" w:rsidP="001732CB">
            <w:pPr>
              <w:pStyle w:val="TableBullet"/>
              <w:rPr>
                <w:rFonts w:cs="Arial"/>
              </w:rPr>
            </w:pPr>
            <w:r w:rsidRPr="003272C7">
              <w:rPr>
                <w:rFonts w:cs="Arial"/>
              </w:rPr>
              <w:t>85% of respondents agreed or strongly agreed that they supported additional government investment in recycled water and desalinated water to avoid water shortages, even if it meant moderate increases to their water bill.</w:t>
            </w:r>
          </w:p>
          <w:p w14:paraId="5AADAD60" w14:textId="77777777" w:rsidR="00B242C3" w:rsidRPr="003272C7" w:rsidRDefault="00B242C3" w:rsidP="001732CB">
            <w:pPr>
              <w:pStyle w:val="TableBullet"/>
              <w:rPr>
                <w:rFonts w:cs="Arial"/>
              </w:rPr>
            </w:pPr>
            <w:r w:rsidRPr="003272C7">
              <w:rPr>
                <w:rFonts w:cs="Arial"/>
              </w:rPr>
              <w:t>Support for using recycled water and stormwater is contingent on water being treated to a high quality or potable standard and being free of contaminants.</w:t>
            </w:r>
          </w:p>
          <w:p w14:paraId="5B1DD958" w14:textId="77777777" w:rsidR="00142559" w:rsidRPr="003272C7" w:rsidRDefault="00B242C3" w:rsidP="00F35AAB">
            <w:pPr>
              <w:pStyle w:val="TableTextBold"/>
              <w:rPr>
                <w:rFonts w:cs="Arial"/>
              </w:rPr>
            </w:pPr>
            <w:r w:rsidRPr="003272C7">
              <w:rPr>
                <w:rFonts w:cs="Arial"/>
              </w:rPr>
              <w:t>Clearer responsibilities between metro councils and Melbourne Water for stormwater management:</w:t>
            </w:r>
          </w:p>
          <w:p w14:paraId="0F28762A" w14:textId="77777777" w:rsidR="00142559" w:rsidRPr="003272C7" w:rsidRDefault="00720A6B" w:rsidP="001732CB">
            <w:pPr>
              <w:pStyle w:val="TableBullet"/>
              <w:rPr>
                <w:rFonts w:cs="Arial"/>
                <w:lang w:eastAsia="en-AU"/>
              </w:rPr>
            </w:pPr>
            <w:r w:rsidRPr="003272C7">
              <w:rPr>
                <w:rFonts w:cs="Arial"/>
                <w:lang w:eastAsia="en-AU"/>
              </w:rPr>
              <w:t>MUSIA implementation is still in progress but has already significantly improved knowledge of council stormwater asset ownership (particularly for waterbodies).</w:t>
            </w:r>
          </w:p>
          <w:p w14:paraId="6909B428" w14:textId="77777777" w:rsidR="00142559" w:rsidRPr="003272C7" w:rsidRDefault="00B242C3" w:rsidP="00F35AAB">
            <w:pPr>
              <w:pStyle w:val="TableTextBold"/>
              <w:rPr>
                <w:rFonts w:cs="Arial"/>
              </w:rPr>
            </w:pPr>
            <w:r w:rsidRPr="003272C7">
              <w:rPr>
                <w:rFonts w:cs="Arial"/>
              </w:rPr>
              <w:t>Improved regulatory and governance framework for the management of onsite domestic wastewater systems across Victoria:</w:t>
            </w:r>
          </w:p>
          <w:p w14:paraId="7C168A24" w14:textId="66B280F2" w:rsidR="00B242C3" w:rsidRPr="00623380" w:rsidRDefault="00B242C3" w:rsidP="001732CB">
            <w:pPr>
              <w:pStyle w:val="TableBullet"/>
              <w:rPr>
                <w:rFonts w:cs="Arial"/>
                <w:lang w:eastAsia="en-AU"/>
              </w:rPr>
            </w:pPr>
            <w:r w:rsidRPr="003272C7">
              <w:rPr>
                <w:rFonts w:cs="Arial"/>
                <w:lang w:eastAsia="en-AU"/>
              </w:rPr>
              <w:t>There were eight recommendations for DEECA and EPA to work together with key stakeholders to review the regulatory framework, tools and guidance for domestic wastewater management to address issues and gaps. DEECA acquittal of recommendations was achieved by May 2023, followed by EPA on 1 July 2023.</w:t>
            </w:r>
          </w:p>
        </w:tc>
      </w:tr>
      <w:tr w:rsidR="00F7295D" w:rsidRPr="003272C7" w14:paraId="0A8867E8" w14:textId="77777777" w:rsidTr="005D16A1">
        <w:trPr>
          <w:trHeight w:val="259"/>
        </w:trPr>
        <w:tc>
          <w:tcPr>
            <w:tcW w:w="979" w:type="pct"/>
            <w:shd w:val="clear" w:color="auto" w:fill="231EDC" w:themeFill="accent1"/>
          </w:tcPr>
          <w:p w14:paraId="3407FEF1"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2E224B98" w14:textId="77777777" w:rsidR="00142559" w:rsidRPr="003272C7" w:rsidRDefault="007B6F9C" w:rsidP="00F35AAB">
            <w:pPr>
              <w:pStyle w:val="TableTextBold"/>
              <w:rPr>
                <w:rFonts w:cs="Arial"/>
              </w:rPr>
            </w:pPr>
            <w:r w:rsidRPr="003272C7">
              <w:rPr>
                <w:rFonts w:cs="Arial"/>
              </w:rPr>
              <w:t>Recycled Water:</w:t>
            </w:r>
          </w:p>
          <w:p w14:paraId="64DE1B96" w14:textId="52D0C4FF" w:rsidR="007B6F9C" w:rsidRPr="003272C7" w:rsidRDefault="007B6F9C" w:rsidP="001732CB">
            <w:pPr>
              <w:pStyle w:val="TableBullet"/>
              <w:rPr>
                <w:rFonts w:cs="Arial"/>
              </w:rPr>
            </w:pPr>
            <w:r w:rsidRPr="003272C7">
              <w:rPr>
                <w:rFonts w:cs="Arial"/>
              </w:rPr>
              <w:t>DEECA has already provided funds to EPA for the next phase of work in this space, including for:</w:t>
            </w:r>
          </w:p>
          <w:p w14:paraId="37D53E75" w14:textId="77777777" w:rsidR="007B6F9C" w:rsidRPr="003272C7" w:rsidRDefault="007B6F9C" w:rsidP="001732CB">
            <w:pPr>
              <w:pStyle w:val="TableBullet2"/>
              <w:rPr>
                <w:rFonts w:cs="Arial"/>
              </w:rPr>
            </w:pPr>
            <w:r w:rsidRPr="003272C7">
              <w:rPr>
                <w:rFonts w:cs="Arial"/>
              </w:rPr>
              <w:t>The development of a formal EPA guidance piece on emerging contaminants in recycled water. Included in this work is the consideration of guideline values for a select group of priority emerging contaminants.</w:t>
            </w:r>
          </w:p>
          <w:p w14:paraId="45CB385B" w14:textId="77777777" w:rsidR="00142559" w:rsidRPr="003272C7" w:rsidRDefault="007B6F9C" w:rsidP="001732CB">
            <w:pPr>
              <w:pStyle w:val="TableBullet2"/>
              <w:rPr>
                <w:rFonts w:cs="Arial"/>
              </w:rPr>
            </w:pPr>
            <w:r w:rsidRPr="003272C7">
              <w:rPr>
                <w:rFonts w:cs="Arial"/>
              </w:rPr>
              <w:t>A sampling program of a select group of crops irrigated with recycled water to determine if there is crop uptake of emerging contaminants, any potential risks, etc.</w:t>
            </w:r>
          </w:p>
          <w:p w14:paraId="7C3FC807" w14:textId="6437A53E" w:rsidR="007B6F9C" w:rsidRPr="003272C7" w:rsidRDefault="007B6F9C" w:rsidP="00F35AAB">
            <w:pPr>
              <w:pStyle w:val="TableTextBold"/>
              <w:rPr>
                <w:rFonts w:cs="Arial"/>
              </w:rPr>
            </w:pPr>
            <w:r w:rsidRPr="003272C7">
              <w:rPr>
                <w:rFonts w:cs="Arial"/>
              </w:rPr>
              <w:t>Rainwater and Stormwater</w:t>
            </w:r>
            <w:r w:rsidR="00F7295D" w:rsidRPr="003272C7">
              <w:rPr>
                <w:rFonts w:cs="Arial"/>
              </w:rPr>
              <w:t>:</w:t>
            </w:r>
          </w:p>
          <w:p w14:paraId="35E9BDAA" w14:textId="2B1F77F1" w:rsidR="007B6F9C" w:rsidRPr="003272C7" w:rsidRDefault="007B6F9C" w:rsidP="001732CB">
            <w:pPr>
              <w:pStyle w:val="TableBullet"/>
              <w:rPr>
                <w:rFonts w:cs="Arial"/>
              </w:rPr>
            </w:pPr>
            <w:r w:rsidRPr="003272C7">
              <w:rPr>
                <w:rFonts w:cs="Arial"/>
              </w:rPr>
              <w:t>Leverage pilot studies to better understand potential new demands for stormwater and rainwater</w:t>
            </w:r>
            <w:r w:rsidR="00F7295D" w:rsidRPr="003272C7">
              <w:rPr>
                <w:rFonts w:cs="Arial"/>
              </w:rPr>
              <w:t>.</w:t>
            </w:r>
          </w:p>
          <w:p w14:paraId="631DE5D1" w14:textId="1DEA617A" w:rsidR="007B6F9C" w:rsidRPr="003272C7" w:rsidRDefault="007B6F9C" w:rsidP="001732CB">
            <w:pPr>
              <w:pStyle w:val="TableBullet"/>
              <w:rPr>
                <w:rFonts w:cs="Arial"/>
              </w:rPr>
            </w:pPr>
            <w:r w:rsidRPr="003272C7">
              <w:rPr>
                <w:rFonts w:cs="Arial"/>
              </w:rPr>
              <w:t xml:space="preserve">Work on addressing rainwater tank and </w:t>
            </w:r>
            <w:r w:rsidR="00F7295D" w:rsidRPr="003272C7">
              <w:rPr>
                <w:rFonts w:cs="Arial"/>
              </w:rPr>
              <w:t>water sensitive urban design (</w:t>
            </w:r>
            <w:r w:rsidRPr="003272C7">
              <w:rPr>
                <w:rFonts w:cs="Arial"/>
              </w:rPr>
              <w:t>WSUD</w:t>
            </w:r>
            <w:r w:rsidR="00F7295D" w:rsidRPr="003272C7">
              <w:rPr>
                <w:rFonts w:cs="Arial"/>
              </w:rPr>
              <w:t>)</w:t>
            </w:r>
            <w:r w:rsidRPr="003272C7">
              <w:rPr>
                <w:rFonts w:cs="Arial"/>
              </w:rPr>
              <w:t xml:space="preserve"> asset compliance and ongoing maintenance.</w:t>
            </w:r>
          </w:p>
          <w:p w14:paraId="0D067293" w14:textId="301F3EE4" w:rsidR="007B6F9C" w:rsidRPr="003272C7" w:rsidRDefault="007B6F9C" w:rsidP="001732CB">
            <w:pPr>
              <w:pStyle w:val="TableBullet"/>
              <w:rPr>
                <w:rFonts w:cs="Arial"/>
              </w:rPr>
            </w:pPr>
            <w:r w:rsidRPr="003272C7">
              <w:rPr>
                <w:rFonts w:cs="Arial"/>
              </w:rPr>
              <w:t>Implement the findings of the feasibility study into mandating stormwater flow targets (regulation, support for industry)</w:t>
            </w:r>
            <w:r w:rsidR="00F7295D" w:rsidRPr="003272C7">
              <w:rPr>
                <w:rFonts w:cs="Arial"/>
              </w:rPr>
              <w:t>.</w:t>
            </w:r>
          </w:p>
          <w:p w14:paraId="4B66173E" w14:textId="27B9BEB0" w:rsidR="007B6F9C" w:rsidRPr="003272C7" w:rsidRDefault="007B6F9C" w:rsidP="001732CB">
            <w:pPr>
              <w:pStyle w:val="TableBullet"/>
              <w:rPr>
                <w:rFonts w:cs="Arial"/>
              </w:rPr>
            </w:pPr>
            <w:r w:rsidRPr="003272C7">
              <w:rPr>
                <w:rFonts w:cs="Arial"/>
              </w:rPr>
              <w:t>Investigate stormwater institutional responsibilities, including in the Barwon region</w:t>
            </w:r>
            <w:r w:rsidR="00F7295D" w:rsidRPr="003272C7">
              <w:rPr>
                <w:rFonts w:cs="Arial"/>
              </w:rPr>
              <w:t>.</w:t>
            </w:r>
          </w:p>
          <w:p w14:paraId="269674F3" w14:textId="5C3873CD" w:rsidR="007B6F9C" w:rsidRPr="003272C7" w:rsidRDefault="007B6F9C" w:rsidP="001732CB">
            <w:pPr>
              <w:pStyle w:val="TableBullet"/>
              <w:rPr>
                <w:rFonts w:cs="Arial"/>
              </w:rPr>
            </w:pPr>
            <w:r w:rsidRPr="003272C7">
              <w:rPr>
                <w:rFonts w:cs="Arial"/>
              </w:rPr>
              <w:t>Develop rainwater tank regulation and deemed to satisfy solution</w:t>
            </w:r>
            <w:r w:rsidR="00F7295D" w:rsidRPr="003272C7">
              <w:rPr>
                <w:rFonts w:cs="Arial"/>
              </w:rPr>
              <w:t>.</w:t>
            </w:r>
          </w:p>
          <w:p w14:paraId="7511566E" w14:textId="52B93796" w:rsidR="007B6F9C" w:rsidRPr="003272C7" w:rsidRDefault="007B6F9C" w:rsidP="001732CB">
            <w:pPr>
              <w:pStyle w:val="TableBullet"/>
              <w:rPr>
                <w:rFonts w:cs="Arial"/>
              </w:rPr>
            </w:pPr>
            <w:r w:rsidRPr="003272C7">
              <w:rPr>
                <w:rFonts w:cs="Arial"/>
              </w:rPr>
              <w:lastRenderedPageBreak/>
              <w:t xml:space="preserve">Continue to build capacity across industry through the use </w:t>
            </w:r>
            <w:r w:rsidR="00F7295D" w:rsidRPr="003272C7">
              <w:rPr>
                <w:rFonts w:cs="Arial"/>
              </w:rPr>
              <w:t>of tools</w:t>
            </w:r>
            <w:r w:rsidRPr="003272C7">
              <w:rPr>
                <w:rFonts w:cs="Arial"/>
              </w:rPr>
              <w:t>, and communications to enable better delivery of stormwater management objectives.</w:t>
            </w:r>
          </w:p>
          <w:p w14:paraId="352DB718" w14:textId="31196E16" w:rsidR="007B6F9C" w:rsidRPr="003272C7" w:rsidRDefault="007B6F9C" w:rsidP="00F35AAB">
            <w:pPr>
              <w:pStyle w:val="TableTextBold"/>
              <w:rPr>
                <w:rFonts w:cs="Arial"/>
              </w:rPr>
            </w:pPr>
            <w:r w:rsidRPr="003272C7">
              <w:rPr>
                <w:rFonts w:cs="Arial"/>
              </w:rPr>
              <w:t>Onsite Domestic Wastewater Management</w:t>
            </w:r>
            <w:r w:rsidR="00F7295D" w:rsidRPr="003272C7">
              <w:rPr>
                <w:rFonts w:cs="Arial"/>
              </w:rPr>
              <w:t>:</w:t>
            </w:r>
          </w:p>
          <w:p w14:paraId="35D5D462" w14:textId="0AD72C5F" w:rsidR="007B6F9C" w:rsidRPr="003272C7" w:rsidRDefault="007B6F9C" w:rsidP="001732CB">
            <w:pPr>
              <w:pStyle w:val="TableBullet"/>
              <w:rPr>
                <w:rFonts w:cs="Arial"/>
              </w:rPr>
            </w:pPr>
            <w:r w:rsidRPr="003272C7">
              <w:rPr>
                <w:rFonts w:cs="Arial"/>
              </w:rPr>
              <w:t>Continue to work with Consumer Affairs Victoria / water corporations / councils to improve sewerage treatment options</w:t>
            </w:r>
            <w:r w:rsidR="00F7295D" w:rsidRPr="003272C7">
              <w:rPr>
                <w:rFonts w:cs="Arial"/>
              </w:rPr>
              <w:t xml:space="preserve"> </w:t>
            </w:r>
            <w:r w:rsidRPr="003272C7">
              <w:rPr>
                <w:rFonts w:cs="Arial"/>
              </w:rPr>
              <w:t>/</w:t>
            </w:r>
            <w:r w:rsidR="00F7295D" w:rsidRPr="003272C7">
              <w:rPr>
                <w:rFonts w:cs="Arial"/>
              </w:rPr>
              <w:t xml:space="preserve"> </w:t>
            </w:r>
            <w:r w:rsidRPr="003272C7">
              <w:rPr>
                <w:rFonts w:cs="Arial"/>
              </w:rPr>
              <w:t>sewer connection rates (consider legislation changes and Government investment criteria)</w:t>
            </w:r>
            <w:r w:rsidR="00F7295D" w:rsidRPr="003272C7">
              <w:rPr>
                <w:rFonts w:cs="Arial"/>
              </w:rPr>
              <w:t>.</w:t>
            </w:r>
          </w:p>
          <w:p w14:paraId="67418413" w14:textId="36A6043D" w:rsidR="007B6F9C" w:rsidRPr="003272C7" w:rsidRDefault="007B6F9C" w:rsidP="001732CB">
            <w:pPr>
              <w:pStyle w:val="TableBullet"/>
              <w:rPr>
                <w:rFonts w:cs="Arial"/>
              </w:rPr>
            </w:pPr>
            <w:r w:rsidRPr="003272C7">
              <w:rPr>
                <w:rFonts w:cs="Arial"/>
              </w:rPr>
              <w:t>Continue to work with the Statewide Wastewater steering committee to improve onsite wastewater management across Victoria</w:t>
            </w:r>
            <w:r w:rsidR="00F7295D" w:rsidRPr="003272C7">
              <w:rPr>
                <w:rFonts w:cs="Arial"/>
              </w:rPr>
              <w:t>.</w:t>
            </w:r>
          </w:p>
          <w:p w14:paraId="5A04F06D" w14:textId="3EDF7D5B" w:rsidR="00B242C3" w:rsidRPr="003272C7" w:rsidRDefault="007B6F9C" w:rsidP="001732CB">
            <w:pPr>
              <w:pStyle w:val="TableBullet"/>
              <w:rPr>
                <w:rFonts w:cs="Arial"/>
              </w:rPr>
            </w:pPr>
            <w:r w:rsidRPr="003272C7">
              <w:rPr>
                <w:rFonts w:cs="Arial"/>
              </w:rPr>
              <w:t>Work with councils to improve wastewater management (including grants program)</w:t>
            </w:r>
            <w:r w:rsidR="00F7295D" w:rsidRPr="003272C7">
              <w:rPr>
                <w:rFonts w:cs="Arial"/>
              </w:rPr>
              <w:t>.</w:t>
            </w:r>
          </w:p>
        </w:tc>
      </w:tr>
    </w:tbl>
    <w:p w14:paraId="5B01E974" w14:textId="110A6698" w:rsidR="00B242C3" w:rsidRPr="003272C7" w:rsidRDefault="00B242C3" w:rsidP="00B242C3">
      <w:pPr>
        <w:pStyle w:val="Heading2"/>
        <w:rPr>
          <w:rFonts w:cs="Arial"/>
        </w:rPr>
      </w:pPr>
      <w:bookmarkStart w:id="15" w:name="_Toc147410774"/>
      <w:bookmarkStart w:id="16" w:name="_Toc183777782"/>
      <w:r w:rsidRPr="003272C7">
        <w:rPr>
          <w:rFonts w:cs="Arial"/>
        </w:rPr>
        <w:lastRenderedPageBreak/>
        <w:t>WRS1: Retail Entitlements and Markets</w:t>
      </w:r>
      <w:bookmarkEnd w:id="15"/>
      <w:bookmarkEnd w:id="16"/>
      <w:r w:rsidRPr="003272C7">
        <w:rPr>
          <w:rFonts w:cs="Arial"/>
        </w:rPr>
        <w:t xml:space="preserve"> </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ayout w:type="fixed"/>
        <w:tblLook w:val="0420" w:firstRow="1" w:lastRow="0" w:firstColumn="0" w:lastColumn="0" w:noHBand="0" w:noVBand="1"/>
      </w:tblPr>
      <w:tblGrid>
        <w:gridCol w:w="1885"/>
        <w:gridCol w:w="7743"/>
      </w:tblGrid>
      <w:tr w:rsidR="00B242C3" w:rsidRPr="003272C7" w14:paraId="06F61820" w14:textId="77777777" w:rsidTr="005D16A1">
        <w:trPr>
          <w:trHeight w:val="395"/>
        </w:trPr>
        <w:tc>
          <w:tcPr>
            <w:tcW w:w="979" w:type="pct"/>
            <w:shd w:val="clear" w:color="auto" w:fill="231EDC" w:themeFill="accent1"/>
          </w:tcPr>
          <w:p w14:paraId="7365FFB3" w14:textId="4D7E83ED" w:rsidR="00B242C3" w:rsidRPr="003272C7" w:rsidRDefault="00C412A9" w:rsidP="00786DBA">
            <w:pPr>
              <w:pStyle w:val="TableTextBold"/>
              <w:rPr>
                <w:rFonts w:cs="Arial"/>
              </w:rPr>
            </w:pPr>
            <w:r w:rsidRPr="003272C7">
              <w:rPr>
                <w:rFonts w:cs="Arial"/>
              </w:rPr>
              <w:t>Initiative</w:t>
            </w:r>
          </w:p>
        </w:tc>
        <w:tc>
          <w:tcPr>
            <w:tcW w:w="4021" w:type="pct"/>
            <w:shd w:val="clear" w:color="auto" w:fill="231EDC" w:themeFill="accent1"/>
          </w:tcPr>
          <w:p w14:paraId="2B0F59D5" w14:textId="77777777" w:rsidR="00B242C3" w:rsidRPr="003272C7" w:rsidRDefault="00B242C3" w:rsidP="00786DBA">
            <w:pPr>
              <w:pStyle w:val="TableTextBold"/>
              <w:rPr>
                <w:rFonts w:cs="Arial"/>
              </w:rPr>
            </w:pPr>
            <w:r w:rsidRPr="003272C7">
              <w:rPr>
                <w:rFonts w:cs="Arial"/>
              </w:rPr>
              <w:t>2.Strong foundations for Victoria's water: compliance, markets, water entitlements and oversight of the water grid</w:t>
            </w:r>
          </w:p>
        </w:tc>
      </w:tr>
      <w:tr w:rsidR="00B242C3" w:rsidRPr="003272C7" w14:paraId="1D46B905" w14:textId="77777777" w:rsidTr="005D16A1">
        <w:trPr>
          <w:trHeight w:val="341"/>
        </w:trPr>
        <w:tc>
          <w:tcPr>
            <w:tcW w:w="979" w:type="pct"/>
            <w:shd w:val="clear" w:color="auto" w:fill="231EDC" w:themeFill="accent1"/>
          </w:tcPr>
          <w:p w14:paraId="2A082BA3" w14:textId="77777777" w:rsidR="00B242C3" w:rsidRPr="003272C7" w:rsidRDefault="00B242C3" w:rsidP="0023506B">
            <w:pPr>
              <w:pStyle w:val="TableText"/>
              <w:rPr>
                <w:rFonts w:cs="Arial"/>
                <w:b/>
                <w:bCs/>
              </w:rPr>
            </w:pPr>
            <w:r w:rsidRPr="003272C7">
              <w:rPr>
                <w:rFonts w:cs="Arial"/>
                <w:b/>
                <w:bCs/>
              </w:rPr>
              <w:t>Project</w:t>
            </w:r>
          </w:p>
        </w:tc>
        <w:tc>
          <w:tcPr>
            <w:tcW w:w="4021" w:type="pct"/>
          </w:tcPr>
          <w:p w14:paraId="167EE5E8" w14:textId="77777777" w:rsidR="00B242C3" w:rsidRPr="003272C7" w:rsidRDefault="00B242C3" w:rsidP="0023506B">
            <w:pPr>
              <w:pStyle w:val="TableText"/>
              <w:rPr>
                <w:rFonts w:cs="Arial"/>
              </w:rPr>
            </w:pPr>
            <w:r w:rsidRPr="003272C7">
              <w:rPr>
                <w:rFonts w:cs="Arial"/>
              </w:rPr>
              <w:t>WRS1: Retail Entitlements and Markets</w:t>
            </w:r>
          </w:p>
        </w:tc>
      </w:tr>
      <w:tr w:rsidR="00B242C3" w:rsidRPr="003272C7" w14:paraId="303F5F4E" w14:textId="77777777" w:rsidTr="005D16A1">
        <w:trPr>
          <w:trHeight w:val="259"/>
        </w:trPr>
        <w:tc>
          <w:tcPr>
            <w:tcW w:w="979" w:type="pct"/>
            <w:shd w:val="clear" w:color="auto" w:fill="231EDC" w:themeFill="accent1"/>
          </w:tcPr>
          <w:p w14:paraId="3D34B016" w14:textId="77777777" w:rsidR="00B242C3" w:rsidRPr="003272C7" w:rsidRDefault="00B242C3" w:rsidP="0023506B">
            <w:pPr>
              <w:pStyle w:val="TableText"/>
              <w:rPr>
                <w:rFonts w:cs="Arial"/>
                <w:b/>
                <w:bCs/>
              </w:rPr>
            </w:pPr>
            <w:r w:rsidRPr="003272C7">
              <w:rPr>
                <w:rFonts w:cs="Arial"/>
                <w:b/>
                <w:bCs/>
              </w:rPr>
              <w:t>Description</w:t>
            </w:r>
          </w:p>
          <w:p w14:paraId="29540978" w14:textId="77777777" w:rsidR="00B242C3" w:rsidRPr="003272C7" w:rsidRDefault="00B242C3" w:rsidP="0023506B">
            <w:pPr>
              <w:pStyle w:val="TableText"/>
              <w:rPr>
                <w:rFonts w:cs="Arial"/>
                <w:b/>
                <w:bCs/>
              </w:rPr>
            </w:pPr>
          </w:p>
        </w:tc>
        <w:tc>
          <w:tcPr>
            <w:tcW w:w="4021" w:type="pct"/>
          </w:tcPr>
          <w:p w14:paraId="17FC1364" w14:textId="6E0E1C14" w:rsidR="00B242C3" w:rsidRPr="003272C7" w:rsidRDefault="00856443" w:rsidP="0023506B">
            <w:pPr>
              <w:pStyle w:val="TableText"/>
              <w:rPr>
                <w:rFonts w:cs="Arial"/>
              </w:rPr>
            </w:pPr>
            <w:r w:rsidRPr="003272C7">
              <w:rPr>
                <w:rFonts w:cs="Arial"/>
              </w:rPr>
              <w:t>This project supports a program of works to</w:t>
            </w:r>
            <w:r w:rsidR="00B242C3" w:rsidRPr="003272C7">
              <w:rPr>
                <w:rFonts w:cs="Arial"/>
              </w:rPr>
              <w:t xml:space="preserve"> provide clear and certain rights to water for all types of water users, ensuring that water market settings and system rules are appropriate </w:t>
            </w:r>
            <w:r w:rsidR="007C62B5" w:rsidRPr="003272C7">
              <w:rPr>
                <w:rFonts w:cs="Arial"/>
              </w:rPr>
              <w:t>and protect</w:t>
            </w:r>
            <w:r w:rsidR="00B242C3" w:rsidRPr="003272C7">
              <w:rPr>
                <w:rFonts w:cs="Arial"/>
              </w:rPr>
              <w:t xml:space="preserve"> ecological and cultural </w:t>
            </w:r>
            <w:r w:rsidR="007C62B5" w:rsidRPr="003272C7">
              <w:rPr>
                <w:rFonts w:cs="Arial"/>
              </w:rPr>
              <w:t>values</w:t>
            </w:r>
            <w:r w:rsidR="00B242C3" w:rsidRPr="003272C7">
              <w:rPr>
                <w:rFonts w:cs="Arial"/>
              </w:rPr>
              <w:t xml:space="preserve">. It also funds actions to protect Victoria’s interests in the Murray system, and </w:t>
            </w:r>
            <w:r w:rsidR="00222598" w:rsidRPr="003272C7">
              <w:rPr>
                <w:rFonts w:cs="Arial"/>
              </w:rPr>
              <w:t xml:space="preserve">enhance </w:t>
            </w:r>
            <w:r w:rsidR="00B242C3" w:rsidRPr="003272C7">
              <w:rPr>
                <w:rFonts w:cs="Arial"/>
              </w:rPr>
              <w:t>community preparedness to make informed decisions to manage risks and get more value out of their water.</w:t>
            </w:r>
          </w:p>
          <w:p w14:paraId="7A420C04" w14:textId="77777777" w:rsidR="00142559" w:rsidRPr="003272C7" w:rsidRDefault="00B242C3" w:rsidP="0023506B">
            <w:pPr>
              <w:pStyle w:val="TableText"/>
              <w:rPr>
                <w:rFonts w:cs="Arial"/>
              </w:rPr>
            </w:pPr>
            <w:r w:rsidRPr="003272C7">
              <w:rPr>
                <w:rFonts w:cs="Arial"/>
              </w:rPr>
              <w:t xml:space="preserve">The </w:t>
            </w:r>
            <w:r w:rsidR="00222598" w:rsidRPr="003272C7">
              <w:rPr>
                <w:rFonts w:cs="Arial"/>
              </w:rPr>
              <w:t>project</w:t>
            </w:r>
            <w:r w:rsidRPr="003272C7">
              <w:rPr>
                <w:rFonts w:cs="Arial"/>
              </w:rPr>
              <w:t xml:space="preserve"> sought to address these problems by improving the regulatory framework in declared water systems to enable communities to get the most value out of Victoria’s water resources, while protecting shared environmental and Traditional Owner cultural values. It also sought to improve water market confidence, </w:t>
            </w:r>
            <w:r w:rsidR="00222598" w:rsidRPr="003272C7">
              <w:rPr>
                <w:rFonts w:cs="Arial"/>
              </w:rPr>
              <w:t xml:space="preserve">by delivering essential reports and enhancements to market information </w:t>
            </w:r>
            <w:r w:rsidRPr="003272C7">
              <w:rPr>
                <w:rFonts w:cs="Arial"/>
              </w:rPr>
              <w:t>and making sure market settings are</w:t>
            </w:r>
            <w:r w:rsidR="00A47F2A" w:rsidRPr="003272C7">
              <w:rPr>
                <w:rFonts w:cs="Arial"/>
              </w:rPr>
              <w:t> </w:t>
            </w:r>
            <w:r w:rsidRPr="003272C7">
              <w:rPr>
                <w:rFonts w:cs="Arial"/>
              </w:rPr>
              <w:t>right.</w:t>
            </w:r>
          </w:p>
          <w:p w14:paraId="3C80B227" w14:textId="57B29D1B" w:rsidR="00B242C3" w:rsidRPr="003272C7" w:rsidRDefault="0055253E" w:rsidP="0023506B">
            <w:pPr>
              <w:pStyle w:val="TableText"/>
              <w:rPr>
                <w:rFonts w:cs="Arial"/>
              </w:rPr>
            </w:pPr>
            <w:r w:rsidRPr="003272C7">
              <w:rPr>
                <w:rStyle w:val="normaltextrun"/>
                <w:rFonts w:cs="Arial"/>
              </w:rPr>
              <w:t>This project was the foundational investment in outcomes which were further developed through an additional EC5 project - WRS19</w:t>
            </w:r>
            <w:r w:rsidR="00F7295D" w:rsidRPr="003272C7">
              <w:rPr>
                <w:rStyle w:val="normaltextrun"/>
                <w:rFonts w:cs="Arial"/>
              </w:rPr>
              <w:t xml:space="preserve">: </w:t>
            </w:r>
            <w:r w:rsidR="00BD48CD" w:rsidRPr="003272C7">
              <w:rPr>
                <w:rStyle w:val="normaltextrun"/>
                <w:rFonts w:cs="Arial"/>
              </w:rPr>
              <w:t>Resilient Water Markets, Regional Communities and Infrastructure (Stream 1 and 2)</w:t>
            </w:r>
            <w:r w:rsidRPr="003272C7">
              <w:rPr>
                <w:rStyle w:val="normaltextrun"/>
                <w:rFonts w:cs="Arial"/>
              </w:rPr>
              <w:t xml:space="preserve"> - which sought to support water reliability and community and investor confidence in a period of increasing demand for water, competition for funding of large-scale infrastructure projects and significant intergovernmental reform.</w:t>
            </w:r>
          </w:p>
        </w:tc>
      </w:tr>
      <w:tr w:rsidR="00B242C3" w:rsidRPr="003272C7" w14:paraId="16F939EE" w14:textId="77777777" w:rsidTr="005D16A1">
        <w:trPr>
          <w:trHeight w:val="259"/>
        </w:trPr>
        <w:tc>
          <w:tcPr>
            <w:tcW w:w="979" w:type="pct"/>
            <w:shd w:val="clear" w:color="auto" w:fill="231EDC" w:themeFill="accent1"/>
          </w:tcPr>
          <w:p w14:paraId="0A3804B6"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221977A3" w14:textId="58DCA801" w:rsidR="00B242C3" w:rsidRPr="003272C7" w:rsidRDefault="00B242C3" w:rsidP="00A47F2A">
            <w:pPr>
              <w:pStyle w:val="TableTextBold"/>
              <w:rPr>
                <w:rFonts w:cs="Arial"/>
              </w:rPr>
            </w:pPr>
            <w:r w:rsidRPr="003272C7">
              <w:rPr>
                <w:rFonts w:cs="Arial"/>
              </w:rPr>
              <w:t>Market Monitoring and Information</w:t>
            </w:r>
            <w:r w:rsidR="00BD48CD" w:rsidRPr="003272C7">
              <w:rPr>
                <w:rFonts w:cs="Arial"/>
              </w:rPr>
              <w:t>:</w:t>
            </w:r>
          </w:p>
          <w:p w14:paraId="31C38AA6" w14:textId="77777777" w:rsidR="00142559" w:rsidRPr="003272C7" w:rsidRDefault="00D96DDF" w:rsidP="00A47F2A">
            <w:pPr>
              <w:pStyle w:val="TableBullet"/>
              <w:rPr>
                <w:rFonts w:cs="Arial"/>
              </w:rPr>
            </w:pPr>
            <w:r w:rsidRPr="003272C7">
              <w:rPr>
                <w:rFonts w:cs="Arial"/>
              </w:rPr>
              <w:t xml:space="preserve">Delivered a series of reports and public dashboard including: </w:t>
            </w:r>
            <w:r w:rsidR="00B242C3" w:rsidRPr="003272C7">
              <w:rPr>
                <w:rFonts w:cs="Arial"/>
              </w:rPr>
              <w:t xml:space="preserve">Broker audit public report, </w:t>
            </w:r>
            <w:r w:rsidRPr="003272C7">
              <w:rPr>
                <w:rFonts w:cs="Arial"/>
              </w:rPr>
              <w:t>a</w:t>
            </w:r>
            <w:r w:rsidR="00B242C3" w:rsidRPr="003272C7">
              <w:rPr>
                <w:rFonts w:cs="Arial"/>
              </w:rPr>
              <w:t>nnual trade report</w:t>
            </w:r>
            <w:r w:rsidR="000C7939" w:rsidRPr="003272C7">
              <w:rPr>
                <w:rFonts w:cs="Arial"/>
              </w:rPr>
              <w:t>;</w:t>
            </w:r>
            <w:r w:rsidR="00B242C3" w:rsidRPr="003272C7">
              <w:rPr>
                <w:rFonts w:cs="Arial"/>
              </w:rPr>
              <w:t xml:space="preserve"> market trends report and trade report dashboard</w:t>
            </w:r>
            <w:r w:rsidR="000C7939" w:rsidRPr="003272C7">
              <w:rPr>
                <w:rFonts w:cs="Arial"/>
              </w:rPr>
              <w:t>;</w:t>
            </w:r>
            <w:r w:rsidR="00B242C3" w:rsidRPr="003272C7">
              <w:rPr>
                <w:rFonts w:cs="Arial"/>
              </w:rPr>
              <w:t xml:space="preserve"> </w:t>
            </w:r>
            <w:r w:rsidR="000C7939" w:rsidRPr="003272C7">
              <w:rPr>
                <w:rFonts w:cs="Arial"/>
              </w:rPr>
              <w:t>a</w:t>
            </w:r>
            <w:r w:rsidR="00B242C3" w:rsidRPr="003272C7">
              <w:rPr>
                <w:rFonts w:cs="Arial"/>
              </w:rPr>
              <w:t>nnual Basin Plan compliance reporting</w:t>
            </w:r>
            <w:r w:rsidR="000C7939" w:rsidRPr="003272C7">
              <w:rPr>
                <w:rFonts w:cs="Arial"/>
              </w:rPr>
              <w:t>;</w:t>
            </w:r>
            <w:r w:rsidR="00B242C3" w:rsidRPr="003272C7">
              <w:rPr>
                <w:rFonts w:cs="Arial"/>
              </w:rPr>
              <w:t xml:space="preserve"> </w:t>
            </w:r>
            <w:r w:rsidR="000C7939" w:rsidRPr="003272C7">
              <w:rPr>
                <w:rFonts w:cs="Arial"/>
              </w:rPr>
              <w:t>i</w:t>
            </w:r>
            <w:r w:rsidR="00B242C3" w:rsidRPr="003272C7">
              <w:rPr>
                <w:rFonts w:cs="Arial"/>
              </w:rPr>
              <w:t>nternal market monitoring dashboard</w:t>
            </w:r>
            <w:r w:rsidR="001A41DD" w:rsidRPr="003272C7">
              <w:rPr>
                <w:rFonts w:cs="Arial"/>
              </w:rPr>
              <w:t>;</w:t>
            </w:r>
            <w:r w:rsidR="00B242C3" w:rsidRPr="003272C7">
              <w:rPr>
                <w:rFonts w:cs="Arial"/>
              </w:rPr>
              <w:t xml:space="preserve"> </w:t>
            </w:r>
            <w:r w:rsidR="001A41DD" w:rsidRPr="003272C7">
              <w:rPr>
                <w:rFonts w:cs="Arial"/>
              </w:rPr>
              <w:t>c</w:t>
            </w:r>
            <w:r w:rsidR="00B242C3" w:rsidRPr="003272C7">
              <w:rPr>
                <w:rFonts w:cs="Arial"/>
              </w:rPr>
              <w:t>hecks of trade processes</w:t>
            </w:r>
            <w:r w:rsidR="001A41DD" w:rsidRPr="003272C7">
              <w:rPr>
                <w:rFonts w:cs="Arial"/>
              </w:rPr>
              <w:t>;</w:t>
            </w:r>
            <w:r w:rsidR="00B242C3" w:rsidRPr="003272C7">
              <w:rPr>
                <w:rFonts w:cs="Arial"/>
              </w:rPr>
              <w:t xml:space="preserve"> </w:t>
            </w:r>
            <w:r w:rsidR="001A41DD" w:rsidRPr="003272C7">
              <w:rPr>
                <w:rFonts w:cs="Arial"/>
              </w:rPr>
              <w:t>r</w:t>
            </w:r>
            <w:r w:rsidR="00B242C3" w:rsidRPr="003272C7">
              <w:rPr>
                <w:rFonts w:cs="Arial"/>
              </w:rPr>
              <w:t>esources</w:t>
            </w:r>
            <w:r w:rsidR="001A41DD" w:rsidRPr="003272C7">
              <w:rPr>
                <w:rFonts w:cs="Arial"/>
              </w:rPr>
              <w:t>;</w:t>
            </w:r>
            <w:r w:rsidR="00142559" w:rsidRPr="003272C7">
              <w:rPr>
                <w:rFonts w:cs="Arial"/>
              </w:rPr>
              <w:t xml:space="preserve"> </w:t>
            </w:r>
            <w:r w:rsidR="00B242C3" w:rsidRPr="003272C7">
              <w:rPr>
                <w:rFonts w:cs="Arial"/>
              </w:rPr>
              <w:t>Broker Portal enhancements</w:t>
            </w:r>
            <w:r w:rsidR="00C74F1A" w:rsidRPr="003272C7">
              <w:rPr>
                <w:rFonts w:cs="Arial"/>
              </w:rPr>
              <w:t>;</w:t>
            </w:r>
            <w:r w:rsidR="00B242C3" w:rsidRPr="003272C7">
              <w:rPr>
                <w:rFonts w:cs="Arial"/>
              </w:rPr>
              <w:t xml:space="preserve"> </w:t>
            </w:r>
            <w:r w:rsidR="00C74F1A" w:rsidRPr="003272C7">
              <w:rPr>
                <w:rFonts w:cs="Arial"/>
              </w:rPr>
              <w:t>confirmed a</w:t>
            </w:r>
            <w:r w:rsidR="00B242C3" w:rsidRPr="003272C7">
              <w:rPr>
                <w:rFonts w:cs="Arial"/>
              </w:rPr>
              <w:t>ccuracy of price reporting through an annual audit</w:t>
            </w:r>
            <w:r w:rsidR="00C74F1A" w:rsidRPr="003272C7">
              <w:rPr>
                <w:rFonts w:cs="Arial"/>
              </w:rPr>
              <w:t>;</w:t>
            </w:r>
            <w:r w:rsidR="00B242C3" w:rsidRPr="003272C7">
              <w:rPr>
                <w:rFonts w:cs="Arial"/>
              </w:rPr>
              <w:t xml:space="preserve"> carryover fact sheets and dashboard</w:t>
            </w:r>
            <w:r w:rsidR="00C74F1A" w:rsidRPr="003272C7">
              <w:rPr>
                <w:rFonts w:cs="Arial"/>
              </w:rPr>
              <w:t>;</w:t>
            </w:r>
            <w:r w:rsidR="00B242C3" w:rsidRPr="003272C7">
              <w:rPr>
                <w:rFonts w:cs="Arial"/>
              </w:rPr>
              <w:t xml:space="preserve"> </w:t>
            </w:r>
            <w:r w:rsidR="0076163F" w:rsidRPr="003272C7">
              <w:rPr>
                <w:rFonts w:cs="Arial"/>
              </w:rPr>
              <w:t>dashboard for</w:t>
            </w:r>
            <w:r w:rsidR="00B242C3" w:rsidRPr="003272C7">
              <w:rPr>
                <w:rFonts w:cs="Arial"/>
              </w:rPr>
              <w:t xml:space="preserve"> an allocation price, </w:t>
            </w:r>
            <w:r w:rsidR="0076163F" w:rsidRPr="003272C7">
              <w:rPr>
                <w:rFonts w:cs="Arial"/>
              </w:rPr>
              <w:t>and</w:t>
            </w:r>
            <w:r w:rsidR="00D46682" w:rsidRPr="003272C7">
              <w:rPr>
                <w:rFonts w:cs="Arial"/>
              </w:rPr>
              <w:t>;</w:t>
            </w:r>
            <w:r w:rsidR="0076163F" w:rsidRPr="003272C7">
              <w:rPr>
                <w:rFonts w:cs="Arial"/>
              </w:rPr>
              <w:t xml:space="preserve"> </w:t>
            </w:r>
            <w:r w:rsidR="00B242C3" w:rsidRPr="003272C7">
              <w:rPr>
                <w:rFonts w:cs="Arial"/>
              </w:rPr>
              <w:t xml:space="preserve">available water and trade limits </w:t>
            </w:r>
            <w:r w:rsidR="00D46682" w:rsidRPr="003272C7">
              <w:rPr>
                <w:rFonts w:cs="Arial"/>
              </w:rPr>
              <w:t>and</w:t>
            </w:r>
            <w:r w:rsidR="00B242C3" w:rsidRPr="003272C7">
              <w:rPr>
                <w:rFonts w:cs="Arial"/>
              </w:rPr>
              <w:t xml:space="preserve"> </w:t>
            </w:r>
            <w:r w:rsidR="00D46682" w:rsidRPr="003272C7">
              <w:rPr>
                <w:rFonts w:cs="Arial"/>
              </w:rPr>
              <w:t>p</w:t>
            </w:r>
            <w:r w:rsidR="00B242C3" w:rsidRPr="003272C7">
              <w:rPr>
                <w:rFonts w:cs="Arial"/>
              </w:rPr>
              <w:t>rice reporting for Murray trading zones</w:t>
            </w:r>
            <w:r w:rsidR="00D46682" w:rsidRPr="003272C7">
              <w:rPr>
                <w:rFonts w:cs="Arial"/>
              </w:rPr>
              <w:t>.</w:t>
            </w:r>
          </w:p>
          <w:p w14:paraId="48FD4C08" w14:textId="77777777" w:rsidR="00142559" w:rsidRPr="003272C7" w:rsidRDefault="00B242C3" w:rsidP="00A47F2A">
            <w:pPr>
              <w:pStyle w:val="TableTextBold"/>
              <w:rPr>
                <w:rFonts w:cs="Arial"/>
              </w:rPr>
            </w:pPr>
            <w:r w:rsidRPr="003272C7">
              <w:rPr>
                <w:rFonts w:cs="Arial"/>
              </w:rPr>
              <w:t xml:space="preserve">Governance, </w:t>
            </w:r>
            <w:r w:rsidR="00E80919" w:rsidRPr="003272C7">
              <w:rPr>
                <w:rFonts w:cs="Arial"/>
              </w:rPr>
              <w:t xml:space="preserve">Entitlements </w:t>
            </w:r>
            <w:r w:rsidRPr="003272C7">
              <w:rPr>
                <w:rFonts w:cs="Arial"/>
              </w:rPr>
              <w:t>and Legislation</w:t>
            </w:r>
            <w:r w:rsidR="00BD48CD" w:rsidRPr="003272C7">
              <w:rPr>
                <w:rFonts w:cs="Arial"/>
              </w:rPr>
              <w:t>:</w:t>
            </w:r>
          </w:p>
          <w:p w14:paraId="3E22D6CC" w14:textId="77777777" w:rsidR="00142559" w:rsidRPr="003272C7" w:rsidRDefault="00406B59" w:rsidP="00A47F2A">
            <w:pPr>
              <w:pStyle w:val="TableBullet"/>
              <w:rPr>
                <w:rFonts w:cs="Arial"/>
              </w:rPr>
            </w:pPr>
            <w:r w:rsidRPr="003272C7">
              <w:rPr>
                <w:rFonts w:cs="Arial"/>
              </w:rPr>
              <w:t>Introduced a new place of take (PoT) approvals framework through legislative changes to the Victorian Water Act 1989 to strengthen existing users’ rights to take water during a shortfall and provide greater flexibility for water users to manage their own delivery risks, including implementing a cap on delivery rights in the Murray River System.</w:t>
            </w:r>
          </w:p>
          <w:p w14:paraId="3CA08908" w14:textId="05D10113" w:rsidR="00B242C3" w:rsidRPr="003272C7" w:rsidRDefault="00406B59" w:rsidP="00A47F2A">
            <w:pPr>
              <w:pStyle w:val="TableBullet"/>
              <w:rPr>
                <w:rFonts w:cs="Arial"/>
              </w:rPr>
            </w:pPr>
            <w:r w:rsidRPr="003272C7">
              <w:rPr>
                <w:rFonts w:cs="Arial"/>
              </w:rPr>
              <w:t xml:space="preserve">Delivered supporting implementation actions and developed supporting instruments (e.g. transitioning trade rules, rationing and water system zones, and for tagged use restrictions, including in the King and </w:t>
            </w:r>
            <w:r w:rsidR="00BD48CD" w:rsidRPr="003272C7">
              <w:rPr>
                <w:rFonts w:cs="Arial"/>
              </w:rPr>
              <w:t>Ovens River</w:t>
            </w:r>
            <w:r w:rsidRPr="003272C7">
              <w:rPr>
                <w:rFonts w:cs="Arial"/>
              </w:rPr>
              <w:t xml:space="preserve"> systems) to enable the new framework.</w:t>
            </w:r>
          </w:p>
          <w:p w14:paraId="6F8A3A60" w14:textId="77777777" w:rsidR="00142559" w:rsidRPr="003272C7" w:rsidRDefault="00B242C3" w:rsidP="00A47F2A">
            <w:pPr>
              <w:pStyle w:val="TableTextBold"/>
              <w:rPr>
                <w:rFonts w:cs="Arial"/>
              </w:rPr>
            </w:pPr>
            <w:r w:rsidRPr="003272C7">
              <w:rPr>
                <w:rFonts w:cs="Arial"/>
              </w:rPr>
              <w:t>Declared Systems Reform</w:t>
            </w:r>
            <w:r w:rsidR="00BD48CD" w:rsidRPr="003272C7">
              <w:rPr>
                <w:rFonts w:cs="Arial"/>
              </w:rPr>
              <w:t>:</w:t>
            </w:r>
          </w:p>
          <w:p w14:paraId="1B30985A" w14:textId="77777777" w:rsidR="00142559" w:rsidRPr="003272C7" w:rsidRDefault="0052246A" w:rsidP="00A47F2A">
            <w:pPr>
              <w:pStyle w:val="TableBullet"/>
              <w:rPr>
                <w:rFonts w:cs="Arial"/>
              </w:rPr>
            </w:pPr>
            <w:r w:rsidRPr="003272C7">
              <w:rPr>
                <w:rFonts w:cs="Arial"/>
              </w:rPr>
              <w:t xml:space="preserve">Completed </w:t>
            </w:r>
            <w:r w:rsidR="00BD48CD" w:rsidRPr="003272C7">
              <w:rPr>
                <w:rFonts w:cs="Arial"/>
              </w:rPr>
              <w:t>Goulburn to Murray trade review</w:t>
            </w:r>
            <w:r w:rsidRPr="003272C7">
              <w:rPr>
                <w:rFonts w:cs="Arial"/>
              </w:rPr>
              <w:t xml:space="preserve"> (GMTR), including </w:t>
            </w:r>
            <w:r w:rsidR="00BD48CD" w:rsidRPr="003272C7">
              <w:rPr>
                <w:rFonts w:cs="Arial"/>
              </w:rPr>
              <w:t xml:space="preserve">a </w:t>
            </w:r>
            <w:r w:rsidRPr="003272C7">
              <w:rPr>
                <w:rFonts w:cs="Arial"/>
              </w:rPr>
              <w:t>Regulatory Impact Statement (RIS) process and subsequently implemented new long-term trade rules and operating rules for flows in the lower Goulburn River.</w:t>
            </w:r>
          </w:p>
          <w:p w14:paraId="6BD4BDBB" w14:textId="77777777" w:rsidR="00142559" w:rsidRPr="003272C7" w:rsidRDefault="0052246A" w:rsidP="00A47F2A">
            <w:pPr>
              <w:pStyle w:val="TableBullet"/>
              <w:rPr>
                <w:rFonts w:cs="Arial"/>
              </w:rPr>
            </w:pPr>
            <w:r w:rsidRPr="003272C7">
              <w:rPr>
                <w:rFonts w:cs="Arial"/>
              </w:rPr>
              <w:lastRenderedPageBreak/>
              <w:t>Secured commitments from Goulburn</w:t>
            </w:r>
            <w:r w:rsidR="00BD48CD" w:rsidRPr="003272C7">
              <w:rPr>
                <w:rFonts w:cs="Arial"/>
              </w:rPr>
              <w:t>-</w:t>
            </w:r>
            <w:r w:rsidRPr="003272C7">
              <w:rPr>
                <w:rFonts w:cs="Arial"/>
              </w:rPr>
              <w:t xml:space="preserve">Murray Water, the Murray-Darling Basin Authority (MDBA) and southern Murray-Darling Basin </w:t>
            </w:r>
            <w:r w:rsidR="00BD48CD" w:rsidRPr="003272C7">
              <w:rPr>
                <w:rFonts w:cs="Arial"/>
              </w:rPr>
              <w:t xml:space="preserve">(MDB) </w:t>
            </w:r>
            <w:r w:rsidRPr="003272C7">
              <w:rPr>
                <w:rFonts w:cs="Arial"/>
              </w:rPr>
              <w:t>governments to adhere to operating rules to protect the lower Goulburn River from 2023-24.</w:t>
            </w:r>
          </w:p>
          <w:p w14:paraId="57533513" w14:textId="77777777" w:rsidR="00142559" w:rsidRPr="003272C7" w:rsidRDefault="0052246A" w:rsidP="00A47F2A">
            <w:pPr>
              <w:pStyle w:val="TableBullet"/>
              <w:rPr>
                <w:rFonts w:cs="Arial"/>
              </w:rPr>
            </w:pPr>
            <w:r w:rsidRPr="003272C7">
              <w:rPr>
                <w:rFonts w:cs="Arial"/>
              </w:rPr>
              <w:t>Advocated and reached consensus with the MDBA, the Commonwealth and Basin State representatives on amendments to Schedule D of the MDB Agreement through the Basin Officials Committee (BOC).</w:t>
            </w:r>
          </w:p>
          <w:p w14:paraId="5B7DDE81" w14:textId="128A1BA5" w:rsidR="003D4E8A" w:rsidRPr="003272C7" w:rsidRDefault="003D4E8A" w:rsidP="00A47F2A">
            <w:pPr>
              <w:pStyle w:val="TableBullet"/>
              <w:rPr>
                <w:rFonts w:cs="Arial"/>
              </w:rPr>
            </w:pPr>
            <w:r w:rsidRPr="003272C7">
              <w:rPr>
                <w:rFonts w:cs="Arial"/>
              </w:rPr>
              <w:t>Removed 'grandfathered' tagged trade exemptions from Victorian entitlements through changes to Victorian legislative instruments to align with changes made to the Basin Plan with the introduction of the Water Amendment (Restoring Our Rivers) Act 2023</w:t>
            </w:r>
            <w:r w:rsidR="008D6EF2" w:rsidRPr="003272C7">
              <w:rPr>
                <w:rFonts w:cs="Arial"/>
              </w:rPr>
              <w:t>.</w:t>
            </w:r>
          </w:p>
          <w:p w14:paraId="29E53CE5" w14:textId="77777777" w:rsidR="00142559" w:rsidRPr="003272C7" w:rsidRDefault="003D4E8A" w:rsidP="00A47F2A">
            <w:pPr>
              <w:pStyle w:val="TableBullet"/>
              <w:rPr>
                <w:rFonts w:cs="Arial"/>
              </w:rPr>
            </w:pPr>
            <w:r w:rsidRPr="00623380">
              <w:rPr>
                <w:rFonts w:cs="Arial"/>
              </w:rPr>
              <w:t>Capped extraction share in the Murray and Ovens systems following stakeholder consultation to reflect delivery risks in those systems.</w:t>
            </w:r>
          </w:p>
          <w:p w14:paraId="3540DD2F" w14:textId="1EFB4DD2" w:rsidR="00B242C3" w:rsidRPr="003272C7" w:rsidRDefault="00B242C3" w:rsidP="00A47F2A">
            <w:pPr>
              <w:pStyle w:val="TableTextBold"/>
              <w:rPr>
                <w:rFonts w:cs="Arial"/>
              </w:rPr>
            </w:pPr>
            <w:r w:rsidRPr="003272C7">
              <w:rPr>
                <w:rFonts w:cs="Arial"/>
              </w:rPr>
              <w:t>Murray Systems Management</w:t>
            </w:r>
            <w:r w:rsidR="00BD48CD" w:rsidRPr="003272C7">
              <w:rPr>
                <w:rFonts w:cs="Arial"/>
              </w:rPr>
              <w:t>:</w:t>
            </w:r>
          </w:p>
          <w:p w14:paraId="6D0C9691" w14:textId="2A3315A1" w:rsidR="00B242C3" w:rsidRPr="003272C7" w:rsidRDefault="00880A8C" w:rsidP="00A47F2A">
            <w:pPr>
              <w:pStyle w:val="TableBullet"/>
              <w:rPr>
                <w:rFonts w:cs="Arial"/>
              </w:rPr>
            </w:pPr>
            <w:r w:rsidRPr="00623380">
              <w:rPr>
                <w:rFonts w:cs="Arial"/>
              </w:rPr>
              <w:t>Agreed with WaterNSW on a way of opening trade opportunity across the Barmah Choke for July 2024</w:t>
            </w:r>
            <w:r w:rsidRPr="003272C7">
              <w:rPr>
                <w:rFonts w:cs="Arial"/>
              </w:rPr>
              <w:t>.</w:t>
            </w:r>
          </w:p>
        </w:tc>
      </w:tr>
      <w:tr w:rsidR="00B242C3" w:rsidRPr="003272C7" w14:paraId="3B3BFCE0" w14:textId="77777777" w:rsidTr="005D16A1">
        <w:trPr>
          <w:trHeight w:val="259"/>
        </w:trPr>
        <w:tc>
          <w:tcPr>
            <w:tcW w:w="5000" w:type="pct"/>
            <w:gridSpan w:val="2"/>
            <w:shd w:val="clear" w:color="auto" w:fill="231EDC" w:themeFill="accent1"/>
          </w:tcPr>
          <w:p w14:paraId="72301FAC" w14:textId="77CA5511" w:rsidR="00B242C3" w:rsidRPr="003272C7" w:rsidRDefault="00C51015" w:rsidP="00C06DED">
            <w:pPr>
              <w:pStyle w:val="TableText"/>
              <w:rPr>
                <w:rFonts w:cs="Arial"/>
                <w:b/>
                <w:bCs/>
                <w:szCs w:val="18"/>
              </w:rPr>
            </w:pPr>
            <w:r w:rsidRPr="003272C7">
              <w:rPr>
                <w:rFonts w:cs="Arial"/>
                <w:b/>
                <w:bCs/>
                <w:szCs w:val="18"/>
              </w:rPr>
              <w:lastRenderedPageBreak/>
              <w:t>Summary against evaluation domains</w:t>
            </w:r>
          </w:p>
        </w:tc>
      </w:tr>
      <w:tr w:rsidR="00B242C3" w:rsidRPr="003272C7" w14:paraId="3DEC4525" w14:textId="77777777" w:rsidTr="005D16A1">
        <w:trPr>
          <w:trHeight w:val="259"/>
        </w:trPr>
        <w:tc>
          <w:tcPr>
            <w:tcW w:w="979" w:type="pct"/>
            <w:shd w:val="clear" w:color="auto" w:fill="231EDC" w:themeFill="accent1"/>
          </w:tcPr>
          <w:p w14:paraId="0760ECBA"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35DC63D2" w14:textId="6EFDECB2" w:rsidR="002202D3" w:rsidRPr="003272C7" w:rsidRDefault="002202D3" w:rsidP="007B1BE5">
            <w:pPr>
              <w:pStyle w:val="TableTextBold"/>
              <w:rPr>
                <w:rFonts w:cs="Arial"/>
              </w:rPr>
            </w:pPr>
            <w:r w:rsidRPr="003272C7">
              <w:rPr>
                <w:rFonts w:cs="Arial"/>
              </w:rPr>
              <w:t xml:space="preserve">Protecting the integrity of the retail </w:t>
            </w:r>
            <w:r w:rsidR="006B16F6" w:rsidRPr="003272C7">
              <w:rPr>
                <w:rFonts w:cs="Arial"/>
              </w:rPr>
              <w:t>entitlement and market framework</w:t>
            </w:r>
            <w:r w:rsidR="00BD48CD" w:rsidRPr="003272C7">
              <w:rPr>
                <w:rFonts w:cs="Arial"/>
              </w:rPr>
              <w:t>:</w:t>
            </w:r>
          </w:p>
          <w:p w14:paraId="37011388" w14:textId="7457EB95" w:rsidR="00142559" w:rsidRPr="003272C7" w:rsidRDefault="006B16F6" w:rsidP="00572919">
            <w:pPr>
              <w:pStyle w:val="TableBullet"/>
              <w:rPr>
                <w:rStyle w:val="normaltextrun"/>
                <w:rFonts w:cs="Arial"/>
              </w:rPr>
            </w:pPr>
            <w:r w:rsidRPr="003272C7">
              <w:rPr>
                <w:rFonts w:cs="Arial"/>
              </w:rPr>
              <w:t xml:space="preserve">The project has increased fairness and equity in water markets by providing transparent trade information and monitoring market behaviour to ensure equitable access to trade opportunities. </w:t>
            </w:r>
            <w:r w:rsidR="00BA5605" w:rsidRPr="00623380">
              <w:rPr>
                <w:rStyle w:val="normaltextrun"/>
                <w:rFonts w:cs="Arial"/>
              </w:rPr>
              <w:t xml:space="preserve">The </w:t>
            </w:r>
            <w:hyperlink r:id="rId23" w:tgtFrame="_blank" w:history="1">
              <w:r w:rsidR="00BA5605" w:rsidRPr="00623380">
                <w:rPr>
                  <w:rStyle w:val="normaltextrun"/>
                  <w:rFonts w:cs="Arial"/>
                </w:rPr>
                <w:t>2021-22 Water Broker audit</w:t>
              </w:r>
            </w:hyperlink>
            <w:r w:rsidR="00BA5605" w:rsidRPr="00623380">
              <w:rPr>
                <w:rStyle w:val="normaltextrun"/>
                <w:rFonts w:cs="Arial"/>
              </w:rPr>
              <w:t xml:space="preserve"> shows that there has been continued improvement in broker compliance with the Victorian Water Register</w:t>
            </w:r>
            <w:r w:rsidR="00B10467" w:rsidRPr="003272C7">
              <w:rPr>
                <w:rStyle w:val="normaltextrun"/>
                <w:rFonts w:cs="Arial"/>
              </w:rPr>
              <w:t xml:space="preserve"> (VWR)</w:t>
            </w:r>
            <w:r w:rsidR="00BA5605" w:rsidRPr="00623380">
              <w:rPr>
                <w:rStyle w:val="normaltextrun"/>
                <w:rFonts w:cs="Arial"/>
              </w:rPr>
              <w:t xml:space="preserve"> online Broker Portal use agreement and rules</w:t>
            </w:r>
            <w:r w:rsidR="00BD48CD" w:rsidRPr="003272C7">
              <w:rPr>
                <w:rStyle w:val="normaltextrun"/>
                <w:rFonts w:cs="Arial"/>
              </w:rPr>
              <w:t>.</w:t>
            </w:r>
          </w:p>
          <w:p w14:paraId="47294E97" w14:textId="77777777" w:rsidR="00142559" w:rsidRPr="003272C7" w:rsidRDefault="00BA5605" w:rsidP="00572919">
            <w:pPr>
              <w:pStyle w:val="TableBullet"/>
              <w:rPr>
                <w:rStyle w:val="eop"/>
                <w:rFonts w:cs="Arial"/>
              </w:rPr>
            </w:pPr>
            <w:r w:rsidRPr="00623380">
              <w:rPr>
                <w:rStyle w:val="normaltextrun"/>
                <w:rFonts w:cs="Arial"/>
              </w:rPr>
              <w:t>The project has also supported the state to continue to advocate for Victoria</w:t>
            </w:r>
            <w:r w:rsidR="00BD48CD" w:rsidRPr="003272C7">
              <w:rPr>
                <w:rStyle w:val="normaltextrun"/>
                <w:rFonts w:cs="Arial"/>
              </w:rPr>
              <w:t>’</w:t>
            </w:r>
            <w:r w:rsidRPr="00623380">
              <w:rPr>
                <w:rStyle w:val="normaltextrun"/>
                <w:rFonts w:cs="Arial"/>
              </w:rPr>
              <w:t xml:space="preserve">s interest in interstate sharing and intergovernmental commitments, protecting Victorian entitlement holders and the integrity of the water entitlement and markets framework. Victoria has also met all obligations for water markets and trading rules under Victorian and Commonwealth legislation, including ongoing consultation, reporting and collaboration with rural water corporations, the </w:t>
            </w:r>
            <w:r w:rsidR="00BD48CD" w:rsidRPr="003272C7">
              <w:rPr>
                <w:rStyle w:val="normaltextrun"/>
                <w:rFonts w:cs="Arial"/>
              </w:rPr>
              <w:t>MDBA</w:t>
            </w:r>
            <w:r w:rsidRPr="00623380">
              <w:rPr>
                <w:rStyle w:val="normaltextrun"/>
                <w:rFonts w:cs="Arial"/>
              </w:rPr>
              <w:t>, the Australian Competition and Consumer Commission (ACCC) and the Inspector General of Water Compliance.</w:t>
            </w:r>
          </w:p>
          <w:p w14:paraId="076B06CE" w14:textId="77777777" w:rsidR="00142559" w:rsidRPr="003272C7" w:rsidRDefault="00BA5605" w:rsidP="00572919">
            <w:pPr>
              <w:pStyle w:val="TabletBullet"/>
              <w:rPr>
                <w:rFonts w:cs="Arial"/>
              </w:rPr>
            </w:pPr>
            <w:r w:rsidRPr="003272C7">
              <w:rPr>
                <w:rStyle w:val="normaltextrun"/>
                <w:rFonts w:cs="Arial"/>
              </w:rPr>
              <w:t xml:space="preserve">The project has also supported waterway and catchment health by preventing environmental and third-party impacts of delivering traded water through new trade and </w:t>
            </w:r>
            <w:r w:rsidRPr="003272C7">
              <w:rPr>
                <w:rFonts w:cs="Arial"/>
              </w:rPr>
              <w:t>operating rules in the Goulburn River. Strong ongoing relationships with storage operators, waterway managers and Traditional Owner groups were formed as part of this process that will also support future collaboration on implementation of the new arrangements. This project has also resulted in improvements to water use efficiency and productivity by providing greater certainty and predictability around the ongoing rule.</w:t>
            </w:r>
          </w:p>
          <w:p w14:paraId="68AA4202" w14:textId="77777777" w:rsidR="00142559" w:rsidRPr="003272C7" w:rsidRDefault="00BA5605" w:rsidP="00572919">
            <w:pPr>
              <w:pStyle w:val="TabletBullet"/>
              <w:rPr>
                <w:rFonts w:cs="Arial"/>
              </w:rPr>
            </w:pPr>
            <w:r w:rsidRPr="003272C7">
              <w:rPr>
                <w:rFonts w:cs="Arial"/>
              </w:rPr>
              <w:t>The project has also supported the security of Victoria</w:t>
            </w:r>
            <w:r w:rsidRPr="00623380">
              <w:rPr>
                <w:rFonts w:cs="Arial" w:hint="eastAsia"/>
              </w:rPr>
              <w:t>’</w:t>
            </w:r>
            <w:r w:rsidRPr="003272C7">
              <w:rPr>
                <w:rFonts w:cs="Arial"/>
              </w:rPr>
              <w:t>s water systems by giving water users confidence in their rights and flexibility to manage their own water availability and delivery risks through the PoT framework and related work.</w:t>
            </w:r>
          </w:p>
          <w:p w14:paraId="3876BAE2" w14:textId="1265DBB4" w:rsidR="00B242C3" w:rsidRPr="003272C7" w:rsidRDefault="00922390" w:rsidP="0086399E">
            <w:pPr>
              <w:pStyle w:val="TabletBullet"/>
              <w:rPr>
                <w:rFonts w:cs="Arial"/>
              </w:rPr>
            </w:pPr>
            <w:r w:rsidRPr="00623380">
              <w:rPr>
                <w:rFonts w:cs="Arial"/>
              </w:rPr>
              <w:t>Many additional benefits have been realised in terms of educating the community and developing relationships and connections with stakeholders across Victoria, which establishes a foundation for future work across a range of program areas. Work undertaken through this project also supported Victoria</w:t>
            </w:r>
            <w:r w:rsidR="00BD48CD" w:rsidRPr="003272C7">
              <w:rPr>
                <w:rFonts w:cs="Arial"/>
              </w:rPr>
              <w:t>’</w:t>
            </w:r>
            <w:r w:rsidRPr="00623380">
              <w:rPr>
                <w:rFonts w:cs="Arial"/>
              </w:rPr>
              <w:t>s ongoing delivery of obligations and outcomes under the Murray-Darling Basin Plan with regard to river operations and water trading.</w:t>
            </w:r>
            <w:r w:rsidRPr="003272C7">
              <w:rPr>
                <w:rFonts w:cs="Arial"/>
              </w:rPr>
              <w:t> </w:t>
            </w:r>
          </w:p>
        </w:tc>
      </w:tr>
      <w:tr w:rsidR="00B242C3" w:rsidRPr="003272C7" w14:paraId="64FF06E5" w14:textId="77777777" w:rsidTr="005D16A1">
        <w:trPr>
          <w:trHeight w:val="259"/>
        </w:trPr>
        <w:tc>
          <w:tcPr>
            <w:tcW w:w="979" w:type="pct"/>
            <w:shd w:val="clear" w:color="auto" w:fill="231EDC" w:themeFill="accent1"/>
          </w:tcPr>
          <w:p w14:paraId="2C257C80" w14:textId="77777777" w:rsidR="00B242C3" w:rsidRPr="003272C7" w:rsidRDefault="00B242C3" w:rsidP="00C06DED">
            <w:pPr>
              <w:pStyle w:val="TableText"/>
              <w:rPr>
                <w:rFonts w:cs="Arial"/>
                <w:b/>
                <w:bCs/>
                <w:szCs w:val="18"/>
              </w:rPr>
            </w:pPr>
            <w:r w:rsidRPr="003272C7">
              <w:rPr>
                <w:rFonts w:cs="Arial"/>
                <w:b/>
                <w:bCs/>
                <w:szCs w:val="18"/>
              </w:rPr>
              <w:t>Effectiveness</w:t>
            </w:r>
          </w:p>
        </w:tc>
        <w:tc>
          <w:tcPr>
            <w:tcW w:w="4021" w:type="pct"/>
          </w:tcPr>
          <w:p w14:paraId="743822B6" w14:textId="4A8645DE" w:rsidR="00F05ED6" w:rsidRPr="003272C7" w:rsidRDefault="00F05ED6" w:rsidP="0086399E">
            <w:pPr>
              <w:pStyle w:val="TableBullet"/>
              <w:rPr>
                <w:rFonts w:cs="Arial"/>
              </w:rPr>
            </w:pPr>
            <w:r w:rsidRPr="00623380">
              <w:rPr>
                <w:rFonts w:cs="Arial"/>
              </w:rPr>
              <w:t xml:space="preserve">The project successfully implemented major reforms that support the integrity of the retail entitlement and market framework. The Goulburn to Murray Trade and operating rules are demonstrating positive environmental results, with the </w:t>
            </w:r>
            <w:hyperlink r:id="rId24" w:tgtFrame="_blank" w:history="1">
              <w:r w:rsidRPr="00623380">
                <w:rPr>
                  <w:rFonts w:cs="Arial"/>
                </w:rPr>
                <w:t>2022-23 Scientific Advisory Panel</w:t>
              </w:r>
            </w:hyperlink>
            <w:r w:rsidRPr="00623380">
              <w:rPr>
                <w:rFonts w:cs="Arial"/>
              </w:rPr>
              <w:t xml:space="preserve"> finding less erosion of river banks, a marked increase in vegetation and an increased abundance of macroinvertebrates.</w:t>
            </w:r>
          </w:p>
          <w:p w14:paraId="70565770" w14:textId="24AC4E71" w:rsidR="00B242C3" w:rsidRPr="003272C7" w:rsidRDefault="00B242C3" w:rsidP="0086399E">
            <w:pPr>
              <w:pStyle w:val="TableBullet"/>
              <w:rPr>
                <w:rFonts w:cs="Arial"/>
              </w:rPr>
            </w:pPr>
            <w:r w:rsidRPr="003272C7">
              <w:rPr>
                <w:rFonts w:cs="Arial"/>
              </w:rPr>
              <w:t xml:space="preserve">Significant flooding in late 2022 affected </w:t>
            </w:r>
            <w:r w:rsidR="00F05ED6" w:rsidRPr="003272C7">
              <w:rPr>
                <w:rFonts w:cs="Arial"/>
              </w:rPr>
              <w:t xml:space="preserve">the </w:t>
            </w:r>
            <w:r w:rsidRPr="003272C7">
              <w:rPr>
                <w:rFonts w:cs="Arial"/>
              </w:rPr>
              <w:t xml:space="preserve">ability to meaningfully consult with water users on </w:t>
            </w:r>
            <w:r w:rsidR="0046741E" w:rsidRPr="003272C7">
              <w:rPr>
                <w:rFonts w:cs="Arial"/>
              </w:rPr>
              <w:t>PoT</w:t>
            </w:r>
            <w:r w:rsidRPr="003272C7">
              <w:rPr>
                <w:rFonts w:cs="Arial"/>
              </w:rPr>
              <w:t xml:space="preserve"> approval changes</w:t>
            </w:r>
            <w:r w:rsidR="0046741E" w:rsidRPr="003272C7">
              <w:rPr>
                <w:rFonts w:cs="Arial"/>
              </w:rPr>
              <w:t>.</w:t>
            </w:r>
            <w:r w:rsidR="00142559" w:rsidRPr="003272C7">
              <w:rPr>
                <w:rFonts w:cs="Arial"/>
              </w:rPr>
              <w:t xml:space="preserve"> </w:t>
            </w:r>
            <w:r w:rsidR="00487A57" w:rsidRPr="003272C7">
              <w:rPr>
                <w:rFonts w:cs="Arial"/>
              </w:rPr>
              <w:t>Flooding also affected the ability to monitor and assess the impacts of the revised lower Goulbu</w:t>
            </w:r>
            <w:r w:rsidR="001E4EE2" w:rsidRPr="003272C7">
              <w:rPr>
                <w:rFonts w:cs="Arial"/>
              </w:rPr>
              <w:t>r</w:t>
            </w:r>
            <w:r w:rsidR="00487A57" w:rsidRPr="003272C7">
              <w:rPr>
                <w:rFonts w:cs="Arial"/>
              </w:rPr>
              <w:t xml:space="preserve">n operating rules on the local environmental conditions and delayed the co-design of new governance </w:t>
            </w:r>
            <w:r w:rsidR="00487A57" w:rsidRPr="003272C7">
              <w:rPr>
                <w:rFonts w:cs="Arial"/>
              </w:rPr>
              <w:lastRenderedPageBreak/>
              <w:t xml:space="preserve">arrangements due to limited capacity of Traditional Owners, </w:t>
            </w:r>
            <w:r w:rsidR="001723DB" w:rsidRPr="003272C7">
              <w:rPr>
                <w:rFonts w:cs="Arial"/>
              </w:rPr>
              <w:t xml:space="preserve">Goulburn-Murray Water </w:t>
            </w:r>
            <w:r w:rsidR="00487A57" w:rsidRPr="003272C7">
              <w:rPr>
                <w:rFonts w:cs="Arial"/>
              </w:rPr>
              <w:t>and MDBA</w:t>
            </w:r>
            <w:r w:rsidR="001E4EE2" w:rsidRPr="003272C7">
              <w:rPr>
                <w:rFonts w:cs="Arial"/>
              </w:rPr>
              <w:t xml:space="preserve"> staff as they dealt with flood damage and recovery. The project adapted timelines to ensure sufficient time for meaningful consultation.</w:t>
            </w:r>
          </w:p>
          <w:p w14:paraId="10A6AB1C" w14:textId="0997F384" w:rsidR="00B242C3" w:rsidRPr="003272C7" w:rsidRDefault="00E70BA5" w:rsidP="0086399E">
            <w:pPr>
              <w:pStyle w:val="TableBullet"/>
              <w:rPr>
                <w:rFonts w:cs="Arial"/>
              </w:rPr>
            </w:pPr>
            <w:r w:rsidRPr="00623380">
              <w:rPr>
                <w:rFonts w:cs="Arial"/>
              </w:rPr>
              <w:t>This project involved substantial community consultation. DEECA worked closely with Traditional Owners, waterway managers, scientists, river operators, recreational water users, irrigators, water market participants and the broader community to gather additional evidence to assess the impacts of interim rules on trade and river operations, as well as on ecological, cultural and recreational values, as part of the RIS for the GMTR. As reported in the 2023 evaluation report, DEECA partnered with 32 organisations, including Traditional Owners, other Victorian departments and Australian government</w:t>
            </w:r>
            <w:r w:rsidR="001723DB" w:rsidRPr="003272C7">
              <w:rPr>
                <w:rFonts w:cs="Arial"/>
              </w:rPr>
              <w:t xml:space="preserve"> </w:t>
            </w:r>
            <w:r w:rsidR="001723DB" w:rsidRPr="00623380">
              <w:rPr>
                <w:rFonts w:cs="Arial"/>
              </w:rPr>
              <w:t>departments</w:t>
            </w:r>
            <w:r w:rsidRPr="00623380">
              <w:rPr>
                <w:rFonts w:cs="Arial"/>
              </w:rPr>
              <w:t>, community organisations and private organisations.</w:t>
            </w:r>
            <w:r w:rsidRPr="003272C7">
              <w:rPr>
                <w:rStyle w:val="eop"/>
                <w:rFonts w:cs="Arial"/>
                <w:color w:val="000000"/>
                <w:shd w:val="clear" w:color="auto" w:fill="FFFFFF"/>
              </w:rPr>
              <w:t> </w:t>
            </w:r>
          </w:p>
        </w:tc>
      </w:tr>
      <w:tr w:rsidR="00B242C3" w:rsidRPr="003272C7" w14:paraId="6FAD01E0" w14:textId="77777777" w:rsidTr="005D16A1">
        <w:trPr>
          <w:trHeight w:val="259"/>
        </w:trPr>
        <w:tc>
          <w:tcPr>
            <w:tcW w:w="979" w:type="pct"/>
            <w:shd w:val="clear" w:color="auto" w:fill="231EDC" w:themeFill="accent1"/>
          </w:tcPr>
          <w:p w14:paraId="26B86219" w14:textId="77777777" w:rsidR="00B242C3" w:rsidRPr="003272C7" w:rsidRDefault="00B242C3" w:rsidP="00C06DED">
            <w:pPr>
              <w:pStyle w:val="TableText"/>
              <w:rPr>
                <w:rFonts w:cs="Arial"/>
                <w:b/>
                <w:bCs/>
                <w:szCs w:val="18"/>
              </w:rPr>
            </w:pPr>
            <w:r w:rsidRPr="003272C7">
              <w:rPr>
                <w:rFonts w:cs="Arial"/>
                <w:b/>
                <w:bCs/>
                <w:szCs w:val="18"/>
              </w:rPr>
              <w:lastRenderedPageBreak/>
              <w:t>Appropriateness</w:t>
            </w:r>
          </w:p>
        </w:tc>
        <w:tc>
          <w:tcPr>
            <w:tcW w:w="4021" w:type="pct"/>
          </w:tcPr>
          <w:p w14:paraId="6BAA7D32" w14:textId="77777777" w:rsidR="00142559" w:rsidRPr="003272C7" w:rsidRDefault="00A42C56" w:rsidP="00D155E0">
            <w:pPr>
              <w:pStyle w:val="TableText"/>
              <w:rPr>
                <w:rFonts w:cs="Arial"/>
                <w:i/>
                <w:iCs/>
                <w:lang w:eastAsia="en-AU"/>
              </w:rPr>
            </w:pPr>
            <w:r w:rsidRPr="00623380">
              <w:rPr>
                <w:rFonts w:cs="Arial"/>
                <w:lang w:eastAsia="en-AU"/>
              </w:rPr>
              <w:t xml:space="preserve">This project directly aligns with key management strategies, including </w:t>
            </w:r>
            <w:r w:rsidRPr="00623380">
              <w:rPr>
                <w:rFonts w:cs="Arial"/>
                <w:i/>
                <w:iCs/>
                <w:lang w:eastAsia="en-AU"/>
              </w:rPr>
              <w:t>Water for Victoria</w:t>
            </w:r>
            <w:r w:rsidR="001723DB" w:rsidRPr="003272C7">
              <w:rPr>
                <w:rFonts w:cs="Arial"/>
                <w:lang w:eastAsia="en-AU"/>
              </w:rPr>
              <w:t>’</w:t>
            </w:r>
            <w:r w:rsidRPr="00623380">
              <w:rPr>
                <w:rFonts w:cs="Arial"/>
                <w:lang w:eastAsia="en-AU"/>
              </w:rPr>
              <w:t>s Chapter 9. Chapter 9 contains actions relevant to this project to improve the management and enhancement of Victoria</w:t>
            </w:r>
            <w:r w:rsidR="001723DB" w:rsidRPr="003272C7">
              <w:rPr>
                <w:rFonts w:cs="Arial"/>
                <w:lang w:eastAsia="en-AU"/>
              </w:rPr>
              <w:t>’</w:t>
            </w:r>
            <w:r w:rsidRPr="00623380">
              <w:rPr>
                <w:rFonts w:cs="Arial"/>
                <w:lang w:eastAsia="en-AU"/>
              </w:rPr>
              <w:t>s water markets, in particular actions 9.3 - Improving water market effectiveness, 9.4 -</w:t>
            </w:r>
            <w:r w:rsidRPr="00623380">
              <w:rPr>
                <w:rFonts w:cs="Arial"/>
                <w:i/>
                <w:iCs/>
                <w:lang w:eastAsia="en-AU"/>
              </w:rPr>
              <w:t xml:space="preserve"> </w:t>
            </w:r>
            <w:r w:rsidRPr="00623380">
              <w:rPr>
                <w:rFonts w:cs="Arial"/>
                <w:lang w:eastAsia="en-AU"/>
              </w:rPr>
              <w:t>Improving Water Market Information</w:t>
            </w:r>
            <w:r w:rsidRPr="00623380">
              <w:rPr>
                <w:rFonts w:cs="Arial"/>
                <w:i/>
                <w:iCs/>
                <w:lang w:eastAsia="en-AU"/>
              </w:rPr>
              <w:t xml:space="preserve"> </w:t>
            </w:r>
            <w:r w:rsidRPr="00623380">
              <w:rPr>
                <w:rFonts w:cs="Arial"/>
                <w:lang w:eastAsia="en-AU"/>
              </w:rPr>
              <w:t>and 9.6 - Improving Trading Rules in Northern Victoria</w:t>
            </w:r>
            <w:r w:rsidRPr="00623380">
              <w:rPr>
                <w:rFonts w:cs="Arial"/>
                <w:i/>
                <w:iCs/>
                <w:lang w:eastAsia="en-AU"/>
              </w:rPr>
              <w:t>.</w:t>
            </w:r>
          </w:p>
          <w:p w14:paraId="0A9829EF" w14:textId="2EB18790" w:rsidR="00B242C3" w:rsidRPr="003272C7" w:rsidRDefault="00B242C3" w:rsidP="00D155E0">
            <w:pPr>
              <w:pStyle w:val="TableText"/>
              <w:rPr>
                <w:rFonts w:cs="Arial"/>
                <w:lang w:eastAsia="en-AU"/>
              </w:rPr>
            </w:pPr>
            <w:r w:rsidRPr="003272C7">
              <w:rPr>
                <w:rFonts w:cs="Arial"/>
                <w:lang w:eastAsia="en-AU"/>
              </w:rPr>
              <w:t xml:space="preserve">The </w:t>
            </w:r>
            <w:r w:rsidR="00A42C56" w:rsidRPr="003272C7">
              <w:rPr>
                <w:rFonts w:cs="Arial"/>
                <w:lang w:eastAsia="en-AU"/>
              </w:rPr>
              <w:t>project was</w:t>
            </w:r>
            <w:r w:rsidRPr="003272C7">
              <w:rPr>
                <w:rFonts w:cs="Arial"/>
                <w:lang w:eastAsia="en-AU"/>
              </w:rPr>
              <w:t xml:space="preserve"> able to adapt and take on board new information to create solutions that addressed the initial problems identified within the time and budget allocated, to the benefit of all Victorians. In particular:</w:t>
            </w:r>
          </w:p>
          <w:p w14:paraId="032BE884" w14:textId="77777777" w:rsidR="006E00B6" w:rsidRPr="003272C7" w:rsidRDefault="00B242C3" w:rsidP="004F0B4A">
            <w:pPr>
              <w:pStyle w:val="TableBullet"/>
              <w:rPr>
                <w:rFonts w:cs="Arial"/>
              </w:rPr>
            </w:pPr>
            <w:r w:rsidRPr="003272C7">
              <w:rPr>
                <w:rFonts w:cs="Arial"/>
              </w:rPr>
              <w:t>Early in the project it was realised that the legislative means were not available to implement caps and set rules on extraction share</w:t>
            </w:r>
            <w:r w:rsidR="00AB6C68" w:rsidRPr="003272C7">
              <w:rPr>
                <w:rFonts w:cs="Arial"/>
              </w:rPr>
              <w:t xml:space="preserve"> in order to deal with emerging risks to delivering water</w:t>
            </w:r>
            <w:r w:rsidR="0062791A" w:rsidRPr="003272C7">
              <w:rPr>
                <w:rFonts w:cs="Arial"/>
              </w:rPr>
              <w:t xml:space="preserve"> to</w:t>
            </w:r>
            <w:r w:rsidR="00AB6C68" w:rsidRPr="003272C7">
              <w:rPr>
                <w:rFonts w:cs="Arial"/>
              </w:rPr>
              <w:t xml:space="preserve"> users</w:t>
            </w:r>
            <w:r w:rsidR="0062791A" w:rsidRPr="003272C7">
              <w:rPr>
                <w:rFonts w:cs="Arial"/>
              </w:rPr>
              <w:t xml:space="preserve"> in the Murray River system</w:t>
            </w:r>
            <w:r w:rsidRPr="003272C7">
              <w:rPr>
                <w:rFonts w:cs="Arial"/>
              </w:rPr>
              <w:t>. This brought about a broader piece of work known as the Place-of-Take legislative reforms, with these changes being implemented in 2022 and 2023.</w:t>
            </w:r>
            <w:r w:rsidR="00732CFA" w:rsidRPr="003272C7">
              <w:rPr>
                <w:rFonts w:cs="Arial"/>
              </w:rPr>
              <w:t xml:space="preserve"> </w:t>
            </w:r>
            <w:r w:rsidR="00732CFA" w:rsidRPr="00623380">
              <w:rPr>
                <w:rFonts w:cs="Arial"/>
              </w:rPr>
              <w:t>This brought about a broader piece of work known as the PoT legislative reforms, with these changes being implemented in 2022 and 2023. These reforms effectively addressed the major risk to government of legal uncertainty during the unlikely event of a shortfall (i.e. not being able to deliver water to allocation holders when and where they need it). These reforms to the delivery rights framework have provided a clearer, more flexible, and more equitable mechanism to ration delivery if necessary.</w:t>
            </w:r>
          </w:p>
          <w:p w14:paraId="6DFF214A" w14:textId="34A748B0" w:rsidR="00B242C3" w:rsidRPr="003272C7" w:rsidRDefault="00C83B72" w:rsidP="004F0B4A">
            <w:pPr>
              <w:pStyle w:val="TableBullet"/>
              <w:rPr>
                <w:rFonts w:cs="Arial"/>
              </w:rPr>
            </w:pPr>
            <w:r w:rsidRPr="00623380">
              <w:rPr>
                <w:rFonts w:cs="Arial"/>
              </w:rPr>
              <w:t>Trade rules are required to balance flexibility for water users with hydrological and environmental realities. Prior to the GMTR, the rule on trade from the Goulburn to Murray systems was skewed towards delivering enough water to meet Murray irrigation needs, at a cost to environmental and cultural values in the lower Goulburn. The review was a process of continuous learning, consulting with stakeholders and undertaking research, which led to the interim rules being adapted and transformed into the enduring rules introduced in 2022. The result was a new, refined trade rule and operating rule that still enabled trade for irrigators, while providing more flexibility to achieve improved ecological outcomes and better respected the inherent Cultural values of the river.</w:t>
            </w:r>
          </w:p>
        </w:tc>
      </w:tr>
      <w:tr w:rsidR="00B242C3" w:rsidRPr="003272C7" w14:paraId="6391D8E8" w14:textId="77777777" w:rsidTr="005D16A1">
        <w:trPr>
          <w:trHeight w:val="259"/>
        </w:trPr>
        <w:tc>
          <w:tcPr>
            <w:tcW w:w="979" w:type="pct"/>
            <w:shd w:val="clear" w:color="auto" w:fill="231EDC" w:themeFill="accent1"/>
          </w:tcPr>
          <w:p w14:paraId="5B2DE117"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638D5676" w14:textId="77777777" w:rsidR="00142559" w:rsidRPr="003272C7" w:rsidRDefault="00791B7D" w:rsidP="00B01320">
            <w:pPr>
              <w:pStyle w:val="TableBullet"/>
              <w:rPr>
                <w:rFonts w:cs="Arial"/>
              </w:rPr>
            </w:pPr>
            <w:r w:rsidRPr="003272C7">
              <w:rPr>
                <w:rFonts w:cs="Arial"/>
              </w:rPr>
              <w:t>Additional funding was leverage</w:t>
            </w:r>
            <w:r w:rsidR="00503DC7" w:rsidRPr="003272C7">
              <w:rPr>
                <w:rFonts w:cs="Arial"/>
              </w:rPr>
              <w:t>d</w:t>
            </w:r>
            <w:r w:rsidRPr="003272C7">
              <w:rPr>
                <w:rFonts w:cs="Arial"/>
              </w:rPr>
              <w:t xml:space="preserve"> to meet increased</w:t>
            </w:r>
            <w:r w:rsidR="00B242C3" w:rsidRPr="003272C7">
              <w:rPr>
                <w:rFonts w:cs="Arial"/>
              </w:rPr>
              <w:t xml:space="preserve"> staffing and operating costs to deliver the outcomes of the project</w:t>
            </w:r>
            <w:r w:rsidR="009F1975" w:rsidRPr="003272C7">
              <w:rPr>
                <w:rFonts w:cs="Arial"/>
              </w:rPr>
              <w:t>, which were expanded on the basis of community consultation and Victorian Government commitments early in the EC5 period.</w:t>
            </w:r>
            <w:r w:rsidR="00E1466A" w:rsidRPr="003272C7">
              <w:rPr>
                <w:rFonts w:cs="Arial"/>
              </w:rPr>
              <w:t xml:space="preserve"> Co-funding of $4.907 million from a Federal Funding Agreement for delivery of </w:t>
            </w:r>
            <w:r w:rsidRPr="003272C7">
              <w:rPr>
                <w:rFonts w:cs="Arial"/>
              </w:rPr>
              <w:t xml:space="preserve">Murray-Darling Basin </w:t>
            </w:r>
            <w:r w:rsidR="00445736" w:rsidRPr="003272C7">
              <w:rPr>
                <w:rFonts w:cs="Arial"/>
              </w:rPr>
              <w:t>project</w:t>
            </w:r>
            <w:r w:rsidRPr="003272C7">
              <w:rPr>
                <w:rFonts w:cs="Arial"/>
              </w:rPr>
              <w:t>s was leveraged to support these</w:t>
            </w:r>
            <w:r w:rsidR="006E7BFD" w:rsidRPr="003272C7">
              <w:rPr>
                <w:rFonts w:cs="Arial"/>
              </w:rPr>
              <w:t xml:space="preserve"> a</w:t>
            </w:r>
            <w:r w:rsidR="00B242C3" w:rsidRPr="003272C7">
              <w:rPr>
                <w:rFonts w:cs="Arial"/>
              </w:rPr>
              <w:t>dditional cost</w:t>
            </w:r>
            <w:r w:rsidR="001751B9" w:rsidRPr="003272C7">
              <w:rPr>
                <w:rFonts w:cs="Arial"/>
              </w:rPr>
              <w:t>s, as well as ensuring Victoria could continue to deliver on the outcomes of the Basin Plan and meet legislative obligations</w:t>
            </w:r>
            <w:r w:rsidR="00F97B76" w:rsidRPr="003272C7">
              <w:rPr>
                <w:rFonts w:cs="Arial"/>
              </w:rPr>
              <w:t>.</w:t>
            </w:r>
            <w:r w:rsidR="00B242C3" w:rsidRPr="003272C7">
              <w:rPr>
                <w:rFonts w:cs="Arial"/>
              </w:rPr>
              <w:t xml:space="preserve"> This additional federal funding enabled redirection of approximately $1.01 million of the initial EC5 funds to meet other needs in the EC5 business case for Strong Foundations for Victoria’s Water.</w:t>
            </w:r>
          </w:p>
          <w:p w14:paraId="660DA53E" w14:textId="0065FC51" w:rsidR="00E85BFD" w:rsidRPr="003272C7" w:rsidRDefault="00B242C3" w:rsidP="00B01320">
            <w:pPr>
              <w:pStyle w:val="TableBullet"/>
              <w:rPr>
                <w:rFonts w:cs="Arial"/>
              </w:rPr>
            </w:pPr>
            <w:r w:rsidRPr="003272C7">
              <w:rPr>
                <w:rFonts w:cs="Arial"/>
              </w:rPr>
              <w:t xml:space="preserve">Separate funding of $5.589m for the complementary project </w:t>
            </w:r>
            <w:r w:rsidR="00F97B76" w:rsidRPr="003272C7">
              <w:rPr>
                <w:rFonts w:cs="Arial"/>
              </w:rPr>
              <w:t>WRS19:</w:t>
            </w:r>
            <w:r w:rsidRPr="003272C7">
              <w:rPr>
                <w:rFonts w:cs="Arial"/>
              </w:rPr>
              <w:t xml:space="preserve"> Resilient Water Markets, Regional Communities and Infrastructure (Stream 1 and 2) </w:t>
            </w:r>
            <w:r w:rsidR="00F97B76" w:rsidRPr="003272C7">
              <w:rPr>
                <w:rFonts w:cs="Arial"/>
              </w:rPr>
              <w:t xml:space="preserve">achieved complementary outcomes in </w:t>
            </w:r>
            <w:r w:rsidR="006E7BFD" w:rsidRPr="003272C7">
              <w:rPr>
                <w:rFonts w:cs="Arial"/>
              </w:rPr>
              <w:t xml:space="preserve">bulk </w:t>
            </w:r>
            <w:r w:rsidR="00991CD3" w:rsidRPr="003272C7">
              <w:rPr>
                <w:rFonts w:cs="Arial"/>
              </w:rPr>
              <w:t>entitlement security. Combined, the projects provide greater confidence</w:t>
            </w:r>
            <w:r w:rsidR="00F6486C" w:rsidRPr="003272C7">
              <w:rPr>
                <w:rFonts w:cs="Arial"/>
              </w:rPr>
              <w:t xml:space="preserve"> and transparency in the Victorian water entitlement framework.</w:t>
            </w:r>
          </w:p>
          <w:p w14:paraId="2A70C20B" w14:textId="77777777" w:rsidR="00142559" w:rsidRPr="003272C7" w:rsidRDefault="00E85BFD" w:rsidP="00B01320">
            <w:pPr>
              <w:pStyle w:val="TableBullet"/>
              <w:rPr>
                <w:rStyle w:val="normaltextrun"/>
                <w:rFonts w:cs="Arial"/>
              </w:rPr>
            </w:pPr>
            <w:r w:rsidRPr="00623380">
              <w:rPr>
                <w:rStyle w:val="normaltextrun"/>
                <w:rFonts w:cs="Arial"/>
              </w:rPr>
              <w:lastRenderedPageBreak/>
              <w:t>The PoT framework removed the need for the Minister for Water to assess individual works licence applications, reducing the resource burden of individual Ministerial determinations from existing arrangements (which were accounted for in WRS19).</w:t>
            </w:r>
          </w:p>
          <w:p w14:paraId="7E60D329" w14:textId="7445879F" w:rsidR="00B242C3" w:rsidRPr="003272C7" w:rsidRDefault="00E85BFD" w:rsidP="00B01320">
            <w:pPr>
              <w:pStyle w:val="TableBullet"/>
              <w:rPr>
                <w:rFonts w:cs="Arial"/>
                <w:b/>
                <w:lang w:eastAsia="en-AU"/>
              </w:rPr>
            </w:pPr>
            <w:r w:rsidRPr="00623380">
              <w:rPr>
                <w:rStyle w:val="normaltextrun"/>
                <w:rFonts w:cs="Arial"/>
              </w:rPr>
              <w:t>Options assessments were used effectively to support decision-making. Trials were used effectively to test and revise reform settings to achieve positive outcomes, including for the Goulburn to Murray trade review.</w:t>
            </w:r>
          </w:p>
        </w:tc>
      </w:tr>
      <w:tr w:rsidR="00B242C3" w:rsidRPr="003272C7" w14:paraId="249B26B2" w14:textId="77777777" w:rsidTr="005D16A1">
        <w:trPr>
          <w:trHeight w:val="259"/>
        </w:trPr>
        <w:tc>
          <w:tcPr>
            <w:tcW w:w="979" w:type="pct"/>
            <w:shd w:val="clear" w:color="auto" w:fill="231EDC" w:themeFill="accent1"/>
          </w:tcPr>
          <w:p w14:paraId="6D3B36C9" w14:textId="77777777" w:rsidR="00B242C3" w:rsidRPr="003272C7" w:rsidRDefault="00B242C3" w:rsidP="00C06DED">
            <w:pPr>
              <w:pStyle w:val="TableText"/>
              <w:rPr>
                <w:rFonts w:cs="Arial"/>
                <w:b/>
                <w:bCs/>
                <w:szCs w:val="18"/>
              </w:rPr>
            </w:pPr>
            <w:r w:rsidRPr="003272C7">
              <w:rPr>
                <w:rFonts w:cs="Arial"/>
                <w:b/>
                <w:bCs/>
                <w:szCs w:val="18"/>
              </w:rPr>
              <w:lastRenderedPageBreak/>
              <w:t>Legacy</w:t>
            </w:r>
          </w:p>
        </w:tc>
        <w:tc>
          <w:tcPr>
            <w:tcW w:w="4021" w:type="pct"/>
          </w:tcPr>
          <w:p w14:paraId="638849A3" w14:textId="3924408E" w:rsidR="00B242C3" w:rsidRPr="003272C7" w:rsidRDefault="00B242C3" w:rsidP="00883E46">
            <w:pPr>
              <w:pStyle w:val="TableText"/>
              <w:rPr>
                <w:rFonts w:cs="Arial"/>
              </w:rPr>
            </w:pPr>
            <w:r w:rsidRPr="003272C7">
              <w:rPr>
                <w:rFonts w:cs="Arial"/>
              </w:rPr>
              <w:t xml:space="preserve">Published information and improved systems and processes for managing and communicating trade and market behaviours will </w:t>
            </w:r>
            <w:r w:rsidR="00E85BFD" w:rsidRPr="003272C7">
              <w:rPr>
                <w:rFonts w:cs="Arial"/>
              </w:rPr>
              <w:t>improve and maintain the confidence in Victoria’s entitlement framework.</w:t>
            </w:r>
          </w:p>
          <w:p w14:paraId="7DB7AAFB" w14:textId="77777777" w:rsidR="00E85BFD" w:rsidRPr="003272C7" w:rsidRDefault="00E85BFD" w:rsidP="00883E46">
            <w:pPr>
              <w:pStyle w:val="TableText"/>
              <w:rPr>
                <w:rFonts w:cs="Arial"/>
              </w:rPr>
            </w:pPr>
            <w:r w:rsidRPr="003272C7">
              <w:rPr>
                <w:rFonts w:cs="Arial"/>
              </w:rPr>
              <w:t>Legislative changes to introduce the PoT take approvals</w:t>
            </w:r>
            <w:r w:rsidR="00BD0F32" w:rsidRPr="003272C7">
              <w:rPr>
                <w:rFonts w:cs="Arial"/>
              </w:rPr>
              <w:t xml:space="preserve"> framework are enduring</w:t>
            </w:r>
            <w:r w:rsidR="00EA2429" w:rsidRPr="003272C7">
              <w:rPr>
                <w:rFonts w:cs="Arial"/>
              </w:rPr>
              <w:t>, resulting in stronger delivery rights and permanent arrangements.</w:t>
            </w:r>
          </w:p>
          <w:p w14:paraId="0A6103C0" w14:textId="3BAC5219" w:rsidR="00C85BD6" w:rsidRPr="003272C7" w:rsidRDefault="00C85BD6" w:rsidP="00883E46">
            <w:pPr>
              <w:pStyle w:val="TableText"/>
              <w:rPr>
                <w:rFonts w:cs="Arial"/>
              </w:rPr>
            </w:pPr>
            <w:r w:rsidRPr="003272C7">
              <w:rPr>
                <w:rStyle w:val="normaltextrun"/>
                <w:rFonts w:cs="Arial"/>
              </w:rPr>
              <w:t>New water trading and operating rules mean that Victoria</w:t>
            </w:r>
            <w:r w:rsidRPr="00623380">
              <w:rPr>
                <w:rStyle w:val="normaltextrun"/>
                <w:rFonts w:cs="Arial" w:hint="eastAsia"/>
              </w:rPr>
              <w:t>’</w:t>
            </w:r>
            <w:r w:rsidRPr="003272C7">
              <w:rPr>
                <w:rStyle w:val="normaltextrun"/>
                <w:rFonts w:cs="Arial"/>
              </w:rPr>
              <w:t>s trading rules for the Goulburn system meet legislative requirements and enable water to be traded within ecological and cultural limits of the Goulburn River. Ongoing long-term monitoring of the implementation of outcomes of this will support</w:t>
            </w:r>
            <w:r w:rsidRPr="00623380">
              <w:rPr>
                <w:rStyle w:val="normaltextrun"/>
                <w:rFonts w:cs="Arial" w:hint="eastAsia"/>
              </w:rPr>
              <w:t> </w:t>
            </w:r>
            <w:r w:rsidRPr="003272C7">
              <w:rPr>
                <w:rStyle w:val="normaltextrun"/>
                <w:rFonts w:cs="Arial"/>
              </w:rPr>
              <w:t>recovery for the lower Goulburn River, allowing</w:t>
            </w:r>
            <w:r w:rsidR="00C97112" w:rsidRPr="003272C7">
              <w:rPr>
                <w:rStyle w:val="normaltextrun"/>
                <w:rFonts w:cs="Arial"/>
              </w:rPr>
              <w:t xml:space="preserve"> </w:t>
            </w:r>
            <w:r w:rsidRPr="003272C7">
              <w:rPr>
                <w:rStyle w:val="normaltextrun"/>
                <w:rFonts w:cs="Arial"/>
              </w:rPr>
              <w:t>any unforeseen issues to be quickly identified.</w:t>
            </w:r>
          </w:p>
          <w:p w14:paraId="13B1BC8D" w14:textId="6A41C6CF" w:rsidR="00B242C3" w:rsidRPr="003272C7" w:rsidRDefault="00C85BD6" w:rsidP="00883E46">
            <w:pPr>
              <w:pStyle w:val="TableText"/>
              <w:rPr>
                <w:rFonts w:cs="Arial"/>
              </w:rPr>
            </w:pPr>
            <w:r w:rsidRPr="003272C7">
              <w:rPr>
                <w:rStyle w:val="normaltextrun"/>
                <w:rFonts w:cs="Arial"/>
              </w:rPr>
              <w:t>Relationships with Basin governments have been developed throughout this project. This will allow Victoria to continue to advocate for its interests and protect Victorian entitlement holders and the integrity of the entitlement and markets framework. Community engagement has also built stronger relationships and understanding about water-related issues with the community, as well as an in-depth understanding within DEECA of what community priorities are for entitlements and markets into the future.</w:t>
            </w:r>
            <w:r w:rsidRPr="00623380">
              <w:rPr>
                <w:rStyle w:val="eop"/>
                <w:rFonts w:cs="Arial"/>
                <w:sz w:val="19"/>
                <w:szCs w:val="19"/>
              </w:rPr>
              <w:t> </w:t>
            </w:r>
          </w:p>
        </w:tc>
      </w:tr>
      <w:tr w:rsidR="00B242C3" w:rsidRPr="003272C7" w14:paraId="4E7B471A" w14:textId="77777777" w:rsidTr="005D16A1">
        <w:trPr>
          <w:trHeight w:val="259"/>
        </w:trPr>
        <w:tc>
          <w:tcPr>
            <w:tcW w:w="979" w:type="pct"/>
            <w:shd w:val="clear" w:color="auto" w:fill="231EDC" w:themeFill="accent1"/>
          </w:tcPr>
          <w:p w14:paraId="6F283A5A"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755377AB" w14:textId="22BC3A87" w:rsidR="00B242C3" w:rsidRPr="003272C7" w:rsidRDefault="00547DF8" w:rsidP="007B7E5F">
            <w:pPr>
              <w:pStyle w:val="TableText"/>
              <w:rPr>
                <w:rFonts w:cs="Arial"/>
              </w:rPr>
            </w:pPr>
            <w:r w:rsidRPr="003272C7">
              <w:rPr>
                <w:rFonts w:cs="Arial"/>
                <w:lang w:eastAsia="en-AU"/>
              </w:rPr>
              <w:t xml:space="preserve">Policy needs to continue to evolve and adapt to achieve positive and holistic benefits for Victoria as conditions </w:t>
            </w:r>
            <w:r w:rsidRPr="003272C7">
              <w:rPr>
                <w:rFonts w:cs="Arial"/>
              </w:rPr>
              <w:t xml:space="preserve">change. </w:t>
            </w:r>
            <w:r w:rsidR="00B242C3" w:rsidRPr="003272C7">
              <w:rPr>
                <w:rFonts w:cs="Arial"/>
              </w:rPr>
              <w:t xml:space="preserve">Key </w:t>
            </w:r>
            <w:r w:rsidR="0059202A" w:rsidRPr="003272C7">
              <w:rPr>
                <w:rFonts w:cs="Arial"/>
              </w:rPr>
              <w:t>p</w:t>
            </w:r>
            <w:r w:rsidR="00616DBC" w:rsidRPr="003272C7">
              <w:rPr>
                <w:rFonts w:cs="Arial"/>
              </w:rPr>
              <w:t>riorities continuing beyond this project include:</w:t>
            </w:r>
          </w:p>
          <w:p w14:paraId="39D0791F" w14:textId="24778230" w:rsidR="009C7CB3" w:rsidRPr="003272C7" w:rsidRDefault="009C7CB3" w:rsidP="007B7E5F">
            <w:pPr>
              <w:pStyle w:val="TableBullet"/>
              <w:rPr>
                <w:rFonts w:cs="Arial"/>
              </w:rPr>
            </w:pPr>
            <w:r w:rsidRPr="00623380">
              <w:rPr>
                <w:rFonts w:cs="Arial"/>
              </w:rPr>
              <w:t>Continue to support water corporations and their customers to transition to the new PoT framework.</w:t>
            </w:r>
          </w:p>
          <w:p w14:paraId="184BA6A0" w14:textId="37C4B3E8" w:rsidR="00A373B1" w:rsidRPr="003272C7" w:rsidRDefault="00A373B1" w:rsidP="007B7E5F">
            <w:pPr>
              <w:pStyle w:val="TableBullet"/>
              <w:rPr>
                <w:rFonts w:cs="Arial"/>
              </w:rPr>
            </w:pPr>
            <w:r w:rsidRPr="00623380">
              <w:rPr>
                <w:rFonts w:cs="Arial"/>
              </w:rPr>
              <w:t>Finalise work with MDBA around Phase 2 of the MDB Agreement Schedule D review and support briefing and endorsement of outcomes through BOC and Murray-Darling Basin Ministerial Council</w:t>
            </w:r>
            <w:r w:rsidR="005F0C6B" w:rsidRPr="003272C7">
              <w:rPr>
                <w:rFonts w:cs="Arial"/>
              </w:rPr>
              <w:t>.</w:t>
            </w:r>
          </w:p>
          <w:p w14:paraId="3748334D" w14:textId="64E1190D" w:rsidR="00B242C3" w:rsidRPr="003272C7" w:rsidRDefault="00A373B1" w:rsidP="007B7E5F">
            <w:pPr>
              <w:pStyle w:val="TableBullet"/>
              <w:rPr>
                <w:rFonts w:cs="Arial"/>
              </w:rPr>
            </w:pPr>
            <w:r w:rsidRPr="003272C7">
              <w:rPr>
                <w:rFonts w:cs="Arial"/>
              </w:rPr>
              <w:t>Continue to monitor</w:t>
            </w:r>
            <w:r w:rsidR="00E05A63" w:rsidRPr="003272C7">
              <w:rPr>
                <w:rFonts w:cs="Arial"/>
              </w:rPr>
              <w:t xml:space="preserve"> and oversee</w:t>
            </w:r>
            <w:r w:rsidR="00B242C3" w:rsidRPr="003272C7">
              <w:rPr>
                <w:rFonts w:cs="Arial"/>
              </w:rPr>
              <w:t xml:space="preserve"> the water market to ensure it continues to operate effectively, and that market regulation, oversight and architecture continue to meet the needs of a more sophisticated market that more people are reliant on.</w:t>
            </w:r>
          </w:p>
          <w:p w14:paraId="3D144A83" w14:textId="271B4135" w:rsidR="00B242C3" w:rsidRPr="003272C7" w:rsidRDefault="00B242C3" w:rsidP="007B7E5F">
            <w:pPr>
              <w:pStyle w:val="TableBullet"/>
              <w:rPr>
                <w:rFonts w:cs="Arial"/>
                <w:lang w:eastAsia="en-AU"/>
              </w:rPr>
            </w:pPr>
            <w:r w:rsidRPr="003272C7">
              <w:rPr>
                <w:rFonts w:cs="Arial"/>
              </w:rPr>
              <w:t>Ensur</w:t>
            </w:r>
            <w:r w:rsidR="00E05A63" w:rsidRPr="003272C7">
              <w:rPr>
                <w:rFonts w:cs="Arial"/>
              </w:rPr>
              <w:t>e</w:t>
            </w:r>
            <w:r w:rsidRPr="003272C7">
              <w:rPr>
                <w:rFonts w:cs="Arial"/>
              </w:rPr>
              <w:t xml:space="preserve"> Victoria’s retail entitlement and trade framework continues to evolve and </w:t>
            </w:r>
            <w:r w:rsidR="00F90B0E" w:rsidRPr="003272C7">
              <w:rPr>
                <w:rFonts w:cs="Arial"/>
              </w:rPr>
              <w:t>adapt</w:t>
            </w:r>
            <w:r w:rsidR="00254DED" w:rsidRPr="003272C7">
              <w:rPr>
                <w:rFonts w:cs="Arial"/>
              </w:rPr>
              <w:t xml:space="preserve"> to a </w:t>
            </w:r>
            <w:r w:rsidRPr="003272C7">
              <w:rPr>
                <w:rFonts w:cs="Arial"/>
              </w:rPr>
              <w:t>changing climate and community values</w:t>
            </w:r>
            <w:r w:rsidR="008F0709" w:rsidRPr="003272C7">
              <w:rPr>
                <w:rFonts w:cs="Arial"/>
              </w:rPr>
              <w:t xml:space="preserve">, </w:t>
            </w:r>
            <w:r w:rsidR="00494D6E" w:rsidRPr="003272C7">
              <w:rPr>
                <w:rFonts w:cs="Arial"/>
              </w:rPr>
              <w:t xml:space="preserve">particularly in the context of major changes </w:t>
            </w:r>
            <w:r w:rsidR="007915BA" w:rsidRPr="003272C7">
              <w:rPr>
                <w:rFonts w:cs="Arial"/>
              </w:rPr>
              <w:t>by the Australian Government to the Basin Plan.</w:t>
            </w:r>
          </w:p>
        </w:tc>
      </w:tr>
    </w:tbl>
    <w:p w14:paraId="05C5DAD4" w14:textId="1A39FA49" w:rsidR="00B242C3" w:rsidRPr="003272C7" w:rsidRDefault="00B242C3" w:rsidP="00B242C3">
      <w:pPr>
        <w:pStyle w:val="Heading2"/>
        <w:rPr>
          <w:rFonts w:cs="Arial"/>
        </w:rPr>
      </w:pPr>
      <w:bookmarkStart w:id="17" w:name="_Toc147410775"/>
      <w:bookmarkStart w:id="18" w:name="_Toc183777783"/>
      <w:r w:rsidRPr="003272C7">
        <w:rPr>
          <w:rFonts w:cs="Arial"/>
        </w:rPr>
        <w:t>WRS2. Water Grid Oversight</w:t>
      </w:r>
      <w:bookmarkEnd w:id="17"/>
      <w:bookmarkEnd w:id="18"/>
      <w:r w:rsidRPr="003272C7">
        <w:rPr>
          <w:rFonts w:cs="Arial"/>
        </w:rPr>
        <w:t xml:space="preserve"> </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45E859B9" w14:textId="77777777" w:rsidTr="005D16A1">
        <w:trPr>
          <w:trHeight w:val="395"/>
        </w:trPr>
        <w:tc>
          <w:tcPr>
            <w:tcW w:w="979" w:type="pct"/>
            <w:shd w:val="clear" w:color="auto" w:fill="231EDC" w:themeFill="accent1"/>
          </w:tcPr>
          <w:p w14:paraId="1268A254" w14:textId="2565CF52" w:rsidR="00B242C3" w:rsidRPr="003272C7" w:rsidRDefault="00C412A9" w:rsidP="002671DB">
            <w:pPr>
              <w:pStyle w:val="TableHeading"/>
              <w:rPr>
                <w:rFonts w:cs="Arial"/>
              </w:rPr>
            </w:pPr>
            <w:r w:rsidRPr="003272C7">
              <w:rPr>
                <w:rFonts w:cs="Arial"/>
              </w:rPr>
              <w:t>Initiative</w:t>
            </w:r>
          </w:p>
        </w:tc>
        <w:tc>
          <w:tcPr>
            <w:tcW w:w="4021" w:type="pct"/>
            <w:shd w:val="clear" w:color="auto" w:fill="231EDC" w:themeFill="accent1"/>
          </w:tcPr>
          <w:p w14:paraId="5328238A" w14:textId="4BFE821E" w:rsidR="00B242C3" w:rsidRPr="003272C7" w:rsidRDefault="00B242C3" w:rsidP="002671DB">
            <w:pPr>
              <w:pStyle w:val="TableHeading"/>
              <w:rPr>
                <w:rFonts w:cs="Arial"/>
              </w:rPr>
            </w:pPr>
            <w:r w:rsidRPr="003272C7">
              <w:rPr>
                <w:rFonts w:cs="Arial"/>
              </w:rPr>
              <w:t>2.</w:t>
            </w:r>
            <w:r w:rsidR="001A3E1C"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518FD700" w14:textId="77777777" w:rsidTr="005D16A1">
        <w:trPr>
          <w:trHeight w:val="341"/>
        </w:trPr>
        <w:tc>
          <w:tcPr>
            <w:tcW w:w="979" w:type="pct"/>
            <w:shd w:val="clear" w:color="auto" w:fill="231EDC" w:themeFill="accent1"/>
          </w:tcPr>
          <w:p w14:paraId="7DC6D9F5" w14:textId="77777777" w:rsidR="00B242C3" w:rsidRPr="003272C7" w:rsidRDefault="00B242C3" w:rsidP="0088073D">
            <w:pPr>
              <w:pStyle w:val="TableText"/>
              <w:rPr>
                <w:rFonts w:cs="Arial"/>
                <w:b/>
                <w:bCs/>
              </w:rPr>
            </w:pPr>
            <w:r w:rsidRPr="003272C7">
              <w:rPr>
                <w:rFonts w:cs="Arial"/>
                <w:b/>
                <w:bCs/>
              </w:rPr>
              <w:t>Project</w:t>
            </w:r>
          </w:p>
        </w:tc>
        <w:tc>
          <w:tcPr>
            <w:tcW w:w="4021" w:type="pct"/>
          </w:tcPr>
          <w:p w14:paraId="50A47E58" w14:textId="77777777" w:rsidR="00B242C3" w:rsidRPr="003272C7" w:rsidRDefault="00B242C3" w:rsidP="0088073D">
            <w:pPr>
              <w:pStyle w:val="TableText"/>
              <w:rPr>
                <w:rFonts w:cs="Arial"/>
              </w:rPr>
            </w:pPr>
            <w:r w:rsidRPr="003272C7">
              <w:rPr>
                <w:rFonts w:cs="Arial"/>
              </w:rPr>
              <w:t>WRS2: Water Grid Oversight</w:t>
            </w:r>
          </w:p>
        </w:tc>
      </w:tr>
      <w:tr w:rsidR="00B242C3" w:rsidRPr="003272C7" w14:paraId="6BBB5336" w14:textId="77777777" w:rsidTr="005D16A1">
        <w:trPr>
          <w:trHeight w:val="259"/>
        </w:trPr>
        <w:tc>
          <w:tcPr>
            <w:tcW w:w="979" w:type="pct"/>
            <w:shd w:val="clear" w:color="auto" w:fill="231EDC" w:themeFill="accent1"/>
          </w:tcPr>
          <w:p w14:paraId="7D033EE7" w14:textId="245C64CB" w:rsidR="00B242C3" w:rsidRPr="003272C7" w:rsidRDefault="00B242C3" w:rsidP="00C06DED">
            <w:pPr>
              <w:pStyle w:val="TableText"/>
              <w:rPr>
                <w:rFonts w:cs="Arial"/>
                <w:b/>
                <w:bCs/>
                <w:szCs w:val="18"/>
              </w:rPr>
            </w:pPr>
            <w:r w:rsidRPr="003272C7">
              <w:rPr>
                <w:rFonts w:cs="Arial"/>
                <w:b/>
                <w:bCs/>
                <w:szCs w:val="18"/>
              </w:rPr>
              <w:t>Description</w:t>
            </w:r>
          </w:p>
        </w:tc>
        <w:tc>
          <w:tcPr>
            <w:tcW w:w="4021" w:type="pct"/>
          </w:tcPr>
          <w:p w14:paraId="0091161D" w14:textId="14F72493" w:rsidR="00B242C3" w:rsidRPr="003272C7" w:rsidRDefault="00B242C3" w:rsidP="000B4ECF">
            <w:pPr>
              <w:pStyle w:val="TableText"/>
              <w:rPr>
                <w:rFonts w:cs="Arial"/>
              </w:rPr>
            </w:pPr>
            <w:r w:rsidRPr="003272C7">
              <w:rPr>
                <w:rFonts w:cs="Arial"/>
              </w:rPr>
              <w:t xml:space="preserve">The objective of this project is to improve the oversight of </w:t>
            </w:r>
            <w:r w:rsidR="7F158ABA" w:rsidRPr="003272C7">
              <w:rPr>
                <w:rFonts w:cs="Arial"/>
              </w:rPr>
              <w:t>urban water security</w:t>
            </w:r>
            <w:r w:rsidRPr="003272C7">
              <w:rPr>
                <w:rFonts w:cs="Arial"/>
              </w:rPr>
              <w:t>. Water sources across Victoria, including climate independent sources like the Victorian Desalination Plant, have been connected by the water grid to improve water security for all Victorians. Greater connectivity through the water grid means that ongoing collaboration between DEECA and water corporations on future water supply augmentations is required. This project is needed to:</w:t>
            </w:r>
          </w:p>
          <w:p w14:paraId="590A031E" w14:textId="6953EFB2" w:rsidR="00B242C3" w:rsidRPr="003272C7" w:rsidRDefault="00B242C3" w:rsidP="000B4ECF">
            <w:pPr>
              <w:pStyle w:val="TableBullet"/>
              <w:rPr>
                <w:rFonts w:cs="Arial"/>
              </w:rPr>
            </w:pPr>
            <w:r w:rsidRPr="003272C7">
              <w:rPr>
                <w:rFonts w:cs="Arial"/>
              </w:rPr>
              <w:t>Inform policy directions that impact decisions around how the water grid is used.</w:t>
            </w:r>
          </w:p>
          <w:p w14:paraId="21F5BF5F" w14:textId="455662BC" w:rsidR="00B242C3" w:rsidRPr="003272C7" w:rsidRDefault="00B242C3" w:rsidP="00F70FDC">
            <w:pPr>
              <w:pStyle w:val="TableBullet"/>
              <w:rPr>
                <w:rFonts w:cs="Arial"/>
              </w:rPr>
            </w:pPr>
            <w:r w:rsidRPr="003272C7">
              <w:rPr>
                <w:rFonts w:cs="Arial"/>
              </w:rPr>
              <w:t>Remove barriers that impede the way water is transferred (administratively and physically), allowing water users to manage their own risks and provide the most economical infrastructure investments.</w:t>
            </w:r>
          </w:p>
        </w:tc>
      </w:tr>
      <w:tr w:rsidR="00B242C3" w:rsidRPr="003272C7" w14:paraId="5C1E248F" w14:textId="77777777" w:rsidTr="005D16A1">
        <w:trPr>
          <w:trHeight w:val="259"/>
        </w:trPr>
        <w:tc>
          <w:tcPr>
            <w:tcW w:w="979" w:type="pct"/>
            <w:shd w:val="clear" w:color="auto" w:fill="231EDC" w:themeFill="accent1"/>
          </w:tcPr>
          <w:p w14:paraId="0C742533" w14:textId="77777777" w:rsidR="00B242C3" w:rsidRPr="003272C7" w:rsidRDefault="00B242C3" w:rsidP="00C06DED">
            <w:pPr>
              <w:pStyle w:val="TableText"/>
              <w:rPr>
                <w:rFonts w:cs="Arial"/>
                <w:b/>
                <w:bCs/>
                <w:szCs w:val="18"/>
              </w:rPr>
            </w:pPr>
            <w:r w:rsidRPr="003272C7">
              <w:rPr>
                <w:rFonts w:cs="Arial"/>
                <w:b/>
                <w:bCs/>
                <w:szCs w:val="18"/>
              </w:rPr>
              <w:lastRenderedPageBreak/>
              <w:t>Outputs</w:t>
            </w:r>
          </w:p>
        </w:tc>
        <w:tc>
          <w:tcPr>
            <w:tcW w:w="4021" w:type="pct"/>
          </w:tcPr>
          <w:p w14:paraId="693F61A9" w14:textId="4D6C73C8" w:rsidR="00B242C3" w:rsidRPr="003272C7" w:rsidRDefault="511C33FC" w:rsidP="00E13354">
            <w:pPr>
              <w:pStyle w:val="TabletBullet"/>
              <w:rPr>
                <w:rFonts w:cs="Arial"/>
              </w:rPr>
            </w:pPr>
            <w:r w:rsidRPr="003272C7">
              <w:rPr>
                <w:rFonts w:cs="Arial"/>
              </w:rPr>
              <w:t>Developed and undertook stress testing of the south-central Victorian water grid</w:t>
            </w:r>
            <w:r w:rsidR="0F0D1B2A" w:rsidRPr="003272C7">
              <w:rPr>
                <w:rFonts w:cs="Arial"/>
              </w:rPr>
              <w:t xml:space="preserve"> and embedded this process in the Urban Water Strategies.</w:t>
            </w:r>
          </w:p>
          <w:p w14:paraId="37574B1F" w14:textId="77777777" w:rsidR="00142559" w:rsidRPr="003272C7" w:rsidRDefault="5B67D552" w:rsidP="00470B7E">
            <w:pPr>
              <w:pStyle w:val="TabletBullet"/>
              <w:rPr>
                <w:rFonts w:cs="Arial"/>
              </w:rPr>
            </w:pPr>
            <w:r w:rsidRPr="003272C7">
              <w:rPr>
                <w:rFonts w:cs="Arial"/>
              </w:rPr>
              <w:t xml:space="preserve">Developed a suite of data and information on statewide trends and published the </w:t>
            </w:r>
            <w:r w:rsidR="6F389332" w:rsidRPr="003272C7">
              <w:rPr>
                <w:rFonts w:cs="Arial"/>
              </w:rPr>
              <w:t xml:space="preserve">water dashboard </w:t>
            </w:r>
            <w:r w:rsidRPr="003272C7">
              <w:rPr>
                <w:rFonts w:cs="Arial"/>
              </w:rPr>
              <w:t xml:space="preserve">to </w:t>
            </w:r>
            <w:r w:rsidR="347CFE88" w:rsidRPr="003272C7">
              <w:rPr>
                <w:rFonts w:cs="Arial"/>
              </w:rPr>
              <w:t>support Victorian’s understanding of how the water grid is used.</w:t>
            </w:r>
          </w:p>
          <w:p w14:paraId="449372D8" w14:textId="275D0A0D" w:rsidR="00B242C3" w:rsidRPr="003272C7" w:rsidRDefault="346FD5BF" w:rsidP="00470B7E">
            <w:pPr>
              <w:pStyle w:val="TabletBullet"/>
              <w:rPr>
                <w:rFonts w:cs="Arial"/>
              </w:rPr>
            </w:pPr>
            <w:r w:rsidRPr="003272C7">
              <w:rPr>
                <w:rFonts w:cs="Arial"/>
              </w:rPr>
              <w:t>Established the Executive Advisory Committee to act as a coordination body between the water industry and government. The Executive Advisory Committee provides effective oversight and guidance on urban water security and regional-scale augmentation planning in the South-Central connected system.</w:t>
            </w:r>
          </w:p>
          <w:p w14:paraId="7DFFDF15" w14:textId="41D1704F" w:rsidR="00B242C3" w:rsidRPr="00623380" w:rsidRDefault="00992656" w:rsidP="00AE6A07">
            <w:pPr>
              <w:pStyle w:val="TableBullet"/>
              <w:rPr>
                <w:rFonts w:cs="Arial"/>
              </w:rPr>
            </w:pPr>
            <w:r w:rsidRPr="003272C7">
              <w:rPr>
                <w:rFonts w:cs="Arial"/>
              </w:rPr>
              <w:t>Developed a</w:t>
            </w:r>
            <w:r w:rsidR="00B242C3" w:rsidRPr="003272C7">
              <w:rPr>
                <w:rFonts w:cs="Arial"/>
              </w:rPr>
              <w:t xml:space="preserve"> </w:t>
            </w:r>
            <w:r w:rsidRPr="003272C7">
              <w:rPr>
                <w:rFonts w:cs="Arial"/>
              </w:rPr>
              <w:t>2</w:t>
            </w:r>
            <w:r w:rsidR="00B242C3" w:rsidRPr="003272C7">
              <w:rPr>
                <w:rFonts w:cs="Arial"/>
              </w:rPr>
              <w:t xml:space="preserve">-tier Quadruple Bottom Line assessment process for ensuring that </w:t>
            </w:r>
            <w:r w:rsidR="511C33FC" w:rsidRPr="003272C7">
              <w:rPr>
                <w:rFonts w:cs="Arial"/>
              </w:rPr>
              <w:t xml:space="preserve">future urban water supply infrastructure business cases include the assessment of opportunities for </w:t>
            </w:r>
            <w:r w:rsidR="00956086" w:rsidRPr="003272C7">
              <w:rPr>
                <w:rFonts w:cs="Arial"/>
              </w:rPr>
              <w:t xml:space="preserve">water </w:t>
            </w:r>
            <w:r w:rsidR="511C33FC" w:rsidRPr="003272C7">
              <w:rPr>
                <w:rFonts w:cs="Arial"/>
              </w:rPr>
              <w:t>returns to Traditional Owners and the environment as new water supplies come online.</w:t>
            </w:r>
          </w:p>
        </w:tc>
      </w:tr>
      <w:tr w:rsidR="00B242C3" w:rsidRPr="003272C7" w14:paraId="7FEB0915" w14:textId="77777777" w:rsidTr="005D16A1">
        <w:trPr>
          <w:trHeight w:val="259"/>
        </w:trPr>
        <w:tc>
          <w:tcPr>
            <w:tcW w:w="5000" w:type="pct"/>
            <w:gridSpan w:val="2"/>
            <w:shd w:val="clear" w:color="auto" w:fill="231EDC" w:themeFill="accent1"/>
          </w:tcPr>
          <w:p w14:paraId="0B6D6C93" w14:textId="33F276F5"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45D4B7D5" w14:textId="77777777" w:rsidTr="005D16A1">
        <w:trPr>
          <w:trHeight w:val="259"/>
        </w:trPr>
        <w:tc>
          <w:tcPr>
            <w:tcW w:w="979" w:type="pct"/>
            <w:shd w:val="clear" w:color="auto" w:fill="231EDC" w:themeFill="accent1"/>
          </w:tcPr>
          <w:p w14:paraId="76C867FB"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014A040B" w14:textId="36821BAE" w:rsidR="00B242C3" w:rsidRPr="003272C7" w:rsidRDefault="00B242C3" w:rsidP="00470B7E">
            <w:pPr>
              <w:pStyle w:val="TableTextBold"/>
              <w:rPr>
                <w:rFonts w:cs="Arial"/>
              </w:rPr>
            </w:pPr>
            <w:r w:rsidRPr="003272C7">
              <w:rPr>
                <w:rFonts w:cs="Arial"/>
              </w:rPr>
              <w:t>Long-term planning for water security</w:t>
            </w:r>
            <w:r w:rsidR="00D435D0" w:rsidRPr="003272C7">
              <w:rPr>
                <w:rFonts w:cs="Arial"/>
              </w:rPr>
              <w:t>:</w:t>
            </w:r>
          </w:p>
          <w:p w14:paraId="0F89D737" w14:textId="0E9676CE" w:rsidR="00B242C3" w:rsidRPr="003272C7" w:rsidRDefault="00B242C3" w:rsidP="00470B7E">
            <w:pPr>
              <w:pStyle w:val="TableBullet"/>
              <w:rPr>
                <w:rFonts w:cs="Arial"/>
              </w:rPr>
            </w:pPr>
            <w:r w:rsidRPr="003272C7">
              <w:rPr>
                <w:rFonts w:cs="Arial"/>
              </w:rPr>
              <w:t>The establishment of the Executive Advisory Committee provides coordination between the water industry and government. This will provide effective oversight and guidance on urban water security.</w:t>
            </w:r>
          </w:p>
          <w:p w14:paraId="1C2D330D" w14:textId="5EB0A209" w:rsidR="00142559" w:rsidRPr="003272C7" w:rsidRDefault="0594C411" w:rsidP="00623380">
            <w:pPr>
              <w:pStyle w:val="TableBullet"/>
              <w:rPr>
                <w:rFonts w:cs="Arial"/>
              </w:rPr>
            </w:pPr>
            <w:r w:rsidRPr="003272C7">
              <w:rPr>
                <w:rFonts w:cs="Arial"/>
              </w:rPr>
              <w:t>Stress testing provides an understanding of the impact of extreme shocks to the water grid and identifies where additional resilience may be needed.</w:t>
            </w:r>
          </w:p>
          <w:p w14:paraId="23549397" w14:textId="77777777" w:rsidR="00142559" w:rsidRPr="003272C7" w:rsidRDefault="00B242C3" w:rsidP="00C273CB">
            <w:pPr>
              <w:pStyle w:val="TableTextBold"/>
              <w:rPr>
                <w:rFonts w:cs="Arial"/>
              </w:rPr>
            </w:pPr>
            <w:r w:rsidRPr="003272C7">
              <w:rPr>
                <w:rFonts w:cs="Arial"/>
              </w:rPr>
              <w:t>Water return to Traditional Owners:</w:t>
            </w:r>
          </w:p>
          <w:p w14:paraId="087D3130" w14:textId="39450A43" w:rsidR="00B242C3" w:rsidRPr="003272C7" w:rsidRDefault="00B242C3" w:rsidP="00E13354">
            <w:pPr>
              <w:pStyle w:val="TabletBullet"/>
              <w:rPr>
                <w:rFonts w:cs="Arial"/>
              </w:rPr>
            </w:pPr>
            <w:r w:rsidRPr="003272C7">
              <w:rPr>
                <w:rFonts w:cs="Arial"/>
              </w:rPr>
              <w:t xml:space="preserve">A two-tier Quadruple Bottom Line assessment process and associated documentation that ensures </w:t>
            </w:r>
            <w:r w:rsidR="36E2C544" w:rsidRPr="003272C7">
              <w:rPr>
                <w:rFonts w:cs="Arial"/>
              </w:rPr>
              <w:t>that as future water supply options</w:t>
            </w:r>
            <w:r w:rsidRPr="003272C7">
              <w:rPr>
                <w:rFonts w:cs="Arial"/>
              </w:rPr>
              <w:t xml:space="preserve"> </w:t>
            </w:r>
            <w:r w:rsidR="52E11565" w:rsidRPr="003272C7">
              <w:rPr>
                <w:rFonts w:cs="Arial"/>
              </w:rPr>
              <w:t>are developed, consideration is given to their potential to enable water returns to</w:t>
            </w:r>
            <w:r w:rsidRPr="003272C7">
              <w:rPr>
                <w:rFonts w:cs="Arial"/>
              </w:rPr>
              <w:t xml:space="preserve"> Traditional Owners and the environment</w:t>
            </w:r>
            <w:r w:rsidR="46BDCEDE" w:rsidRPr="003272C7">
              <w:rPr>
                <w:rFonts w:cs="Arial"/>
              </w:rPr>
              <w:t>.</w:t>
            </w:r>
          </w:p>
        </w:tc>
      </w:tr>
      <w:tr w:rsidR="00B242C3" w:rsidRPr="003272C7" w14:paraId="7EBE452F" w14:textId="77777777" w:rsidTr="005D16A1">
        <w:trPr>
          <w:trHeight w:val="259"/>
        </w:trPr>
        <w:tc>
          <w:tcPr>
            <w:tcW w:w="979" w:type="pct"/>
            <w:shd w:val="clear" w:color="auto" w:fill="231EDC" w:themeFill="accent1"/>
          </w:tcPr>
          <w:p w14:paraId="0C9D4577" w14:textId="77777777" w:rsidR="00B242C3" w:rsidRPr="003272C7" w:rsidRDefault="00B242C3" w:rsidP="00BC3D19">
            <w:pPr>
              <w:pStyle w:val="TableText"/>
              <w:rPr>
                <w:rFonts w:cs="Arial"/>
                <w:b/>
                <w:bCs/>
              </w:rPr>
            </w:pPr>
            <w:r w:rsidRPr="003272C7">
              <w:rPr>
                <w:rFonts w:cs="Arial"/>
                <w:b/>
                <w:bCs/>
              </w:rPr>
              <w:t>Effectiveness</w:t>
            </w:r>
          </w:p>
        </w:tc>
        <w:tc>
          <w:tcPr>
            <w:tcW w:w="4021" w:type="pct"/>
          </w:tcPr>
          <w:p w14:paraId="087EACF7" w14:textId="4DAFC9DC" w:rsidR="00B242C3" w:rsidRPr="003272C7" w:rsidRDefault="00CE09C8" w:rsidP="00BC3D19">
            <w:pPr>
              <w:pStyle w:val="TableText"/>
              <w:rPr>
                <w:rFonts w:cs="Arial"/>
              </w:rPr>
            </w:pPr>
            <w:r w:rsidRPr="003272C7">
              <w:rPr>
                <w:rFonts w:cs="Arial"/>
              </w:rPr>
              <w:t>Effectiveness indicated through on-track delivery of planned works</w:t>
            </w:r>
          </w:p>
        </w:tc>
      </w:tr>
      <w:tr w:rsidR="00B242C3" w:rsidRPr="003272C7" w14:paraId="2CAD2C4F" w14:textId="77777777" w:rsidTr="005D16A1">
        <w:trPr>
          <w:trHeight w:val="259"/>
        </w:trPr>
        <w:tc>
          <w:tcPr>
            <w:tcW w:w="979" w:type="pct"/>
            <w:shd w:val="clear" w:color="auto" w:fill="231EDC" w:themeFill="accent1"/>
          </w:tcPr>
          <w:p w14:paraId="64712AE3"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64872865" w14:textId="28A781C3" w:rsidR="00B242C3" w:rsidRPr="003272C7" w:rsidRDefault="00B242C3" w:rsidP="00BC3D19">
            <w:pPr>
              <w:pStyle w:val="TableText"/>
              <w:rPr>
                <w:rFonts w:cs="Arial"/>
              </w:rPr>
            </w:pPr>
            <w:r w:rsidRPr="003272C7">
              <w:rPr>
                <w:rFonts w:cs="Arial"/>
              </w:rPr>
              <w:t xml:space="preserve">The </w:t>
            </w:r>
            <w:r w:rsidR="00786F66" w:rsidRPr="003272C7">
              <w:rPr>
                <w:rFonts w:cs="Arial"/>
              </w:rPr>
              <w:t xml:space="preserve">Executive Advisory Committee </w:t>
            </w:r>
            <w:r w:rsidRPr="003272C7">
              <w:rPr>
                <w:rFonts w:cs="Arial"/>
              </w:rPr>
              <w:t xml:space="preserve">delivers on commitments for the management and enhancement of Victoria’s water grid in the Government’s water policy </w:t>
            </w:r>
            <w:r w:rsidRPr="003272C7">
              <w:rPr>
                <w:rFonts w:cs="Arial"/>
                <w:i/>
                <w:iCs/>
              </w:rPr>
              <w:t>Water for Victoria</w:t>
            </w:r>
            <w:r w:rsidRPr="003272C7">
              <w:rPr>
                <w:rFonts w:cs="Arial"/>
              </w:rPr>
              <w:t xml:space="preserve">. It builds on work previously undertaken under the </w:t>
            </w:r>
            <w:r w:rsidR="00786F66" w:rsidRPr="003272C7">
              <w:rPr>
                <w:rFonts w:cs="Arial"/>
              </w:rPr>
              <w:t>EC4</w:t>
            </w:r>
            <w:r w:rsidRPr="003272C7">
              <w:rPr>
                <w:rFonts w:cs="Arial"/>
              </w:rPr>
              <w:t xml:space="preserve"> funding associated with Action 9.1 and 9.2 under </w:t>
            </w:r>
            <w:r w:rsidRPr="003272C7">
              <w:rPr>
                <w:rFonts w:cs="Arial"/>
                <w:iCs/>
              </w:rPr>
              <w:t>Chapter 9</w:t>
            </w:r>
            <w:r w:rsidR="00786F66" w:rsidRPr="003272C7">
              <w:rPr>
                <w:rFonts w:cs="Arial"/>
                <w:iCs/>
              </w:rPr>
              <w:t>:</w:t>
            </w:r>
            <w:r w:rsidRPr="003272C7">
              <w:rPr>
                <w:rFonts w:cs="Arial"/>
                <w:iCs/>
              </w:rPr>
              <w:t xml:space="preserve"> Realising the potential of the Water Grid </w:t>
            </w:r>
            <w:r w:rsidR="00445736" w:rsidRPr="003272C7">
              <w:rPr>
                <w:rFonts w:cs="Arial"/>
                <w:iCs/>
              </w:rPr>
              <w:t>project</w:t>
            </w:r>
            <w:r w:rsidRPr="003272C7">
              <w:rPr>
                <w:rFonts w:cs="Arial"/>
              </w:rPr>
              <w:t xml:space="preserve"> in </w:t>
            </w:r>
            <w:r w:rsidRPr="003272C7">
              <w:rPr>
                <w:rFonts w:cs="Arial"/>
                <w:i/>
                <w:iCs/>
              </w:rPr>
              <w:t>Water for Victoria</w:t>
            </w:r>
            <w:r w:rsidRPr="003272C7">
              <w:rPr>
                <w:rFonts w:cs="Arial"/>
              </w:rPr>
              <w:t xml:space="preserve"> and Action 9-2 in the CGRSWS.</w:t>
            </w:r>
          </w:p>
          <w:p w14:paraId="3025940B" w14:textId="3D1460C1" w:rsidR="00B242C3" w:rsidRPr="003272C7" w:rsidRDefault="00B242C3" w:rsidP="00BC3D19">
            <w:pPr>
              <w:pStyle w:val="TableText"/>
              <w:rPr>
                <w:rFonts w:cs="Arial"/>
              </w:rPr>
            </w:pPr>
            <w:r w:rsidRPr="003272C7">
              <w:rPr>
                <w:rFonts w:cs="Arial"/>
              </w:rPr>
              <w:t xml:space="preserve">The inclusion of a </w:t>
            </w:r>
            <w:r w:rsidR="00915A74" w:rsidRPr="003272C7">
              <w:rPr>
                <w:rFonts w:cs="Arial"/>
              </w:rPr>
              <w:t xml:space="preserve">Quadruple Bottom Line </w:t>
            </w:r>
            <w:r w:rsidRPr="003272C7">
              <w:rPr>
                <w:rFonts w:cs="Arial"/>
              </w:rPr>
              <w:t xml:space="preserve">assessment process will embed the consideration of water for Traditional Owners and the environment in </w:t>
            </w:r>
            <w:r w:rsidR="2C396D0A" w:rsidRPr="003272C7">
              <w:rPr>
                <w:rFonts w:cs="Arial"/>
              </w:rPr>
              <w:t xml:space="preserve">future </w:t>
            </w:r>
            <w:r w:rsidRPr="003272C7">
              <w:rPr>
                <w:rFonts w:cs="Arial"/>
              </w:rPr>
              <w:t>regionally significant urban water supply augmentations. This will deliver on Action 4-1 in the CGRSWS: Action 4-1: Investigate options to return water to the environment and Traditional Owners as manufactured water sources are planned for Greater Melbourne and Geelong</w:t>
            </w:r>
          </w:p>
        </w:tc>
      </w:tr>
      <w:tr w:rsidR="00B242C3" w:rsidRPr="003272C7" w14:paraId="78565F1C" w14:textId="77777777" w:rsidTr="005D16A1">
        <w:trPr>
          <w:trHeight w:val="259"/>
        </w:trPr>
        <w:tc>
          <w:tcPr>
            <w:tcW w:w="979" w:type="pct"/>
            <w:shd w:val="clear" w:color="auto" w:fill="231EDC" w:themeFill="accent1"/>
          </w:tcPr>
          <w:p w14:paraId="0A89A307" w14:textId="77777777" w:rsidR="00B242C3" w:rsidRPr="003272C7" w:rsidRDefault="00B242C3" w:rsidP="00B025D6">
            <w:pPr>
              <w:pStyle w:val="TableText"/>
              <w:rPr>
                <w:rFonts w:cs="Arial"/>
                <w:b/>
                <w:bCs/>
              </w:rPr>
            </w:pPr>
            <w:r w:rsidRPr="003272C7">
              <w:rPr>
                <w:rFonts w:cs="Arial"/>
                <w:b/>
                <w:bCs/>
              </w:rPr>
              <w:t>Efficiency</w:t>
            </w:r>
          </w:p>
        </w:tc>
        <w:tc>
          <w:tcPr>
            <w:tcW w:w="4021" w:type="pct"/>
          </w:tcPr>
          <w:p w14:paraId="5D3FEC3A" w14:textId="6272FFF8" w:rsidR="00B242C3" w:rsidRPr="003272C7" w:rsidRDefault="00B242C3" w:rsidP="00B025D6">
            <w:pPr>
              <w:pStyle w:val="TableText"/>
              <w:rPr>
                <w:rFonts w:cs="Arial"/>
              </w:rPr>
            </w:pPr>
            <w:r w:rsidRPr="003272C7">
              <w:rPr>
                <w:rFonts w:cs="Arial"/>
              </w:rPr>
              <w:t xml:space="preserve">The project is within budget </w:t>
            </w:r>
            <w:r w:rsidR="009766DC" w:rsidRPr="003272C7">
              <w:rPr>
                <w:rFonts w:cs="Arial"/>
              </w:rPr>
              <w:t xml:space="preserve">but publication of the inaugural </w:t>
            </w:r>
            <w:r w:rsidR="00915A74" w:rsidRPr="003272C7">
              <w:rPr>
                <w:rFonts w:cs="Arial"/>
              </w:rPr>
              <w:t>WGP</w:t>
            </w:r>
            <w:r w:rsidR="009766DC" w:rsidRPr="003272C7">
              <w:rPr>
                <w:rFonts w:cs="Arial"/>
              </w:rPr>
              <w:t xml:space="preserve"> was delayed from 2023</w:t>
            </w:r>
            <w:r w:rsidR="00292E6A" w:rsidRPr="003272C7">
              <w:rPr>
                <w:rFonts w:cs="Arial"/>
              </w:rPr>
              <w:t xml:space="preserve"> due to a decision by the </w:t>
            </w:r>
            <w:r w:rsidR="00786F66" w:rsidRPr="003272C7">
              <w:rPr>
                <w:rFonts w:cs="Arial"/>
              </w:rPr>
              <w:t xml:space="preserve">government </w:t>
            </w:r>
            <w:r w:rsidR="00292E6A" w:rsidRPr="003272C7">
              <w:rPr>
                <w:rFonts w:cs="Arial"/>
              </w:rPr>
              <w:t>and is now expected to be published in December 2024.</w:t>
            </w:r>
          </w:p>
        </w:tc>
      </w:tr>
      <w:tr w:rsidR="00B242C3" w:rsidRPr="003272C7" w14:paraId="1B935697" w14:textId="77777777" w:rsidTr="005D16A1">
        <w:trPr>
          <w:trHeight w:val="259"/>
        </w:trPr>
        <w:tc>
          <w:tcPr>
            <w:tcW w:w="979" w:type="pct"/>
            <w:shd w:val="clear" w:color="auto" w:fill="231EDC" w:themeFill="accent1"/>
          </w:tcPr>
          <w:p w14:paraId="248BA08C"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1B9AD994" w14:textId="77777777" w:rsidR="00B242C3" w:rsidRPr="003272C7" w:rsidRDefault="00B242C3" w:rsidP="00B025D6">
            <w:pPr>
              <w:pStyle w:val="TableText"/>
              <w:rPr>
                <w:rFonts w:cs="Arial"/>
              </w:rPr>
            </w:pPr>
            <w:r w:rsidRPr="003272C7">
              <w:rPr>
                <w:rFonts w:cs="Arial"/>
              </w:rPr>
              <w:t>It is considered likely that improvements to augmentation governance, and returning water to Traditional Owners and the environment will be sustained. Key indicators for determining the legacy of the project are:</w:t>
            </w:r>
          </w:p>
          <w:p w14:paraId="5BE1B245" w14:textId="253E0A38" w:rsidR="00B242C3" w:rsidRPr="003272C7" w:rsidRDefault="00B242C3" w:rsidP="00545392">
            <w:pPr>
              <w:pStyle w:val="TableBullet"/>
              <w:rPr>
                <w:rFonts w:cs="Arial"/>
              </w:rPr>
            </w:pPr>
            <w:r w:rsidRPr="003272C7">
              <w:rPr>
                <w:rFonts w:cs="Arial"/>
              </w:rPr>
              <w:t xml:space="preserve">Regular monitoring </w:t>
            </w:r>
            <w:r w:rsidR="00B8DF4E" w:rsidRPr="003272C7">
              <w:rPr>
                <w:rFonts w:cs="Arial"/>
              </w:rPr>
              <w:t>of u</w:t>
            </w:r>
            <w:r w:rsidR="63CFE02E" w:rsidRPr="003272C7">
              <w:rPr>
                <w:rFonts w:cs="Arial"/>
              </w:rPr>
              <w:t>r</w:t>
            </w:r>
            <w:r w:rsidR="00B8DF4E" w:rsidRPr="003272C7">
              <w:rPr>
                <w:rFonts w:cs="Arial"/>
              </w:rPr>
              <w:t>ban water security</w:t>
            </w:r>
          </w:p>
          <w:p w14:paraId="1E99B784" w14:textId="06EB06C5" w:rsidR="00B242C3" w:rsidRPr="003272C7" w:rsidRDefault="3EE5D3F3" w:rsidP="00545392">
            <w:pPr>
              <w:pStyle w:val="TableBullet"/>
              <w:rPr>
                <w:rFonts w:cs="Arial"/>
              </w:rPr>
            </w:pPr>
            <w:r w:rsidRPr="003272C7">
              <w:rPr>
                <w:rFonts w:cs="Arial"/>
              </w:rPr>
              <w:t>O</w:t>
            </w:r>
            <w:r w:rsidR="00B242C3" w:rsidRPr="003272C7">
              <w:rPr>
                <w:rFonts w:cs="Arial"/>
              </w:rPr>
              <w:t>ngoing operation of the Executive Advisory Committee as an endorsement body</w:t>
            </w:r>
            <w:r w:rsidR="00786F66" w:rsidRPr="003272C7">
              <w:rPr>
                <w:rFonts w:cs="Arial"/>
              </w:rPr>
              <w:t>.</w:t>
            </w:r>
          </w:p>
          <w:p w14:paraId="5AB98E42" w14:textId="5DE7617B" w:rsidR="00B242C3" w:rsidRPr="00623380" w:rsidRDefault="00B242C3" w:rsidP="00545392">
            <w:pPr>
              <w:pStyle w:val="TableBullet"/>
              <w:rPr>
                <w:rFonts w:cs="Arial"/>
              </w:rPr>
            </w:pPr>
            <w:r w:rsidRPr="003272C7">
              <w:rPr>
                <w:rFonts w:cs="Arial"/>
              </w:rPr>
              <w:t xml:space="preserve">Ongoing following of </w:t>
            </w:r>
            <w:r w:rsidR="00915A74" w:rsidRPr="003272C7">
              <w:rPr>
                <w:rFonts w:cs="Arial"/>
              </w:rPr>
              <w:t xml:space="preserve">Quadruple Bottom Line </w:t>
            </w:r>
            <w:r w:rsidR="03428725" w:rsidRPr="003272C7">
              <w:rPr>
                <w:rFonts w:cs="Arial"/>
              </w:rPr>
              <w:t>approach in the development of any future water supply augmentation projects.</w:t>
            </w:r>
          </w:p>
        </w:tc>
      </w:tr>
      <w:tr w:rsidR="00B242C3" w:rsidRPr="003272C7" w14:paraId="72B088CF" w14:textId="77777777" w:rsidTr="005D16A1">
        <w:trPr>
          <w:trHeight w:val="259"/>
        </w:trPr>
        <w:tc>
          <w:tcPr>
            <w:tcW w:w="979" w:type="pct"/>
            <w:shd w:val="clear" w:color="auto" w:fill="231EDC" w:themeFill="accent1"/>
          </w:tcPr>
          <w:p w14:paraId="7E6DA5CF"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18D51558" w14:textId="525D13C1" w:rsidR="00B242C3" w:rsidRPr="003272C7" w:rsidRDefault="00B242C3" w:rsidP="00545392">
            <w:pPr>
              <w:pStyle w:val="TableBullet"/>
              <w:rPr>
                <w:rFonts w:cs="Arial"/>
              </w:rPr>
            </w:pPr>
            <w:r w:rsidRPr="003272C7">
              <w:rPr>
                <w:rFonts w:cs="Arial"/>
              </w:rPr>
              <w:t>Ongoing secretariat support for the Executive Advisory Committee and associated working groups</w:t>
            </w:r>
            <w:r w:rsidR="00786F66" w:rsidRPr="003272C7">
              <w:rPr>
                <w:rFonts w:cs="Arial"/>
              </w:rPr>
              <w:t>.</w:t>
            </w:r>
          </w:p>
          <w:p w14:paraId="5A39B3B8" w14:textId="0F6B4D11" w:rsidR="00B242C3" w:rsidRPr="003272C7" w:rsidRDefault="472A9BC5" w:rsidP="00545392">
            <w:pPr>
              <w:pStyle w:val="TableBullet"/>
              <w:rPr>
                <w:rFonts w:cs="Arial"/>
              </w:rPr>
            </w:pPr>
            <w:r w:rsidRPr="003272C7">
              <w:rPr>
                <w:rFonts w:cs="Arial"/>
              </w:rPr>
              <w:t>Future grid stress testing</w:t>
            </w:r>
          </w:p>
        </w:tc>
      </w:tr>
    </w:tbl>
    <w:p w14:paraId="5BE93971" w14:textId="77777777" w:rsidR="00B242C3" w:rsidRPr="003272C7" w:rsidRDefault="00B242C3" w:rsidP="00B242C3">
      <w:pPr>
        <w:pStyle w:val="Heading2"/>
        <w:rPr>
          <w:rFonts w:cs="Arial"/>
        </w:rPr>
      </w:pPr>
      <w:bookmarkStart w:id="19" w:name="_Toc147410776"/>
      <w:bookmarkStart w:id="20" w:name="_Toc183777784"/>
      <w:r w:rsidRPr="003272C7">
        <w:rPr>
          <w:rFonts w:cs="Arial"/>
        </w:rPr>
        <w:lastRenderedPageBreak/>
        <w:t>WRS3. Water Market Reform</w:t>
      </w:r>
      <w:bookmarkEnd w:id="19"/>
      <w:bookmarkEnd w:id="20"/>
      <w:r w:rsidRPr="003272C7">
        <w:rPr>
          <w:rFonts w:cs="Arial"/>
        </w:rPr>
        <w:t xml:space="preserve"> </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5E89AF86" w14:textId="77777777" w:rsidTr="005D16A1">
        <w:trPr>
          <w:trHeight w:val="395"/>
        </w:trPr>
        <w:tc>
          <w:tcPr>
            <w:tcW w:w="979" w:type="pct"/>
            <w:shd w:val="clear" w:color="auto" w:fill="231EDC" w:themeFill="accent1"/>
          </w:tcPr>
          <w:p w14:paraId="1D4D8F47" w14:textId="15D14148" w:rsidR="00B242C3" w:rsidRPr="003272C7" w:rsidRDefault="00C412A9" w:rsidP="00545392">
            <w:pPr>
              <w:pStyle w:val="TableHeading"/>
              <w:rPr>
                <w:rFonts w:cs="Arial"/>
              </w:rPr>
            </w:pPr>
            <w:r w:rsidRPr="003272C7">
              <w:rPr>
                <w:rFonts w:cs="Arial"/>
              </w:rPr>
              <w:t>Initiative</w:t>
            </w:r>
          </w:p>
        </w:tc>
        <w:tc>
          <w:tcPr>
            <w:tcW w:w="4021" w:type="pct"/>
            <w:shd w:val="clear" w:color="auto" w:fill="231EDC" w:themeFill="accent1"/>
          </w:tcPr>
          <w:p w14:paraId="437E477F" w14:textId="032FC5D1" w:rsidR="00B242C3" w:rsidRPr="003272C7" w:rsidRDefault="00B242C3" w:rsidP="00545392">
            <w:pPr>
              <w:pStyle w:val="TableHeading"/>
              <w:rPr>
                <w:rFonts w:cs="Arial"/>
              </w:rPr>
            </w:pPr>
            <w:r w:rsidRPr="003272C7">
              <w:rPr>
                <w:rFonts w:cs="Arial"/>
              </w:rPr>
              <w:t>2.</w:t>
            </w:r>
            <w:r w:rsidR="00D34430"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78319360" w14:textId="77777777" w:rsidTr="005D16A1">
        <w:trPr>
          <w:trHeight w:val="341"/>
        </w:trPr>
        <w:tc>
          <w:tcPr>
            <w:tcW w:w="979" w:type="pct"/>
            <w:shd w:val="clear" w:color="auto" w:fill="231EDC" w:themeFill="accent1"/>
          </w:tcPr>
          <w:p w14:paraId="631F8018" w14:textId="77777777" w:rsidR="00B242C3" w:rsidRPr="003272C7" w:rsidRDefault="00B242C3" w:rsidP="00545392">
            <w:pPr>
              <w:pStyle w:val="TableText"/>
              <w:rPr>
                <w:rFonts w:cs="Arial"/>
                <w:b/>
                <w:bCs/>
              </w:rPr>
            </w:pPr>
            <w:r w:rsidRPr="003272C7">
              <w:rPr>
                <w:rFonts w:cs="Arial"/>
                <w:b/>
                <w:bCs/>
              </w:rPr>
              <w:t>Project</w:t>
            </w:r>
          </w:p>
        </w:tc>
        <w:tc>
          <w:tcPr>
            <w:tcW w:w="4021" w:type="pct"/>
          </w:tcPr>
          <w:p w14:paraId="4A81FF72" w14:textId="77777777" w:rsidR="00B242C3" w:rsidRPr="003272C7" w:rsidRDefault="00B242C3" w:rsidP="00545392">
            <w:pPr>
              <w:pStyle w:val="TableText"/>
              <w:rPr>
                <w:rFonts w:cs="Arial"/>
              </w:rPr>
            </w:pPr>
            <w:r w:rsidRPr="003272C7">
              <w:rPr>
                <w:rFonts w:cs="Arial"/>
              </w:rPr>
              <w:t>WRS3: Water Market Reform</w:t>
            </w:r>
          </w:p>
        </w:tc>
      </w:tr>
      <w:tr w:rsidR="00B242C3" w:rsidRPr="003272C7" w14:paraId="78BDCE6C" w14:textId="77777777" w:rsidTr="005D16A1">
        <w:trPr>
          <w:trHeight w:val="259"/>
        </w:trPr>
        <w:tc>
          <w:tcPr>
            <w:tcW w:w="979" w:type="pct"/>
            <w:shd w:val="clear" w:color="auto" w:fill="231EDC" w:themeFill="accent1"/>
          </w:tcPr>
          <w:p w14:paraId="20EFB759" w14:textId="77777777" w:rsidR="00B242C3" w:rsidRPr="003272C7" w:rsidRDefault="00B242C3" w:rsidP="00C06DED">
            <w:pPr>
              <w:pStyle w:val="TableText"/>
              <w:rPr>
                <w:rFonts w:cs="Arial"/>
                <w:b/>
                <w:bCs/>
                <w:szCs w:val="18"/>
              </w:rPr>
            </w:pPr>
            <w:r w:rsidRPr="003272C7">
              <w:rPr>
                <w:rFonts w:cs="Arial"/>
                <w:b/>
                <w:bCs/>
                <w:szCs w:val="18"/>
              </w:rPr>
              <w:t>Description</w:t>
            </w:r>
          </w:p>
          <w:p w14:paraId="27599358" w14:textId="77777777" w:rsidR="00B242C3" w:rsidRPr="003272C7" w:rsidRDefault="00B242C3" w:rsidP="00C06DED">
            <w:pPr>
              <w:pStyle w:val="TableText"/>
              <w:rPr>
                <w:rFonts w:cs="Arial"/>
                <w:b/>
                <w:bCs/>
                <w:szCs w:val="18"/>
              </w:rPr>
            </w:pPr>
          </w:p>
        </w:tc>
        <w:tc>
          <w:tcPr>
            <w:tcW w:w="4021" w:type="pct"/>
          </w:tcPr>
          <w:p w14:paraId="6C12F775" w14:textId="77777777" w:rsidR="00142559" w:rsidRPr="003272C7" w:rsidRDefault="00B242C3" w:rsidP="00545392">
            <w:pPr>
              <w:pStyle w:val="TableText"/>
              <w:rPr>
                <w:rFonts w:cs="Arial"/>
              </w:rPr>
            </w:pPr>
            <w:r w:rsidRPr="003272C7">
              <w:rPr>
                <w:rFonts w:cs="Arial"/>
              </w:rPr>
              <w:t>The objective of this project is to realise the shared benefits of water resources across Victoria, and particularly in the South-Central system, by enabling movement of water to where it is most needed. Improving the effectiveness of all water markets allows for the sharing of water security benefits in ways that are equitable, responsive and transparent. Population growth in the South-Central region of Victoria (Melbourne and surrounding population centres), means there is an increase in the number of water corporations with a need to access and share water in the Melbourne headworks system.</w:t>
            </w:r>
          </w:p>
          <w:p w14:paraId="04F7E532" w14:textId="26462555" w:rsidR="00B242C3" w:rsidRPr="003272C7" w:rsidRDefault="00B242C3" w:rsidP="00545392">
            <w:pPr>
              <w:pStyle w:val="TableText"/>
              <w:rPr>
                <w:rFonts w:cs="Arial"/>
              </w:rPr>
            </w:pPr>
            <w:r w:rsidRPr="003272C7">
              <w:rPr>
                <w:rFonts w:cs="Arial"/>
              </w:rPr>
              <w:t>This project is needed to:</w:t>
            </w:r>
          </w:p>
          <w:p w14:paraId="66E87EBC" w14:textId="77777777" w:rsidR="00142559" w:rsidRPr="003272C7" w:rsidRDefault="00B242C3" w:rsidP="00480A47">
            <w:pPr>
              <w:pStyle w:val="TableBullet"/>
              <w:rPr>
                <w:rFonts w:cs="Arial"/>
              </w:rPr>
            </w:pPr>
            <w:r w:rsidRPr="003272C7">
              <w:rPr>
                <w:rFonts w:cs="Arial"/>
              </w:rPr>
              <w:t>Develop and implement water sharing arrangements in South-Central Victoria to improve water security outcomes for the region.</w:t>
            </w:r>
          </w:p>
          <w:p w14:paraId="341C3A48" w14:textId="018F0612" w:rsidR="00B242C3" w:rsidRPr="003272C7" w:rsidRDefault="00B242C3" w:rsidP="00480A47">
            <w:pPr>
              <w:pStyle w:val="TableBullet"/>
              <w:rPr>
                <w:rFonts w:cs="Arial"/>
              </w:rPr>
            </w:pPr>
            <w:r w:rsidRPr="003272C7">
              <w:rPr>
                <w:rFonts w:cs="Arial"/>
              </w:rPr>
              <w:t>Implement changes to policy and rules around trading in groundwater and unregulated systems to enable water to flow to its highest value, while protecting the environment and third parties in the face of changing water resource conditions.</w:t>
            </w:r>
          </w:p>
          <w:p w14:paraId="39F4A07E" w14:textId="77777777" w:rsidR="00B242C3" w:rsidRPr="00623380" w:rsidRDefault="00B242C3" w:rsidP="00480A47">
            <w:pPr>
              <w:pStyle w:val="TableBullet"/>
              <w:rPr>
                <w:rFonts w:cs="Arial"/>
                <w:color w:val="5AE6FF" w:themeColor="accent3"/>
                <w:lang w:eastAsia="en-AU"/>
              </w:rPr>
            </w:pPr>
            <w:r w:rsidRPr="003272C7">
              <w:rPr>
                <w:rFonts w:cs="Arial"/>
              </w:rPr>
              <w:t>Identify opportunities to improve water market effectiveness in western Victoria.</w:t>
            </w:r>
          </w:p>
        </w:tc>
      </w:tr>
      <w:tr w:rsidR="00B242C3" w:rsidRPr="003272C7" w14:paraId="63ACF085" w14:textId="77777777" w:rsidTr="005D16A1">
        <w:trPr>
          <w:trHeight w:val="259"/>
        </w:trPr>
        <w:tc>
          <w:tcPr>
            <w:tcW w:w="979" w:type="pct"/>
            <w:shd w:val="clear" w:color="auto" w:fill="231EDC" w:themeFill="accent1"/>
          </w:tcPr>
          <w:p w14:paraId="24A4FE78"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68C31789" w14:textId="77777777" w:rsidR="00B242C3" w:rsidRPr="003272C7" w:rsidRDefault="00B242C3" w:rsidP="00480A47">
            <w:pPr>
              <w:pStyle w:val="TableBullet"/>
              <w:rPr>
                <w:rFonts w:cs="Arial"/>
              </w:rPr>
            </w:pPr>
            <w:r w:rsidRPr="003272C7">
              <w:rPr>
                <w:rFonts w:cs="Arial"/>
              </w:rPr>
              <w:t>Determined that fundamental conditions for effective urban water market in South-Central Victoria did not exist.</w:t>
            </w:r>
          </w:p>
          <w:p w14:paraId="1F6AC9B9" w14:textId="182D4AC6" w:rsidR="00B242C3" w:rsidRPr="003272C7" w:rsidRDefault="007F6155" w:rsidP="00480A47">
            <w:pPr>
              <w:pStyle w:val="TableBullet"/>
              <w:rPr>
                <w:rFonts w:cs="Arial"/>
              </w:rPr>
            </w:pPr>
            <w:r w:rsidRPr="003272C7">
              <w:rPr>
                <w:rFonts w:cs="Arial"/>
              </w:rPr>
              <w:t>Developed r</w:t>
            </w:r>
            <w:r w:rsidR="00B242C3" w:rsidRPr="003272C7">
              <w:rPr>
                <w:rFonts w:cs="Arial"/>
              </w:rPr>
              <w:t>eform</w:t>
            </w:r>
            <w:r w:rsidRPr="003272C7">
              <w:rPr>
                <w:rFonts w:cs="Arial"/>
              </w:rPr>
              <w:t>s</w:t>
            </w:r>
            <w:r w:rsidR="00B242C3" w:rsidRPr="003272C7">
              <w:rPr>
                <w:rFonts w:cs="Arial"/>
              </w:rPr>
              <w:t xml:space="preserve"> for the creation of a South-Central Pool and improving water sharing arrangements in South-Central Victoria</w:t>
            </w:r>
            <w:r w:rsidR="00F5045D" w:rsidRPr="003272C7">
              <w:rPr>
                <w:rFonts w:cs="Arial"/>
              </w:rPr>
              <w:t>,</w:t>
            </w:r>
            <w:r w:rsidR="00B242C3" w:rsidRPr="003272C7">
              <w:rPr>
                <w:rFonts w:cs="Arial"/>
              </w:rPr>
              <w:t xml:space="preserve"> in collaboration with stakeholders.</w:t>
            </w:r>
            <w:r w:rsidR="00F5045D" w:rsidRPr="003272C7">
              <w:rPr>
                <w:rFonts w:cs="Arial"/>
              </w:rPr>
              <w:t xml:space="preserve"> Commenced development of new Bulk Entitlement arrangements for the </w:t>
            </w:r>
            <w:r w:rsidR="00D34430" w:rsidRPr="003272C7">
              <w:rPr>
                <w:rFonts w:cs="Arial"/>
              </w:rPr>
              <w:t xml:space="preserve">8 </w:t>
            </w:r>
            <w:r w:rsidR="00F5045D" w:rsidRPr="003272C7">
              <w:rPr>
                <w:rFonts w:cs="Arial"/>
              </w:rPr>
              <w:t xml:space="preserve">water corporations connected to the </w:t>
            </w:r>
            <w:r w:rsidR="00D34430" w:rsidRPr="003272C7">
              <w:rPr>
                <w:rFonts w:cs="Arial"/>
              </w:rPr>
              <w:t>S</w:t>
            </w:r>
            <w:r w:rsidR="00F5045D" w:rsidRPr="003272C7">
              <w:rPr>
                <w:rFonts w:cs="Arial"/>
              </w:rPr>
              <w:t>outh-</w:t>
            </w:r>
            <w:r w:rsidR="00D34430" w:rsidRPr="003272C7">
              <w:rPr>
                <w:rFonts w:cs="Arial"/>
              </w:rPr>
              <w:t>C</w:t>
            </w:r>
            <w:r w:rsidR="00F5045D" w:rsidRPr="003272C7">
              <w:rPr>
                <w:rFonts w:cs="Arial"/>
              </w:rPr>
              <w:t>entral system.</w:t>
            </w:r>
          </w:p>
          <w:p w14:paraId="74683239" w14:textId="0E6AEFEC" w:rsidR="00B242C3" w:rsidRPr="003272C7" w:rsidRDefault="00B242C3" w:rsidP="00480A47">
            <w:pPr>
              <w:pStyle w:val="TableBullet"/>
              <w:rPr>
                <w:rFonts w:cs="Arial"/>
              </w:rPr>
            </w:pPr>
            <w:r w:rsidRPr="003272C7">
              <w:rPr>
                <w:rFonts w:cs="Arial"/>
              </w:rPr>
              <w:t>Improved water security for customers serviced by Gippsland Water through the acquisition of Greater Yarra System-Thomson River Pool entitlement.</w:t>
            </w:r>
          </w:p>
          <w:p w14:paraId="27E92CD0" w14:textId="6F94296A" w:rsidR="00142559" w:rsidRPr="003272C7" w:rsidRDefault="00B242C3" w:rsidP="00480A47">
            <w:pPr>
              <w:pStyle w:val="TableBullet"/>
              <w:rPr>
                <w:rFonts w:cs="Arial"/>
              </w:rPr>
            </w:pPr>
            <w:r w:rsidRPr="003272C7">
              <w:rPr>
                <w:rFonts w:cs="Arial"/>
              </w:rPr>
              <w:t>Conducted social research into barriers to groundwater trade in the South-</w:t>
            </w:r>
            <w:r w:rsidR="00D34430" w:rsidRPr="003272C7">
              <w:rPr>
                <w:rFonts w:cs="Arial"/>
              </w:rPr>
              <w:t>W</w:t>
            </w:r>
            <w:r w:rsidRPr="003272C7">
              <w:rPr>
                <w:rFonts w:cs="Arial"/>
              </w:rPr>
              <w:t>est Limestone Coast region.</w:t>
            </w:r>
          </w:p>
          <w:p w14:paraId="5C1F2D60" w14:textId="77777777" w:rsidR="00142559" w:rsidRPr="003272C7" w:rsidRDefault="00B242C3" w:rsidP="00480A47">
            <w:pPr>
              <w:pStyle w:val="TableBullet"/>
              <w:rPr>
                <w:rFonts w:cs="Arial"/>
              </w:rPr>
            </w:pPr>
            <w:r w:rsidRPr="003272C7">
              <w:rPr>
                <w:rFonts w:cs="Arial"/>
              </w:rPr>
              <w:t>Market research</w:t>
            </w:r>
            <w:r w:rsidR="00D34430" w:rsidRPr="003272C7">
              <w:rPr>
                <w:rFonts w:cs="Arial"/>
              </w:rPr>
              <w:t xml:space="preserve"> conducted</w:t>
            </w:r>
            <w:r w:rsidRPr="003272C7">
              <w:rPr>
                <w:rFonts w:cs="Arial"/>
              </w:rPr>
              <w:t xml:space="preserve"> to provide information on barriers which are preventing existing or potential water market participants accessing and utilising the market.</w:t>
            </w:r>
          </w:p>
          <w:p w14:paraId="7AE94FF2" w14:textId="70252591" w:rsidR="00B242C3" w:rsidRPr="00623380" w:rsidRDefault="00D34430" w:rsidP="00480A47">
            <w:pPr>
              <w:pStyle w:val="TableBullet"/>
              <w:rPr>
                <w:rFonts w:cs="Arial"/>
                <w:sz w:val="19"/>
                <w:szCs w:val="19"/>
              </w:rPr>
            </w:pPr>
            <w:r w:rsidRPr="003272C7">
              <w:rPr>
                <w:rFonts w:cs="Arial"/>
              </w:rPr>
              <w:t>Developed r</w:t>
            </w:r>
            <w:r w:rsidR="00B242C3" w:rsidRPr="003272C7">
              <w:rPr>
                <w:rFonts w:cs="Arial"/>
              </w:rPr>
              <w:t>ecommendations for improving effectiveness of the water market in western Victoria’s regulated water system</w:t>
            </w:r>
            <w:r w:rsidRPr="003272C7">
              <w:rPr>
                <w:rFonts w:cs="Arial"/>
              </w:rPr>
              <w:t>.</w:t>
            </w:r>
          </w:p>
        </w:tc>
      </w:tr>
      <w:tr w:rsidR="00B242C3" w:rsidRPr="003272C7" w14:paraId="584432EB" w14:textId="77777777" w:rsidTr="005D16A1">
        <w:trPr>
          <w:trHeight w:val="259"/>
        </w:trPr>
        <w:tc>
          <w:tcPr>
            <w:tcW w:w="5000" w:type="pct"/>
            <w:gridSpan w:val="2"/>
            <w:shd w:val="clear" w:color="auto" w:fill="231EDC" w:themeFill="accent1"/>
          </w:tcPr>
          <w:p w14:paraId="7C941706" w14:textId="73162766"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7F55B286" w14:textId="77777777" w:rsidTr="005D16A1">
        <w:trPr>
          <w:trHeight w:val="259"/>
        </w:trPr>
        <w:tc>
          <w:tcPr>
            <w:tcW w:w="979" w:type="pct"/>
            <w:shd w:val="clear" w:color="auto" w:fill="231EDC" w:themeFill="accent1"/>
          </w:tcPr>
          <w:p w14:paraId="4B625762"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16BF27AA" w14:textId="380A9137" w:rsidR="00B242C3" w:rsidRPr="003272C7" w:rsidRDefault="00E20A08" w:rsidP="00480A47">
            <w:pPr>
              <w:pStyle w:val="TableBullet"/>
              <w:rPr>
                <w:rFonts w:cs="Arial"/>
              </w:rPr>
            </w:pPr>
            <w:r w:rsidRPr="003272C7">
              <w:rPr>
                <w:rFonts w:cs="Arial"/>
              </w:rPr>
              <w:t>A</w:t>
            </w:r>
            <w:r w:rsidR="00B242C3" w:rsidRPr="003272C7">
              <w:rPr>
                <w:rFonts w:cs="Arial"/>
              </w:rPr>
              <w:t xml:space="preserve">greement from </w:t>
            </w:r>
            <w:r w:rsidRPr="003272C7">
              <w:rPr>
                <w:rFonts w:cs="Arial"/>
              </w:rPr>
              <w:t xml:space="preserve">key DEECA and water sector decision makers and </w:t>
            </w:r>
            <w:r w:rsidR="00B242C3" w:rsidRPr="003272C7">
              <w:rPr>
                <w:rFonts w:cs="Arial"/>
              </w:rPr>
              <w:t xml:space="preserve">stakeholders </w:t>
            </w:r>
            <w:r w:rsidR="00D34430" w:rsidRPr="003272C7">
              <w:rPr>
                <w:rFonts w:cs="Arial"/>
              </w:rPr>
              <w:t>on</w:t>
            </w:r>
            <w:r w:rsidR="00D34430" w:rsidRPr="00623380">
              <w:rPr>
                <w:rStyle w:val="normaltextrun"/>
                <w:rFonts w:cs="Arial"/>
                <w:shd w:val="clear" w:color="auto" w:fill="FFFFFF"/>
              </w:rPr>
              <w:t xml:space="preserve"> </w:t>
            </w:r>
            <w:r w:rsidR="00D20324" w:rsidRPr="00623380">
              <w:rPr>
                <w:rStyle w:val="normaltextrun"/>
                <w:rFonts w:cs="Arial"/>
                <w:shd w:val="clear" w:color="auto" w:fill="FFFFFF"/>
              </w:rPr>
              <w:t>the reforms developed for the creation of a South-Central Pool and improving water sharing arrangements in South-Central Victoria</w:t>
            </w:r>
            <w:r w:rsidR="00D20324" w:rsidRPr="00623380">
              <w:rPr>
                <w:rStyle w:val="normaltextrun"/>
                <w:rFonts w:cs="Arial"/>
                <w:u w:val="single"/>
                <w:shd w:val="clear" w:color="auto" w:fill="FFFFFF"/>
              </w:rPr>
              <w:t xml:space="preserve"> </w:t>
            </w:r>
            <w:r w:rsidR="00D34430" w:rsidRPr="003272C7">
              <w:rPr>
                <w:rFonts w:cs="Arial"/>
              </w:rPr>
              <w:t>demonstrates that</w:t>
            </w:r>
            <w:r w:rsidR="00B242C3" w:rsidRPr="003272C7">
              <w:rPr>
                <w:rFonts w:cs="Arial"/>
              </w:rPr>
              <w:t xml:space="preserve"> the project is resolving the problems </w:t>
            </w:r>
            <w:r w:rsidR="00431AEE" w:rsidRPr="003272C7">
              <w:rPr>
                <w:rFonts w:cs="Arial"/>
              </w:rPr>
              <w:t xml:space="preserve">identified </w:t>
            </w:r>
            <w:r w:rsidR="00B242C3" w:rsidRPr="003272C7">
              <w:rPr>
                <w:rFonts w:cs="Arial"/>
              </w:rPr>
              <w:t>with water and cost sharing.</w:t>
            </w:r>
          </w:p>
          <w:p w14:paraId="3AF25FE5" w14:textId="129DB214" w:rsidR="00B242C3" w:rsidRPr="003272C7" w:rsidRDefault="00B242C3" w:rsidP="00480A47">
            <w:pPr>
              <w:pStyle w:val="TableBullet"/>
              <w:rPr>
                <w:rFonts w:cs="Arial"/>
              </w:rPr>
            </w:pPr>
            <w:r w:rsidRPr="003272C7">
              <w:rPr>
                <w:rFonts w:cs="Arial"/>
              </w:rPr>
              <w:t>The research into the groundwater market in the South-</w:t>
            </w:r>
            <w:r w:rsidR="00D34430" w:rsidRPr="003272C7">
              <w:rPr>
                <w:rFonts w:cs="Arial"/>
              </w:rPr>
              <w:t>W</w:t>
            </w:r>
            <w:r w:rsidRPr="003272C7">
              <w:rPr>
                <w:rFonts w:cs="Arial"/>
              </w:rPr>
              <w:t xml:space="preserve">est Limestone Coast region has helped identify areas for improvements and developed a plan to address barriers to trade. </w:t>
            </w:r>
          </w:p>
        </w:tc>
      </w:tr>
      <w:tr w:rsidR="00B242C3" w:rsidRPr="003272C7" w14:paraId="59506DAA" w14:textId="77777777" w:rsidTr="005D16A1">
        <w:trPr>
          <w:trHeight w:val="259"/>
        </w:trPr>
        <w:tc>
          <w:tcPr>
            <w:tcW w:w="979" w:type="pct"/>
            <w:shd w:val="clear" w:color="auto" w:fill="231EDC" w:themeFill="accent1"/>
          </w:tcPr>
          <w:p w14:paraId="15AEB2D2" w14:textId="77777777" w:rsidR="00B242C3" w:rsidRPr="003272C7" w:rsidRDefault="00B242C3" w:rsidP="00480A47">
            <w:pPr>
              <w:pStyle w:val="TableText"/>
              <w:rPr>
                <w:rFonts w:cs="Arial"/>
                <w:b/>
                <w:bCs/>
              </w:rPr>
            </w:pPr>
            <w:r w:rsidRPr="003272C7">
              <w:rPr>
                <w:rFonts w:cs="Arial"/>
                <w:b/>
                <w:bCs/>
              </w:rPr>
              <w:t>Effectiveness</w:t>
            </w:r>
          </w:p>
        </w:tc>
        <w:tc>
          <w:tcPr>
            <w:tcW w:w="4021" w:type="pct"/>
          </w:tcPr>
          <w:p w14:paraId="6A0EEABE" w14:textId="77777777" w:rsidR="00B242C3" w:rsidRPr="003272C7" w:rsidRDefault="00B242C3" w:rsidP="00480A47">
            <w:pPr>
              <w:pStyle w:val="TableText"/>
              <w:rPr>
                <w:rFonts w:cs="Arial"/>
              </w:rPr>
            </w:pPr>
            <w:r w:rsidRPr="003272C7">
              <w:rPr>
                <w:rFonts w:cs="Arial"/>
              </w:rPr>
              <w:t>Effectiveness indicated through on-track delivery of planned works</w:t>
            </w:r>
          </w:p>
        </w:tc>
      </w:tr>
      <w:tr w:rsidR="00B242C3" w:rsidRPr="003272C7" w14:paraId="5BC83C5C" w14:textId="77777777" w:rsidTr="005D16A1">
        <w:trPr>
          <w:trHeight w:val="259"/>
        </w:trPr>
        <w:tc>
          <w:tcPr>
            <w:tcW w:w="979" w:type="pct"/>
            <w:shd w:val="clear" w:color="auto" w:fill="231EDC" w:themeFill="accent1"/>
          </w:tcPr>
          <w:p w14:paraId="7D8BE926"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7B7C4133" w14:textId="079EC511" w:rsidR="00B242C3" w:rsidRPr="003272C7" w:rsidRDefault="00B242C3" w:rsidP="00F611A4">
            <w:pPr>
              <w:pStyle w:val="TableBullet"/>
              <w:rPr>
                <w:rFonts w:cs="Arial"/>
              </w:rPr>
            </w:pPr>
            <w:r w:rsidRPr="003272C7">
              <w:rPr>
                <w:rFonts w:cs="Arial"/>
              </w:rPr>
              <w:t xml:space="preserve">This </w:t>
            </w:r>
            <w:r w:rsidR="00445736" w:rsidRPr="003272C7">
              <w:rPr>
                <w:rFonts w:cs="Arial"/>
              </w:rPr>
              <w:t>project</w:t>
            </w:r>
            <w:r w:rsidRPr="003272C7">
              <w:rPr>
                <w:rFonts w:cs="Arial"/>
              </w:rPr>
              <w:t xml:space="preserve"> delivers on two commitments in the Government’s water policy </w:t>
            </w:r>
            <w:r w:rsidRPr="003272C7">
              <w:rPr>
                <w:rFonts w:cs="Arial"/>
                <w:i/>
                <w:iCs/>
              </w:rPr>
              <w:t>Water for Victoria</w:t>
            </w:r>
            <w:r w:rsidRPr="003272C7">
              <w:rPr>
                <w:rFonts w:cs="Arial"/>
              </w:rPr>
              <w:t xml:space="preserve">: ‘trial the development of a water market in the South-Central region’ and ‘develop trading rules in other water systems’. It builds on work previously undertaken under the </w:t>
            </w:r>
            <w:r w:rsidR="00D34430" w:rsidRPr="003272C7">
              <w:rPr>
                <w:rFonts w:cs="Arial"/>
              </w:rPr>
              <w:t>EC4</w:t>
            </w:r>
            <w:r w:rsidRPr="003272C7">
              <w:rPr>
                <w:rFonts w:cs="Arial"/>
              </w:rPr>
              <w:t xml:space="preserve"> funding associated with the development of Action 9.5 and 9.7 under Chapter 9</w:t>
            </w:r>
            <w:r w:rsidR="00D34430" w:rsidRPr="003272C7">
              <w:rPr>
                <w:rFonts w:cs="Arial"/>
              </w:rPr>
              <w:t>:</w:t>
            </w:r>
            <w:r w:rsidRPr="003272C7">
              <w:rPr>
                <w:rFonts w:cs="Arial"/>
              </w:rPr>
              <w:t xml:space="preserve"> Realising the potential of the grid and markets </w:t>
            </w:r>
            <w:r w:rsidR="00445736" w:rsidRPr="003272C7">
              <w:rPr>
                <w:rFonts w:cs="Arial"/>
              </w:rPr>
              <w:t>project</w:t>
            </w:r>
            <w:r w:rsidRPr="003272C7">
              <w:rPr>
                <w:rFonts w:cs="Arial"/>
              </w:rPr>
              <w:t xml:space="preserve"> in Water for Victoria</w:t>
            </w:r>
            <w:r w:rsidR="00D34430" w:rsidRPr="003272C7">
              <w:rPr>
                <w:rFonts w:cs="Arial"/>
              </w:rPr>
              <w:t>.</w:t>
            </w:r>
          </w:p>
          <w:p w14:paraId="3124F956" w14:textId="68955FA8" w:rsidR="00B242C3" w:rsidRPr="003272C7" w:rsidRDefault="00B242C3" w:rsidP="00F611A4">
            <w:pPr>
              <w:pStyle w:val="TableBullet"/>
              <w:rPr>
                <w:rFonts w:cs="Arial"/>
              </w:rPr>
            </w:pPr>
            <w:r w:rsidRPr="003272C7">
              <w:rPr>
                <w:rFonts w:cs="Arial"/>
              </w:rPr>
              <w:t>The CGRSWS was released in September 2022. One action from the CGRSWS is relevant to this project: Action 9</w:t>
            </w:r>
            <w:r w:rsidR="00D34430" w:rsidRPr="003272C7">
              <w:rPr>
                <w:rFonts w:cs="Arial"/>
              </w:rPr>
              <w:t>.</w:t>
            </w:r>
            <w:r w:rsidRPr="003272C7">
              <w:rPr>
                <w:rFonts w:cs="Arial"/>
              </w:rPr>
              <w:t>3: Create a South-Central pooled resource and associated reforms</w:t>
            </w:r>
          </w:p>
          <w:p w14:paraId="6CEBCC0B" w14:textId="77777777" w:rsidR="00142559" w:rsidRPr="003272C7" w:rsidRDefault="00B242C3" w:rsidP="00F611A4">
            <w:pPr>
              <w:pStyle w:val="TableBullet"/>
              <w:rPr>
                <w:rFonts w:cs="Arial"/>
              </w:rPr>
            </w:pPr>
            <w:r w:rsidRPr="003272C7">
              <w:rPr>
                <w:rFonts w:cs="Arial"/>
              </w:rPr>
              <w:lastRenderedPageBreak/>
              <w:t xml:space="preserve">This </w:t>
            </w:r>
            <w:r w:rsidR="00D34430" w:rsidRPr="003272C7">
              <w:rPr>
                <w:rFonts w:cs="Arial"/>
              </w:rPr>
              <w:t xml:space="preserve">action </w:t>
            </w:r>
            <w:r w:rsidRPr="003272C7">
              <w:rPr>
                <w:rFonts w:cs="Arial"/>
              </w:rPr>
              <w:t xml:space="preserve">closes out </w:t>
            </w:r>
            <w:r w:rsidRPr="003272C7">
              <w:rPr>
                <w:rFonts w:cs="Arial"/>
                <w:i/>
                <w:iCs/>
              </w:rPr>
              <w:t>Water for Victoria</w:t>
            </w:r>
            <w:r w:rsidRPr="003272C7">
              <w:rPr>
                <w:rFonts w:cs="Arial"/>
              </w:rPr>
              <w:t xml:space="preserve"> Action 9.5</w:t>
            </w:r>
            <w:r w:rsidR="00D34430" w:rsidRPr="003272C7">
              <w:rPr>
                <w:rFonts w:cs="Arial"/>
              </w:rPr>
              <w:t>:</w:t>
            </w:r>
            <w:r w:rsidRPr="003272C7">
              <w:rPr>
                <w:rFonts w:cs="Arial"/>
              </w:rPr>
              <w:t xml:space="preserve"> </w:t>
            </w:r>
            <w:r w:rsidR="00D34430" w:rsidRPr="003272C7">
              <w:rPr>
                <w:rFonts w:cs="Arial"/>
              </w:rPr>
              <w:t>T</w:t>
            </w:r>
            <w:r w:rsidRPr="003272C7">
              <w:rPr>
                <w:rFonts w:cs="Arial"/>
              </w:rPr>
              <w:t>rial of a water market in the South-Central region, reflecting that the feasibility assessment of the trial concluding that the fundamental conditions for an effective urban water market in South-Central Victoria did not exist.</w:t>
            </w:r>
          </w:p>
          <w:p w14:paraId="6E8ABED7" w14:textId="63C08CF0" w:rsidR="00B242C3" w:rsidRPr="003272C7" w:rsidRDefault="00B242C3" w:rsidP="00F611A4">
            <w:pPr>
              <w:pStyle w:val="TableBullet"/>
              <w:rPr>
                <w:rFonts w:cs="Arial"/>
                <w:lang w:eastAsia="en-AU"/>
              </w:rPr>
            </w:pPr>
            <w:r w:rsidRPr="003272C7">
              <w:rPr>
                <w:rFonts w:cs="Arial"/>
              </w:rPr>
              <w:t xml:space="preserve">As per the CGRSWS, this project </w:t>
            </w:r>
            <w:r w:rsidR="00F9114A" w:rsidRPr="003272C7">
              <w:rPr>
                <w:rFonts w:cs="Arial"/>
              </w:rPr>
              <w:t xml:space="preserve">has established the foundations for </w:t>
            </w:r>
            <w:r w:rsidRPr="003272C7">
              <w:rPr>
                <w:rFonts w:cs="Arial"/>
              </w:rPr>
              <w:t>the creation of an effective South-Central pool, through means other than further developing a market.</w:t>
            </w:r>
          </w:p>
        </w:tc>
      </w:tr>
      <w:tr w:rsidR="00B242C3" w:rsidRPr="003272C7" w14:paraId="39676FC3" w14:textId="77777777" w:rsidTr="005D16A1">
        <w:trPr>
          <w:trHeight w:val="259"/>
        </w:trPr>
        <w:tc>
          <w:tcPr>
            <w:tcW w:w="979" w:type="pct"/>
            <w:shd w:val="clear" w:color="auto" w:fill="231EDC" w:themeFill="accent1"/>
          </w:tcPr>
          <w:p w14:paraId="2BC071CF" w14:textId="77777777" w:rsidR="00B242C3" w:rsidRPr="003272C7" w:rsidRDefault="00B242C3" w:rsidP="00F611A4">
            <w:pPr>
              <w:pStyle w:val="TableText"/>
              <w:rPr>
                <w:rFonts w:cs="Arial"/>
                <w:b/>
                <w:bCs/>
              </w:rPr>
            </w:pPr>
            <w:r w:rsidRPr="003272C7">
              <w:rPr>
                <w:rFonts w:cs="Arial"/>
                <w:b/>
                <w:bCs/>
              </w:rPr>
              <w:lastRenderedPageBreak/>
              <w:t>Efficiency</w:t>
            </w:r>
          </w:p>
        </w:tc>
        <w:tc>
          <w:tcPr>
            <w:tcW w:w="4021" w:type="pct"/>
          </w:tcPr>
          <w:p w14:paraId="10DAEA9E" w14:textId="0C14C068" w:rsidR="00B242C3" w:rsidRPr="003272C7" w:rsidRDefault="00B242C3" w:rsidP="00F611A4">
            <w:pPr>
              <w:pStyle w:val="TableText"/>
              <w:rPr>
                <w:rFonts w:cs="Arial"/>
              </w:rPr>
            </w:pPr>
            <w:r w:rsidRPr="003272C7">
              <w:rPr>
                <w:rFonts w:cs="Arial"/>
              </w:rPr>
              <w:t xml:space="preserve">All three parts of the project </w:t>
            </w:r>
            <w:r w:rsidR="00F9114A" w:rsidRPr="003272C7">
              <w:rPr>
                <w:rFonts w:cs="Arial"/>
              </w:rPr>
              <w:t>were completed</w:t>
            </w:r>
            <w:r w:rsidRPr="003272C7">
              <w:rPr>
                <w:rFonts w:cs="Arial"/>
              </w:rPr>
              <w:t xml:space="preserve"> within budget and on time as per the project plan.</w:t>
            </w:r>
          </w:p>
        </w:tc>
      </w:tr>
      <w:tr w:rsidR="00B242C3" w:rsidRPr="003272C7" w14:paraId="70570CD9" w14:textId="77777777" w:rsidTr="005D16A1">
        <w:trPr>
          <w:trHeight w:val="259"/>
        </w:trPr>
        <w:tc>
          <w:tcPr>
            <w:tcW w:w="979" w:type="pct"/>
            <w:shd w:val="clear" w:color="auto" w:fill="231EDC" w:themeFill="accent1"/>
          </w:tcPr>
          <w:p w14:paraId="503766CD"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786FB3F1" w14:textId="316EA512" w:rsidR="00B242C3" w:rsidRPr="003272C7" w:rsidRDefault="00AA72A5" w:rsidP="00F611A4">
            <w:pPr>
              <w:pStyle w:val="TableText"/>
              <w:rPr>
                <w:rFonts w:cs="Arial"/>
              </w:rPr>
            </w:pPr>
            <w:r w:rsidRPr="00623380">
              <w:rPr>
                <w:rStyle w:val="normaltextrun"/>
                <w:rFonts w:cs="Arial"/>
              </w:rPr>
              <w:t xml:space="preserve">Agreement from decision makers and stakeholders with the reforms developed for the creation of a South-Central Pool and improving water sharing arrangements in South-Central Victoria </w:t>
            </w:r>
            <w:r w:rsidR="00B242C3" w:rsidRPr="003272C7">
              <w:rPr>
                <w:rFonts w:cs="Arial"/>
              </w:rPr>
              <w:t xml:space="preserve">demonstrates that the project resolves </w:t>
            </w:r>
            <w:r w:rsidR="00B1598D" w:rsidRPr="003272C7">
              <w:rPr>
                <w:rFonts w:cs="Arial"/>
              </w:rPr>
              <w:t xml:space="preserve">the current </w:t>
            </w:r>
            <w:r w:rsidR="00B242C3" w:rsidRPr="003272C7">
              <w:rPr>
                <w:rFonts w:cs="Arial"/>
              </w:rPr>
              <w:t xml:space="preserve">problems with water and cost sharing. The extensive </w:t>
            </w:r>
            <w:r w:rsidR="00646972" w:rsidRPr="003272C7">
              <w:rPr>
                <w:rFonts w:cs="Arial"/>
              </w:rPr>
              <w:t>stakeholder</w:t>
            </w:r>
            <w:r w:rsidR="00B242C3" w:rsidRPr="003272C7">
              <w:rPr>
                <w:rFonts w:cs="Arial"/>
              </w:rPr>
              <w:t xml:space="preserve"> consultation, co-design, and </w:t>
            </w:r>
            <w:r w:rsidR="00646972" w:rsidRPr="003272C7">
              <w:rPr>
                <w:rFonts w:cs="Arial"/>
              </w:rPr>
              <w:t>collaboration in</w:t>
            </w:r>
            <w:r w:rsidR="00B242C3" w:rsidRPr="003272C7">
              <w:rPr>
                <w:rFonts w:cs="Arial"/>
              </w:rPr>
              <w:t xml:space="preserve"> the project mean</w:t>
            </w:r>
            <w:r w:rsidR="00646972" w:rsidRPr="003272C7">
              <w:rPr>
                <w:rFonts w:cs="Arial"/>
              </w:rPr>
              <w:t>s</w:t>
            </w:r>
            <w:r w:rsidR="00B242C3" w:rsidRPr="003272C7">
              <w:rPr>
                <w:rFonts w:cs="Arial"/>
              </w:rPr>
              <w:t xml:space="preserve"> that stakeholders were </w:t>
            </w:r>
            <w:r w:rsidR="002D0B55" w:rsidRPr="003272C7">
              <w:rPr>
                <w:rFonts w:cs="Arial"/>
              </w:rPr>
              <w:t xml:space="preserve">informed </w:t>
            </w:r>
            <w:r w:rsidR="00B242C3" w:rsidRPr="003272C7">
              <w:rPr>
                <w:rFonts w:cs="Arial"/>
              </w:rPr>
              <w:t xml:space="preserve">of the </w:t>
            </w:r>
            <w:r w:rsidR="002D0B55" w:rsidRPr="003272C7">
              <w:rPr>
                <w:rFonts w:cs="Arial"/>
              </w:rPr>
              <w:t>different</w:t>
            </w:r>
            <w:r w:rsidR="00B242C3" w:rsidRPr="003272C7">
              <w:rPr>
                <w:rFonts w:cs="Arial"/>
              </w:rPr>
              <w:t xml:space="preserve"> reform models prior to</w:t>
            </w:r>
            <w:r w:rsidR="00D34430" w:rsidRPr="003272C7">
              <w:rPr>
                <w:rFonts w:cs="Arial"/>
              </w:rPr>
              <w:t xml:space="preserve"> </w:t>
            </w:r>
            <w:r w:rsidR="00AA290E" w:rsidRPr="003272C7">
              <w:rPr>
                <w:rFonts w:cs="Arial"/>
              </w:rPr>
              <w:t>agreement being reached</w:t>
            </w:r>
            <w:r w:rsidR="00B242C3" w:rsidRPr="003272C7">
              <w:rPr>
                <w:rFonts w:cs="Arial"/>
              </w:rPr>
              <w:t xml:space="preserve">. Therefore, the reforms have been thoroughly interrogated and tested prior to implementation, and should be </w:t>
            </w:r>
            <w:r w:rsidR="00AA290E" w:rsidRPr="003272C7">
              <w:rPr>
                <w:rFonts w:cs="Arial"/>
              </w:rPr>
              <w:t xml:space="preserve">able to be </w:t>
            </w:r>
            <w:r w:rsidR="00B242C3" w:rsidRPr="003272C7">
              <w:rPr>
                <w:rFonts w:cs="Arial"/>
              </w:rPr>
              <w:t>in place for an extended period of time.</w:t>
            </w:r>
          </w:p>
        </w:tc>
      </w:tr>
      <w:tr w:rsidR="00B242C3" w:rsidRPr="003272C7" w14:paraId="23BD0273" w14:textId="77777777" w:rsidTr="005D16A1">
        <w:trPr>
          <w:trHeight w:val="259"/>
        </w:trPr>
        <w:tc>
          <w:tcPr>
            <w:tcW w:w="979" w:type="pct"/>
            <w:shd w:val="clear" w:color="auto" w:fill="231EDC" w:themeFill="accent1"/>
          </w:tcPr>
          <w:p w14:paraId="5694DB0A"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63D6AD2D" w14:textId="77777777" w:rsidR="00142559" w:rsidRPr="003272C7" w:rsidRDefault="00B242C3" w:rsidP="00F611A4">
            <w:pPr>
              <w:pStyle w:val="TableBullet"/>
              <w:rPr>
                <w:rFonts w:cs="Arial"/>
              </w:rPr>
            </w:pPr>
            <w:r w:rsidRPr="003272C7">
              <w:rPr>
                <w:rFonts w:cs="Arial"/>
              </w:rPr>
              <w:t xml:space="preserve">Implementation and operation of the South-Central reform </w:t>
            </w:r>
            <w:r w:rsidR="00D34430" w:rsidRPr="003272C7">
              <w:rPr>
                <w:rFonts w:cs="Arial"/>
              </w:rPr>
              <w:t>p</w:t>
            </w:r>
            <w:r w:rsidRPr="003272C7">
              <w:rPr>
                <w:rFonts w:cs="Arial"/>
              </w:rPr>
              <w:t>rogram to create a pooled South-Central resource and appropriate regulatory, entitlement and governance frameworks.</w:t>
            </w:r>
          </w:p>
          <w:p w14:paraId="5795AA8F" w14:textId="5C23C8AE" w:rsidR="00B242C3" w:rsidRPr="003272C7" w:rsidRDefault="00B242C3" w:rsidP="00F611A4">
            <w:pPr>
              <w:pStyle w:val="TableBullet"/>
              <w:rPr>
                <w:rFonts w:cs="Arial"/>
                <w:lang w:eastAsia="en-AU"/>
              </w:rPr>
            </w:pPr>
            <w:r w:rsidRPr="003272C7">
              <w:rPr>
                <w:rFonts w:cs="Arial"/>
              </w:rPr>
              <w:t>Policy, oversight and input to decisions on water sharing in the South-Central region</w:t>
            </w:r>
            <w:r w:rsidR="00D34430" w:rsidRPr="003272C7">
              <w:rPr>
                <w:rFonts w:cs="Arial"/>
              </w:rPr>
              <w:t xml:space="preserve"> i</w:t>
            </w:r>
            <w:r w:rsidRPr="003272C7">
              <w:rPr>
                <w:rFonts w:cs="Arial"/>
              </w:rPr>
              <w:t>ncluding supporting regional access, affordability, and decisions on trade and dynamic rebalancing.</w:t>
            </w:r>
          </w:p>
        </w:tc>
      </w:tr>
    </w:tbl>
    <w:p w14:paraId="7E3CD530" w14:textId="77777777" w:rsidR="00B242C3" w:rsidRPr="003272C7" w:rsidRDefault="00B242C3" w:rsidP="0022715A">
      <w:pPr>
        <w:pStyle w:val="Heading2"/>
        <w:rPr>
          <w:rFonts w:cs="Arial"/>
        </w:rPr>
      </w:pPr>
      <w:bookmarkStart w:id="21" w:name="_Toc147410777"/>
      <w:bookmarkStart w:id="22" w:name="_Toc183777785"/>
      <w:r w:rsidRPr="003272C7">
        <w:rPr>
          <w:rFonts w:cs="Arial"/>
        </w:rPr>
        <w:t>WRS4: Water Market Transparency</w:t>
      </w:r>
      <w:bookmarkEnd w:id="21"/>
      <w:bookmarkEnd w:id="22"/>
      <w:r w:rsidRPr="003272C7">
        <w:rPr>
          <w:rFonts w:cs="Arial"/>
        </w:rPr>
        <w:t xml:space="preserve"> </w:t>
      </w:r>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00BA8000" w14:textId="77777777" w:rsidTr="00033863">
        <w:trPr>
          <w:trHeight w:val="395"/>
        </w:trPr>
        <w:tc>
          <w:tcPr>
            <w:tcW w:w="979" w:type="pct"/>
            <w:shd w:val="clear" w:color="auto" w:fill="231EDC" w:themeFill="accent1"/>
          </w:tcPr>
          <w:p w14:paraId="7ECB88AC" w14:textId="13260E94" w:rsidR="00B242C3" w:rsidRPr="003272C7" w:rsidRDefault="00C412A9" w:rsidP="0022715A">
            <w:pPr>
              <w:pStyle w:val="TableHeading"/>
              <w:keepLines/>
              <w:rPr>
                <w:rFonts w:cs="Arial"/>
              </w:rPr>
            </w:pPr>
            <w:r w:rsidRPr="003272C7">
              <w:rPr>
                <w:rFonts w:cs="Arial"/>
              </w:rPr>
              <w:t>Initiative</w:t>
            </w:r>
          </w:p>
        </w:tc>
        <w:tc>
          <w:tcPr>
            <w:tcW w:w="4021" w:type="pct"/>
            <w:shd w:val="clear" w:color="auto" w:fill="231EDC" w:themeFill="accent1"/>
          </w:tcPr>
          <w:p w14:paraId="61472099" w14:textId="3F774364" w:rsidR="00B242C3" w:rsidRPr="003272C7" w:rsidRDefault="00B242C3" w:rsidP="0022715A">
            <w:pPr>
              <w:pStyle w:val="TableHeading"/>
              <w:keepLines/>
              <w:rPr>
                <w:rFonts w:cs="Arial"/>
              </w:rPr>
            </w:pPr>
            <w:r w:rsidRPr="003272C7">
              <w:rPr>
                <w:rFonts w:cs="Arial"/>
              </w:rPr>
              <w:t>2.</w:t>
            </w:r>
            <w:r w:rsidR="00D34430"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02686EB9" w14:textId="77777777" w:rsidTr="00033863">
        <w:trPr>
          <w:trHeight w:val="341"/>
        </w:trPr>
        <w:tc>
          <w:tcPr>
            <w:tcW w:w="979" w:type="pct"/>
            <w:shd w:val="clear" w:color="auto" w:fill="231EDC" w:themeFill="accent1"/>
          </w:tcPr>
          <w:p w14:paraId="0DCD417E" w14:textId="77777777" w:rsidR="00B242C3" w:rsidRPr="003272C7" w:rsidRDefault="00B242C3" w:rsidP="0022715A">
            <w:pPr>
              <w:pStyle w:val="TableText"/>
              <w:keepNext/>
              <w:keepLines/>
              <w:rPr>
                <w:rFonts w:cs="Arial"/>
                <w:b/>
                <w:bCs/>
              </w:rPr>
            </w:pPr>
            <w:r w:rsidRPr="003272C7">
              <w:rPr>
                <w:rFonts w:cs="Arial"/>
                <w:b/>
                <w:bCs/>
              </w:rPr>
              <w:t>Project</w:t>
            </w:r>
          </w:p>
        </w:tc>
        <w:tc>
          <w:tcPr>
            <w:tcW w:w="4021" w:type="pct"/>
          </w:tcPr>
          <w:p w14:paraId="165628D0" w14:textId="77777777" w:rsidR="00B242C3" w:rsidRPr="003272C7" w:rsidRDefault="00B242C3" w:rsidP="0022715A">
            <w:pPr>
              <w:pStyle w:val="TableText"/>
              <w:keepNext/>
              <w:keepLines/>
              <w:rPr>
                <w:rFonts w:cs="Arial"/>
              </w:rPr>
            </w:pPr>
            <w:r w:rsidRPr="003272C7">
              <w:rPr>
                <w:rFonts w:cs="Arial"/>
              </w:rPr>
              <w:t>WRS4: Water Market Transparency</w:t>
            </w:r>
          </w:p>
        </w:tc>
      </w:tr>
      <w:tr w:rsidR="00B242C3" w:rsidRPr="003272C7" w14:paraId="37471671" w14:textId="77777777" w:rsidTr="00033863">
        <w:trPr>
          <w:trHeight w:val="259"/>
        </w:trPr>
        <w:tc>
          <w:tcPr>
            <w:tcW w:w="979" w:type="pct"/>
            <w:shd w:val="clear" w:color="auto" w:fill="231EDC" w:themeFill="accent1"/>
          </w:tcPr>
          <w:p w14:paraId="7B6C5F0C" w14:textId="77777777" w:rsidR="00B242C3" w:rsidRPr="003272C7" w:rsidRDefault="00B242C3" w:rsidP="0022715A">
            <w:pPr>
              <w:pStyle w:val="TableText"/>
              <w:keepNext/>
              <w:keepLines/>
              <w:rPr>
                <w:rFonts w:cs="Arial"/>
              </w:rPr>
            </w:pPr>
            <w:r w:rsidRPr="003272C7">
              <w:rPr>
                <w:rFonts w:cs="Arial"/>
                <w:b/>
                <w:bCs/>
              </w:rPr>
              <w:t>Description</w:t>
            </w:r>
          </w:p>
          <w:p w14:paraId="07873B86" w14:textId="77777777" w:rsidR="00B242C3" w:rsidRPr="003272C7" w:rsidRDefault="00B242C3" w:rsidP="0022715A">
            <w:pPr>
              <w:pStyle w:val="TableText"/>
              <w:keepNext/>
              <w:keepLines/>
              <w:rPr>
                <w:rFonts w:cs="Arial"/>
                <w:b/>
                <w:bCs/>
                <w:szCs w:val="18"/>
              </w:rPr>
            </w:pPr>
          </w:p>
        </w:tc>
        <w:tc>
          <w:tcPr>
            <w:tcW w:w="4021" w:type="pct"/>
          </w:tcPr>
          <w:p w14:paraId="2EEB1E21" w14:textId="77777777" w:rsidR="00142559" w:rsidRPr="003272C7" w:rsidRDefault="00B242C3" w:rsidP="0022715A">
            <w:pPr>
              <w:pStyle w:val="TableText"/>
              <w:keepNext/>
              <w:keepLines/>
              <w:rPr>
                <w:rFonts w:cs="Arial"/>
              </w:rPr>
            </w:pPr>
            <w:r w:rsidRPr="003272C7">
              <w:rPr>
                <w:rFonts w:cs="Arial"/>
              </w:rPr>
              <w:t xml:space="preserve">The Water Market Transparency EC5 </w:t>
            </w:r>
            <w:r w:rsidR="00445736" w:rsidRPr="003272C7">
              <w:rPr>
                <w:rFonts w:cs="Arial"/>
              </w:rPr>
              <w:t>project</w:t>
            </w:r>
            <w:r w:rsidRPr="003272C7">
              <w:rPr>
                <w:rFonts w:cs="Arial"/>
              </w:rPr>
              <w:t xml:space="preserve"> investigated and responded to the community’s call for more transparent water markets with the aim to maintain and build community and investor confidence in water markets.</w:t>
            </w:r>
          </w:p>
          <w:p w14:paraId="4F1F8480" w14:textId="77777777" w:rsidR="00142559" w:rsidRPr="003272C7" w:rsidRDefault="00066938" w:rsidP="0022715A">
            <w:pPr>
              <w:pStyle w:val="TableText"/>
              <w:keepNext/>
              <w:keepLines/>
              <w:rPr>
                <w:rStyle w:val="normaltextrun"/>
                <w:rFonts w:cs="Arial"/>
              </w:rPr>
            </w:pPr>
            <w:r w:rsidRPr="00623380">
              <w:rPr>
                <w:rStyle w:val="normaltextrun"/>
                <w:rFonts w:cs="Arial"/>
              </w:rPr>
              <w:t>Increased competition for water coupled with previous years of drought, low water allocations and the socioeconomic effects from changes out of the Murray-Darling Basin Plan have seen increased community concern and media interest in water markets, including who owns and uses water.</w:t>
            </w:r>
          </w:p>
          <w:p w14:paraId="20BDC906" w14:textId="77777777" w:rsidR="00142559" w:rsidRPr="003272C7" w:rsidRDefault="00B242C3" w:rsidP="0022715A">
            <w:pPr>
              <w:pStyle w:val="TableText"/>
              <w:keepNext/>
              <w:keepLines/>
              <w:rPr>
                <w:rFonts w:cs="Arial"/>
              </w:rPr>
            </w:pPr>
            <w:r w:rsidRPr="003272C7">
              <w:rPr>
                <w:rFonts w:cs="Arial"/>
              </w:rPr>
              <w:t xml:space="preserve">In response to community concerns, in 2019 the </w:t>
            </w:r>
            <w:r w:rsidR="00066938" w:rsidRPr="003272C7">
              <w:rPr>
                <w:rFonts w:cs="Arial"/>
              </w:rPr>
              <w:t xml:space="preserve">ACCC </w:t>
            </w:r>
            <w:r w:rsidRPr="003272C7">
              <w:rPr>
                <w:rFonts w:cs="Arial"/>
              </w:rPr>
              <w:t>was directed to undertake an inquiry into Murray-Darling Basin Water Markets (among a number of other inquiries and reports about water). The ACCC released their final report in March 2021, providing in-depth analysis of water markets across the Murray-Darling Basin, drawn from the ACCC inquiry’s powers to compel information from jurisdictions and private parties. The report demonstrated the clear public benefit of water markets and highlighted the need for further reform.</w:t>
            </w:r>
          </w:p>
          <w:p w14:paraId="1A22774A" w14:textId="10F84D65" w:rsidR="00B242C3" w:rsidRPr="003272C7" w:rsidRDefault="00B242C3" w:rsidP="0022715A">
            <w:pPr>
              <w:pStyle w:val="TableText"/>
              <w:keepNext/>
              <w:keepLines/>
              <w:rPr>
                <w:rFonts w:cs="Arial"/>
              </w:rPr>
            </w:pPr>
            <w:r w:rsidRPr="003272C7">
              <w:rPr>
                <w:rFonts w:cs="Arial"/>
              </w:rPr>
              <w:t xml:space="preserve">This EC5 </w:t>
            </w:r>
            <w:r w:rsidR="00445736" w:rsidRPr="003272C7">
              <w:rPr>
                <w:rFonts w:cs="Arial"/>
              </w:rPr>
              <w:t>project</w:t>
            </w:r>
            <w:r w:rsidRPr="003272C7">
              <w:rPr>
                <w:rFonts w:cs="Arial"/>
              </w:rPr>
              <w:t xml:space="preserve"> ensured Victoria was represented in interjurisdictional forums to respond to the inquiry and provided resources for Victoria to be able to advocate for its priorities during the development of the Australian Government’s Water Market Reform Roadmap – an implementation roadmap having regard to the ACCC Inquiry.</w:t>
            </w:r>
          </w:p>
        </w:tc>
      </w:tr>
      <w:tr w:rsidR="00B242C3" w:rsidRPr="003272C7" w14:paraId="02B0AEFF" w14:textId="77777777" w:rsidTr="00033863">
        <w:trPr>
          <w:trHeight w:val="259"/>
        </w:trPr>
        <w:tc>
          <w:tcPr>
            <w:tcW w:w="979" w:type="pct"/>
            <w:shd w:val="clear" w:color="auto" w:fill="231EDC" w:themeFill="accent1"/>
          </w:tcPr>
          <w:p w14:paraId="3D34CE9C"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2DE6FD2E" w14:textId="721A98E7" w:rsidR="00B242C3" w:rsidRPr="003272C7" w:rsidRDefault="00B242C3" w:rsidP="00F611A4">
            <w:pPr>
              <w:pStyle w:val="TableBullet"/>
              <w:rPr>
                <w:rFonts w:cs="Arial"/>
              </w:rPr>
            </w:pPr>
            <w:r w:rsidRPr="003272C7">
              <w:rPr>
                <w:rFonts w:cs="Arial"/>
              </w:rPr>
              <w:t xml:space="preserve">Published water market information, </w:t>
            </w:r>
            <w:r w:rsidR="00066938" w:rsidRPr="003272C7">
              <w:rPr>
                <w:rFonts w:cs="Arial"/>
              </w:rPr>
              <w:t xml:space="preserve">such as the </w:t>
            </w:r>
            <w:r w:rsidR="00E403DC" w:rsidRPr="003272C7">
              <w:rPr>
                <w:rFonts w:cs="Arial"/>
              </w:rPr>
              <w:t>l</w:t>
            </w:r>
            <w:r w:rsidR="00066938" w:rsidRPr="003272C7">
              <w:rPr>
                <w:rFonts w:cs="Arial"/>
              </w:rPr>
              <w:t xml:space="preserve">argest </w:t>
            </w:r>
            <w:r w:rsidR="00E403DC" w:rsidRPr="003272C7">
              <w:rPr>
                <w:rFonts w:cs="Arial"/>
              </w:rPr>
              <w:t>w</w:t>
            </w:r>
            <w:r w:rsidR="00066938" w:rsidRPr="003272C7">
              <w:rPr>
                <w:rFonts w:cs="Arial"/>
              </w:rPr>
              <w:t xml:space="preserve">ater </w:t>
            </w:r>
            <w:r w:rsidR="00E403DC" w:rsidRPr="003272C7">
              <w:rPr>
                <w:rFonts w:cs="Arial"/>
              </w:rPr>
              <w:t>o</w:t>
            </w:r>
            <w:r w:rsidR="00066938" w:rsidRPr="003272C7">
              <w:rPr>
                <w:rFonts w:cs="Arial"/>
              </w:rPr>
              <w:t xml:space="preserve">wners, </w:t>
            </w:r>
            <w:r w:rsidRPr="003272C7">
              <w:rPr>
                <w:rFonts w:cs="Arial"/>
              </w:rPr>
              <w:t>including names of companies owning 2% or more of water in the largest water systems and introduced new requirements to provide clarity on different types of allocation trade</w:t>
            </w:r>
            <w:r w:rsidR="00E403DC" w:rsidRPr="003272C7">
              <w:rPr>
                <w:rFonts w:cs="Arial"/>
              </w:rPr>
              <w:t>.</w:t>
            </w:r>
          </w:p>
          <w:p w14:paraId="118BA4A2" w14:textId="65F1989C" w:rsidR="00B242C3" w:rsidRPr="003272C7" w:rsidRDefault="00B242C3" w:rsidP="00F611A4">
            <w:pPr>
              <w:pStyle w:val="TableBullet"/>
              <w:rPr>
                <w:rFonts w:cs="Arial"/>
              </w:rPr>
            </w:pPr>
            <w:r w:rsidRPr="003272C7">
              <w:rPr>
                <w:rFonts w:cs="Arial"/>
              </w:rPr>
              <w:t>Introduced amendments to sections 84EA and 84X of the Water Act 1989 to ensure the publication of water market information aligns with community expectations</w:t>
            </w:r>
            <w:r w:rsidR="00E403DC" w:rsidRPr="003272C7">
              <w:rPr>
                <w:rFonts w:cs="Arial"/>
              </w:rPr>
              <w:t>.</w:t>
            </w:r>
          </w:p>
          <w:p w14:paraId="353782F0" w14:textId="41F0A871" w:rsidR="00B242C3" w:rsidRPr="003272C7" w:rsidRDefault="00B242C3" w:rsidP="00F611A4">
            <w:pPr>
              <w:pStyle w:val="TableBullet"/>
              <w:rPr>
                <w:rFonts w:cs="Arial"/>
              </w:rPr>
            </w:pPr>
            <w:r w:rsidRPr="003272C7">
              <w:rPr>
                <w:rFonts w:cs="Arial"/>
              </w:rPr>
              <w:lastRenderedPageBreak/>
              <w:t>Develop</w:t>
            </w:r>
            <w:r w:rsidR="004C171C" w:rsidRPr="003272C7">
              <w:rPr>
                <w:rFonts w:cs="Arial"/>
              </w:rPr>
              <w:t>ed the Water (Resource Management) Amendment Regulations 2024</w:t>
            </w:r>
            <w:r w:rsidRPr="003272C7">
              <w:rPr>
                <w:rFonts w:cs="Arial"/>
              </w:rPr>
              <w:t xml:space="preserve"> to support the amendments in the Water Act 1989 and ensuring individual and commercial privacy is protected while increasing water market transparency</w:t>
            </w:r>
            <w:r w:rsidR="00E403DC" w:rsidRPr="003272C7">
              <w:rPr>
                <w:rFonts w:cs="Arial"/>
              </w:rPr>
              <w:t>.</w:t>
            </w:r>
          </w:p>
          <w:p w14:paraId="2DA711D9" w14:textId="44F040C6" w:rsidR="00B242C3" w:rsidRPr="003272C7" w:rsidRDefault="00B242C3" w:rsidP="00F611A4">
            <w:pPr>
              <w:pStyle w:val="TableBullet"/>
              <w:rPr>
                <w:rFonts w:cs="Arial"/>
              </w:rPr>
            </w:pPr>
            <w:r w:rsidRPr="003272C7">
              <w:rPr>
                <w:rFonts w:cs="Arial"/>
              </w:rPr>
              <w:t xml:space="preserve">Provided input into a Basin wide work plan for the Australian Government’s Water Market Reform Roadmap </w:t>
            </w:r>
            <w:r w:rsidR="0026634E" w:rsidRPr="00623380">
              <w:rPr>
                <w:rStyle w:val="normaltextrun"/>
                <w:rFonts w:cs="Arial"/>
              </w:rPr>
              <w:t>and developed a costed and detailed implementation plan for completion of the Roadmap Recommendation</w:t>
            </w:r>
            <w:r w:rsidR="00E403DC" w:rsidRPr="003272C7">
              <w:rPr>
                <w:rStyle w:val="normaltextrun"/>
                <w:rFonts w:cs="Arial"/>
              </w:rPr>
              <w:t>.</w:t>
            </w:r>
          </w:p>
          <w:p w14:paraId="1161046C" w14:textId="79BB2ECF" w:rsidR="00B242C3" w:rsidRPr="003272C7" w:rsidRDefault="00B242C3" w:rsidP="00F611A4">
            <w:pPr>
              <w:pStyle w:val="TableBullet"/>
              <w:rPr>
                <w:rFonts w:cs="Arial"/>
              </w:rPr>
            </w:pPr>
            <w:r w:rsidRPr="003272C7">
              <w:rPr>
                <w:rFonts w:cs="Arial"/>
              </w:rPr>
              <w:t xml:space="preserve">Launched a pilot for a water market exchange platform in the Macalister </w:t>
            </w:r>
            <w:r w:rsidR="001D1AC7" w:rsidRPr="003272C7">
              <w:rPr>
                <w:rFonts w:cs="Arial"/>
              </w:rPr>
              <w:t>Irrigation District (MID</w:t>
            </w:r>
            <w:r w:rsidR="00E52874" w:rsidRPr="003272C7">
              <w:rPr>
                <w:rFonts w:cs="Arial"/>
              </w:rPr>
              <w:t>)</w:t>
            </w:r>
            <w:r w:rsidR="001D1AC7" w:rsidRPr="003272C7">
              <w:rPr>
                <w:rFonts w:cs="Arial"/>
              </w:rPr>
              <w:t xml:space="preserve"> </w:t>
            </w:r>
            <w:r w:rsidRPr="003272C7">
              <w:rPr>
                <w:rFonts w:cs="Arial"/>
              </w:rPr>
              <w:t>in southern Victoria</w:t>
            </w:r>
            <w:r w:rsidR="00E403DC" w:rsidRPr="003272C7">
              <w:rPr>
                <w:rFonts w:cs="Arial"/>
              </w:rPr>
              <w:t>.</w:t>
            </w:r>
          </w:p>
          <w:p w14:paraId="68431FDE" w14:textId="3BC37CC2" w:rsidR="00B242C3" w:rsidRPr="003272C7" w:rsidRDefault="00B242C3" w:rsidP="00F611A4">
            <w:pPr>
              <w:pStyle w:val="TableBullet"/>
              <w:rPr>
                <w:rFonts w:cs="Arial"/>
              </w:rPr>
            </w:pPr>
            <w:r w:rsidRPr="003272C7">
              <w:rPr>
                <w:rFonts w:cs="Arial"/>
              </w:rPr>
              <w:t xml:space="preserve">Produced </w:t>
            </w:r>
            <w:r w:rsidR="00E52874" w:rsidRPr="00623380">
              <w:rPr>
                <w:rStyle w:val="normaltextrun"/>
                <w:rFonts w:cs="Arial"/>
              </w:rPr>
              <w:t xml:space="preserve">Ministerial Public Accounts and Estimates Committee </w:t>
            </w:r>
            <w:r w:rsidRPr="003272C7">
              <w:rPr>
                <w:rFonts w:cs="Arial"/>
              </w:rPr>
              <w:t xml:space="preserve">briefs and </w:t>
            </w:r>
            <w:r w:rsidR="00E52874" w:rsidRPr="003272C7">
              <w:rPr>
                <w:rFonts w:cs="Arial"/>
              </w:rPr>
              <w:t xml:space="preserve">Possible Parliamentary Question </w:t>
            </w:r>
            <w:r w:rsidR="009A110C" w:rsidRPr="003272C7">
              <w:rPr>
                <w:rFonts w:cs="Arial"/>
              </w:rPr>
              <w:t>briefs</w:t>
            </w:r>
            <w:r w:rsidRPr="003272C7">
              <w:rPr>
                <w:rFonts w:cs="Arial"/>
              </w:rPr>
              <w:t xml:space="preserve"> to support the Minister on market transparency and reform matters</w:t>
            </w:r>
            <w:r w:rsidR="00E403DC" w:rsidRPr="003272C7">
              <w:rPr>
                <w:rFonts w:cs="Arial"/>
              </w:rPr>
              <w:t>.</w:t>
            </w:r>
          </w:p>
          <w:p w14:paraId="1CB40B40" w14:textId="77777777" w:rsidR="00142559" w:rsidRPr="003272C7" w:rsidRDefault="009A110C" w:rsidP="00F611A4">
            <w:pPr>
              <w:pStyle w:val="TableBullet"/>
              <w:rPr>
                <w:rStyle w:val="eop"/>
                <w:rFonts w:cs="Arial"/>
              </w:rPr>
            </w:pPr>
            <w:r w:rsidRPr="00623380">
              <w:rPr>
                <w:rStyle w:val="normaltextrun"/>
                <w:rFonts w:cs="Arial"/>
              </w:rPr>
              <w:t>Provided feedback on the Water Act 2007 (Cth) amendments, Water Amendment (Restoring our Rivers) Act 2023 (related to water market reform aspects of the Act and associated Bill)</w:t>
            </w:r>
            <w:r w:rsidR="00E403DC" w:rsidRPr="003272C7">
              <w:rPr>
                <w:rStyle w:val="normaltextrun"/>
                <w:rFonts w:cs="Arial"/>
              </w:rPr>
              <w:t>.</w:t>
            </w:r>
          </w:p>
          <w:p w14:paraId="51F36D30" w14:textId="78317720" w:rsidR="00B242C3" w:rsidRPr="003272C7" w:rsidRDefault="009A110C" w:rsidP="00F611A4">
            <w:pPr>
              <w:pStyle w:val="TableBullet"/>
              <w:rPr>
                <w:rFonts w:cs="Arial"/>
              </w:rPr>
            </w:pPr>
            <w:r w:rsidRPr="00623380">
              <w:rPr>
                <w:rStyle w:val="normaltextrun"/>
                <w:rFonts w:cs="Arial"/>
              </w:rPr>
              <w:t>Worked together with Southern Rural Water to complete a social research project into barriers to trade in the Southwest Limestone Aquifer Groundwater Management Area and developed a final report</w:t>
            </w:r>
            <w:r w:rsidR="00E403DC" w:rsidRPr="003272C7">
              <w:rPr>
                <w:rStyle w:val="normaltextrun"/>
                <w:rFonts w:cs="Arial"/>
              </w:rPr>
              <w:t>.</w:t>
            </w:r>
            <w:r w:rsidRPr="00623380">
              <w:rPr>
                <w:rStyle w:val="eop"/>
                <w:rFonts w:cs="Arial"/>
                <w:sz w:val="19"/>
                <w:szCs w:val="19"/>
              </w:rPr>
              <w:t> </w:t>
            </w:r>
          </w:p>
        </w:tc>
      </w:tr>
      <w:tr w:rsidR="00B242C3" w:rsidRPr="003272C7" w14:paraId="691C19FC" w14:textId="77777777" w:rsidTr="00033863">
        <w:trPr>
          <w:trHeight w:val="259"/>
        </w:trPr>
        <w:tc>
          <w:tcPr>
            <w:tcW w:w="5000" w:type="pct"/>
            <w:gridSpan w:val="2"/>
            <w:shd w:val="clear" w:color="auto" w:fill="231EDC" w:themeFill="accent1"/>
          </w:tcPr>
          <w:p w14:paraId="4F3616F8" w14:textId="0F2E022D" w:rsidR="00B242C3" w:rsidRPr="003272C7" w:rsidRDefault="00C51015" w:rsidP="00C06DED">
            <w:pPr>
              <w:pStyle w:val="TableText"/>
              <w:rPr>
                <w:rFonts w:cs="Arial"/>
                <w:b/>
                <w:bCs/>
                <w:szCs w:val="18"/>
              </w:rPr>
            </w:pPr>
            <w:r w:rsidRPr="003272C7">
              <w:rPr>
                <w:rFonts w:cs="Arial"/>
                <w:b/>
                <w:bCs/>
                <w:szCs w:val="18"/>
              </w:rPr>
              <w:lastRenderedPageBreak/>
              <w:t>Summary against evaluation domains</w:t>
            </w:r>
          </w:p>
        </w:tc>
      </w:tr>
      <w:tr w:rsidR="00B242C3" w:rsidRPr="003272C7" w14:paraId="668CB85A" w14:textId="77777777" w:rsidTr="00033863">
        <w:trPr>
          <w:trHeight w:val="259"/>
        </w:trPr>
        <w:tc>
          <w:tcPr>
            <w:tcW w:w="979" w:type="pct"/>
            <w:shd w:val="clear" w:color="auto" w:fill="231EDC" w:themeFill="accent1"/>
          </w:tcPr>
          <w:p w14:paraId="761DCCFC"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7EDD0997" w14:textId="7D134814" w:rsidR="008F1CD9" w:rsidRPr="003272C7" w:rsidRDefault="008F1CD9" w:rsidP="00F611A4">
            <w:pPr>
              <w:pStyle w:val="TableBullet"/>
              <w:rPr>
                <w:rFonts w:cs="Arial"/>
              </w:rPr>
            </w:pPr>
            <w:r w:rsidRPr="003272C7">
              <w:rPr>
                <w:rFonts w:cs="Arial"/>
              </w:rPr>
              <w:t xml:space="preserve">This project has made progress toward efficient water use by improving water </w:t>
            </w:r>
            <w:r w:rsidR="00B242C3" w:rsidRPr="003272C7">
              <w:rPr>
                <w:rFonts w:cs="Arial"/>
              </w:rPr>
              <w:t xml:space="preserve">market transparency </w:t>
            </w:r>
            <w:r w:rsidRPr="003272C7">
              <w:rPr>
                <w:rFonts w:cs="Arial"/>
              </w:rPr>
              <w:t>and the operation of water markets, in turn enabling efficient, effective resource sharing.</w:t>
            </w:r>
          </w:p>
          <w:p w14:paraId="00C5EF0E" w14:textId="754B1869" w:rsidR="008F1CD9" w:rsidRPr="003272C7" w:rsidRDefault="008F1CD9" w:rsidP="00F611A4">
            <w:pPr>
              <w:pStyle w:val="TableBullet"/>
              <w:rPr>
                <w:rFonts w:cs="Arial"/>
              </w:rPr>
            </w:pPr>
            <w:r w:rsidRPr="003272C7">
              <w:rPr>
                <w:rFonts w:cs="Arial"/>
              </w:rPr>
              <w:t>In particular, this project has delivered on the actions identified in consultation ahead of the EC5 period, meeting Victorian Government commitments to improve water market transparency to meet community needs.</w:t>
            </w:r>
          </w:p>
          <w:p w14:paraId="44708FAD" w14:textId="67C114E2" w:rsidR="008F1CD9" w:rsidRPr="003272C7" w:rsidRDefault="008F1CD9" w:rsidP="00F611A4">
            <w:pPr>
              <w:pStyle w:val="TableBullet"/>
              <w:rPr>
                <w:rFonts w:cs="Arial"/>
              </w:rPr>
            </w:pPr>
            <w:r w:rsidRPr="003272C7">
              <w:rPr>
                <w:rFonts w:cs="Arial"/>
              </w:rPr>
              <w:t xml:space="preserve">This project has delivered foundational work which has supported other programs and improved data availability and decision-making by fulfilling water market reforms as directed by the ACCC water market reform inquiry and participating in the ACCC’s Roadmap commitments, effectively communicating Victoria’s priorities to the </w:t>
            </w:r>
            <w:r w:rsidR="00E403DC" w:rsidRPr="003272C7">
              <w:rPr>
                <w:rFonts w:cs="Arial"/>
              </w:rPr>
              <w:t>Australian Government</w:t>
            </w:r>
            <w:r w:rsidRPr="003272C7">
              <w:rPr>
                <w:rFonts w:cs="Arial"/>
              </w:rPr>
              <w:t>. The market exchange trial in the MID also provides valuable insights which may be able to be utilised to support the development of other Victorian Water markets.</w:t>
            </w:r>
          </w:p>
          <w:p w14:paraId="422F7F94" w14:textId="4FB4CA28" w:rsidR="008F1CD9" w:rsidRPr="003272C7" w:rsidRDefault="008F1CD9" w:rsidP="00F611A4">
            <w:pPr>
              <w:pStyle w:val="TableBullet"/>
              <w:rPr>
                <w:rFonts w:cs="Arial"/>
              </w:rPr>
            </w:pPr>
            <w:r w:rsidRPr="003272C7">
              <w:rPr>
                <w:rFonts w:cs="Arial"/>
              </w:rPr>
              <w:t>The project also improved the effectiveness of water governance through the proclamation of Water Act amendments in 2024, enabling greater clarity and accountability of governance arrangements and supporting further market transparency. This ensures a balance between greater transparency and protection of sensitive information of market participants.</w:t>
            </w:r>
          </w:p>
          <w:p w14:paraId="168E2777" w14:textId="5CA10A58" w:rsidR="00B242C3" w:rsidRPr="003272C7" w:rsidRDefault="008F1CD9" w:rsidP="00F611A4">
            <w:pPr>
              <w:pStyle w:val="TableBullet"/>
              <w:rPr>
                <w:rFonts w:cs="Arial"/>
              </w:rPr>
            </w:pPr>
            <w:r w:rsidRPr="003272C7">
              <w:rPr>
                <w:rFonts w:cs="Arial"/>
              </w:rPr>
              <w:t xml:space="preserve">Openness in the water markets and alignment of social and community values into water management has improved market participants’ trust in the integrity of water markets. Transparency </w:t>
            </w:r>
            <w:r w:rsidR="00B242C3" w:rsidRPr="003272C7">
              <w:rPr>
                <w:rFonts w:cs="Arial"/>
              </w:rPr>
              <w:t xml:space="preserve">has been improved by publishing information on any business owning over 2% of water </w:t>
            </w:r>
            <w:r w:rsidRPr="003272C7">
              <w:rPr>
                <w:rFonts w:cs="Arial"/>
              </w:rPr>
              <w:t xml:space="preserve">entitlement </w:t>
            </w:r>
            <w:r w:rsidR="00B242C3" w:rsidRPr="003272C7">
              <w:rPr>
                <w:rFonts w:cs="Arial"/>
              </w:rPr>
              <w:t>within a system. This provides insights to address community interest in water ownership focusing on high reliability water shares in Northern Victoria.</w:t>
            </w:r>
          </w:p>
        </w:tc>
      </w:tr>
      <w:tr w:rsidR="00B242C3" w:rsidRPr="003272C7" w14:paraId="59950158" w14:textId="77777777" w:rsidTr="0090382B">
        <w:trPr>
          <w:trHeight w:val="259"/>
        </w:trPr>
        <w:tc>
          <w:tcPr>
            <w:tcW w:w="979" w:type="pct"/>
            <w:shd w:val="clear" w:color="auto" w:fill="231EDC" w:themeFill="accent1"/>
          </w:tcPr>
          <w:p w14:paraId="3F893068" w14:textId="77777777" w:rsidR="00B242C3" w:rsidRPr="003272C7" w:rsidRDefault="00B242C3" w:rsidP="00C06DED">
            <w:pPr>
              <w:pStyle w:val="TableText"/>
              <w:rPr>
                <w:rFonts w:cs="Arial"/>
                <w:b/>
                <w:bCs/>
                <w:szCs w:val="18"/>
              </w:rPr>
            </w:pPr>
            <w:r w:rsidRPr="003272C7">
              <w:rPr>
                <w:rFonts w:cs="Arial"/>
                <w:b/>
                <w:bCs/>
                <w:szCs w:val="18"/>
              </w:rPr>
              <w:t>Effectiveness</w:t>
            </w:r>
          </w:p>
        </w:tc>
        <w:tc>
          <w:tcPr>
            <w:tcW w:w="4021" w:type="pct"/>
          </w:tcPr>
          <w:p w14:paraId="30377107" w14:textId="77777777" w:rsidR="00142559" w:rsidRPr="003272C7" w:rsidRDefault="00B242C3" w:rsidP="00F611A4">
            <w:pPr>
              <w:pStyle w:val="TableBullet"/>
              <w:rPr>
                <w:rFonts w:cs="Arial"/>
              </w:rPr>
            </w:pPr>
            <w:r w:rsidRPr="003272C7">
              <w:rPr>
                <w:rFonts w:cs="Arial"/>
              </w:rPr>
              <w:t xml:space="preserve">The </w:t>
            </w:r>
            <w:r w:rsidR="00445736" w:rsidRPr="003272C7">
              <w:rPr>
                <w:rFonts w:cs="Arial"/>
              </w:rPr>
              <w:t>project</w:t>
            </w:r>
            <w:r w:rsidR="00B3558D" w:rsidRPr="003272C7">
              <w:rPr>
                <w:rFonts w:cs="Arial"/>
              </w:rPr>
              <w:t xml:space="preserve"> </w:t>
            </w:r>
            <w:r w:rsidRPr="003272C7">
              <w:rPr>
                <w:rFonts w:cs="Arial"/>
              </w:rPr>
              <w:t xml:space="preserve">has met a number of targets and progressed important work in collaboration with the </w:t>
            </w:r>
            <w:r w:rsidR="00E403DC" w:rsidRPr="003272C7">
              <w:rPr>
                <w:rStyle w:val="normaltextrun"/>
                <w:rFonts w:cs="Arial"/>
              </w:rPr>
              <w:t>Australian Government</w:t>
            </w:r>
            <w:r w:rsidR="00E403DC" w:rsidRPr="003272C7" w:rsidDel="00E403DC">
              <w:rPr>
                <w:rFonts w:cs="Arial"/>
              </w:rPr>
              <w:t xml:space="preserve"> </w:t>
            </w:r>
            <w:r w:rsidR="00B3558D" w:rsidRPr="003272C7">
              <w:rPr>
                <w:rFonts w:cs="Arial"/>
              </w:rPr>
              <w:t xml:space="preserve">and </w:t>
            </w:r>
            <w:r w:rsidRPr="003272C7">
              <w:rPr>
                <w:rFonts w:cs="Arial"/>
              </w:rPr>
              <w:t>other Basin states, which will benefit Victoria in the short and long term.</w:t>
            </w:r>
          </w:p>
          <w:p w14:paraId="29FC92B5" w14:textId="3AE64D7C" w:rsidR="00B242C3" w:rsidRPr="003272C7" w:rsidRDefault="00B242C3" w:rsidP="00F611A4">
            <w:pPr>
              <w:pStyle w:val="TableBullet"/>
              <w:rPr>
                <w:rFonts w:cs="Arial"/>
              </w:rPr>
            </w:pPr>
            <w:r w:rsidRPr="003272C7">
              <w:rPr>
                <w:rFonts w:cs="Arial"/>
              </w:rPr>
              <w:t xml:space="preserve">The </w:t>
            </w:r>
            <w:r w:rsidR="0058730A" w:rsidRPr="003272C7">
              <w:rPr>
                <w:rFonts w:cs="Arial"/>
              </w:rPr>
              <w:t>individual</w:t>
            </w:r>
            <w:r w:rsidRPr="003272C7">
              <w:rPr>
                <w:rFonts w:cs="Arial"/>
              </w:rPr>
              <w:t xml:space="preserve"> projects that have been set up within Victoria, such as the </w:t>
            </w:r>
            <w:r w:rsidR="0058730A" w:rsidRPr="003272C7">
              <w:rPr>
                <w:rFonts w:cs="Arial"/>
              </w:rPr>
              <w:t>MID</w:t>
            </w:r>
            <w:r w:rsidRPr="003272C7">
              <w:rPr>
                <w:rFonts w:cs="Arial"/>
              </w:rPr>
              <w:t xml:space="preserve"> trial, were designed in consultation and collaboration with the rural water corporation and has been delivered within budget. On top of this, the </w:t>
            </w:r>
            <w:r w:rsidR="00445736" w:rsidRPr="003272C7">
              <w:rPr>
                <w:rFonts w:cs="Arial"/>
              </w:rPr>
              <w:t>project</w:t>
            </w:r>
            <w:r w:rsidRPr="003272C7">
              <w:rPr>
                <w:rFonts w:cs="Arial"/>
              </w:rPr>
              <w:t xml:space="preserve"> has successfully contributed to government wide </w:t>
            </w:r>
            <w:r w:rsidR="00445736" w:rsidRPr="003272C7">
              <w:rPr>
                <w:rFonts w:cs="Arial"/>
              </w:rPr>
              <w:t>project</w:t>
            </w:r>
            <w:r w:rsidRPr="003272C7">
              <w:rPr>
                <w:rFonts w:cs="Arial"/>
              </w:rPr>
              <w:t>s such as</w:t>
            </w:r>
            <w:r w:rsidR="00E403DC" w:rsidRPr="00623380">
              <w:rPr>
                <w:rStyle w:val="normaltextrun"/>
                <w:rFonts w:cs="Arial"/>
              </w:rPr>
              <w:t xml:space="preserve"> Victorian Groundwater Management 2030 </w:t>
            </w:r>
            <w:r w:rsidR="00E403DC" w:rsidRPr="003272C7">
              <w:rPr>
                <w:rStyle w:val="normaltextrun"/>
                <w:rFonts w:cs="Arial"/>
              </w:rPr>
              <w:t>strategy</w:t>
            </w:r>
            <w:r w:rsidRPr="003272C7">
              <w:rPr>
                <w:rFonts w:cs="Arial"/>
              </w:rPr>
              <w:t xml:space="preserve"> </w:t>
            </w:r>
            <w:r w:rsidR="00E403DC" w:rsidRPr="003272C7">
              <w:rPr>
                <w:rFonts w:cs="Arial"/>
              </w:rPr>
              <w:t>(</w:t>
            </w:r>
            <w:r w:rsidRPr="003272C7">
              <w:rPr>
                <w:rFonts w:cs="Arial"/>
              </w:rPr>
              <w:t>GM2030</w:t>
            </w:r>
            <w:r w:rsidR="00E403DC" w:rsidRPr="003272C7">
              <w:rPr>
                <w:rFonts w:cs="Arial"/>
              </w:rPr>
              <w:t>)</w:t>
            </w:r>
            <w:r w:rsidRPr="003272C7">
              <w:rPr>
                <w:rFonts w:cs="Arial"/>
              </w:rPr>
              <w:t xml:space="preserve">, </w:t>
            </w:r>
            <w:r w:rsidR="0040555B" w:rsidRPr="003272C7">
              <w:rPr>
                <w:rFonts w:cs="Arial"/>
              </w:rPr>
              <w:t>t</w:t>
            </w:r>
            <w:r w:rsidRPr="003272C7">
              <w:rPr>
                <w:rFonts w:cs="Arial"/>
              </w:rPr>
              <w:t xml:space="preserve">he </w:t>
            </w:r>
            <w:r w:rsidR="00E403DC" w:rsidRPr="003272C7">
              <w:rPr>
                <w:rFonts w:cs="Arial"/>
              </w:rPr>
              <w:t>CGRSWS</w:t>
            </w:r>
            <w:r w:rsidRPr="003272C7">
              <w:rPr>
                <w:rFonts w:cs="Arial"/>
              </w:rPr>
              <w:t xml:space="preserve"> and Water for Victoria</w:t>
            </w:r>
            <w:r w:rsidR="0040555B" w:rsidRPr="003272C7">
              <w:rPr>
                <w:rFonts w:cs="Arial"/>
              </w:rPr>
              <w:t>, in particular by supporting a proactive investigation into the barriers to groundwater trade in south-west Victoria.</w:t>
            </w:r>
          </w:p>
        </w:tc>
      </w:tr>
      <w:tr w:rsidR="00B242C3" w:rsidRPr="003272C7" w14:paraId="0FD55D75" w14:textId="77777777" w:rsidTr="0090382B">
        <w:trPr>
          <w:trHeight w:val="259"/>
        </w:trPr>
        <w:tc>
          <w:tcPr>
            <w:tcW w:w="979" w:type="pct"/>
            <w:shd w:val="clear" w:color="auto" w:fill="231EDC" w:themeFill="accent1"/>
          </w:tcPr>
          <w:p w14:paraId="446173C5"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26E3170B" w14:textId="77777777" w:rsidR="00142559" w:rsidRPr="003272C7" w:rsidRDefault="00B242C3" w:rsidP="005C58D0">
            <w:pPr>
              <w:pStyle w:val="TableText"/>
              <w:rPr>
                <w:rFonts w:cs="Arial"/>
              </w:rPr>
            </w:pPr>
            <w:r w:rsidRPr="003272C7">
              <w:rPr>
                <w:rFonts w:cs="Arial"/>
              </w:rPr>
              <w:t xml:space="preserve">The strategic context behind this </w:t>
            </w:r>
            <w:r w:rsidR="00445736" w:rsidRPr="003272C7">
              <w:rPr>
                <w:rFonts w:cs="Arial"/>
              </w:rPr>
              <w:t>project</w:t>
            </w:r>
            <w:r w:rsidRPr="003272C7">
              <w:rPr>
                <w:rFonts w:cs="Arial"/>
              </w:rPr>
              <w:t xml:space="preserve"> has undergone some changes. </w:t>
            </w:r>
            <w:r w:rsidR="0040555B" w:rsidRPr="003272C7">
              <w:rPr>
                <w:rFonts w:cs="Arial"/>
              </w:rPr>
              <w:t>W</w:t>
            </w:r>
            <w:r w:rsidRPr="003272C7">
              <w:rPr>
                <w:rFonts w:cs="Arial"/>
              </w:rPr>
              <w:t xml:space="preserve">ater markets have received relatively less media attention in the past few years due to </w:t>
            </w:r>
            <w:r w:rsidR="0040555B" w:rsidRPr="003272C7">
              <w:rPr>
                <w:rFonts w:cs="Arial"/>
              </w:rPr>
              <w:t>high water availability over multiple years resulting in lower prices and less stakeholders’ concern</w:t>
            </w:r>
            <w:r w:rsidR="000831E0" w:rsidRPr="003272C7">
              <w:rPr>
                <w:rFonts w:cs="Arial"/>
              </w:rPr>
              <w:t>.</w:t>
            </w:r>
          </w:p>
          <w:p w14:paraId="37BE0565" w14:textId="77777777" w:rsidR="00142559" w:rsidRPr="003272C7" w:rsidRDefault="00A445D7" w:rsidP="005C58D0">
            <w:pPr>
              <w:pStyle w:val="TableText"/>
              <w:rPr>
                <w:rStyle w:val="eop"/>
                <w:rFonts w:cs="Arial"/>
              </w:rPr>
            </w:pPr>
            <w:r w:rsidRPr="003272C7">
              <w:rPr>
                <w:rStyle w:val="normaltextrun"/>
                <w:rFonts w:cs="Arial"/>
              </w:rPr>
              <w:lastRenderedPageBreak/>
              <w:t xml:space="preserve">The relevant Water for Victoria targets that the Water Transparency </w:t>
            </w:r>
            <w:r w:rsidR="00445736" w:rsidRPr="003272C7">
              <w:rPr>
                <w:rStyle w:val="normaltextrun"/>
                <w:rFonts w:cs="Arial"/>
              </w:rPr>
              <w:t>project</w:t>
            </w:r>
            <w:r w:rsidRPr="003272C7">
              <w:rPr>
                <w:rStyle w:val="normaltextrun"/>
                <w:rFonts w:cs="Arial"/>
              </w:rPr>
              <w:t xml:space="preserve"> </w:t>
            </w:r>
            <w:r w:rsidR="00F3431B" w:rsidRPr="003272C7">
              <w:rPr>
                <w:rStyle w:val="normaltextrun"/>
                <w:rFonts w:cs="Arial"/>
              </w:rPr>
              <w:t>was</w:t>
            </w:r>
            <w:r w:rsidRPr="003272C7">
              <w:rPr>
                <w:rStyle w:val="normaltextrun"/>
                <w:rFonts w:cs="Arial"/>
              </w:rPr>
              <w:t xml:space="preserve"> delivering on were:</w:t>
            </w:r>
          </w:p>
          <w:p w14:paraId="31EFB643" w14:textId="77777777" w:rsidR="00142559" w:rsidRPr="003272C7" w:rsidRDefault="00A445D7" w:rsidP="005C58D0">
            <w:pPr>
              <w:pStyle w:val="TableBullet"/>
              <w:rPr>
                <w:rFonts w:cs="Arial"/>
              </w:rPr>
            </w:pPr>
            <w:r w:rsidRPr="003272C7">
              <w:rPr>
                <w:rFonts w:cs="Arial"/>
              </w:rPr>
              <w:t xml:space="preserve">9.3 </w:t>
            </w:r>
            <w:r w:rsidRPr="00623380">
              <w:rPr>
                <w:rFonts w:cs="Arial" w:hint="eastAsia"/>
              </w:rPr>
              <w:t>–</w:t>
            </w:r>
            <w:r w:rsidRPr="003272C7">
              <w:rPr>
                <w:rFonts w:cs="Arial"/>
              </w:rPr>
              <w:t xml:space="preserve"> Improve the effectiveness of water markets</w:t>
            </w:r>
          </w:p>
          <w:p w14:paraId="53D7D53E" w14:textId="77777777" w:rsidR="00142559" w:rsidRPr="003272C7" w:rsidRDefault="00A445D7" w:rsidP="005C58D0">
            <w:pPr>
              <w:pStyle w:val="TableBullet"/>
              <w:rPr>
                <w:rFonts w:cs="Arial"/>
              </w:rPr>
            </w:pPr>
            <w:r w:rsidRPr="003272C7">
              <w:rPr>
                <w:rFonts w:cs="Arial"/>
              </w:rPr>
              <w:t xml:space="preserve">9.4 </w:t>
            </w:r>
            <w:r w:rsidRPr="00623380">
              <w:rPr>
                <w:rFonts w:cs="Arial" w:hint="eastAsia"/>
              </w:rPr>
              <w:t>–</w:t>
            </w:r>
            <w:r w:rsidRPr="003272C7">
              <w:rPr>
                <w:rFonts w:cs="Arial"/>
              </w:rPr>
              <w:t xml:space="preserve"> Increase water market transparency and information sharing</w:t>
            </w:r>
          </w:p>
          <w:p w14:paraId="7181C5CA" w14:textId="77777777" w:rsidR="00142559" w:rsidRPr="003272C7" w:rsidRDefault="00A445D7" w:rsidP="005C58D0">
            <w:pPr>
              <w:pStyle w:val="TableText"/>
              <w:rPr>
                <w:rFonts w:cs="Arial"/>
              </w:rPr>
            </w:pPr>
            <w:r w:rsidRPr="00623380">
              <w:rPr>
                <w:rFonts w:cs="Arial"/>
              </w:rPr>
              <w:t xml:space="preserve">In addition to these targets the </w:t>
            </w:r>
            <w:r w:rsidR="00445736" w:rsidRPr="00623380">
              <w:rPr>
                <w:rFonts w:cs="Arial"/>
              </w:rPr>
              <w:t>project</w:t>
            </w:r>
            <w:r w:rsidRPr="00623380">
              <w:rPr>
                <w:rFonts w:cs="Arial"/>
              </w:rPr>
              <w:t xml:space="preserve"> also worked towards meeting Ministerial obligations under the Water Act </w:t>
            </w:r>
            <w:r w:rsidR="00F3431B" w:rsidRPr="003272C7">
              <w:rPr>
                <w:rFonts w:cs="Arial"/>
              </w:rPr>
              <w:t>1989,</w:t>
            </w:r>
            <w:r w:rsidRPr="00623380">
              <w:rPr>
                <w:rFonts w:cs="Arial"/>
              </w:rPr>
              <w:t xml:space="preserve"> Ministerial public commitments by making information of water ownership on the Water Register available in line with Victorian Government </w:t>
            </w:r>
            <w:r w:rsidR="00E403DC" w:rsidRPr="003272C7">
              <w:rPr>
                <w:rFonts w:cs="Arial"/>
              </w:rPr>
              <w:t>commitments</w:t>
            </w:r>
            <w:r w:rsidRPr="00623380">
              <w:rPr>
                <w:rFonts w:cs="Arial"/>
              </w:rPr>
              <w:t>, and addressing the ACCC inquiry.</w:t>
            </w:r>
          </w:p>
          <w:p w14:paraId="343BA77D" w14:textId="56E38568" w:rsidR="00B242C3" w:rsidRPr="003272C7" w:rsidRDefault="00B242C3" w:rsidP="005C58D0">
            <w:pPr>
              <w:pStyle w:val="TableText"/>
              <w:rPr>
                <w:rFonts w:cs="Arial"/>
              </w:rPr>
            </w:pPr>
            <w:r w:rsidRPr="003272C7">
              <w:rPr>
                <w:rFonts w:cs="Arial"/>
              </w:rPr>
              <w:t xml:space="preserve">The ACCC inquiry into the Murray-Darling Basin water markets and the subsequent Australian Government Water Market Reform Roadmap was published during the </w:t>
            </w:r>
            <w:r w:rsidR="00E403DC" w:rsidRPr="003272C7">
              <w:rPr>
                <w:rFonts w:cs="Arial"/>
              </w:rPr>
              <w:t>EC5</w:t>
            </w:r>
            <w:r w:rsidRPr="003272C7">
              <w:rPr>
                <w:rFonts w:cs="Arial"/>
              </w:rPr>
              <w:t>, crystallising necessary actions for water market reform. The ACCC’s recommendations were consistent with the long-held principles that have underpinned water market development in Victoria</w:t>
            </w:r>
            <w:r w:rsidR="00A445D7" w:rsidRPr="003272C7">
              <w:rPr>
                <w:rFonts w:cs="Arial"/>
              </w:rPr>
              <w:t>.</w:t>
            </w:r>
          </w:p>
          <w:p w14:paraId="48481188" w14:textId="5A804A77" w:rsidR="00B242C3" w:rsidRPr="00623380" w:rsidRDefault="00C67A75" w:rsidP="005C58D0">
            <w:pPr>
              <w:pStyle w:val="TableText"/>
              <w:rPr>
                <w:rFonts w:cs="Arial"/>
                <w:sz w:val="19"/>
                <w:szCs w:val="19"/>
              </w:rPr>
            </w:pPr>
            <w:r w:rsidRPr="00623380">
              <w:rPr>
                <w:rFonts w:cs="Arial"/>
              </w:rPr>
              <w:t>The GM2030 strategy was developed and finalised during this tranche with a priority area to improve groundwater markets. This resulted in a focus towards the groundwater market in the Southwest Limestone Coast and the decision to investigate barriers to trade in the area.</w:t>
            </w:r>
            <w:r w:rsidR="00142559" w:rsidRPr="003272C7">
              <w:rPr>
                <w:rStyle w:val="eop"/>
                <w:rFonts w:cs="Arial"/>
              </w:rPr>
              <w:t xml:space="preserve"> </w:t>
            </w:r>
          </w:p>
        </w:tc>
      </w:tr>
      <w:tr w:rsidR="00B242C3" w:rsidRPr="003272C7" w14:paraId="5EC818CD" w14:textId="77777777" w:rsidTr="0090382B">
        <w:trPr>
          <w:trHeight w:val="259"/>
        </w:trPr>
        <w:tc>
          <w:tcPr>
            <w:tcW w:w="979" w:type="pct"/>
            <w:shd w:val="clear" w:color="auto" w:fill="231EDC" w:themeFill="accent1"/>
          </w:tcPr>
          <w:p w14:paraId="076F1D2F" w14:textId="77777777" w:rsidR="00B242C3" w:rsidRPr="003272C7" w:rsidRDefault="00B242C3" w:rsidP="00C06DED">
            <w:pPr>
              <w:pStyle w:val="TableText"/>
              <w:rPr>
                <w:rFonts w:cs="Arial"/>
                <w:b/>
                <w:bCs/>
                <w:szCs w:val="18"/>
              </w:rPr>
            </w:pPr>
            <w:r w:rsidRPr="003272C7">
              <w:rPr>
                <w:rFonts w:cs="Arial"/>
                <w:b/>
                <w:bCs/>
                <w:szCs w:val="18"/>
              </w:rPr>
              <w:lastRenderedPageBreak/>
              <w:t>Efficiency</w:t>
            </w:r>
          </w:p>
        </w:tc>
        <w:tc>
          <w:tcPr>
            <w:tcW w:w="4021" w:type="pct"/>
          </w:tcPr>
          <w:p w14:paraId="02C2FFDD" w14:textId="77777777" w:rsidR="00142559" w:rsidRPr="003272C7" w:rsidRDefault="009F7063" w:rsidP="005C58D0">
            <w:pPr>
              <w:pStyle w:val="TableBullet"/>
              <w:rPr>
                <w:rStyle w:val="eop"/>
                <w:rFonts w:cs="Arial"/>
              </w:rPr>
            </w:pPr>
            <w:r w:rsidRPr="003272C7">
              <w:rPr>
                <w:rStyle w:val="normaltextrun"/>
                <w:rFonts w:cs="Arial"/>
              </w:rPr>
              <w:t>The project initially had funding allocated for 2020</w:t>
            </w:r>
            <w:r w:rsidR="00E403DC" w:rsidRPr="003272C7">
              <w:rPr>
                <w:rStyle w:val="normaltextrun"/>
                <w:rFonts w:cs="Arial"/>
              </w:rPr>
              <w:t>-</w:t>
            </w:r>
            <w:r w:rsidRPr="003272C7">
              <w:rPr>
                <w:rStyle w:val="normaltextrun"/>
                <w:rFonts w:cs="Arial"/>
              </w:rPr>
              <w:t>21 and 2021</w:t>
            </w:r>
            <w:r w:rsidR="00E403DC" w:rsidRPr="003272C7">
              <w:rPr>
                <w:rStyle w:val="normaltextrun"/>
                <w:rFonts w:cs="Arial"/>
              </w:rPr>
              <w:t>-</w:t>
            </w:r>
            <w:r w:rsidRPr="003272C7">
              <w:rPr>
                <w:rStyle w:val="normaltextrun"/>
                <w:rFonts w:cs="Arial"/>
              </w:rPr>
              <w:t xml:space="preserve">22 only but for </w:t>
            </w:r>
            <w:r w:rsidR="00E403DC" w:rsidRPr="003272C7">
              <w:rPr>
                <w:rStyle w:val="normaltextrun"/>
                <w:rFonts w:cs="Arial"/>
              </w:rPr>
              <w:t>20</w:t>
            </w:r>
            <w:r w:rsidRPr="003272C7">
              <w:rPr>
                <w:rStyle w:val="normaltextrun"/>
                <w:rFonts w:cs="Arial"/>
              </w:rPr>
              <w:t>22</w:t>
            </w:r>
            <w:r w:rsidR="00E403DC" w:rsidRPr="003272C7">
              <w:rPr>
                <w:rStyle w:val="normaltextrun"/>
                <w:rFonts w:cs="Arial"/>
              </w:rPr>
              <w:t>-</w:t>
            </w:r>
            <w:r w:rsidRPr="003272C7">
              <w:rPr>
                <w:rStyle w:val="normaltextrun"/>
                <w:rFonts w:cs="Arial"/>
              </w:rPr>
              <w:t xml:space="preserve">23 and </w:t>
            </w:r>
            <w:r w:rsidR="00E403DC" w:rsidRPr="003272C7">
              <w:rPr>
                <w:rStyle w:val="normaltextrun"/>
                <w:rFonts w:cs="Arial"/>
              </w:rPr>
              <w:t>20</w:t>
            </w:r>
            <w:r w:rsidRPr="003272C7">
              <w:rPr>
                <w:rStyle w:val="normaltextrun"/>
                <w:rFonts w:cs="Arial"/>
              </w:rPr>
              <w:t>23</w:t>
            </w:r>
            <w:r w:rsidR="00E403DC" w:rsidRPr="003272C7">
              <w:rPr>
                <w:rStyle w:val="normaltextrun"/>
                <w:rFonts w:cs="Arial"/>
              </w:rPr>
              <w:t>-</w:t>
            </w:r>
            <w:r w:rsidRPr="003272C7">
              <w:rPr>
                <w:rStyle w:val="normaltextrun"/>
                <w:rFonts w:cs="Arial"/>
              </w:rPr>
              <w:t xml:space="preserve">24, all funding to deliver on project outcomes came from the linked </w:t>
            </w:r>
            <w:r w:rsidR="00445736" w:rsidRPr="003272C7">
              <w:rPr>
                <w:rStyle w:val="normaltextrun"/>
                <w:rFonts w:cs="Arial"/>
              </w:rPr>
              <w:t>project</w:t>
            </w:r>
            <w:r w:rsidRPr="003272C7">
              <w:rPr>
                <w:rStyle w:val="normaltextrun"/>
                <w:rFonts w:cs="Arial"/>
              </w:rPr>
              <w:t xml:space="preserve"> WRS19: Water efficient and resilient communities – Stream 1.</w:t>
            </w:r>
          </w:p>
          <w:p w14:paraId="130338ED" w14:textId="77777777" w:rsidR="00142559" w:rsidRPr="003272C7" w:rsidRDefault="009F7063" w:rsidP="005C58D0">
            <w:pPr>
              <w:pStyle w:val="TableBullet"/>
              <w:rPr>
                <w:rStyle w:val="eop"/>
                <w:rFonts w:cs="Arial"/>
              </w:rPr>
            </w:pPr>
            <w:r w:rsidRPr="003272C7">
              <w:rPr>
                <w:rStyle w:val="normaltextrun"/>
                <w:rFonts w:cs="Arial"/>
              </w:rPr>
              <w:t xml:space="preserve">All priority objectives for this project were met within EC5 timeframes, with outputs which delivered on </w:t>
            </w:r>
            <w:r w:rsidR="00E403DC" w:rsidRPr="003272C7">
              <w:rPr>
                <w:rStyle w:val="normaltextrun"/>
                <w:rFonts w:cs="Arial"/>
              </w:rPr>
              <w:t>g</w:t>
            </w:r>
            <w:r w:rsidR="006D6610" w:rsidRPr="003272C7">
              <w:rPr>
                <w:rStyle w:val="normaltextrun"/>
                <w:rFonts w:cs="Arial"/>
              </w:rPr>
              <w:t>overnment</w:t>
            </w:r>
            <w:r w:rsidRPr="003272C7">
              <w:rPr>
                <w:rStyle w:val="normaltextrun"/>
                <w:rFonts w:cs="Arial"/>
              </w:rPr>
              <w:t xml:space="preserve"> and community priorities for water markets in Victoria.</w:t>
            </w:r>
          </w:p>
          <w:p w14:paraId="347463A6" w14:textId="77777777" w:rsidR="00142559" w:rsidRPr="003272C7" w:rsidRDefault="009F7063" w:rsidP="005C58D0">
            <w:pPr>
              <w:pStyle w:val="TableBullet"/>
              <w:rPr>
                <w:rFonts w:cs="Arial"/>
              </w:rPr>
            </w:pPr>
            <w:r w:rsidRPr="003272C7">
              <w:rPr>
                <w:rFonts w:cs="Arial"/>
              </w:rPr>
              <w:t xml:space="preserve">Key implementation elements have been delivered effectively, for example the implementation of a water market platform for the </w:t>
            </w:r>
            <w:r w:rsidR="00E403DC" w:rsidRPr="003272C7">
              <w:rPr>
                <w:rFonts w:cs="Arial"/>
              </w:rPr>
              <w:t>MID</w:t>
            </w:r>
            <w:r w:rsidR="009C1DC4" w:rsidRPr="003272C7">
              <w:rPr>
                <w:rFonts w:cs="Arial"/>
              </w:rPr>
              <w:t xml:space="preserve"> </w:t>
            </w:r>
            <w:r w:rsidR="00B242C3" w:rsidRPr="003272C7">
              <w:rPr>
                <w:rFonts w:cs="Arial"/>
              </w:rPr>
              <w:t xml:space="preserve">has not required additional funding since the </w:t>
            </w:r>
            <w:r w:rsidR="00E403DC" w:rsidRPr="003272C7">
              <w:rPr>
                <w:rFonts w:cs="Arial"/>
              </w:rPr>
              <w:t>P</w:t>
            </w:r>
            <w:r w:rsidR="00B242C3" w:rsidRPr="003272C7">
              <w:rPr>
                <w:rFonts w:cs="Arial"/>
              </w:rPr>
              <w:t xml:space="preserve">rogram’s inception </w:t>
            </w:r>
            <w:r w:rsidR="009C1DC4" w:rsidRPr="003272C7">
              <w:rPr>
                <w:rFonts w:cs="Arial"/>
              </w:rPr>
              <w:t>demonstrating</w:t>
            </w:r>
            <w:r w:rsidR="00B242C3" w:rsidRPr="003272C7">
              <w:rPr>
                <w:rFonts w:cs="Arial"/>
              </w:rPr>
              <w:t xml:space="preserve"> a well thought out project scope with collaborative input from stakeholders.</w:t>
            </w:r>
          </w:p>
          <w:p w14:paraId="3F669DFF" w14:textId="5381C521" w:rsidR="00B242C3" w:rsidRPr="00623380" w:rsidRDefault="009C1DC4" w:rsidP="005C58D0">
            <w:pPr>
              <w:pStyle w:val="TableBullet"/>
              <w:rPr>
                <w:rFonts w:cs="Arial"/>
                <w:color w:val="5AE6FF" w:themeColor="accent3"/>
                <w:lang w:eastAsia="en-AU"/>
              </w:rPr>
            </w:pPr>
            <w:r w:rsidRPr="003272C7">
              <w:rPr>
                <w:rFonts w:cs="Arial"/>
              </w:rPr>
              <w:t xml:space="preserve">The project has also ensured that </w:t>
            </w:r>
            <w:r w:rsidR="00B242C3" w:rsidRPr="003272C7">
              <w:rPr>
                <w:rFonts w:cs="Arial"/>
              </w:rPr>
              <w:t xml:space="preserve">Victoria </w:t>
            </w:r>
            <w:r w:rsidRPr="003272C7">
              <w:rPr>
                <w:rFonts w:cs="Arial"/>
              </w:rPr>
              <w:t>could</w:t>
            </w:r>
            <w:r w:rsidR="006D6610" w:rsidRPr="003272C7">
              <w:rPr>
                <w:rFonts w:cs="Arial"/>
              </w:rPr>
              <w:t xml:space="preserve"> contribute</w:t>
            </w:r>
            <w:r w:rsidR="00B242C3" w:rsidRPr="003272C7">
              <w:rPr>
                <w:rFonts w:cs="Arial"/>
              </w:rPr>
              <w:t xml:space="preserve"> staffing resources and time to ensure that Victorian interests are considered and included in the implementation of the ACCC roadmap to provide equal outcomes for all Basin States.</w:t>
            </w:r>
          </w:p>
        </w:tc>
      </w:tr>
      <w:tr w:rsidR="00B242C3" w:rsidRPr="003272C7" w14:paraId="24899F0E" w14:textId="77777777" w:rsidTr="0090382B">
        <w:trPr>
          <w:trHeight w:val="259"/>
        </w:trPr>
        <w:tc>
          <w:tcPr>
            <w:tcW w:w="979" w:type="pct"/>
            <w:shd w:val="clear" w:color="auto" w:fill="231EDC" w:themeFill="accent1"/>
          </w:tcPr>
          <w:p w14:paraId="3D6C5028"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0459F25C" w14:textId="77777777" w:rsidR="00142559" w:rsidRPr="003272C7" w:rsidRDefault="00B242C3" w:rsidP="005C58D0">
            <w:pPr>
              <w:pStyle w:val="TableBullet"/>
              <w:rPr>
                <w:rFonts w:cs="Arial"/>
              </w:rPr>
            </w:pPr>
            <w:r w:rsidRPr="003272C7">
              <w:rPr>
                <w:rFonts w:cs="Arial"/>
              </w:rPr>
              <w:t>The</w:t>
            </w:r>
            <w:r w:rsidR="000B31FF" w:rsidRPr="003272C7">
              <w:rPr>
                <w:rFonts w:cs="Arial"/>
              </w:rPr>
              <w:t xml:space="preserve"> </w:t>
            </w:r>
            <w:r w:rsidR="003F7217" w:rsidRPr="003272C7">
              <w:rPr>
                <w:rFonts w:cs="Arial"/>
              </w:rPr>
              <w:t>positive impacts delivered by this project are likely to continue over time</w:t>
            </w:r>
            <w:r w:rsidRPr="003272C7">
              <w:rPr>
                <w:rFonts w:cs="Arial"/>
              </w:rPr>
              <w:t xml:space="preserve">. The reforms to improve market transparency have been instituted in </w:t>
            </w:r>
            <w:r w:rsidR="003F7217" w:rsidRPr="003272C7">
              <w:rPr>
                <w:rFonts w:cs="Arial"/>
              </w:rPr>
              <w:t xml:space="preserve">enduring </w:t>
            </w:r>
            <w:r w:rsidRPr="003272C7">
              <w:rPr>
                <w:rFonts w:cs="Arial"/>
              </w:rPr>
              <w:t>ways, namely through the amendments made to the Water Act 1989</w:t>
            </w:r>
            <w:r w:rsidR="00806C70" w:rsidRPr="003272C7">
              <w:rPr>
                <w:rFonts w:cs="Arial"/>
              </w:rPr>
              <w:t>, as well as</w:t>
            </w:r>
            <w:r w:rsidRPr="003272C7">
              <w:rPr>
                <w:rFonts w:cs="Arial"/>
              </w:rPr>
              <w:t xml:space="preserve"> collaborative agreements for </w:t>
            </w:r>
            <w:r w:rsidR="00806C70" w:rsidRPr="003272C7">
              <w:rPr>
                <w:rFonts w:cs="Arial"/>
              </w:rPr>
              <w:t>interjuris</w:t>
            </w:r>
            <w:r w:rsidR="00672386" w:rsidRPr="003272C7">
              <w:rPr>
                <w:rFonts w:cs="Arial"/>
              </w:rPr>
              <w:t>dictional</w:t>
            </w:r>
            <w:r w:rsidRPr="003272C7">
              <w:rPr>
                <w:rFonts w:cs="Arial"/>
              </w:rPr>
              <w:t xml:space="preserve"> work and </w:t>
            </w:r>
            <w:r w:rsidR="00672386" w:rsidRPr="003272C7">
              <w:rPr>
                <w:rFonts w:cs="Arial"/>
              </w:rPr>
              <w:t>projects in partnership with rural water corporations</w:t>
            </w:r>
            <w:r w:rsidR="0097490D" w:rsidRPr="003272C7">
              <w:rPr>
                <w:rFonts w:cs="Arial"/>
              </w:rPr>
              <w:t>.</w:t>
            </w:r>
          </w:p>
          <w:p w14:paraId="66CB9114" w14:textId="63D52E31" w:rsidR="0097490D" w:rsidRPr="003272C7" w:rsidRDefault="0097490D" w:rsidP="005C58D0">
            <w:pPr>
              <w:pStyle w:val="TableBullet"/>
              <w:rPr>
                <w:rFonts w:cs="Arial"/>
              </w:rPr>
            </w:pPr>
            <w:r w:rsidRPr="00623380">
              <w:rPr>
                <w:rStyle w:val="normaltextrun"/>
                <w:rFonts w:cs="Arial"/>
              </w:rPr>
              <w:t xml:space="preserve">The water market exchange in the </w:t>
            </w:r>
            <w:r w:rsidR="00E403DC" w:rsidRPr="003272C7">
              <w:rPr>
                <w:rStyle w:val="normaltextrun"/>
                <w:rFonts w:cs="Arial"/>
              </w:rPr>
              <w:t xml:space="preserve">MID </w:t>
            </w:r>
            <w:r w:rsidRPr="00623380">
              <w:rPr>
                <w:rStyle w:val="normaltextrun"/>
                <w:rFonts w:cs="Arial"/>
              </w:rPr>
              <w:t>is continuing without EC funding, with future operating costs being met by customer fees and charges.</w:t>
            </w:r>
          </w:p>
          <w:p w14:paraId="1DDC3929" w14:textId="15620F47" w:rsidR="00B242C3" w:rsidRPr="003272C7" w:rsidRDefault="00B242C3" w:rsidP="005C58D0">
            <w:pPr>
              <w:pStyle w:val="TableBullet"/>
              <w:rPr>
                <w:rFonts w:cs="Arial"/>
              </w:rPr>
            </w:pPr>
            <w:r w:rsidRPr="003272C7">
              <w:rPr>
                <w:rFonts w:cs="Arial"/>
              </w:rPr>
              <w:t>To ensure progress is sustained over</w:t>
            </w:r>
            <w:r w:rsidR="00976C61" w:rsidRPr="003272C7">
              <w:rPr>
                <w:rFonts w:cs="Arial"/>
              </w:rPr>
              <w:t xml:space="preserve"> </w:t>
            </w:r>
            <w:r w:rsidRPr="003272C7">
              <w:rPr>
                <w:rFonts w:cs="Arial"/>
              </w:rPr>
              <w:t xml:space="preserve">time it is necessary that the work </w:t>
            </w:r>
            <w:r w:rsidR="00976C61" w:rsidRPr="00623380">
              <w:rPr>
                <w:rStyle w:val="normaltextrun"/>
                <w:rFonts w:cs="Arial"/>
              </w:rPr>
              <w:t xml:space="preserve">to help create openness and promote transparency </w:t>
            </w:r>
            <w:r w:rsidRPr="003272C7">
              <w:rPr>
                <w:rFonts w:cs="Arial"/>
              </w:rPr>
              <w:t xml:space="preserve">from the past </w:t>
            </w:r>
            <w:r w:rsidR="00976C61" w:rsidRPr="003272C7">
              <w:rPr>
                <w:rFonts w:cs="Arial"/>
              </w:rPr>
              <w:t xml:space="preserve">five </w:t>
            </w:r>
            <w:r w:rsidRPr="003272C7">
              <w:rPr>
                <w:rFonts w:cs="Arial"/>
              </w:rPr>
              <w:t>years is continued. This includes acting on any results from the MID project</w:t>
            </w:r>
            <w:r w:rsidR="00C16B58" w:rsidRPr="003272C7">
              <w:rPr>
                <w:rFonts w:cs="Arial"/>
              </w:rPr>
              <w:t xml:space="preserve"> </w:t>
            </w:r>
            <w:r w:rsidR="00C16B58" w:rsidRPr="00623380">
              <w:rPr>
                <w:rStyle w:val="normaltextrun"/>
                <w:rFonts w:cs="Arial"/>
              </w:rPr>
              <w:t>and the barriers to trade research in the Southwest Limestone Coast</w:t>
            </w:r>
            <w:r w:rsidRPr="003272C7">
              <w:rPr>
                <w:rFonts w:cs="Arial"/>
              </w:rPr>
              <w:t xml:space="preserve">, as well as continuing to implement the ACCC roadmap and </w:t>
            </w:r>
            <w:r w:rsidR="00C16B58" w:rsidRPr="003272C7">
              <w:rPr>
                <w:rFonts w:cs="Arial"/>
              </w:rPr>
              <w:t xml:space="preserve">ensuring </w:t>
            </w:r>
            <w:r w:rsidRPr="003272C7">
              <w:rPr>
                <w:rFonts w:cs="Arial"/>
              </w:rPr>
              <w:t xml:space="preserve">there are strong systems put in place to maintain and build on the transparency that has been developed already. </w:t>
            </w:r>
          </w:p>
        </w:tc>
      </w:tr>
      <w:tr w:rsidR="00B242C3" w:rsidRPr="003272C7" w14:paraId="1D9B2AFA" w14:textId="77777777" w:rsidTr="0090382B">
        <w:trPr>
          <w:trHeight w:val="259"/>
        </w:trPr>
        <w:tc>
          <w:tcPr>
            <w:tcW w:w="979" w:type="pct"/>
            <w:shd w:val="clear" w:color="auto" w:fill="231EDC" w:themeFill="accent1"/>
          </w:tcPr>
          <w:p w14:paraId="4EA7A8A9"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3445B55B" w14:textId="77777777" w:rsidR="00142559" w:rsidRPr="003272C7" w:rsidRDefault="007F20EB" w:rsidP="00032F27">
            <w:pPr>
              <w:pStyle w:val="TableText"/>
              <w:rPr>
                <w:rFonts w:cs="Arial"/>
              </w:rPr>
            </w:pPr>
            <w:r w:rsidRPr="00623380">
              <w:rPr>
                <w:rFonts w:cs="Arial"/>
              </w:rPr>
              <w:t>Funding from this project has enabled Victori</w:t>
            </w:r>
            <w:r w:rsidR="000F5BC1" w:rsidRPr="003272C7">
              <w:rPr>
                <w:rFonts w:cs="Arial"/>
              </w:rPr>
              <w:t>a’</w:t>
            </w:r>
            <w:r w:rsidRPr="00623380">
              <w:rPr>
                <w:rFonts w:cs="Arial"/>
              </w:rPr>
              <w:t>s involvement and influence in the roll out of the ACCC Roadmap. There is a strong need to continue to partner with other stakeholders to implement agreements and ensure that the agenda remains on track and in the best interest of Victoria. Failing to continue to invest in this area represents major risks to the Victorian government.</w:t>
            </w:r>
          </w:p>
          <w:p w14:paraId="05F02FBC" w14:textId="77777777" w:rsidR="00142559" w:rsidRPr="003272C7" w:rsidRDefault="007F20EB" w:rsidP="00032F27">
            <w:pPr>
              <w:pStyle w:val="TableText"/>
              <w:rPr>
                <w:rFonts w:cs="Arial"/>
              </w:rPr>
            </w:pPr>
            <w:r w:rsidRPr="00623380">
              <w:rPr>
                <w:rFonts w:cs="Arial"/>
              </w:rPr>
              <w:t>Continued funding is necessary to expand upon:</w:t>
            </w:r>
          </w:p>
          <w:p w14:paraId="10FE4DAA" w14:textId="778D61DC" w:rsidR="00B242C3" w:rsidRPr="003272C7" w:rsidRDefault="00E403DC" w:rsidP="00032F27">
            <w:pPr>
              <w:pStyle w:val="TableBullet"/>
              <w:rPr>
                <w:rFonts w:cs="Arial"/>
              </w:rPr>
            </w:pPr>
            <w:r w:rsidRPr="003272C7">
              <w:rPr>
                <w:rFonts w:cs="Arial"/>
              </w:rPr>
              <w:t>T</w:t>
            </w:r>
            <w:r w:rsidR="00B242C3" w:rsidRPr="003272C7">
              <w:rPr>
                <w:rFonts w:cs="Arial"/>
              </w:rPr>
              <w:t>he implementation of water market reforms as identified during the ACCC Inquiry</w:t>
            </w:r>
            <w:r w:rsidRPr="003272C7">
              <w:rPr>
                <w:rFonts w:cs="Arial"/>
              </w:rPr>
              <w:t>.</w:t>
            </w:r>
          </w:p>
          <w:p w14:paraId="2E6D5A19" w14:textId="340899E8" w:rsidR="007F20EB" w:rsidRPr="003272C7" w:rsidRDefault="00E403DC" w:rsidP="00032F27">
            <w:pPr>
              <w:pStyle w:val="TableBullet"/>
              <w:rPr>
                <w:rFonts w:cs="Arial"/>
              </w:rPr>
            </w:pPr>
            <w:r w:rsidRPr="003272C7">
              <w:rPr>
                <w:rStyle w:val="normaltextrun"/>
                <w:rFonts w:cs="Arial"/>
              </w:rPr>
              <w:t>W</w:t>
            </w:r>
            <w:r w:rsidR="007F20EB" w:rsidRPr="00623380">
              <w:rPr>
                <w:rStyle w:val="normaltextrun"/>
                <w:rFonts w:cs="Arial"/>
              </w:rPr>
              <w:t xml:space="preserve">ork on the </w:t>
            </w:r>
            <w:r w:rsidRPr="003272C7">
              <w:rPr>
                <w:rFonts w:cs="Arial"/>
              </w:rPr>
              <w:t xml:space="preserve">inter-valley trade </w:t>
            </w:r>
            <w:r w:rsidR="007F20EB" w:rsidRPr="00623380">
              <w:rPr>
                <w:rStyle w:val="normaltextrun"/>
                <w:rFonts w:cs="Arial"/>
              </w:rPr>
              <w:t xml:space="preserve">assessment, including working with NSW and MDBA to improve equity of access to </w:t>
            </w:r>
            <w:r w:rsidRPr="003272C7">
              <w:rPr>
                <w:rFonts w:cs="Arial"/>
              </w:rPr>
              <w:t xml:space="preserve">inter-valley trade </w:t>
            </w:r>
            <w:r w:rsidR="007F20EB" w:rsidRPr="00623380">
              <w:rPr>
                <w:rStyle w:val="normaltextrun"/>
                <w:rFonts w:cs="Arial"/>
              </w:rPr>
              <w:t>opportunities</w:t>
            </w:r>
            <w:r w:rsidRPr="003272C7">
              <w:rPr>
                <w:rStyle w:val="normaltextrun"/>
                <w:rFonts w:cs="Arial"/>
              </w:rPr>
              <w:t>.</w:t>
            </w:r>
          </w:p>
          <w:p w14:paraId="78DF4B74" w14:textId="77777777" w:rsidR="00142559" w:rsidRPr="003272C7" w:rsidRDefault="00E403DC" w:rsidP="00032F27">
            <w:pPr>
              <w:pStyle w:val="TableBullet"/>
              <w:rPr>
                <w:rStyle w:val="eop"/>
                <w:rFonts w:cs="Arial"/>
              </w:rPr>
            </w:pPr>
            <w:r w:rsidRPr="003272C7">
              <w:rPr>
                <w:rStyle w:val="normaltextrun"/>
                <w:rFonts w:cs="Arial"/>
              </w:rPr>
              <w:lastRenderedPageBreak/>
              <w:t>D</w:t>
            </w:r>
            <w:r w:rsidR="007F20EB" w:rsidRPr="00623380">
              <w:rPr>
                <w:rStyle w:val="normaltextrun"/>
                <w:rFonts w:cs="Arial"/>
              </w:rPr>
              <w:t>evelopment of a new market effectiveness assessment and report, updating and building on the existing report done in 2018.</w:t>
            </w:r>
          </w:p>
          <w:p w14:paraId="0E44A2EC" w14:textId="77777777" w:rsidR="00142559" w:rsidRPr="003272C7" w:rsidRDefault="00E403DC" w:rsidP="00032F27">
            <w:pPr>
              <w:pStyle w:val="TableBullet"/>
              <w:rPr>
                <w:rFonts w:cs="Arial"/>
              </w:rPr>
            </w:pPr>
            <w:r w:rsidRPr="003272C7">
              <w:rPr>
                <w:rFonts w:cs="Arial"/>
              </w:rPr>
              <w:t>E</w:t>
            </w:r>
            <w:r w:rsidR="00B242C3" w:rsidRPr="003272C7">
              <w:rPr>
                <w:rFonts w:cs="Arial"/>
              </w:rPr>
              <w:t xml:space="preserve">xisting efforts aimed at enhancing the unregulated surface and groundwater markets, while also advancing </w:t>
            </w:r>
            <w:r w:rsidRPr="003272C7">
              <w:rPr>
                <w:rFonts w:cs="Arial"/>
              </w:rPr>
              <w:t>t</w:t>
            </w:r>
            <w:r w:rsidR="00B242C3" w:rsidRPr="003272C7">
              <w:rPr>
                <w:rFonts w:cs="Arial"/>
              </w:rPr>
              <w:t>he fulfillment of obligations under Priority Area 9 of</w:t>
            </w:r>
            <w:r w:rsidR="00032F27" w:rsidRPr="003272C7">
              <w:rPr>
                <w:rFonts w:cs="Arial"/>
              </w:rPr>
              <w:t> </w:t>
            </w:r>
            <w:r w:rsidR="00B242C3" w:rsidRPr="003272C7">
              <w:rPr>
                <w:rFonts w:cs="Arial"/>
              </w:rPr>
              <w:t>GM2030.</w:t>
            </w:r>
          </w:p>
          <w:p w14:paraId="44AD5876" w14:textId="05B86699" w:rsidR="00E91C9F" w:rsidRPr="003272C7" w:rsidRDefault="00E403DC" w:rsidP="00032F27">
            <w:pPr>
              <w:pStyle w:val="TableBullet"/>
              <w:rPr>
                <w:rFonts w:cs="Arial"/>
              </w:rPr>
            </w:pPr>
            <w:r w:rsidRPr="003272C7">
              <w:rPr>
                <w:rFonts w:cs="Arial"/>
              </w:rPr>
              <w:t>A</w:t>
            </w:r>
            <w:r w:rsidR="00B242C3" w:rsidRPr="003272C7">
              <w:rPr>
                <w:rFonts w:cs="Arial"/>
              </w:rPr>
              <w:t xml:space="preserve">ddressing outcomes of the social research conducted within the </w:t>
            </w:r>
            <w:r w:rsidR="0076630C" w:rsidRPr="003272C7">
              <w:rPr>
                <w:rFonts w:cs="Arial"/>
              </w:rPr>
              <w:t xml:space="preserve">South-West Limestone Aquifer groundwater research </w:t>
            </w:r>
            <w:r w:rsidR="00B242C3" w:rsidRPr="003272C7">
              <w:rPr>
                <w:rFonts w:cs="Arial"/>
              </w:rPr>
              <w:t>project</w:t>
            </w:r>
            <w:r w:rsidRPr="003272C7">
              <w:rPr>
                <w:rFonts w:cs="Arial"/>
              </w:rPr>
              <w:t>.</w:t>
            </w:r>
          </w:p>
          <w:p w14:paraId="285D47E0" w14:textId="3BC2B2BC" w:rsidR="00B242C3" w:rsidRPr="003272C7" w:rsidRDefault="00E403DC" w:rsidP="00032F27">
            <w:pPr>
              <w:pStyle w:val="TableBullet"/>
              <w:rPr>
                <w:rFonts w:cs="Arial"/>
                <w:lang w:eastAsia="en-AU"/>
              </w:rPr>
            </w:pPr>
            <w:r w:rsidRPr="003272C7">
              <w:rPr>
                <w:rFonts w:cs="Arial"/>
              </w:rPr>
              <w:t>M</w:t>
            </w:r>
            <w:r w:rsidR="00B242C3" w:rsidRPr="003272C7">
              <w:rPr>
                <w:rFonts w:cs="Arial"/>
              </w:rPr>
              <w:t>aintain</w:t>
            </w:r>
            <w:r w:rsidR="007F20EB" w:rsidRPr="003272C7">
              <w:rPr>
                <w:rFonts w:cs="Arial"/>
              </w:rPr>
              <w:t>ing</w:t>
            </w:r>
            <w:r w:rsidR="00B242C3" w:rsidRPr="003272C7">
              <w:rPr>
                <w:rFonts w:cs="Arial"/>
              </w:rPr>
              <w:t xml:space="preserve"> and progress</w:t>
            </w:r>
            <w:r w:rsidR="007F20EB" w:rsidRPr="003272C7">
              <w:rPr>
                <w:rFonts w:cs="Arial"/>
              </w:rPr>
              <w:t>ing</w:t>
            </w:r>
            <w:r w:rsidR="00B242C3" w:rsidRPr="003272C7">
              <w:rPr>
                <w:rFonts w:cs="Arial"/>
              </w:rPr>
              <w:t xml:space="preserve"> efforts in improving transparency in Vic</w:t>
            </w:r>
            <w:r w:rsidR="007F20EB" w:rsidRPr="003272C7">
              <w:rPr>
                <w:rFonts w:cs="Arial"/>
              </w:rPr>
              <w:t>toria’s</w:t>
            </w:r>
            <w:r w:rsidR="00B242C3" w:rsidRPr="003272C7">
              <w:rPr>
                <w:rFonts w:cs="Arial"/>
              </w:rPr>
              <w:t xml:space="preserve"> water</w:t>
            </w:r>
            <w:r w:rsidR="00032F27" w:rsidRPr="003272C7">
              <w:rPr>
                <w:rFonts w:cs="Arial"/>
              </w:rPr>
              <w:t> </w:t>
            </w:r>
            <w:r w:rsidR="00B242C3" w:rsidRPr="003272C7">
              <w:rPr>
                <w:rFonts w:cs="Arial"/>
              </w:rPr>
              <w:t>markets.</w:t>
            </w:r>
          </w:p>
        </w:tc>
      </w:tr>
    </w:tbl>
    <w:p w14:paraId="147FAD76" w14:textId="77777777" w:rsidR="00B242C3" w:rsidRPr="003272C7" w:rsidRDefault="00B242C3" w:rsidP="00B242C3">
      <w:pPr>
        <w:pStyle w:val="Heading2"/>
        <w:rPr>
          <w:rFonts w:cs="Arial"/>
        </w:rPr>
      </w:pPr>
      <w:bookmarkStart w:id="23" w:name="_Toc147410778"/>
      <w:bookmarkStart w:id="24" w:name="_Toc183777786"/>
      <w:r w:rsidRPr="003272C7">
        <w:rPr>
          <w:rFonts w:cs="Arial"/>
        </w:rPr>
        <w:lastRenderedPageBreak/>
        <w:t>WRS5: Managing Victoria’s Water Sharing Framework</w:t>
      </w:r>
      <w:bookmarkEnd w:id="23"/>
      <w:bookmarkEnd w:id="2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65455F6" w14:textId="77777777" w:rsidTr="005D7E06">
        <w:trPr>
          <w:trHeight w:val="395"/>
        </w:trPr>
        <w:tc>
          <w:tcPr>
            <w:tcW w:w="979" w:type="pct"/>
            <w:shd w:val="clear" w:color="auto" w:fill="231EDC" w:themeFill="accent1"/>
          </w:tcPr>
          <w:p w14:paraId="012E4443" w14:textId="360A1178" w:rsidR="00B242C3" w:rsidRPr="003272C7" w:rsidRDefault="00C412A9" w:rsidP="002F0380">
            <w:pPr>
              <w:pStyle w:val="TableHeading"/>
              <w:rPr>
                <w:rFonts w:cs="Arial"/>
              </w:rPr>
            </w:pPr>
            <w:r w:rsidRPr="003272C7">
              <w:rPr>
                <w:rFonts w:cs="Arial"/>
              </w:rPr>
              <w:t>Initiative</w:t>
            </w:r>
          </w:p>
        </w:tc>
        <w:tc>
          <w:tcPr>
            <w:tcW w:w="4021" w:type="pct"/>
            <w:shd w:val="clear" w:color="auto" w:fill="231EDC" w:themeFill="accent1"/>
          </w:tcPr>
          <w:p w14:paraId="66FD8140" w14:textId="5CDDDAD7" w:rsidR="00B242C3" w:rsidRPr="003272C7" w:rsidRDefault="00B242C3" w:rsidP="002F0380">
            <w:pPr>
              <w:pStyle w:val="TableHeading"/>
              <w:rPr>
                <w:rFonts w:cs="Arial"/>
              </w:rPr>
            </w:pPr>
            <w:r w:rsidRPr="003272C7">
              <w:rPr>
                <w:rFonts w:cs="Arial"/>
              </w:rPr>
              <w:t>2.</w:t>
            </w:r>
            <w:r w:rsidR="00EA5BA3"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262BE89D" w14:textId="77777777" w:rsidTr="005D7E06">
        <w:trPr>
          <w:trHeight w:val="341"/>
        </w:trPr>
        <w:tc>
          <w:tcPr>
            <w:tcW w:w="979" w:type="pct"/>
            <w:shd w:val="clear" w:color="auto" w:fill="231EDC" w:themeFill="accent1"/>
          </w:tcPr>
          <w:p w14:paraId="0C7277EA" w14:textId="77777777" w:rsidR="00B242C3" w:rsidRPr="003272C7" w:rsidRDefault="00B242C3" w:rsidP="002F0380">
            <w:pPr>
              <w:pStyle w:val="TableText"/>
              <w:rPr>
                <w:rFonts w:cs="Arial"/>
                <w:b/>
                <w:bCs/>
              </w:rPr>
            </w:pPr>
            <w:r w:rsidRPr="003272C7">
              <w:rPr>
                <w:rFonts w:cs="Arial"/>
                <w:b/>
                <w:bCs/>
              </w:rPr>
              <w:t>Project</w:t>
            </w:r>
          </w:p>
        </w:tc>
        <w:tc>
          <w:tcPr>
            <w:tcW w:w="4021" w:type="pct"/>
          </w:tcPr>
          <w:p w14:paraId="1E6F12AB" w14:textId="77777777" w:rsidR="00B242C3" w:rsidRPr="003272C7" w:rsidRDefault="00B242C3" w:rsidP="002F0380">
            <w:pPr>
              <w:pStyle w:val="TableText"/>
              <w:rPr>
                <w:rFonts w:cs="Arial"/>
              </w:rPr>
            </w:pPr>
            <w:r w:rsidRPr="003272C7">
              <w:rPr>
                <w:rFonts w:cs="Arial"/>
              </w:rPr>
              <w:t>WRS5: Managing Victoria’s Water Sharing Framework</w:t>
            </w:r>
          </w:p>
        </w:tc>
      </w:tr>
      <w:tr w:rsidR="00B242C3" w:rsidRPr="003272C7" w14:paraId="746AE2E5" w14:textId="77777777" w:rsidTr="005D7E06">
        <w:trPr>
          <w:trHeight w:val="259"/>
        </w:trPr>
        <w:tc>
          <w:tcPr>
            <w:tcW w:w="979" w:type="pct"/>
            <w:shd w:val="clear" w:color="auto" w:fill="231EDC" w:themeFill="accent1"/>
          </w:tcPr>
          <w:p w14:paraId="55754CEE" w14:textId="4A71C675" w:rsidR="00B242C3" w:rsidRPr="003272C7" w:rsidRDefault="00B242C3" w:rsidP="002F0380">
            <w:pPr>
              <w:pStyle w:val="TableText"/>
              <w:rPr>
                <w:rFonts w:cs="Arial"/>
                <w:b/>
                <w:bCs/>
              </w:rPr>
            </w:pPr>
            <w:r w:rsidRPr="003272C7">
              <w:rPr>
                <w:rFonts w:cs="Arial"/>
                <w:b/>
                <w:bCs/>
              </w:rPr>
              <w:t>Description</w:t>
            </w:r>
          </w:p>
        </w:tc>
        <w:tc>
          <w:tcPr>
            <w:tcW w:w="4021" w:type="pct"/>
          </w:tcPr>
          <w:p w14:paraId="10152566" w14:textId="5590A62E" w:rsidR="00B242C3" w:rsidRPr="003272C7" w:rsidRDefault="00B242C3" w:rsidP="002F0380">
            <w:pPr>
              <w:pStyle w:val="TableText"/>
              <w:rPr>
                <w:rFonts w:cs="Arial"/>
              </w:rPr>
            </w:pPr>
            <w:r w:rsidRPr="003272C7">
              <w:rPr>
                <w:rFonts w:cs="Arial"/>
              </w:rPr>
              <w:t>This project deliver</w:t>
            </w:r>
            <w:r w:rsidR="006B39E0" w:rsidRPr="003272C7">
              <w:rPr>
                <w:rFonts w:cs="Arial"/>
              </w:rPr>
              <w:t>ed</w:t>
            </w:r>
            <w:r w:rsidRPr="003272C7">
              <w:rPr>
                <w:rFonts w:cs="Arial"/>
              </w:rPr>
              <w:t xml:space="preserve"> an adaptive and contemporary bulk entitlement and environmental entitlement framework to ensure the long-term security and reliability of the </w:t>
            </w:r>
            <w:r w:rsidR="00EA5BA3" w:rsidRPr="003272C7">
              <w:rPr>
                <w:rFonts w:cs="Arial"/>
              </w:rPr>
              <w:t>Victoria’s</w:t>
            </w:r>
            <w:r w:rsidRPr="003272C7">
              <w:rPr>
                <w:rFonts w:cs="Arial"/>
              </w:rPr>
              <w:t xml:space="preserve"> water resources in the face of multiple changes including climate change, changing water ownership and use, and increasing urban population growth.</w:t>
            </w:r>
          </w:p>
          <w:p w14:paraId="164872DA" w14:textId="3154DDE6" w:rsidR="00B242C3" w:rsidRPr="003272C7" w:rsidRDefault="00B242C3" w:rsidP="002F0380">
            <w:pPr>
              <w:pStyle w:val="TableText"/>
              <w:rPr>
                <w:rFonts w:cs="Arial"/>
              </w:rPr>
            </w:pPr>
            <w:r w:rsidRPr="003272C7">
              <w:rPr>
                <w:rFonts w:cs="Arial"/>
              </w:rPr>
              <w:t>This project review</w:t>
            </w:r>
            <w:r w:rsidR="006B39E0" w:rsidRPr="003272C7">
              <w:rPr>
                <w:rFonts w:cs="Arial"/>
              </w:rPr>
              <w:t>ed</w:t>
            </w:r>
            <w:r w:rsidRPr="003272C7">
              <w:rPr>
                <w:rFonts w:cs="Arial"/>
              </w:rPr>
              <w:t xml:space="preserve"> and enhance</w:t>
            </w:r>
            <w:r w:rsidR="006B39E0" w:rsidRPr="003272C7">
              <w:rPr>
                <w:rFonts w:cs="Arial"/>
              </w:rPr>
              <w:t>d</w:t>
            </w:r>
            <w:r w:rsidRPr="003272C7">
              <w:rPr>
                <w:rFonts w:cs="Arial"/>
              </w:rPr>
              <w:t xml:space="preserve"> the bulk entitlement and environmental entitlement framework to improve certainty of rights and obligations and increase flexibility for entitlement holders to better manage their water risks.</w:t>
            </w:r>
          </w:p>
        </w:tc>
      </w:tr>
      <w:tr w:rsidR="00B242C3" w:rsidRPr="003272C7" w14:paraId="1AA93DD9" w14:textId="77777777" w:rsidTr="005D7E06">
        <w:trPr>
          <w:trHeight w:val="259"/>
        </w:trPr>
        <w:tc>
          <w:tcPr>
            <w:tcW w:w="979" w:type="pct"/>
            <w:shd w:val="clear" w:color="auto" w:fill="231EDC" w:themeFill="accent1"/>
          </w:tcPr>
          <w:p w14:paraId="438F52E4"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6C6BDDA7" w14:textId="05B13AE7" w:rsidR="00B242C3" w:rsidRPr="003272C7" w:rsidRDefault="00B242C3" w:rsidP="002F0380">
            <w:pPr>
              <w:pStyle w:val="TableBullet"/>
              <w:rPr>
                <w:rFonts w:cs="Arial"/>
              </w:rPr>
            </w:pPr>
            <w:r w:rsidRPr="003272C7">
              <w:rPr>
                <w:rFonts w:cs="Arial"/>
              </w:rPr>
              <w:t>Investigate</w:t>
            </w:r>
            <w:r w:rsidR="006B39E0" w:rsidRPr="003272C7">
              <w:rPr>
                <w:rFonts w:cs="Arial"/>
              </w:rPr>
              <w:t>d</w:t>
            </w:r>
            <w:r w:rsidRPr="003272C7">
              <w:rPr>
                <w:rFonts w:cs="Arial"/>
              </w:rPr>
              <w:t xml:space="preserve"> </w:t>
            </w:r>
            <w:r w:rsidR="00173205" w:rsidRPr="003272C7">
              <w:rPr>
                <w:rFonts w:cs="Arial"/>
              </w:rPr>
              <w:t>and implement</w:t>
            </w:r>
            <w:r w:rsidR="00AD2C75" w:rsidRPr="003272C7">
              <w:rPr>
                <w:rFonts w:cs="Arial"/>
              </w:rPr>
              <w:t>ed</w:t>
            </w:r>
            <w:r w:rsidR="00173205" w:rsidRPr="003272C7">
              <w:rPr>
                <w:rFonts w:cs="Arial"/>
              </w:rPr>
              <w:t xml:space="preserve"> </w:t>
            </w:r>
            <w:r w:rsidRPr="003272C7">
              <w:rPr>
                <w:rFonts w:cs="Arial"/>
              </w:rPr>
              <w:t>options to improve, streamline and rationalise entitlements, resource and storage manager instruments</w:t>
            </w:r>
            <w:r w:rsidR="00EA5BA3" w:rsidRPr="003272C7">
              <w:rPr>
                <w:rFonts w:cs="Arial"/>
              </w:rPr>
              <w:t>.</w:t>
            </w:r>
          </w:p>
          <w:p w14:paraId="0870D90A" w14:textId="77777777" w:rsidR="00142559" w:rsidRPr="003272C7" w:rsidRDefault="00B242C3" w:rsidP="002F0380">
            <w:pPr>
              <w:pStyle w:val="TableBullet"/>
              <w:rPr>
                <w:rFonts w:cs="Arial"/>
              </w:rPr>
            </w:pPr>
            <w:r w:rsidRPr="003272C7">
              <w:rPr>
                <w:rFonts w:cs="Arial"/>
              </w:rPr>
              <w:t>Manage</w:t>
            </w:r>
            <w:r w:rsidR="00AD2C75" w:rsidRPr="003272C7">
              <w:rPr>
                <w:rFonts w:cs="Arial"/>
              </w:rPr>
              <w:t>d</w:t>
            </w:r>
            <w:r w:rsidRPr="003272C7">
              <w:rPr>
                <w:rFonts w:cs="Arial"/>
              </w:rPr>
              <w:t xml:space="preserve"> water resource sharing rules, bulk entitlements, and system operations under pressure from climate change, changing demand and market influences: 2 system reviews completed in response to changing circumstances, 1 update to system rules, 1 guideline developed.</w:t>
            </w:r>
          </w:p>
          <w:p w14:paraId="3DA5CA6B" w14:textId="1FD18544" w:rsidR="00B242C3" w:rsidRPr="003272C7" w:rsidRDefault="00B242C3" w:rsidP="002F0380">
            <w:pPr>
              <w:pStyle w:val="TableBullet"/>
              <w:rPr>
                <w:rFonts w:cs="Arial"/>
              </w:rPr>
            </w:pPr>
            <w:r w:rsidRPr="003272C7">
              <w:rPr>
                <w:rFonts w:cs="Arial"/>
              </w:rPr>
              <w:t>Undert</w:t>
            </w:r>
            <w:r w:rsidR="00AD2C75" w:rsidRPr="003272C7">
              <w:rPr>
                <w:rFonts w:cs="Arial"/>
              </w:rPr>
              <w:t>ook</w:t>
            </w:r>
            <w:r w:rsidRPr="003272C7">
              <w:rPr>
                <w:rFonts w:cs="Arial"/>
              </w:rPr>
              <w:t xml:space="preserve"> </w:t>
            </w:r>
            <w:r w:rsidR="00EA5BA3" w:rsidRPr="003272C7">
              <w:rPr>
                <w:rFonts w:cs="Arial"/>
              </w:rPr>
              <w:t>business-as-usual</w:t>
            </w:r>
            <w:r w:rsidRPr="003272C7">
              <w:rPr>
                <w:rFonts w:cs="Arial"/>
              </w:rPr>
              <w:t xml:space="preserve"> activities to ensure that water resource sharing rules, bulk entitlements, environmental entitlements, and system operations are contemporary, fit</w:t>
            </w:r>
            <w:r w:rsidR="00EA5BA3" w:rsidRPr="003272C7">
              <w:rPr>
                <w:rFonts w:cs="Arial"/>
              </w:rPr>
              <w:t>-</w:t>
            </w:r>
            <w:r w:rsidRPr="003272C7">
              <w:rPr>
                <w:rFonts w:cs="Arial"/>
              </w:rPr>
              <w:t>for</w:t>
            </w:r>
            <w:r w:rsidR="00EA5BA3" w:rsidRPr="003272C7">
              <w:rPr>
                <w:rFonts w:cs="Arial"/>
              </w:rPr>
              <w:t>-</w:t>
            </w:r>
            <w:r w:rsidRPr="003272C7">
              <w:rPr>
                <w:rFonts w:cs="Arial"/>
              </w:rPr>
              <w:t>purpose and able to respond to a changing climate</w:t>
            </w:r>
            <w:r w:rsidR="00EA5BA3" w:rsidRPr="003272C7">
              <w:rPr>
                <w:rFonts w:cs="Arial"/>
              </w:rPr>
              <w:t>:</w:t>
            </w:r>
          </w:p>
          <w:p w14:paraId="1C53453D" w14:textId="6943F431" w:rsidR="00B242C3" w:rsidRPr="003272C7" w:rsidRDefault="00173205" w:rsidP="002F0380">
            <w:pPr>
              <w:pStyle w:val="TableBullet2"/>
              <w:rPr>
                <w:rFonts w:cs="Arial"/>
              </w:rPr>
            </w:pPr>
            <w:r w:rsidRPr="003272C7">
              <w:rPr>
                <w:rFonts w:cs="Arial"/>
              </w:rPr>
              <w:t>Ninety-six (96)</w:t>
            </w:r>
            <w:r w:rsidR="00B242C3" w:rsidRPr="003272C7">
              <w:rPr>
                <w:rFonts w:cs="Arial"/>
              </w:rPr>
              <w:t xml:space="preserve"> changes made to bulk and environmental entitlements.</w:t>
            </w:r>
          </w:p>
          <w:p w14:paraId="4193F659" w14:textId="5D21036D" w:rsidR="00B242C3" w:rsidRPr="003272C7" w:rsidRDefault="00B242C3" w:rsidP="002F0380">
            <w:pPr>
              <w:pStyle w:val="TableBullet2"/>
              <w:rPr>
                <w:rFonts w:cs="Arial"/>
              </w:rPr>
            </w:pPr>
            <w:r w:rsidRPr="003272C7">
              <w:rPr>
                <w:rFonts w:cs="Arial"/>
              </w:rPr>
              <w:t>Thirty</w:t>
            </w:r>
            <w:r w:rsidR="00173205" w:rsidRPr="003272C7">
              <w:rPr>
                <w:rFonts w:cs="Arial"/>
              </w:rPr>
              <w:t>-six</w:t>
            </w:r>
            <w:r w:rsidRPr="003272C7">
              <w:rPr>
                <w:rFonts w:cs="Arial"/>
              </w:rPr>
              <w:t xml:space="preserve"> (</w:t>
            </w:r>
            <w:r w:rsidR="00173205" w:rsidRPr="003272C7">
              <w:rPr>
                <w:rFonts w:cs="Arial"/>
              </w:rPr>
              <w:t>36</w:t>
            </w:r>
            <w:r w:rsidRPr="003272C7">
              <w:rPr>
                <w:rFonts w:cs="Arial"/>
              </w:rPr>
              <w:t xml:space="preserve">) of these changes to bulk and environmental entitlements were made to </w:t>
            </w:r>
            <w:r w:rsidR="002B43A9" w:rsidRPr="003272C7">
              <w:rPr>
                <w:rFonts w:cs="Arial"/>
              </w:rPr>
              <w:t>realise</w:t>
            </w:r>
            <w:r w:rsidRPr="003272C7">
              <w:rPr>
                <w:rFonts w:cs="Arial"/>
              </w:rPr>
              <w:t xml:space="preserve"> water recovery </w:t>
            </w:r>
            <w:r w:rsidR="002B43A9" w:rsidRPr="003272C7">
              <w:rPr>
                <w:rFonts w:cs="Arial"/>
              </w:rPr>
              <w:t xml:space="preserve">from irrigation modernisation </w:t>
            </w:r>
            <w:r w:rsidRPr="003272C7">
              <w:rPr>
                <w:rFonts w:cs="Arial"/>
              </w:rPr>
              <w:t>projects in northern Victoria</w:t>
            </w:r>
            <w:r w:rsidR="00EA5BA3" w:rsidRPr="003272C7">
              <w:rPr>
                <w:rFonts w:cs="Arial"/>
              </w:rPr>
              <w:t>.</w:t>
            </w:r>
          </w:p>
          <w:p w14:paraId="645E8F38" w14:textId="77777777" w:rsidR="00B242C3" w:rsidRPr="003272C7" w:rsidRDefault="00B242C3" w:rsidP="002F0380">
            <w:pPr>
              <w:pStyle w:val="TableBullet"/>
              <w:rPr>
                <w:rFonts w:cs="Arial"/>
              </w:rPr>
            </w:pPr>
            <w:r w:rsidRPr="003272C7">
              <w:rPr>
                <w:rFonts w:cs="Arial"/>
              </w:rPr>
              <w:t>All minor and major amendments, revocations, and granting of new entitlements were undertaken in such a way that they were 100% compliant with the requirements of the Water Act 1989.</w:t>
            </w:r>
          </w:p>
        </w:tc>
      </w:tr>
      <w:tr w:rsidR="00B242C3" w:rsidRPr="003272C7" w14:paraId="1788C54D" w14:textId="77777777" w:rsidTr="0090382B">
        <w:trPr>
          <w:trHeight w:val="259"/>
        </w:trPr>
        <w:tc>
          <w:tcPr>
            <w:tcW w:w="5000" w:type="pct"/>
            <w:gridSpan w:val="2"/>
            <w:shd w:val="clear" w:color="auto" w:fill="231EDC" w:themeFill="accent1"/>
          </w:tcPr>
          <w:p w14:paraId="69B673E3" w14:textId="23730906"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3CE1029A" w14:textId="77777777" w:rsidTr="005D7E06">
        <w:trPr>
          <w:trHeight w:val="259"/>
        </w:trPr>
        <w:tc>
          <w:tcPr>
            <w:tcW w:w="979" w:type="pct"/>
            <w:shd w:val="clear" w:color="auto" w:fill="231EDC" w:themeFill="accent1"/>
          </w:tcPr>
          <w:p w14:paraId="7505DBC8"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7CCD8C6D" w14:textId="199893FA" w:rsidR="00B242C3" w:rsidRPr="003272C7" w:rsidRDefault="00B242C3" w:rsidP="002F0380">
            <w:pPr>
              <w:pStyle w:val="TableText"/>
              <w:rPr>
                <w:rFonts w:cs="Arial"/>
              </w:rPr>
            </w:pPr>
            <w:r w:rsidRPr="003272C7">
              <w:rPr>
                <w:rFonts w:cs="Arial"/>
              </w:rPr>
              <w:t xml:space="preserve">Between 1 July 2020 and </w:t>
            </w:r>
            <w:r w:rsidR="002B43A9" w:rsidRPr="003272C7">
              <w:rPr>
                <w:rFonts w:cs="Arial"/>
              </w:rPr>
              <w:t>30 June 2024,</w:t>
            </w:r>
            <w:r w:rsidRPr="003272C7">
              <w:rPr>
                <w:rFonts w:cs="Arial"/>
              </w:rPr>
              <w:t xml:space="preserve"> </w:t>
            </w:r>
            <w:r w:rsidR="002B43A9" w:rsidRPr="003272C7">
              <w:rPr>
                <w:rFonts w:cs="Arial"/>
              </w:rPr>
              <w:t>96</w:t>
            </w:r>
            <w:r w:rsidRPr="003272C7">
              <w:rPr>
                <w:rFonts w:cs="Arial"/>
              </w:rPr>
              <w:t xml:space="preserve"> changes (consisting of minor and major amendments, revocations, and granting of new entitlements) were made to bulk and environmental entitlements to ensure these instruments remained fit-for-purpose. These actions responded to the following changing circumstances</w:t>
            </w:r>
            <w:r w:rsidR="00EA5BA3" w:rsidRPr="003272C7">
              <w:rPr>
                <w:rFonts w:cs="Arial"/>
              </w:rPr>
              <w:t>:</w:t>
            </w:r>
          </w:p>
          <w:p w14:paraId="74912CB4" w14:textId="77777777" w:rsidR="00B242C3" w:rsidRPr="003272C7" w:rsidRDefault="00B242C3" w:rsidP="002F0380">
            <w:pPr>
              <w:pStyle w:val="TableBullet"/>
              <w:rPr>
                <w:rFonts w:cs="Arial"/>
              </w:rPr>
            </w:pPr>
            <w:r w:rsidRPr="003272C7">
              <w:rPr>
                <w:rFonts w:cs="Arial"/>
              </w:rPr>
              <w:t>Securing water supply for growing communities.</w:t>
            </w:r>
          </w:p>
          <w:p w14:paraId="006CE005" w14:textId="4ACB3970" w:rsidR="00B242C3" w:rsidRPr="003272C7" w:rsidRDefault="00B242C3" w:rsidP="002F0380">
            <w:pPr>
              <w:pStyle w:val="TableBullet"/>
              <w:rPr>
                <w:rFonts w:cs="Arial"/>
              </w:rPr>
            </w:pPr>
            <w:r w:rsidRPr="003272C7">
              <w:rPr>
                <w:rFonts w:cs="Arial"/>
              </w:rPr>
              <w:t>Irrigation modernisation works, the reduction in system losses, and the</w:t>
            </w:r>
            <w:r w:rsidR="002F0380" w:rsidRPr="003272C7">
              <w:rPr>
                <w:rFonts w:cs="Arial"/>
              </w:rPr>
              <w:t> </w:t>
            </w:r>
            <w:r w:rsidRPr="003272C7">
              <w:rPr>
                <w:rFonts w:cs="Arial"/>
              </w:rPr>
              <w:t>associated</w:t>
            </w:r>
            <w:r w:rsidR="002F0380" w:rsidRPr="003272C7">
              <w:rPr>
                <w:rFonts w:cs="Arial"/>
              </w:rPr>
              <w:t> </w:t>
            </w:r>
            <w:r w:rsidRPr="003272C7">
              <w:rPr>
                <w:rFonts w:cs="Arial"/>
              </w:rPr>
              <w:t>recovery of water for communities, irrigators, the environment and</w:t>
            </w:r>
            <w:r w:rsidR="002F0380" w:rsidRPr="003272C7">
              <w:rPr>
                <w:rFonts w:cs="Arial"/>
              </w:rPr>
              <w:t> </w:t>
            </w:r>
            <w:r w:rsidRPr="003272C7">
              <w:rPr>
                <w:rFonts w:cs="Arial"/>
              </w:rPr>
              <w:t>Traditional</w:t>
            </w:r>
            <w:r w:rsidR="002F0380" w:rsidRPr="003272C7">
              <w:rPr>
                <w:rFonts w:cs="Arial"/>
              </w:rPr>
              <w:t> </w:t>
            </w:r>
            <w:r w:rsidRPr="003272C7">
              <w:rPr>
                <w:rFonts w:cs="Arial"/>
              </w:rPr>
              <w:t>Owners.</w:t>
            </w:r>
          </w:p>
          <w:p w14:paraId="6BDABF36" w14:textId="77777777" w:rsidR="00B242C3" w:rsidRPr="003272C7" w:rsidRDefault="00B242C3" w:rsidP="002F0380">
            <w:pPr>
              <w:pStyle w:val="TableBullet"/>
              <w:rPr>
                <w:rFonts w:cs="Arial"/>
              </w:rPr>
            </w:pPr>
            <w:r w:rsidRPr="003272C7">
              <w:rPr>
                <w:rFonts w:cs="Arial"/>
              </w:rPr>
              <w:t>Improved passing flows and operating rules for the management of environmental assets.</w:t>
            </w:r>
          </w:p>
          <w:p w14:paraId="41E65894" w14:textId="77777777" w:rsidR="00B242C3" w:rsidRPr="003272C7" w:rsidRDefault="00B242C3" w:rsidP="002F0380">
            <w:pPr>
              <w:pStyle w:val="TableBullet"/>
              <w:rPr>
                <w:rFonts w:cs="Arial"/>
              </w:rPr>
            </w:pPr>
            <w:r w:rsidRPr="003272C7">
              <w:rPr>
                <w:rFonts w:cs="Arial"/>
              </w:rPr>
              <w:t>The creation of Greater Western Water.</w:t>
            </w:r>
          </w:p>
        </w:tc>
      </w:tr>
      <w:tr w:rsidR="00B242C3" w:rsidRPr="003272C7" w14:paraId="42F0D9BD" w14:textId="77777777" w:rsidTr="005D7E06">
        <w:trPr>
          <w:trHeight w:val="259"/>
        </w:trPr>
        <w:tc>
          <w:tcPr>
            <w:tcW w:w="979" w:type="pct"/>
            <w:shd w:val="clear" w:color="auto" w:fill="231EDC" w:themeFill="accent1"/>
          </w:tcPr>
          <w:p w14:paraId="1F2DA9CF" w14:textId="77777777" w:rsidR="00B242C3" w:rsidRPr="003272C7" w:rsidRDefault="00B242C3" w:rsidP="00C06DED">
            <w:pPr>
              <w:pStyle w:val="TableText"/>
              <w:rPr>
                <w:rFonts w:cs="Arial"/>
                <w:b/>
                <w:bCs/>
                <w:szCs w:val="18"/>
              </w:rPr>
            </w:pPr>
            <w:r w:rsidRPr="003272C7">
              <w:rPr>
                <w:rFonts w:cs="Arial"/>
                <w:b/>
                <w:bCs/>
                <w:szCs w:val="18"/>
              </w:rPr>
              <w:t>Effectiveness</w:t>
            </w:r>
          </w:p>
        </w:tc>
        <w:tc>
          <w:tcPr>
            <w:tcW w:w="4021" w:type="pct"/>
          </w:tcPr>
          <w:p w14:paraId="35D83833" w14:textId="6FDC1AD2" w:rsidR="00B242C3" w:rsidRPr="003272C7" w:rsidRDefault="00A93320" w:rsidP="002F0380">
            <w:pPr>
              <w:pStyle w:val="TableText"/>
              <w:rPr>
                <w:rFonts w:cs="Arial"/>
              </w:rPr>
            </w:pPr>
            <w:r w:rsidRPr="00623380">
              <w:rPr>
                <w:rStyle w:val="normaltextrun"/>
                <w:rFonts w:cs="Arial"/>
              </w:rPr>
              <w:t xml:space="preserve">Some minor amendments to bulk entitlements and environmental entitlements were administrative in nature. Other amendments </w:t>
            </w:r>
            <w:r w:rsidR="00B242C3" w:rsidRPr="003272C7">
              <w:rPr>
                <w:rFonts w:cs="Arial"/>
              </w:rPr>
              <w:t xml:space="preserve">were material and enduring, delivering positive real-world impacts. The DEECA Bulk Entitlements and Systems team has a </w:t>
            </w:r>
            <w:r w:rsidR="00B242C3" w:rsidRPr="003272C7">
              <w:rPr>
                <w:rFonts w:cs="Arial"/>
              </w:rPr>
              <w:lastRenderedPageBreak/>
              <w:t>reputation for providing high quality advice on the administration of the bulk entitlement and environmental entitlement framework, evidenced by regular positive feedback from stakeholders.</w:t>
            </w:r>
          </w:p>
        </w:tc>
      </w:tr>
      <w:tr w:rsidR="00B242C3" w:rsidRPr="003272C7" w14:paraId="783EF48F" w14:textId="77777777" w:rsidTr="005D7E06">
        <w:trPr>
          <w:trHeight w:val="259"/>
        </w:trPr>
        <w:tc>
          <w:tcPr>
            <w:tcW w:w="979" w:type="pct"/>
            <w:shd w:val="clear" w:color="auto" w:fill="231EDC" w:themeFill="accent1"/>
          </w:tcPr>
          <w:p w14:paraId="2CDE0001" w14:textId="77777777" w:rsidR="00B242C3" w:rsidRPr="003272C7" w:rsidRDefault="00B242C3" w:rsidP="00C06DED">
            <w:pPr>
              <w:pStyle w:val="TableText"/>
              <w:rPr>
                <w:rFonts w:cs="Arial"/>
                <w:b/>
                <w:bCs/>
                <w:szCs w:val="18"/>
              </w:rPr>
            </w:pPr>
            <w:r w:rsidRPr="003272C7">
              <w:rPr>
                <w:rFonts w:cs="Arial"/>
                <w:b/>
                <w:bCs/>
                <w:szCs w:val="18"/>
              </w:rPr>
              <w:lastRenderedPageBreak/>
              <w:t>Appropriateness</w:t>
            </w:r>
          </w:p>
        </w:tc>
        <w:tc>
          <w:tcPr>
            <w:tcW w:w="4021" w:type="pct"/>
          </w:tcPr>
          <w:p w14:paraId="5BB2DFC2" w14:textId="7CA697B1" w:rsidR="00B242C3" w:rsidRPr="003272C7" w:rsidRDefault="00B242C3" w:rsidP="002F0380">
            <w:pPr>
              <w:pStyle w:val="TableText"/>
              <w:rPr>
                <w:rFonts w:cs="Arial"/>
              </w:rPr>
            </w:pPr>
            <w:r w:rsidRPr="003272C7">
              <w:rPr>
                <w:rFonts w:cs="Arial"/>
              </w:rPr>
              <w:t xml:space="preserve">The </w:t>
            </w:r>
            <w:r w:rsidR="00EA5BA3" w:rsidRPr="003272C7">
              <w:rPr>
                <w:rFonts w:cs="Arial"/>
              </w:rPr>
              <w:t>p</w:t>
            </w:r>
            <w:r w:rsidRPr="003272C7">
              <w:rPr>
                <w:rFonts w:cs="Arial"/>
              </w:rPr>
              <w:t xml:space="preserve">roject delivers practical outcomes which have a positive impact on water resource sharing in Victoria, and is critical to the delivery of other major policy areas such as water recovery in the Murray-Darling Basin. The Projects outcomes were delivered in line with the statutory requirements for bulk and environmental entitlements under the Water Act 1989. </w:t>
            </w:r>
          </w:p>
        </w:tc>
      </w:tr>
      <w:tr w:rsidR="00B242C3" w:rsidRPr="003272C7" w14:paraId="4D001E60" w14:textId="77777777" w:rsidTr="005D7E06">
        <w:trPr>
          <w:trHeight w:val="259"/>
        </w:trPr>
        <w:tc>
          <w:tcPr>
            <w:tcW w:w="979" w:type="pct"/>
            <w:shd w:val="clear" w:color="auto" w:fill="231EDC" w:themeFill="accent1"/>
          </w:tcPr>
          <w:p w14:paraId="2238FF0C"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7F9D34D0" w14:textId="1F031D4F" w:rsidR="00B242C3" w:rsidRPr="003272C7" w:rsidRDefault="00B242C3" w:rsidP="002F0380">
            <w:pPr>
              <w:pStyle w:val="TableText"/>
              <w:rPr>
                <w:rFonts w:cs="Arial"/>
              </w:rPr>
            </w:pPr>
            <w:r w:rsidRPr="003272C7">
              <w:rPr>
                <w:rFonts w:cs="Arial"/>
              </w:rPr>
              <w:t xml:space="preserve">The </w:t>
            </w:r>
            <w:r w:rsidR="00EA5BA3" w:rsidRPr="003272C7">
              <w:rPr>
                <w:rFonts w:cs="Arial"/>
              </w:rPr>
              <w:t>p</w:t>
            </w:r>
            <w:r w:rsidRPr="003272C7">
              <w:rPr>
                <w:rFonts w:cs="Arial"/>
              </w:rPr>
              <w:t>roject was delivered within the allocated budget. Delays in the delivery of specific projects have been minor or caused by factors outside of DEECA’s control. This indicates good value of return on investment and appropriate investment planning, design, and delivery to support the desired outcome.</w:t>
            </w:r>
          </w:p>
        </w:tc>
      </w:tr>
      <w:tr w:rsidR="00B242C3" w:rsidRPr="003272C7" w14:paraId="71B895BF" w14:textId="77777777" w:rsidTr="005D7E06">
        <w:trPr>
          <w:trHeight w:val="259"/>
        </w:trPr>
        <w:tc>
          <w:tcPr>
            <w:tcW w:w="979" w:type="pct"/>
            <w:shd w:val="clear" w:color="auto" w:fill="231EDC" w:themeFill="accent1"/>
          </w:tcPr>
          <w:p w14:paraId="189A2ACF"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6D690A2F" w14:textId="2A0C9F1B" w:rsidR="00B242C3" w:rsidRPr="003272C7" w:rsidRDefault="00B242C3" w:rsidP="002F0380">
            <w:pPr>
              <w:pStyle w:val="TableText"/>
              <w:rPr>
                <w:rFonts w:cs="Arial"/>
              </w:rPr>
            </w:pPr>
            <w:r w:rsidRPr="003272C7">
              <w:rPr>
                <w:rFonts w:cs="Arial"/>
              </w:rPr>
              <w:t xml:space="preserve">Bulk entitlements and environmental entitlements are critical instruments for the provision of water in Victoria. The </w:t>
            </w:r>
            <w:r w:rsidR="00EA5BA3" w:rsidRPr="003272C7">
              <w:rPr>
                <w:rFonts w:cs="Arial"/>
              </w:rPr>
              <w:t>p</w:t>
            </w:r>
            <w:r w:rsidRPr="003272C7">
              <w:rPr>
                <w:rFonts w:cs="Arial"/>
              </w:rPr>
              <w:t xml:space="preserve">roject has delivered practical on-ground positive impacts and the legacy of this will be long-lasting and enduring. </w:t>
            </w:r>
          </w:p>
        </w:tc>
      </w:tr>
      <w:tr w:rsidR="00B242C3" w:rsidRPr="003272C7" w14:paraId="5E5C0014" w14:textId="77777777" w:rsidTr="005D7E06">
        <w:trPr>
          <w:trHeight w:val="602"/>
        </w:trPr>
        <w:tc>
          <w:tcPr>
            <w:tcW w:w="979" w:type="pct"/>
            <w:shd w:val="clear" w:color="auto" w:fill="231EDC" w:themeFill="accent1"/>
          </w:tcPr>
          <w:p w14:paraId="5155B726"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606002E5" w14:textId="06240591" w:rsidR="00B242C3" w:rsidRPr="003272C7" w:rsidRDefault="00B242C3" w:rsidP="002F0380">
            <w:pPr>
              <w:pStyle w:val="TableText"/>
              <w:rPr>
                <w:rFonts w:cs="Arial"/>
              </w:rPr>
            </w:pPr>
            <w:r w:rsidRPr="003272C7">
              <w:rPr>
                <w:rFonts w:cs="Arial"/>
              </w:rPr>
              <w:t>Any future bids must clearly reflect both the ongoing core functions of the team as well as the broader longer-term projects to deliver strategic bulk entitlement, environmental entitlement, and system management policy improvements</w:t>
            </w:r>
            <w:r w:rsidR="00A93320" w:rsidRPr="003272C7">
              <w:rPr>
                <w:rFonts w:cs="Arial"/>
              </w:rPr>
              <w:t xml:space="preserve"> to respond to emerging uses and challenges</w:t>
            </w:r>
            <w:r w:rsidRPr="003272C7">
              <w:rPr>
                <w:rFonts w:cs="Arial"/>
              </w:rPr>
              <w:t>.</w:t>
            </w:r>
          </w:p>
        </w:tc>
      </w:tr>
    </w:tbl>
    <w:p w14:paraId="4E559AAF" w14:textId="50D2B24F" w:rsidR="00B242C3" w:rsidRPr="003272C7" w:rsidRDefault="00B242C3" w:rsidP="00B242C3">
      <w:pPr>
        <w:pStyle w:val="Heading2"/>
        <w:rPr>
          <w:rFonts w:cs="Arial"/>
        </w:rPr>
      </w:pPr>
      <w:bookmarkStart w:id="25" w:name="_Toc147410779"/>
      <w:bookmarkStart w:id="26" w:name="_Toc183777787"/>
      <w:r w:rsidRPr="003272C7">
        <w:rPr>
          <w:rFonts w:cs="Arial"/>
        </w:rPr>
        <w:t xml:space="preserve">WRS6: Licensing </w:t>
      </w:r>
      <w:r w:rsidR="00271AE7" w:rsidRPr="003272C7">
        <w:rPr>
          <w:rFonts w:cs="Arial"/>
        </w:rPr>
        <w:t>F</w:t>
      </w:r>
      <w:r w:rsidRPr="003272C7">
        <w:rPr>
          <w:rFonts w:cs="Arial"/>
        </w:rPr>
        <w:t xml:space="preserve">ramework </w:t>
      </w:r>
      <w:r w:rsidR="00271AE7" w:rsidRPr="003272C7">
        <w:rPr>
          <w:rFonts w:cs="Arial"/>
        </w:rPr>
        <w:t>G</w:t>
      </w:r>
      <w:r w:rsidRPr="003272C7">
        <w:rPr>
          <w:rFonts w:cs="Arial"/>
        </w:rPr>
        <w:t xml:space="preserve">roundwater and </w:t>
      </w:r>
      <w:r w:rsidR="00271AE7" w:rsidRPr="003272C7">
        <w:rPr>
          <w:rFonts w:cs="Arial"/>
        </w:rPr>
        <w:t>U</w:t>
      </w:r>
      <w:r w:rsidRPr="003272C7">
        <w:rPr>
          <w:rFonts w:cs="Arial"/>
        </w:rPr>
        <w:t xml:space="preserve">nregulated </w:t>
      </w:r>
      <w:r w:rsidR="00271AE7" w:rsidRPr="003272C7">
        <w:rPr>
          <w:rFonts w:cs="Arial"/>
        </w:rPr>
        <w:t>S</w:t>
      </w:r>
      <w:r w:rsidRPr="003272C7">
        <w:rPr>
          <w:rFonts w:cs="Arial"/>
        </w:rPr>
        <w:t>ystems</w:t>
      </w:r>
      <w:bookmarkEnd w:id="25"/>
      <w:bookmarkEnd w:id="2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004536A4" w14:textId="77777777" w:rsidTr="005D7E06">
        <w:trPr>
          <w:trHeight w:val="395"/>
        </w:trPr>
        <w:tc>
          <w:tcPr>
            <w:tcW w:w="979" w:type="pct"/>
            <w:shd w:val="clear" w:color="auto" w:fill="231EDC" w:themeFill="accent1"/>
          </w:tcPr>
          <w:p w14:paraId="451C0DF5" w14:textId="3B4CE9EF" w:rsidR="00B242C3" w:rsidRPr="003272C7" w:rsidRDefault="00C412A9" w:rsidP="002F0380">
            <w:pPr>
              <w:pStyle w:val="TableHeading"/>
              <w:rPr>
                <w:rFonts w:cs="Arial"/>
              </w:rPr>
            </w:pPr>
            <w:r w:rsidRPr="003272C7">
              <w:rPr>
                <w:rFonts w:cs="Arial"/>
              </w:rPr>
              <w:t>Initiative</w:t>
            </w:r>
          </w:p>
        </w:tc>
        <w:tc>
          <w:tcPr>
            <w:tcW w:w="4021" w:type="pct"/>
            <w:shd w:val="clear" w:color="auto" w:fill="231EDC" w:themeFill="accent1"/>
          </w:tcPr>
          <w:p w14:paraId="6050366F" w14:textId="4553BDF0" w:rsidR="00B242C3" w:rsidRPr="003272C7" w:rsidRDefault="00B242C3" w:rsidP="002F0380">
            <w:pPr>
              <w:pStyle w:val="TableHeading"/>
              <w:rPr>
                <w:rFonts w:cs="Arial"/>
              </w:rPr>
            </w:pPr>
            <w:r w:rsidRPr="003272C7">
              <w:rPr>
                <w:rFonts w:cs="Arial"/>
              </w:rPr>
              <w:t>2.</w:t>
            </w:r>
            <w:r w:rsidR="00EA5BA3"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41DCA9EF" w14:textId="77777777" w:rsidTr="005D7E06">
        <w:trPr>
          <w:trHeight w:val="341"/>
        </w:trPr>
        <w:tc>
          <w:tcPr>
            <w:tcW w:w="979" w:type="pct"/>
            <w:shd w:val="clear" w:color="auto" w:fill="231EDC" w:themeFill="accent1"/>
          </w:tcPr>
          <w:p w14:paraId="7A4DDDC8" w14:textId="77777777" w:rsidR="00B242C3" w:rsidRPr="003272C7" w:rsidRDefault="00B242C3" w:rsidP="00C06DED">
            <w:pPr>
              <w:pStyle w:val="TableText"/>
              <w:rPr>
                <w:rFonts w:cs="Arial"/>
                <w:b/>
                <w:bCs/>
                <w:szCs w:val="18"/>
              </w:rPr>
            </w:pPr>
            <w:r w:rsidRPr="003272C7">
              <w:rPr>
                <w:rFonts w:cs="Arial"/>
                <w:b/>
                <w:bCs/>
                <w:szCs w:val="18"/>
              </w:rPr>
              <w:t>Project</w:t>
            </w:r>
          </w:p>
        </w:tc>
        <w:tc>
          <w:tcPr>
            <w:tcW w:w="4021" w:type="pct"/>
          </w:tcPr>
          <w:p w14:paraId="1842484E" w14:textId="77777777" w:rsidR="00B242C3" w:rsidRPr="003272C7" w:rsidRDefault="00B242C3" w:rsidP="00C216AF">
            <w:pPr>
              <w:pStyle w:val="TableText"/>
              <w:rPr>
                <w:rFonts w:cs="Arial"/>
              </w:rPr>
            </w:pPr>
            <w:r w:rsidRPr="003272C7">
              <w:rPr>
                <w:rFonts w:cs="Arial"/>
              </w:rPr>
              <w:t>WRS6: Licensing framework groundwater and unregulated systems</w:t>
            </w:r>
          </w:p>
        </w:tc>
      </w:tr>
      <w:tr w:rsidR="00B242C3" w:rsidRPr="003272C7" w14:paraId="577DAB8C" w14:textId="77777777" w:rsidTr="005D7E06">
        <w:trPr>
          <w:trHeight w:val="259"/>
        </w:trPr>
        <w:tc>
          <w:tcPr>
            <w:tcW w:w="979" w:type="pct"/>
            <w:shd w:val="clear" w:color="auto" w:fill="231EDC" w:themeFill="accent1"/>
          </w:tcPr>
          <w:p w14:paraId="4970083F" w14:textId="77777777" w:rsidR="00B242C3" w:rsidRPr="003272C7" w:rsidRDefault="00B242C3" w:rsidP="00C06DED">
            <w:pPr>
              <w:pStyle w:val="TableText"/>
              <w:rPr>
                <w:rFonts w:cs="Arial"/>
                <w:b/>
                <w:bCs/>
                <w:szCs w:val="18"/>
              </w:rPr>
            </w:pPr>
            <w:r w:rsidRPr="003272C7">
              <w:rPr>
                <w:rFonts w:cs="Arial"/>
                <w:b/>
                <w:bCs/>
                <w:szCs w:val="18"/>
              </w:rPr>
              <w:t>Description</w:t>
            </w:r>
          </w:p>
          <w:p w14:paraId="69F92B3B" w14:textId="77777777" w:rsidR="00B242C3" w:rsidRPr="003272C7" w:rsidRDefault="00B242C3" w:rsidP="00C06DED">
            <w:pPr>
              <w:pStyle w:val="TableText"/>
              <w:rPr>
                <w:rFonts w:cs="Arial"/>
                <w:b/>
                <w:bCs/>
                <w:szCs w:val="18"/>
              </w:rPr>
            </w:pPr>
          </w:p>
        </w:tc>
        <w:tc>
          <w:tcPr>
            <w:tcW w:w="4021" w:type="pct"/>
          </w:tcPr>
          <w:p w14:paraId="65C55C84" w14:textId="77777777" w:rsidR="00142559" w:rsidRPr="003272C7" w:rsidRDefault="00B242C3" w:rsidP="00C216AF">
            <w:pPr>
              <w:pStyle w:val="TableText"/>
              <w:rPr>
                <w:rFonts w:cs="Arial"/>
              </w:rPr>
            </w:pPr>
            <w:r w:rsidRPr="003272C7">
              <w:rPr>
                <w:rFonts w:cs="Arial"/>
              </w:rPr>
              <w:t xml:space="preserve">The investment </w:t>
            </w:r>
            <w:r w:rsidR="003C4E38" w:rsidRPr="003272C7">
              <w:rPr>
                <w:rFonts w:cs="Arial"/>
              </w:rPr>
              <w:t xml:space="preserve">supported </w:t>
            </w:r>
            <w:r w:rsidRPr="003272C7">
              <w:rPr>
                <w:rFonts w:cs="Arial"/>
              </w:rPr>
              <w:t xml:space="preserve">the obligations of the Minister for Water under the </w:t>
            </w:r>
            <w:r w:rsidRPr="003272C7">
              <w:rPr>
                <w:rFonts w:cs="Arial"/>
                <w:i/>
                <w:iCs/>
              </w:rPr>
              <w:t>Water Act 1989</w:t>
            </w:r>
            <w:r w:rsidRPr="003272C7">
              <w:rPr>
                <w:rFonts w:cs="Arial"/>
              </w:rPr>
              <w:t xml:space="preserve"> and the ongoing function of </w:t>
            </w:r>
            <w:r w:rsidR="00EA5BA3" w:rsidRPr="003272C7">
              <w:rPr>
                <w:rFonts w:cs="Arial"/>
              </w:rPr>
              <w:t xml:space="preserve">DEECA </w:t>
            </w:r>
            <w:r w:rsidRPr="003272C7">
              <w:rPr>
                <w:rFonts w:cs="Arial"/>
              </w:rPr>
              <w:t xml:space="preserve">to provide support to and oversight of </w:t>
            </w:r>
            <w:r w:rsidR="00316080" w:rsidRPr="003272C7">
              <w:rPr>
                <w:rFonts w:cs="Arial"/>
              </w:rPr>
              <w:t>water licensing delegates</w:t>
            </w:r>
            <w:r w:rsidRPr="003272C7">
              <w:rPr>
                <w:rFonts w:cs="Arial"/>
              </w:rPr>
              <w:t xml:space="preserve"> to deliver their core functions for the management of unregulated </w:t>
            </w:r>
            <w:r w:rsidR="00316080" w:rsidRPr="003272C7">
              <w:rPr>
                <w:rFonts w:cs="Arial"/>
              </w:rPr>
              <w:t>water</w:t>
            </w:r>
            <w:r w:rsidRPr="003272C7">
              <w:rPr>
                <w:rFonts w:cs="Arial"/>
              </w:rPr>
              <w:t xml:space="preserve"> and groundwater resources.</w:t>
            </w:r>
          </w:p>
          <w:p w14:paraId="6C3555D8" w14:textId="2CCD9477" w:rsidR="00B242C3" w:rsidRPr="003272C7" w:rsidRDefault="00B242C3" w:rsidP="00C216AF">
            <w:pPr>
              <w:pStyle w:val="TableText"/>
              <w:rPr>
                <w:rFonts w:cs="Arial"/>
              </w:rPr>
            </w:pPr>
            <w:r w:rsidRPr="003272C7">
              <w:rPr>
                <w:rFonts w:cs="Arial"/>
              </w:rPr>
              <w:t>The investment also support</w:t>
            </w:r>
            <w:r w:rsidR="00F4027A" w:rsidRPr="003272C7">
              <w:rPr>
                <w:rFonts w:cs="Arial"/>
              </w:rPr>
              <w:t>ed</w:t>
            </w:r>
            <w:r w:rsidRPr="003272C7">
              <w:rPr>
                <w:rFonts w:cs="Arial"/>
              </w:rPr>
              <w:t xml:space="preserve"> the implementation of projects for continuous improvement of our water licensing framework, management of sustainable and productive access to water and for the development of clear priorities for the management of groundwater </w:t>
            </w:r>
            <w:r w:rsidR="00F4027A" w:rsidRPr="003272C7">
              <w:rPr>
                <w:rFonts w:cs="Arial"/>
              </w:rPr>
              <w:t xml:space="preserve">unregulated systems </w:t>
            </w:r>
            <w:r w:rsidRPr="003272C7">
              <w:rPr>
                <w:rFonts w:cs="Arial"/>
              </w:rPr>
              <w:t>across Victoria through:</w:t>
            </w:r>
          </w:p>
          <w:p w14:paraId="552B34F5" w14:textId="04449858" w:rsidR="00B242C3" w:rsidRPr="003272C7" w:rsidRDefault="00F4027A" w:rsidP="00180661">
            <w:pPr>
              <w:pStyle w:val="TableBullet"/>
              <w:rPr>
                <w:rFonts w:cs="Arial"/>
              </w:rPr>
            </w:pPr>
            <w:r w:rsidRPr="003272C7">
              <w:rPr>
                <w:rFonts w:cs="Arial"/>
              </w:rPr>
              <w:t xml:space="preserve">Review of the </w:t>
            </w:r>
            <w:r w:rsidRPr="003272C7">
              <w:rPr>
                <w:rFonts w:cs="Arial"/>
                <w:i/>
                <w:iCs/>
              </w:rPr>
              <w:t>Ministerial Polices for Managing Take and Use Licenses</w:t>
            </w:r>
            <w:r w:rsidRPr="003272C7">
              <w:rPr>
                <w:rFonts w:cs="Arial"/>
              </w:rPr>
              <w:t xml:space="preserve"> and development</w:t>
            </w:r>
            <w:r w:rsidR="00E13629" w:rsidRPr="003272C7">
              <w:rPr>
                <w:rFonts w:cs="Arial"/>
              </w:rPr>
              <w:t xml:space="preserve"> of a</w:t>
            </w:r>
            <w:r w:rsidRPr="003272C7">
              <w:rPr>
                <w:rFonts w:cs="Arial"/>
              </w:rPr>
              <w:t xml:space="preserve"> </w:t>
            </w:r>
            <w:r w:rsidR="00B242C3" w:rsidRPr="003272C7">
              <w:rPr>
                <w:rFonts w:cs="Arial"/>
              </w:rPr>
              <w:t xml:space="preserve">licensing </w:t>
            </w:r>
            <w:r w:rsidR="00E13629" w:rsidRPr="003272C7">
              <w:rPr>
                <w:rFonts w:cs="Arial"/>
              </w:rPr>
              <w:t>framework</w:t>
            </w:r>
            <w:r w:rsidR="00B242C3" w:rsidRPr="003272C7">
              <w:rPr>
                <w:rFonts w:cs="Arial"/>
              </w:rPr>
              <w:t xml:space="preserve"> that facilitate</w:t>
            </w:r>
            <w:r w:rsidR="000C5A0F" w:rsidRPr="003272C7">
              <w:rPr>
                <w:rFonts w:cs="Arial"/>
              </w:rPr>
              <w:t>s</w:t>
            </w:r>
            <w:r w:rsidR="00B242C3" w:rsidRPr="003272C7">
              <w:rPr>
                <w:rFonts w:cs="Arial"/>
              </w:rPr>
              <w:t xml:space="preserve"> sustainable access to water, protect</w:t>
            </w:r>
            <w:r w:rsidR="000C5A0F" w:rsidRPr="003272C7">
              <w:rPr>
                <w:rFonts w:cs="Arial"/>
              </w:rPr>
              <w:t>s</w:t>
            </w:r>
            <w:r w:rsidR="00B242C3" w:rsidRPr="003272C7">
              <w:rPr>
                <w:rFonts w:cs="Arial"/>
              </w:rPr>
              <w:t xml:space="preserve"> the security and reliability of licences and minimise</w:t>
            </w:r>
            <w:r w:rsidR="000C5A0F" w:rsidRPr="003272C7">
              <w:rPr>
                <w:rFonts w:cs="Arial"/>
              </w:rPr>
              <w:t>s</w:t>
            </w:r>
            <w:r w:rsidR="00B242C3" w:rsidRPr="003272C7">
              <w:rPr>
                <w:rFonts w:cs="Arial"/>
              </w:rPr>
              <w:t xml:space="preserve"> </w:t>
            </w:r>
            <w:r w:rsidR="000C5A0F" w:rsidRPr="003272C7">
              <w:rPr>
                <w:rFonts w:cs="Arial"/>
              </w:rPr>
              <w:t>environmental</w:t>
            </w:r>
            <w:r w:rsidR="00B242C3" w:rsidRPr="003272C7">
              <w:rPr>
                <w:rFonts w:cs="Arial"/>
              </w:rPr>
              <w:t xml:space="preserve"> risk.</w:t>
            </w:r>
          </w:p>
          <w:p w14:paraId="759B6DA6" w14:textId="421CCDE2" w:rsidR="00B242C3" w:rsidRPr="003272C7" w:rsidRDefault="000C5A0F" w:rsidP="00180661">
            <w:pPr>
              <w:pStyle w:val="TableBullet"/>
              <w:rPr>
                <w:rFonts w:cs="Arial"/>
              </w:rPr>
            </w:pPr>
            <w:r w:rsidRPr="003272C7">
              <w:rPr>
                <w:rFonts w:cs="Arial"/>
              </w:rPr>
              <w:t>Development of and public commitment to groundwater priorities</w:t>
            </w:r>
            <w:r w:rsidR="00B242C3" w:rsidRPr="003272C7">
              <w:rPr>
                <w:rFonts w:cs="Arial"/>
              </w:rPr>
              <w:t xml:space="preserve"> for Victoria </w:t>
            </w:r>
            <w:r w:rsidR="00643E7D" w:rsidRPr="003272C7">
              <w:rPr>
                <w:rFonts w:cs="Arial"/>
              </w:rPr>
              <w:t xml:space="preserve">for the next 7 years </w:t>
            </w:r>
            <w:r w:rsidR="00B242C3" w:rsidRPr="003272C7">
              <w:rPr>
                <w:rFonts w:cs="Arial"/>
              </w:rPr>
              <w:t>to set clear direction for improvements to management</w:t>
            </w:r>
            <w:r w:rsidR="00643E7D" w:rsidRPr="003272C7">
              <w:rPr>
                <w:rFonts w:cs="Arial"/>
              </w:rPr>
              <w:t xml:space="preserve">, through </w:t>
            </w:r>
            <w:r w:rsidR="00EA5BA3" w:rsidRPr="003272C7">
              <w:rPr>
                <w:rFonts w:cs="Arial"/>
              </w:rPr>
              <w:t>GM</w:t>
            </w:r>
            <w:r w:rsidR="00643E7D" w:rsidRPr="003272C7">
              <w:rPr>
                <w:rFonts w:cs="Arial"/>
              </w:rPr>
              <w:t>2030. This was initially framed as a groundwater strategy, but our focus evolved with project development</w:t>
            </w:r>
            <w:r w:rsidR="00B242C3" w:rsidRPr="003272C7">
              <w:rPr>
                <w:rFonts w:cs="Arial"/>
              </w:rPr>
              <w:t>.</w:t>
            </w:r>
          </w:p>
          <w:p w14:paraId="77F64453" w14:textId="77777777" w:rsidR="00142559" w:rsidRPr="003272C7" w:rsidRDefault="00643E7D" w:rsidP="0090382B">
            <w:pPr>
              <w:pStyle w:val="TableBullet"/>
              <w:rPr>
                <w:rFonts w:cs="Arial"/>
              </w:rPr>
            </w:pPr>
            <w:r w:rsidRPr="003272C7">
              <w:rPr>
                <w:rFonts w:cs="Arial"/>
              </w:rPr>
              <w:t xml:space="preserve">Supported </w:t>
            </w:r>
            <w:r w:rsidR="00B242C3" w:rsidRPr="003272C7">
              <w:rPr>
                <w:rFonts w:cs="Arial"/>
              </w:rPr>
              <w:t>the preparation of new and amended water resource management plans for unregulated and groundwater systems</w:t>
            </w:r>
            <w:r w:rsidR="00651358" w:rsidRPr="003272C7">
              <w:rPr>
                <w:rFonts w:cs="Arial"/>
              </w:rPr>
              <w:t xml:space="preserve"> in Northern Victoria</w:t>
            </w:r>
            <w:r w:rsidR="00B242C3" w:rsidRPr="003272C7">
              <w:rPr>
                <w:rFonts w:cs="Arial"/>
              </w:rPr>
              <w:t>, inclusive of economic, environmental, recreational, social and cultural values of water.</w:t>
            </w:r>
            <w:r w:rsidR="0032557F" w:rsidRPr="003272C7">
              <w:rPr>
                <w:rFonts w:cs="Arial"/>
              </w:rPr>
              <w:t xml:space="preserve"> </w:t>
            </w:r>
            <w:r w:rsidR="0032557F" w:rsidRPr="00623380">
              <w:rPr>
                <w:rFonts w:cs="Arial"/>
              </w:rPr>
              <w:t xml:space="preserve">The new water resource management plans are now available online at the </w:t>
            </w:r>
            <w:r w:rsidR="00EA5BA3" w:rsidRPr="003272C7">
              <w:rPr>
                <w:rFonts w:cs="Arial"/>
              </w:rPr>
              <w:t xml:space="preserve">MDBA </w:t>
            </w:r>
            <w:r w:rsidR="0032557F" w:rsidRPr="00623380">
              <w:rPr>
                <w:rFonts w:cs="Arial"/>
              </w:rPr>
              <w:t>website.</w:t>
            </w:r>
          </w:p>
          <w:p w14:paraId="009D8B7E" w14:textId="77777777" w:rsidR="00142559" w:rsidRPr="003272C7" w:rsidRDefault="00951866" w:rsidP="0090382B">
            <w:pPr>
              <w:pStyle w:val="TableBullet"/>
              <w:rPr>
                <w:rFonts w:cs="Arial"/>
              </w:rPr>
            </w:pPr>
            <w:r w:rsidRPr="00623380">
              <w:rPr>
                <w:rFonts w:cs="Arial"/>
              </w:rPr>
              <w:t xml:space="preserve">Implementation of amended </w:t>
            </w:r>
            <w:r w:rsidR="00192FD4" w:rsidRPr="003272C7">
              <w:rPr>
                <w:rFonts w:cs="Arial"/>
              </w:rPr>
              <w:t>Permissible Consumptive Volume cap</w:t>
            </w:r>
            <w:r w:rsidRPr="00623380">
              <w:rPr>
                <w:rFonts w:cs="Arial"/>
              </w:rPr>
              <w:t>s and developed guidelines for returned water licensing which has improved the non-consumptive licensing process. This supports the emerging renewable energy markets such as hydro-power and use of groundwater for geothermal purposes. This new process improves and optimises the sustainable and productive use of water, with negligible impact on the resource, environment and other entitlement holders.</w:t>
            </w:r>
          </w:p>
          <w:p w14:paraId="46EEF018" w14:textId="4B39B9E6" w:rsidR="00B242C3" w:rsidRPr="003272C7" w:rsidRDefault="0090464F" w:rsidP="0090382B">
            <w:pPr>
              <w:pStyle w:val="TableBullet"/>
              <w:rPr>
                <w:rFonts w:cs="Arial"/>
              </w:rPr>
            </w:pPr>
            <w:r w:rsidRPr="003272C7">
              <w:rPr>
                <w:rFonts w:cs="Arial"/>
              </w:rPr>
              <w:t xml:space="preserve">Improvement of </w:t>
            </w:r>
            <w:r w:rsidR="00B242C3" w:rsidRPr="003272C7">
              <w:rPr>
                <w:rFonts w:cs="Arial"/>
              </w:rPr>
              <w:t>our knowledge of Traditional Owner interests in entitlements</w:t>
            </w:r>
            <w:r w:rsidR="000F7118" w:rsidRPr="003272C7">
              <w:rPr>
                <w:rFonts w:cs="Arial"/>
              </w:rPr>
              <w:t>. W</w:t>
            </w:r>
            <w:r w:rsidR="000F7118" w:rsidRPr="00623380">
              <w:rPr>
                <w:rFonts w:cs="Arial"/>
              </w:rPr>
              <w:t xml:space="preserve">e have reached out to Traditional Owners and are shaping an engagement plan to </w:t>
            </w:r>
            <w:r w:rsidR="000F7118" w:rsidRPr="00623380">
              <w:rPr>
                <w:rFonts w:cs="Arial"/>
              </w:rPr>
              <w:lastRenderedPageBreak/>
              <w:t>work collaboratively with Traditional Owners to identify any gaps or obstacles in the licensing framework. We have also begun conversations with Traditional Owners about the process of applying for unallocated water to better understand their experience and any potential barriers with the licensing process.</w:t>
            </w:r>
            <w:r w:rsidR="00142559" w:rsidRPr="00623380">
              <w:rPr>
                <w:rFonts w:cs="Arial"/>
              </w:rPr>
              <w:t xml:space="preserve"> </w:t>
            </w:r>
          </w:p>
        </w:tc>
      </w:tr>
      <w:tr w:rsidR="00B242C3" w:rsidRPr="003272C7" w14:paraId="18881CCD" w14:textId="77777777" w:rsidTr="005D7E06">
        <w:trPr>
          <w:trHeight w:val="259"/>
        </w:trPr>
        <w:tc>
          <w:tcPr>
            <w:tcW w:w="979" w:type="pct"/>
            <w:shd w:val="clear" w:color="auto" w:fill="231EDC" w:themeFill="accent1"/>
          </w:tcPr>
          <w:p w14:paraId="0B2B0A1B" w14:textId="77777777" w:rsidR="00B242C3" w:rsidRPr="003272C7" w:rsidRDefault="00B242C3" w:rsidP="00C06DED">
            <w:pPr>
              <w:pStyle w:val="TableText"/>
              <w:rPr>
                <w:rFonts w:cs="Arial"/>
                <w:b/>
                <w:bCs/>
                <w:szCs w:val="18"/>
              </w:rPr>
            </w:pPr>
            <w:r w:rsidRPr="003272C7">
              <w:rPr>
                <w:rFonts w:cs="Arial"/>
                <w:b/>
                <w:bCs/>
                <w:szCs w:val="18"/>
              </w:rPr>
              <w:lastRenderedPageBreak/>
              <w:t>Outputs</w:t>
            </w:r>
          </w:p>
        </w:tc>
        <w:tc>
          <w:tcPr>
            <w:tcW w:w="4021" w:type="pct"/>
          </w:tcPr>
          <w:p w14:paraId="0D2F6509" w14:textId="7C1ADAA7" w:rsidR="00B242C3" w:rsidRPr="003272C7" w:rsidRDefault="00B242C3" w:rsidP="001100FA">
            <w:pPr>
              <w:pStyle w:val="TableBullet"/>
              <w:rPr>
                <w:rFonts w:cs="Arial"/>
              </w:rPr>
            </w:pPr>
            <w:r w:rsidRPr="003272C7">
              <w:rPr>
                <w:rFonts w:cs="Arial"/>
                <w:b/>
                <w:bCs/>
              </w:rPr>
              <w:t>Maintenance of the management and licensing framework for groundwater and unregulated systems</w:t>
            </w:r>
            <w:r w:rsidRPr="003272C7">
              <w:rPr>
                <w:rFonts w:cs="Arial"/>
              </w:rPr>
              <w:t xml:space="preserve"> - Core business: </w:t>
            </w:r>
            <w:r w:rsidR="00FD2532" w:rsidRPr="00623380">
              <w:rPr>
                <w:rFonts w:cs="Arial"/>
              </w:rPr>
              <w:t xml:space="preserve">Through collaborative work, </w:t>
            </w:r>
            <w:r w:rsidR="0005059C" w:rsidRPr="003272C7">
              <w:rPr>
                <w:rFonts w:cs="Arial"/>
              </w:rPr>
              <w:t>DEECA has</w:t>
            </w:r>
            <w:r w:rsidR="00FD2532" w:rsidRPr="00623380">
              <w:rPr>
                <w:rFonts w:cs="Arial"/>
              </w:rPr>
              <w:t xml:space="preserve"> continued to provide information and communication to users and the community to increase understanding of groundwater and unregulated systems. In collaboration with rural water corporations, </w:t>
            </w:r>
            <w:r w:rsidR="0005059C" w:rsidRPr="003272C7">
              <w:rPr>
                <w:rFonts w:cs="Arial"/>
              </w:rPr>
              <w:t>DEECA has</w:t>
            </w:r>
            <w:r w:rsidR="0005059C" w:rsidRPr="00623380">
              <w:rPr>
                <w:rFonts w:cs="Arial"/>
              </w:rPr>
              <w:t xml:space="preserve"> </w:t>
            </w:r>
            <w:r w:rsidR="00FD2532" w:rsidRPr="00623380">
              <w:rPr>
                <w:rFonts w:cs="Arial"/>
              </w:rPr>
              <w:t xml:space="preserve">reached out to industry groups and partners to communicate information on groundwater and unregulated systems and the licensing framework. </w:t>
            </w:r>
            <w:r w:rsidR="0005059C" w:rsidRPr="003272C7">
              <w:rPr>
                <w:rFonts w:cs="Arial"/>
              </w:rPr>
              <w:t>DEECA has</w:t>
            </w:r>
            <w:r w:rsidR="0005059C" w:rsidRPr="00623380">
              <w:rPr>
                <w:rFonts w:cs="Arial"/>
              </w:rPr>
              <w:t xml:space="preserve"> </w:t>
            </w:r>
            <w:r w:rsidR="00FD2532" w:rsidRPr="00623380">
              <w:rPr>
                <w:rFonts w:cs="Arial"/>
              </w:rPr>
              <w:t>continued to provide timely and accurate advice to support delegated licensing functions.</w:t>
            </w:r>
          </w:p>
          <w:p w14:paraId="3D92AB76" w14:textId="77777777" w:rsidR="00142559" w:rsidRPr="003272C7" w:rsidRDefault="00B242C3" w:rsidP="001100FA">
            <w:pPr>
              <w:pStyle w:val="TableBullet"/>
              <w:rPr>
                <w:rFonts w:cs="Arial"/>
              </w:rPr>
            </w:pPr>
            <w:r w:rsidRPr="003272C7">
              <w:rPr>
                <w:rFonts w:cs="Arial"/>
                <w:b/>
                <w:bCs/>
              </w:rPr>
              <w:t>Groundwater Management 2030 (GM2030):</w:t>
            </w:r>
            <w:r w:rsidRPr="003272C7">
              <w:rPr>
                <w:rFonts w:cs="Arial"/>
              </w:rPr>
              <w:t xml:space="preserve"> Development of a </w:t>
            </w:r>
            <w:r w:rsidR="00FD2532" w:rsidRPr="003272C7">
              <w:rPr>
                <w:rFonts w:cs="Arial"/>
              </w:rPr>
              <w:t xml:space="preserve">set of priorities </w:t>
            </w:r>
            <w:r w:rsidRPr="003272C7">
              <w:rPr>
                <w:rFonts w:cs="Arial"/>
              </w:rPr>
              <w:t xml:space="preserve">that outlines </w:t>
            </w:r>
            <w:r w:rsidR="00FD2532" w:rsidRPr="003272C7">
              <w:rPr>
                <w:rFonts w:cs="Arial"/>
              </w:rPr>
              <w:t xml:space="preserve">DEECA </w:t>
            </w:r>
            <w:r w:rsidRPr="003272C7">
              <w:rPr>
                <w:rFonts w:cs="Arial"/>
              </w:rPr>
              <w:t>and rural water corporation</w:t>
            </w:r>
            <w:r w:rsidR="000242ED" w:rsidRPr="003272C7">
              <w:rPr>
                <w:rFonts w:cs="Arial"/>
              </w:rPr>
              <w:t>’s</w:t>
            </w:r>
            <w:r w:rsidRPr="003272C7">
              <w:rPr>
                <w:rFonts w:cs="Arial"/>
              </w:rPr>
              <w:t xml:space="preserve"> priority areas of work to enable better management and licensing of groundwater </w:t>
            </w:r>
            <w:r w:rsidR="000242ED" w:rsidRPr="003272C7">
              <w:rPr>
                <w:rFonts w:cs="Arial"/>
              </w:rPr>
              <w:t xml:space="preserve">by </w:t>
            </w:r>
            <w:r w:rsidRPr="003272C7">
              <w:rPr>
                <w:rFonts w:cs="Arial"/>
              </w:rPr>
              <w:t xml:space="preserve">2030. </w:t>
            </w:r>
            <w:r w:rsidR="000242ED" w:rsidRPr="00623380">
              <w:rPr>
                <w:rFonts w:cs="Arial"/>
              </w:rPr>
              <w:t xml:space="preserve">Over the past year, </w:t>
            </w:r>
            <w:r w:rsidR="0005059C" w:rsidRPr="003272C7">
              <w:rPr>
                <w:rFonts w:cs="Arial"/>
              </w:rPr>
              <w:t>DEECA has</w:t>
            </w:r>
            <w:r w:rsidR="0005059C" w:rsidRPr="00623380">
              <w:rPr>
                <w:rFonts w:cs="Arial"/>
              </w:rPr>
              <w:t xml:space="preserve"> </w:t>
            </w:r>
            <w:r w:rsidR="000242ED" w:rsidRPr="00623380">
              <w:rPr>
                <w:rFonts w:cs="Arial"/>
              </w:rPr>
              <w:t>undertaken foundational technical work and established robust project planning and management arrangements, including through understanding deliverables which are of most relevance to stakeholders and interdependencies between projects.</w:t>
            </w:r>
          </w:p>
          <w:p w14:paraId="6C6988E1" w14:textId="77777777" w:rsidR="00142559" w:rsidRPr="003272C7" w:rsidRDefault="00B242C3" w:rsidP="001100FA">
            <w:pPr>
              <w:pStyle w:val="TableBullet"/>
              <w:rPr>
                <w:rFonts w:cs="Arial"/>
              </w:rPr>
            </w:pPr>
            <w:r w:rsidRPr="003272C7">
              <w:rPr>
                <w:rFonts w:cs="Arial"/>
                <w:b/>
                <w:bCs/>
              </w:rPr>
              <w:t>Licensing review and reform</w:t>
            </w:r>
            <w:r w:rsidR="000242ED" w:rsidRPr="003272C7">
              <w:rPr>
                <w:rFonts w:cs="Arial"/>
                <w:b/>
                <w:bCs/>
              </w:rPr>
              <w:t xml:space="preserve"> (GM2030 Priority Area 8)</w:t>
            </w:r>
            <w:r w:rsidRPr="003272C7">
              <w:rPr>
                <w:rFonts w:cs="Arial"/>
                <w:b/>
                <w:bCs/>
              </w:rPr>
              <w:t>:</w:t>
            </w:r>
            <w:r w:rsidRPr="003272C7">
              <w:rPr>
                <w:rFonts w:cs="Arial"/>
              </w:rPr>
              <w:t xml:space="preserve"> </w:t>
            </w:r>
            <w:r w:rsidR="00DC774D" w:rsidRPr="00623380">
              <w:rPr>
                <w:rFonts w:cs="Arial"/>
              </w:rPr>
              <w:t>Review of the licensing framework and development of new licensing instruments consisting of Trade Rules, Guidelines and Regulations, which will replace the Ministerial Policies for Take and Use Licences and support a clearer and more consistent framework. Review has included analysis of the framework as well as extensive internal and external consultation.</w:t>
            </w:r>
          </w:p>
          <w:p w14:paraId="65340A9D" w14:textId="492004EB" w:rsidR="00B242C3" w:rsidRPr="003272C7" w:rsidRDefault="00B242C3" w:rsidP="009F44E4">
            <w:pPr>
              <w:pStyle w:val="TableBullet"/>
              <w:rPr>
                <w:rFonts w:cs="Arial"/>
              </w:rPr>
            </w:pPr>
            <w:r w:rsidRPr="003272C7">
              <w:rPr>
                <w:rFonts w:cs="Arial"/>
                <w:b/>
                <w:bCs/>
              </w:rPr>
              <w:t>Traditional Owner access to water and increased involvement in water management:</w:t>
            </w:r>
            <w:r w:rsidRPr="003272C7">
              <w:rPr>
                <w:rFonts w:cs="Arial"/>
              </w:rPr>
              <w:t xml:space="preserve"> </w:t>
            </w:r>
            <w:r w:rsidR="0005059C" w:rsidRPr="003272C7">
              <w:rPr>
                <w:rFonts w:cs="Arial"/>
              </w:rPr>
              <w:t xml:space="preserve">DEECA </w:t>
            </w:r>
            <w:r w:rsidR="005F2CD1" w:rsidRPr="00623380">
              <w:rPr>
                <w:rFonts w:cs="Arial"/>
              </w:rPr>
              <w:t xml:space="preserve">invited Traditional Owners to decide if and how they wish to partner with </w:t>
            </w:r>
            <w:r w:rsidR="0005059C" w:rsidRPr="003272C7">
              <w:rPr>
                <w:rFonts w:cs="Arial"/>
              </w:rPr>
              <w:t>DEECA</w:t>
            </w:r>
            <w:r w:rsidR="0005059C" w:rsidRPr="00623380">
              <w:rPr>
                <w:rFonts w:cs="Arial"/>
              </w:rPr>
              <w:t xml:space="preserve"> </w:t>
            </w:r>
            <w:r w:rsidR="005F2CD1" w:rsidRPr="00623380">
              <w:rPr>
                <w:rFonts w:cs="Arial"/>
              </w:rPr>
              <w:t xml:space="preserve">to deliver GM2030. Embedding opportunities to build partnerships with Traditional Owners is critical to GM2030 and reflects </w:t>
            </w:r>
            <w:r w:rsidR="0005059C" w:rsidRPr="003272C7">
              <w:rPr>
                <w:rFonts w:cs="Arial"/>
              </w:rPr>
              <w:t>DEECA’s</w:t>
            </w:r>
            <w:r w:rsidR="0005059C" w:rsidRPr="00623380">
              <w:rPr>
                <w:rFonts w:cs="Arial"/>
              </w:rPr>
              <w:t xml:space="preserve"> </w:t>
            </w:r>
            <w:r w:rsidR="005F2CD1" w:rsidRPr="00623380">
              <w:rPr>
                <w:rFonts w:cs="Arial"/>
              </w:rPr>
              <w:t xml:space="preserve">commitment to </w:t>
            </w:r>
            <w:r w:rsidR="005F2CD1" w:rsidRPr="003272C7">
              <w:rPr>
                <w:rFonts w:cs="Arial"/>
              </w:rPr>
              <w:t>Water is Life</w:t>
            </w:r>
            <w:r w:rsidR="005F2CD1" w:rsidRPr="00623380">
              <w:rPr>
                <w:rFonts w:cs="Arial"/>
              </w:rPr>
              <w:t>. </w:t>
            </w:r>
            <w:r w:rsidR="0005059C" w:rsidRPr="003272C7">
              <w:rPr>
                <w:rFonts w:cs="Arial"/>
              </w:rPr>
              <w:t xml:space="preserve">DEECA </w:t>
            </w:r>
            <w:r w:rsidR="005F2CD1" w:rsidRPr="00623380">
              <w:rPr>
                <w:rFonts w:cs="Arial"/>
              </w:rPr>
              <w:t xml:space="preserve">supported water licensing delegates to assist Traditional Owners complete applications for section 51 licences. This contributes to delivery of </w:t>
            </w:r>
            <w:r w:rsidR="0005059C" w:rsidRPr="003272C7">
              <w:rPr>
                <w:rFonts w:cs="Arial"/>
              </w:rPr>
              <w:t>Water is Life</w:t>
            </w:r>
            <w:r w:rsidR="005F2CD1" w:rsidRPr="00623380">
              <w:rPr>
                <w:rFonts w:cs="Arial"/>
              </w:rPr>
              <w:t xml:space="preserve"> Outcome 7 and CGRSWS actions 6-5</w:t>
            </w:r>
            <w:r w:rsidR="0005059C" w:rsidRPr="003272C7">
              <w:rPr>
                <w:rFonts w:cs="Arial"/>
              </w:rPr>
              <w:t>,</w:t>
            </w:r>
            <w:r w:rsidR="005F2CD1" w:rsidRPr="00623380">
              <w:rPr>
                <w:rFonts w:cs="Arial"/>
              </w:rPr>
              <w:t xml:space="preserve"> 6-8. Work has commenced to </w:t>
            </w:r>
            <w:r w:rsidR="00721269" w:rsidRPr="00623380">
              <w:rPr>
                <w:rFonts w:cs="Arial"/>
              </w:rPr>
              <w:t>s</w:t>
            </w:r>
            <w:r w:rsidR="005F2CD1" w:rsidRPr="00623380">
              <w:rPr>
                <w:rFonts w:cs="Arial"/>
              </w:rPr>
              <w:t xml:space="preserve">treamline the licensing application process, including identifying potential barriers to returning water to Traditional Owners. Some improvements have been made to improve the licensing system as well as identification of specific areas where further work is required to streamline the licensing application process and ensure cultural safety. Importantly, this work has facilitated building on </w:t>
            </w:r>
            <w:r w:rsidR="0005059C" w:rsidRPr="003272C7">
              <w:rPr>
                <w:rFonts w:cs="Arial"/>
              </w:rPr>
              <w:t>DEECA’s</w:t>
            </w:r>
            <w:r w:rsidR="0005059C" w:rsidRPr="00623380">
              <w:rPr>
                <w:rFonts w:cs="Arial"/>
              </w:rPr>
              <w:t xml:space="preserve"> </w:t>
            </w:r>
            <w:r w:rsidR="005F2CD1" w:rsidRPr="00623380">
              <w:rPr>
                <w:rFonts w:cs="Arial"/>
              </w:rPr>
              <w:t xml:space="preserve">cultural capabilities, and </w:t>
            </w:r>
            <w:r w:rsidR="0005059C" w:rsidRPr="003272C7">
              <w:rPr>
                <w:rFonts w:cs="Arial"/>
              </w:rPr>
              <w:t>DEECA’s</w:t>
            </w:r>
            <w:r w:rsidR="0005059C" w:rsidRPr="00623380">
              <w:rPr>
                <w:rFonts w:cs="Arial"/>
              </w:rPr>
              <w:t xml:space="preserve"> </w:t>
            </w:r>
            <w:r w:rsidR="005F2CD1" w:rsidRPr="00623380">
              <w:rPr>
                <w:rFonts w:cs="Arial"/>
              </w:rPr>
              <w:t xml:space="preserve">newly established connections with Traditional Owners. This is fundamental to </w:t>
            </w:r>
            <w:r w:rsidR="0005059C" w:rsidRPr="003272C7">
              <w:rPr>
                <w:rFonts w:cs="Arial"/>
              </w:rPr>
              <w:t>DEECA’s</w:t>
            </w:r>
            <w:r w:rsidR="0005059C" w:rsidRPr="00623380">
              <w:rPr>
                <w:rFonts w:cs="Arial"/>
              </w:rPr>
              <w:t xml:space="preserve"> </w:t>
            </w:r>
            <w:r w:rsidR="005F2CD1" w:rsidRPr="00623380">
              <w:rPr>
                <w:rFonts w:cs="Arial"/>
              </w:rPr>
              <w:t>work with Traditional Owners in the development and implementation of government policy and future reforms supporting the return of water.</w:t>
            </w:r>
          </w:p>
        </w:tc>
      </w:tr>
      <w:tr w:rsidR="00B242C3" w:rsidRPr="003272C7" w14:paraId="13094CEC" w14:textId="77777777" w:rsidTr="005D7E06">
        <w:trPr>
          <w:trHeight w:val="259"/>
        </w:trPr>
        <w:tc>
          <w:tcPr>
            <w:tcW w:w="5000" w:type="pct"/>
            <w:gridSpan w:val="2"/>
            <w:shd w:val="clear" w:color="auto" w:fill="231EDC" w:themeFill="accent1"/>
          </w:tcPr>
          <w:p w14:paraId="38C5B04D" w14:textId="36778D43"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341A389E" w14:textId="77777777" w:rsidTr="005D7E06">
        <w:trPr>
          <w:trHeight w:val="259"/>
        </w:trPr>
        <w:tc>
          <w:tcPr>
            <w:tcW w:w="979" w:type="pct"/>
            <w:shd w:val="clear" w:color="auto" w:fill="231EDC" w:themeFill="accent1"/>
          </w:tcPr>
          <w:p w14:paraId="66D8B021"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23D98C03" w14:textId="50949000" w:rsidR="00B242C3" w:rsidRPr="003272C7" w:rsidRDefault="00B242C3" w:rsidP="00BD1A21">
            <w:pPr>
              <w:pStyle w:val="TableBullet"/>
              <w:rPr>
                <w:rFonts w:cs="Arial"/>
              </w:rPr>
            </w:pPr>
            <w:r w:rsidRPr="003272C7">
              <w:rPr>
                <w:rFonts w:cs="Arial"/>
              </w:rPr>
              <w:t>GM2030 provid</w:t>
            </w:r>
            <w:r w:rsidR="00294391" w:rsidRPr="003272C7">
              <w:rPr>
                <w:rFonts w:cs="Arial"/>
              </w:rPr>
              <w:t>es</w:t>
            </w:r>
            <w:r w:rsidRPr="003272C7">
              <w:rPr>
                <w:rFonts w:cs="Arial"/>
              </w:rPr>
              <w:t xml:space="preserve"> a clear statement of 13 priorities for the next </w:t>
            </w:r>
            <w:r w:rsidR="00294391" w:rsidRPr="003272C7">
              <w:rPr>
                <w:rFonts w:cs="Arial"/>
              </w:rPr>
              <w:t xml:space="preserve">6 </w:t>
            </w:r>
            <w:r w:rsidRPr="003272C7">
              <w:rPr>
                <w:rFonts w:cs="Arial"/>
              </w:rPr>
              <w:t>years</w:t>
            </w:r>
            <w:r w:rsidR="00AE3E39" w:rsidRPr="003272C7">
              <w:rPr>
                <w:rFonts w:cs="Arial"/>
              </w:rPr>
              <w:t>. This statement expresses</w:t>
            </w:r>
            <w:r w:rsidRPr="003272C7">
              <w:rPr>
                <w:rFonts w:cs="Arial"/>
              </w:rPr>
              <w:t xml:space="preserve"> the water sector’s commitment to strong groundwater management</w:t>
            </w:r>
            <w:r w:rsidR="00AE3E39" w:rsidRPr="003272C7">
              <w:rPr>
                <w:rFonts w:cs="Arial"/>
              </w:rPr>
              <w:t>, which</w:t>
            </w:r>
            <w:r w:rsidRPr="003272C7">
              <w:rPr>
                <w:rFonts w:cs="Arial"/>
              </w:rPr>
              <w:t xml:space="preserve"> can adjust to meet opportunities and challenges into the future. The release of GM2030 </w:t>
            </w:r>
            <w:r w:rsidR="00AE3E39" w:rsidRPr="003272C7">
              <w:rPr>
                <w:rFonts w:cs="Arial"/>
              </w:rPr>
              <w:t xml:space="preserve">has increased </w:t>
            </w:r>
            <w:r w:rsidRPr="003272C7">
              <w:rPr>
                <w:rFonts w:cs="Arial"/>
              </w:rPr>
              <w:t>confidence in the entitlement framework and water management plans.</w:t>
            </w:r>
          </w:p>
          <w:p w14:paraId="1BE26CC2" w14:textId="77777777" w:rsidR="00142559" w:rsidRPr="003272C7" w:rsidRDefault="00B242C3" w:rsidP="00BD1A21">
            <w:pPr>
              <w:pStyle w:val="TableBullet"/>
              <w:rPr>
                <w:rFonts w:cs="Arial"/>
              </w:rPr>
            </w:pPr>
            <w:r w:rsidRPr="003272C7">
              <w:rPr>
                <w:rFonts w:cs="Arial"/>
              </w:rPr>
              <w:t xml:space="preserve">The </w:t>
            </w:r>
            <w:r w:rsidR="006868B7" w:rsidRPr="003272C7">
              <w:rPr>
                <w:rFonts w:cs="Arial"/>
              </w:rPr>
              <w:t xml:space="preserve">GM2030 </w:t>
            </w:r>
            <w:r w:rsidRPr="003272C7">
              <w:rPr>
                <w:rFonts w:cs="Arial"/>
              </w:rPr>
              <w:t xml:space="preserve">implementation phase </w:t>
            </w:r>
            <w:r w:rsidR="006868B7" w:rsidRPr="003272C7">
              <w:rPr>
                <w:rFonts w:cs="Arial"/>
              </w:rPr>
              <w:t>has started under several Priority Areas</w:t>
            </w:r>
            <w:r w:rsidRPr="003272C7">
              <w:rPr>
                <w:rFonts w:cs="Arial"/>
              </w:rPr>
              <w:t xml:space="preserve"> </w:t>
            </w:r>
            <w:r w:rsidR="00116E28" w:rsidRPr="003272C7">
              <w:rPr>
                <w:rFonts w:cs="Arial"/>
              </w:rPr>
              <w:t>to review, streamline and identify any gaps within the</w:t>
            </w:r>
            <w:r w:rsidRPr="003272C7">
              <w:rPr>
                <w:rFonts w:cs="Arial"/>
              </w:rPr>
              <w:t xml:space="preserve"> entitlement </w:t>
            </w:r>
            <w:r w:rsidR="00116E28" w:rsidRPr="003272C7">
              <w:rPr>
                <w:rFonts w:cs="Arial"/>
              </w:rPr>
              <w:t xml:space="preserve">and management </w:t>
            </w:r>
            <w:r w:rsidRPr="003272C7">
              <w:rPr>
                <w:rFonts w:cs="Arial"/>
              </w:rPr>
              <w:t>framework</w:t>
            </w:r>
            <w:r w:rsidR="00116E28" w:rsidRPr="003272C7">
              <w:rPr>
                <w:rFonts w:cs="Arial"/>
              </w:rPr>
              <w:t>, essential tools that underpin decision-making</w:t>
            </w:r>
            <w:r w:rsidRPr="003272C7">
              <w:rPr>
                <w:rFonts w:cs="Arial"/>
              </w:rPr>
              <w:t xml:space="preserve"> for water corporations</w:t>
            </w:r>
            <w:r w:rsidR="007A6E76" w:rsidRPr="003272C7">
              <w:rPr>
                <w:rFonts w:cs="Arial"/>
              </w:rPr>
              <w:t>. This will</w:t>
            </w:r>
            <w:r w:rsidR="0005059C" w:rsidRPr="003272C7">
              <w:rPr>
                <w:rFonts w:cs="Arial"/>
              </w:rPr>
              <w:t xml:space="preserve"> </w:t>
            </w:r>
            <w:r w:rsidR="007A6E76" w:rsidRPr="003272C7">
              <w:rPr>
                <w:rFonts w:cs="Arial"/>
              </w:rPr>
              <w:t>lay the foundation</w:t>
            </w:r>
            <w:r w:rsidR="00321F43" w:rsidRPr="003272C7">
              <w:rPr>
                <w:rFonts w:cs="Arial"/>
              </w:rPr>
              <w:t xml:space="preserve"> for</w:t>
            </w:r>
            <w:r w:rsidRPr="003272C7">
              <w:rPr>
                <w:rFonts w:cs="Arial"/>
              </w:rPr>
              <w:t xml:space="preserve"> new and amended licensing/management policies.</w:t>
            </w:r>
          </w:p>
          <w:p w14:paraId="236FD7A3" w14:textId="77777777" w:rsidR="00142559" w:rsidRPr="003272C7" w:rsidRDefault="00321F43" w:rsidP="00BD1A21">
            <w:pPr>
              <w:pStyle w:val="TableBullet"/>
              <w:rPr>
                <w:rFonts w:cs="Arial"/>
              </w:rPr>
            </w:pPr>
            <w:r w:rsidRPr="003272C7">
              <w:rPr>
                <w:rFonts w:cs="Arial"/>
              </w:rPr>
              <w:t xml:space="preserve">Finished </w:t>
            </w:r>
            <w:r w:rsidR="00B242C3" w:rsidRPr="003272C7">
              <w:rPr>
                <w:rFonts w:cs="Arial"/>
              </w:rPr>
              <w:t xml:space="preserve">the </w:t>
            </w:r>
            <w:r w:rsidRPr="003272C7">
              <w:rPr>
                <w:rFonts w:cs="Arial"/>
              </w:rPr>
              <w:t xml:space="preserve">stocktake </w:t>
            </w:r>
            <w:r w:rsidR="00B242C3" w:rsidRPr="003272C7">
              <w:rPr>
                <w:rFonts w:cs="Arial"/>
              </w:rPr>
              <w:t xml:space="preserve">of </w:t>
            </w:r>
            <w:r w:rsidRPr="003272C7">
              <w:rPr>
                <w:rFonts w:cs="Arial"/>
              </w:rPr>
              <w:t>the Ministerial Policies for T</w:t>
            </w:r>
            <w:r w:rsidR="00B242C3" w:rsidRPr="003272C7">
              <w:rPr>
                <w:rFonts w:cs="Arial"/>
              </w:rPr>
              <w:t xml:space="preserve">ake and </w:t>
            </w:r>
            <w:r w:rsidR="001D20EA" w:rsidRPr="003272C7">
              <w:rPr>
                <w:rFonts w:cs="Arial"/>
              </w:rPr>
              <w:t xml:space="preserve">Use </w:t>
            </w:r>
            <w:r w:rsidR="0005059C" w:rsidRPr="003272C7">
              <w:rPr>
                <w:rFonts w:cs="Arial"/>
              </w:rPr>
              <w:t>L</w:t>
            </w:r>
            <w:r w:rsidR="001D20EA" w:rsidRPr="003272C7">
              <w:rPr>
                <w:rFonts w:cs="Arial"/>
              </w:rPr>
              <w:t>icenses</w:t>
            </w:r>
            <w:r w:rsidR="0078162F" w:rsidRPr="003272C7">
              <w:rPr>
                <w:rFonts w:cs="Arial"/>
              </w:rPr>
              <w:t xml:space="preserve"> </w:t>
            </w:r>
            <w:r w:rsidR="0078162F" w:rsidRPr="00623380">
              <w:rPr>
                <w:rFonts w:cs="Arial"/>
              </w:rPr>
              <w:t>and proposed new licensing instruments, including Licensing Guidelines, Regulations and Trade Rules, to improve clarity in the framework and to ensure flexibility and consistency in decision-making in providing access to Victoria</w:t>
            </w:r>
            <w:r w:rsidR="0005059C" w:rsidRPr="003272C7">
              <w:rPr>
                <w:rFonts w:cs="Arial"/>
              </w:rPr>
              <w:t>’</w:t>
            </w:r>
            <w:r w:rsidR="0078162F" w:rsidRPr="00623380">
              <w:rPr>
                <w:rFonts w:cs="Arial"/>
              </w:rPr>
              <w:t xml:space="preserve">s groundwater and unregulated surface water. The new instruments are currently being developed. </w:t>
            </w:r>
            <w:r w:rsidR="00B32AFB" w:rsidRPr="00623380">
              <w:rPr>
                <w:rFonts w:cs="Arial"/>
              </w:rPr>
              <w:t xml:space="preserve">The review, which contributes to delivering on GM2030 (Priority Area 8) </w:t>
            </w:r>
            <w:r w:rsidR="00B32AFB" w:rsidRPr="00623380">
              <w:rPr>
                <w:rFonts w:cs="Arial"/>
              </w:rPr>
              <w:lastRenderedPageBreak/>
              <w:t>objectives, is fundamental to ensuring the licensing framework remains contemporary and responsive to existing and emerging risks while also meeting the needs of existing and future uses.</w:t>
            </w:r>
          </w:p>
          <w:p w14:paraId="3452CA6D" w14:textId="77777777" w:rsidR="00142559" w:rsidRPr="003272C7" w:rsidRDefault="00B242C3" w:rsidP="00BD1A21">
            <w:pPr>
              <w:pStyle w:val="TableBullet"/>
              <w:rPr>
                <w:rFonts w:cs="Arial"/>
              </w:rPr>
            </w:pPr>
            <w:r w:rsidRPr="003272C7">
              <w:rPr>
                <w:rFonts w:cs="Arial"/>
              </w:rPr>
              <w:t>Increased involvement and participation of Traditional Owners:</w:t>
            </w:r>
          </w:p>
          <w:p w14:paraId="2B702980" w14:textId="751B532D" w:rsidR="00B242C3" w:rsidRPr="003272C7" w:rsidRDefault="0085438B" w:rsidP="00BD1A21">
            <w:pPr>
              <w:pStyle w:val="TableTextBullet2"/>
              <w:rPr>
                <w:rFonts w:cs="Arial"/>
              </w:rPr>
            </w:pPr>
            <w:r w:rsidRPr="003272C7">
              <w:rPr>
                <w:rFonts w:cs="Arial"/>
              </w:rPr>
              <w:t>Invited</w:t>
            </w:r>
            <w:r w:rsidR="00B242C3" w:rsidRPr="003272C7">
              <w:rPr>
                <w:rFonts w:cs="Arial"/>
              </w:rPr>
              <w:t xml:space="preserve"> Traditional Owners </w:t>
            </w:r>
            <w:r w:rsidRPr="003272C7">
              <w:rPr>
                <w:rFonts w:cs="Arial"/>
              </w:rPr>
              <w:t xml:space="preserve">to participate </w:t>
            </w:r>
            <w:r w:rsidR="00B242C3" w:rsidRPr="003272C7">
              <w:rPr>
                <w:rFonts w:cs="Arial"/>
              </w:rPr>
              <w:t>in GM2030 and groundwater management</w:t>
            </w:r>
            <w:r w:rsidR="00F12710" w:rsidRPr="003272C7">
              <w:rPr>
                <w:rFonts w:cs="Arial"/>
              </w:rPr>
              <w:t xml:space="preserve"> (GM2030 Priority Area 4).</w:t>
            </w:r>
          </w:p>
          <w:p w14:paraId="06593671" w14:textId="77777777" w:rsidR="00142559" w:rsidRPr="003272C7" w:rsidRDefault="00F12710" w:rsidP="00BD1A21">
            <w:pPr>
              <w:pStyle w:val="TableTextBullet2"/>
              <w:rPr>
                <w:rFonts w:cs="Arial"/>
              </w:rPr>
            </w:pPr>
            <w:r w:rsidRPr="003272C7">
              <w:rPr>
                <w:rFonts w:cs="Arial"/>
              </w:rPr>
              <w:t xml:space="preserve">Supported </w:t>
            </w:r>
            <w:r w:rsidR="00B242C3" w:rsidRPr="003272C7">
              <w:rPr>
                <w:rFonts w:cs="Arial"/>
              </w:rPr>
              <w:t>commitments made in Water is Life and the CG</w:t>
            </w:r>
            <w:r w:rsidR="0005059C" w:rsidRPr="003272C7">
              <w:rPr>
                <w:rFonts w:cs="Arial"/>
              </w:rPr>
              <w:t>R</w:t>
            </w:r>
            <w:r w:rsidR="00B242C3" w:rsidRPr="003272C7">
              <w:rPr>
                <w:rFonts w:cs="Arial"/>
              </w:rPr>
              <w:t xml:space="preserve">SWS </w:t>
            </w:r>
            <w:r w:rsidR="0050657B" w:rsidRPr="00623380">
              <w:rPr>
                <w:rFonts w:cs="Arial"/>
              </w:rPr>
              <w:t>by identifying ways to reduce obstacles for Traditional Owners applying for section 51 licences. This was achieved through collaborative work with Parks Victoria and the DEECA Bulk Entitlements team, to establish an authorisation process allowing Traditional Owner Groups to nominate crown land parcels for a s</w:t>
            </w:r>
            <w:r w:rsidR="0005059C" w:rsidRPr="003272C7">
              <w:rPr>
                <w:rFonts w:cs="Arial"/>
              </w:rPr>
              <w:t xml:space="preserve">ection </w:t>
            </w:r>
            <w:r w:rsidR="0050657B" w:rsidRPr="00623380">
              <w:rPr>
                <w:rFonts w:cs="Arial"/>
              </w:rPr>
              <w:t>51 licence application, where the Traditional Owner group does not own or occupy land.</w:t>
            </w:r>
          </w:p>
          <w:p w14:paraId="0093D44A" w14:textId="77777777" w:rsidR="00142559" w:rsidRPr="003272C7" w:rsidRDefault="00072602" w:rsidP="00BD1A21">
            <w:pPr>
              <w:pStyle w:val="TableBullet"/>
              <w:rPr>
                <w:rFonts w:cs="Arial"/>
              </w:rPr>
            </w:pPr>
            <w:r w:rsidRPr="00623380">
              <w:rPr>
                <w:rFonts w:cs="Arial"/>
              </w:rPr>
              <w:t xml:space="preserve">Supported commitments made in Water is Life and CGRSWS by assisting water corporations to support Traditional Owners with the licence application process in </w:t>
            </w:r>
            <w:r w:rsidR="0005059C" w:rsidRPr="003272C7">
              <w:rPr>
                <w:rFonts w:cs="Arial"/>
              </w:rPr>
              <w:t>a</w:t>
            </w:r>
            <w:r w:rsidRPr="00623380">
              <w:rPr>
                <w:rFonts w:cs="Arial"/>
              </w:rPr>
              <w:t xml:space="preserve"> </w:t>
            </w:r>
            <w:r w:rsidR="0005059C" w:rsidRPr="003272C7">
              <w:rPr>
                <w:rFonts w:cs="Arial"/>
              </w:rPr>
              <w:t xml:space="preserve">way </w:t>
            </w:r>
            <w:r w:rsidRPr="00623380">
              <w:rPr>
                <w:rFonts w:cs="Arial"/>
              </w:rPr>
              <w:t>that is culturally sensitive.</w:t>
            </w:r>
          </w:p>
          <w:p w14:paraId="08F4D84A" w14:textId="6BFDBEF6" w:rsidR="00B242C3" w:rsidRPr="00623380" w:rsidRDefault="00072602" w:rsidP="00BD1A21">
            <w:pPr>
              <w:pStyle w:val="TableBullet"/>
              <w:rPr>
                <w:rFonts w:cs="Arial"/>
                <w:sz w:val="19"/>
                <w:szCs w:val="19"/>
              </w:rPr>
            </w:pPr>
            <w:r w:rsidRPr="00623380">
              <w:rPr>
                <w:rFonts w:cs="Arial"/>
              </w:rPr>
              <w:t xml:space="preserve">Commenced talking to Traditional Owner groups about the licensing review, as well as mapping out how and when Traditional Owners can be involved in the review of licensing instruments and </w:t>
            </w:r>
            <w:r w:rsidR="0005059C" w:rsidRPr="003272C7">
              <w:rPr>
                <w:rFonts w:cs="Arial"/>
              </w:rPr>
              <w:t>longer-term</w:t>
            </w:r>
            <w:r w:rsidRPr="00623380">
              <w:rPr>
                <w:rFonts w:cs="Arial"/>
              </w:rPr>
              <w:t xml:space="preserve"> reform work for delivery of Priority Area 8.</w:t>
            </w:r>
          </w:p>
        </w:tc>
      </w:tr>
      <w:tr w:rsidR="00B242C3" w:rsidRPr="003272C7" w14:paraId="339BAD1D" w14:textId="77777777" w:rsidTr="005D7E06">
        <w:trPr>
          <w:trHeight w:val="259"/>
        </w:trPr>
        <w:tc>
          <w:tcPr>
            <w:tcW w:w="979" w:type="pct"/>
            <w:shd w:val="clear" w:color="auto" w:fill="231EDC" w:themeFill="accent1"/>
          </w:tcPr>
          <w:p w14:paraId="6CFAE5E7"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7052CD52" w14:textId="29499102" w:rsidR="00B242C3" w:rsidRPr="003272C7" w:rsidRDefault="00B242C3" w:rsidP="00BD1A21">
            <w:pPr>
              <w:pStyle w:val="TableText"/>
              <w:rPr>
                <w:rFonts w:cs="Arial"/>
              </w:rPr>
            </w:pPr>
            <w:r w:rsidRPr="003272C7">
              <w:rPr>
                <w:rFonts w:cs="Arial"/>
              </w:rPr>
              <w:t xml:space="preserve">Significant resourcing </w:t>
            </w:r>
            <w:r w:rsidR="00072602" w:rsidRPr="003272C7">
              <w:rPr>
                <w:rFonts w:cs="Arial"/>
              </w:rPr>
              <w:t>was</w:t>
            </w:r>
            <w:r w:rsidRPr="003272C7">
              <w:rPr>
                <w:rFonts w:cs="Arial"/>
              </w:rPr>
              <w:t xml:space="preserve"> dedicated to collaboration, engagement and partnerships, particularly with water</w:t>
            </w:r>
            <w:r w:rsidR="0005059C" w:rsidRPr="003272C7">
              <w:rPr>
                <w:rFonts w:cs="Arial"/>
              </w:rPr>
              <w:t xml:space="preserve"> </w:t>
            </w:r>
            <w:r w:rsidRPr="003272C7">
              <w:rPr>
                <w:rFonts w:cs="Arial"/>
              </w:rPr>
              <w:t xml:space="preserve">corporations, community and Traditional Owner groups. </w:t>
            </w:r>
            <w:r w:rsidR="0005059C" w:rsidRPr="003272C7">
              <w:rPr>
                <w:rFonts w:cs="Arial"/>
              </w:rPr>
              <w:t xml:space="preserve">DEECA </w:t>
            </w:r>
            <w:r w:rsidR="006D3DFD" w:rsidRPr="00623380">
              <w:rPr>
                <w:rFonts w:cs="Arial"/>
              </w:rPr>
              <w:t>initiated a regular statewide communications forum with rural water corporations and continue</w:t>
            </w:r>
            <w:r w:rsidR="0005059C" w:rsidRPr="003272C7">
              <w:rPr>
                <w:rFonts w:cs="Arial"/>
              </w:rPr>
              <w:t>s</w:t>
            </w:r>
            <w:r w:rsidR="006D3DFD" w:rsidRPr="00623380">
              <w:rPr>
                <w:rFonts w:cs="Arial"/>
              </w:rPr>
              <w:t xml:space="preserve"> to consult with partners and stakeholders across Victoria to raise awareness for projects. </w:t>
            </w:r>
            <w:r w:rsidRPr="003272C7">
              <w:rPr>
                <w:rFonts w:cs="Arial"/>
              </w:rPr>
              <w:t>This engagement significantly improves outcomes by supporting a greater understanding of the needs and expectations of key stakeholders and gaining support for effective change</w:t>
            </w:r>
            <w:r w:rsidR="00501E2E" w:rsidRPr="003272C7">
              <w:rPr>
                <w:rFonts w:cs="Arial"/>
              </w:rPr>
              <w:t>.</w:t>
            </w:r>
          </w:p>
        </w:tc>
      </w:tr>
      <w:tr w:rsidR="00B242C3" w:rsidRPr="003272C7" w14:paraId="53236965" w14:textId="77777777" w:rsidTr="005D7E06">
        <w:trPr>
          <w:trHeight w:val="259"/>
        </w:trPr>
        <w:tc>
          <w:tcPr>
            <w:tcW w:w="979" w:type="pct"/>
            <w:shd w:val="clear" w:color="auto" w:fill="231EDC" w:themeFill="accent1"/>
          </w:tcPr>
          <w:p w14:paraId="764D01C8"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034A441B" w14:textId="46A49B42" w:rsidR="00B242C3" w:rsidRPr="003272C7" w:rsidRDefault="00B242C3" w:rsidP="00BD1A21">
            <w:pPr>
              <w:pStyle w:val="TableText"/>
              <w:rPr>
                <w:rFonts w:cs="Arial"/>
              </w:rPr>
            </w:pPr>
            <w:r w:rsidRPr="003272C7">
              <w:rPr>
                <w:rFonts w:cs="Arial"/>
              </w:rPr>
              <w:t xml:space="preserve">Delivery of this </w:t>
            </w:r>
            <w:r w:rsidR="00445736" w:rsidRPr="003272C7">
              <w:rPr>
                <w:rFonts w:cs="Arial"/>
              </w:rPr>
              <w:t>project</w:t>
            </w:r>
            <w:r w:rsidRPr="003272C7">
              <w:rPr>
                <w:rFonts w:cs="Arial"/>
              </w:rPr>
              <w:t xml:space="preserve"> support</w:t>
            </w:r>
            <w:r w:rsidR="00501E2E" w:rsidRPr="003272C7">
              <w:rPr>
                <w:rFonts w:cs="Arial"/>
              </w:rPr>
              <w:t>ed</w:t>
            </w:r>
            <w:r w:rsidRPr="003272C7">
              <w:rPr>
                <w:rFonts w:cs="Arial"/>
              </w:rPr>
              <w:t xml:space="preserve"> continuous maintenance and improvement of the groundwater and unregulated surface water management and licensing framework to support a prosperous economy, thriving communities and Traditional Owner cultural values while minimising the risk to third parties and the environment. This </w:t>
            </w:r>
            <w:r w:rsidR="00445736" w:rsidRPr="003272C7">
              <w:rPr>
                <w:rFonts w:cs="Arial"/>
              </w:rPr>
              <w:t>project</w:t>
            </w:r>
            <w:r w:rsidRPr="003272C7">
              <w:rPr>
                <w:rFonts w:cs="Arial"/>
              </w:rPr>
              <w:t xml:space="preserve"> support</w:t>
            </w:r>
            <w:r w:rsidR="00501E2E" w:rsidRPr="003272C7">
              <w:rPr>
                <w:rFonts w:cs="Arial"/>
              </w:rPr>
              <w:t>ed</w:t>
            </w:r>
            <w:r w:rsidRPr="003272C7">
              <w:rPr>
                <w:rFonts w:cs="Arial"/>
              </w:rPr>
              <w:t xml:space="preserve"> thousands of water licences held by Victorians that enable access to water and manage the risks associated with the take of that water. It also support</w:t>
            </w:r>
            <w:r w:rsidR="00501E2E" w:rsidRPr="003272C7">
              <w:rPr>
                <w:rFonts w:cs="Arial"/>
              </w:rPr>
              <w:t>ed</w:t>
            </w:r>
            <w:r w:rsidRPr="003272C7">
              <w:rPr>
                <w:rFonts w:cs="Arial"/>
              </w:rPr>
              <w:t xml:space="preserve"> the localised water management planning tools addressing cumulative risk to our precious water resources and systems. This work contribute</w:t>
            </w:r>
            <w:r w:rsidR="00501E2E" w:rsidRPr="003272C7">
              <w:rPr>
                <w:rFonts w:cs="Arial"/>
              </w:rPr>
              <w:t>d</w:t>
            </w:r>
            <w:r w:rsidRPr="003272C7">
              <w:rPr>
                <w:rFonts w:cs="Arial"/>
              </w:rPr>
              <w:t xml:space="preserve"> to the delivery of a number of Water for Victoria, Water is Life and </w:t>
            </w:r>
            <w:r w:rsidR="0005059C" w:rsidRPr="003272C7">
              <w:rPr>
                <w:rFonts w:cs="Arial"/>
              </w:rPr>
              <w:t>CGRSWS</w:t>
            </w:r>
            <w:r w:rsidRPr="003272C7">
              <w:rPr>
                <w:rFonts w:cs="Arial"/>
              </w:rPr>
              <w:t xml:space="preserve"> actions and key government priorities including Traditional Owner access to water, energy sector reforms and response to urban growth and changing land use. </w:t>
            </w:r>
          </w:p>
        </w:tc>
      </w:tr>
      <w:tr w:rsidR="00B242C3" w:rsidRPr="003272C7" w14:paraId="6933A18E" w14:textId="77777777" w:rsidTr="005D7E06">
        <w:trPr>
          <w:trHeight w:val="259"/>
        </w:trPr>
        <w:tc>
          <w:tcPr>
            <w:tcW w:w="979" w:type="pct"/>
            <w:shd w:val="clear" w:color="auto" w:fill="231EDC" w:themeFill="accent1"/>
          </w:tcPr>
          <w:p w14:paraId="108F1A45"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5CEF73A0" w14:textId="064CD3DF" w:rsidR="00B242C3" w:rsidRPr="003272C7" w:rsidRDefault="00B242C3" w:rsidP="00BD1A21">
            <w:pPr>
              <w:pStyle w:val="TableText"/>
              <w:rPr>
                <w:rFonts w:cs="Arial"/>
              </w:rPr>
            </w:pPr>
            <w:r w:rsidRPr="003272C7">
              <w:rPr>
                <w:rFonts w:cs="Arial"/>
              </w:rPr>
              <w:t xml:space="preserve">Budget has been fully expended in line with the planned budget. Resourcing and capability building is essential to this </w:t>
            </w:r>
            <w:r w:rsidR="00445736" w:rsidRPr="003272C7">
              <w:rPr>
                <w:rFonts w:cs="Arial"/>
              </w:rPr>
              <w:t>project</w:t>
            </w:r>
            <w:r w:rsidRPr="003272C7">
              <w:rPr>
                <w:rFonts w:cs="Arial"/>
              </w:rPr>
              <w:t xml:space="preserve"> both through the funding period and into the future. </w:t>
            </w:r>
            <w:r w:rsidR="0005059C" w:rsidRPr="003272C7">
              <w:rPr>
                <w:rFonts w:cs="Arial"/>
              </w:rPr>
              <w:t>DEECA</w:t>
            </w:r>
            <w:r w:rsidRPr="003272C7">
              <w:rPr>
                <w:rFonts w:cs="Arial"/>
              </w:rPr>
              <w:t xml:space="preserve"> is fully resourced and the budget over this period has been used to support building capability within a new team to deliver improved outcomes. </w:t>
            </w:r>
          </w:p>
        </w:tc>
      </w:tr>
      <w:tr w:rsidR="00B242C3" w:rsidRPr="003272C7" w14:paraId="0887382A" w14:textId="77777777" w:rsidTr="005D7E06">
        <w:trPr>
          <w:trHeight w:val="259"/>
        </w:trPr>
        <w:tc>
          <w:tcPr>
            <w:tcW w:w="979" w:type="pct"/>
            <w:shd w:val="clear" w:color="auto" w:fill="231EDC" w:themeFill="accent1"/>
          </w:tcPr>
          <w:p w14:paraId="7CC9BC05"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623EFA2F" w14:textId="77777777" w:rsidR="00B242C3" w:rsidRPr="003272C7" w:rsidRDefault="00B242C3" w:rsidP="00BD1A21">
            <w:pPr>
              <w:pStyle w:val="TableText"/>
              <w:rPr>
                <w:rFonts w:cs="Arial"/>
              </w:rPr>
            </w:pPr>
            <w:r w:rsidRPr="003272C7">
              <w:rPr>
                <w:rFonts w:cs="Arial"/>
              </w:rPr>
              <w:t>A number of process, capability and governance outcomes to support sustained benefits have been achieved:</w:t>
            </w:r>
          </w:p>
          <w:p w14:paraId="41B95409" w14:textId="77777777" w:rsidR="00142559" w:rsidRPr="003272C7" w:rsidRDefault="00B242C3" w:rsidP="00BD1A21">
            <w:pPr>
              <w:pStyle w:val="TableBullet"/>
              <w:rPr>
                <w:rFonts w:cs="Arial"/>
              </w:rPr>
            </w:pPr>
            <w:r w:rsidRPr="003272C7">
              <w:rPr>
                <w:rFonts w:cs="Arial"/>
              </w:rPr>
              <w:t>Activities have supported capability</w:t>
            </w:r>
            <w:r w:rsidR="0080763C" w:rsidRPr="003272C7">
              <w:rPr>
                <w:rFonts w:cs="Arial"/>
              </w:rPr>
              <w:t xml:space="preserve"> building</w:t>
            </w:r>
            <w:r w:rsidRPr="003272C7">
              <w:rPr>
                <w:rFonts w:cs="Arial"/>
              </w:rPr>
              <w:t xml:space="preserve">, understanding and development of processes </w:t>
            </w:r>
            <w:r w:rsidR="0080763C" w:rsidRPr="003272C7">
              <w:rPr>
                <w:rFonts w:cs="Arial"/>
              </w:rPr>
              <w:t>for</w:t>
            </w:r>
            <w:r w:rsidRPr="003272C7">
              <w:rPr>
                <w:rFonts w:cs="Arial"/>
              </w:rPr>
              <w:t xml:space="preserve"> Traditional Owner water </w:t>
            </w:r>
            <w:r w:rsidR="00A76835" w:rsidRPr="003272C7">
              <w:rPr>
                <w:rFonts w:cs="Arial"/>
              </w:rPr>
              <w:t>access. This includes the identification of suitable land parcels.</w:t>
            </w:r>
          </w:p>
          <w:p w14:paraId="04FB7DF8" w14:textId="77777777" w:rsidR="00142559" w:rsidRPr="003272C7" w:rsidRDefault="00B242C3" w:rsidP="00BD1A21">
            <w:pPr>
              <w:pStyle w:val="TableBullet"/>
              <w:rPr>
                <w:rFonts w:cs="Arial"/>
              </w:rPr>
            </w:pPr>
            <w:r w:rsidRPr="003272C7">
              <w:rPr>
                <w:rFonts w:cs="Arial"/>
              </w:rPr>
              <w:t xml:space="preserve">Capability of both </w:t>
            </w:r>
            <w:r w:rsidR="0005059C" w:rsidRPr="003272C7">
              <w:rPr>
                <w:rFonts w:cs="Arial"/>
              </w:rPr>
              <w:t xml:space="preserve">DEECA </w:t>
            </w:r>
            <w:r w:rsidRPr="003272C7">
              <w:rPr>
                <w:rFonts w:cs="Arial"/>
              </w:rPr>
              <w:t>and water corporation staff for complex licensing issues has been improved through working closely with licensing authorities and stakeholder</w:t>
            </w:r>
            <w:r w:rsidR="0037794B" w:rsidRPr="003272C7">
              <w:rPr>
                <w:rFonts w:cs="Arial"/>
              </w:rPr>
              <w:t>s.</w:t>
            </w:r>
          </w:p>
          <w:p w14:paraId="5387459A" w14:textId="550391C1" w:rsidR="00A8531D" w:rsidRPr="003272C7" w:rsidRDefault="00A8531D" w:rsidP="00BD1A21">
            <w:pPr>
              <w:pStyle w:val="TableBullet"/>
              <w:rPr>
                <w:rFonts w:cs="Arial"/>
              </w:rPr>
            </w:pPr>
            <w:r w:rsidRPr="003272C7">
              <w:rPr>
                <w:rFonts w:cs="Arial"/>
              </w:rPr>
              <w:t>C</w:t>
            </w:r>
            <w:r w:rsidR="00B242C3" w:rsidRPr="003272C7">
              <w:rPr>
                <w:rFonts w:cs="Arial"/>
              </w:rPr>
              <w:t xml:space="preserve">onfidence in the </w:t>
            </w:r>
            <w:r w:rsidRPr="003272C7">
              <w:rPr>
                <w:rFonts w:cs="Arial"/>
              </w:rPr>
              <w:t>licensing</w:t>
            </w:r>
            <w:r w:rsidR="00B242C3" w:rsidRPr="003272C7">
              <w:rPr>
                <w:rFonts w:cs="Arial"/>
              </w:rPr>
              <w:t xml:space="preserve"> framework has been improved through oversight for clear and consistent licensing decisions</w:t>
            </w:r>
            <w:r w:rsidRPr="003272C7">
              <w:rPr>
                <w:rFonts w:cs="Arial"/>
              </w:rPr>
              <w:t>.</w:t>
            </w:r>
          </w:p>
          <w:p w14:paraId="043F3956" w14:textId="612E8D4C" w:rsidR="00B242C3" w:rsidRPr="00623380" w:rsidRDefault="00847839" w:rsidP="00BD1A21">
            <w:pPr>
              <w:pStyle w:val="TableBullet"/>
              <w:rPr>
                <w:rFonts w:cs="Arial"/>
                <w:sz w:val="19"/>
                <w:szCs w:val="19"/>
              </w:rPr>
            </w:pPr>
            <w:r w:rsidRPr="00623380">
              <w:rPr>
                <w:rFonts w:cs="Arial"/>
              </w:rPr>
              <w:t xml:space="preserve">Progress on our four-year foundational technical work for </w:t>
            </w:r>
            <w:r w:rsidR="0005059C" w:rsidRPr="003272C7">
              <w:rPr>
                <w:rFonts w:cs="Arial"/>
              </w:rPr>
              <w:t>GM</w:t>
            </w:r>
            <w:r w:rsidRPr="00623380">
              <w:rPr>
                <w:rFonts w:cs="Arial"/>
              </w:rPr>
              <w:t>2030, including research, and data collection, to further understanding of the resource and improve best available science to info policy proposals.</w:t>
            </w:r>
          </w:p>
        </w:tc>
      </w:tr>
      <w:tr w:rsidR="00B242C3" w:rsidRPr="003272C7" w14:paraId="374659E9" w14:textId="77777777" w:rsidTr="005D7E06">
        <w:trPr>
          <w:trHeight w:val="259"/>
        </w:trPr>
        <w:tc>
          <w:tcPr>
            <w:tcW w:w="979" w:type="pct"/>
            <w:shd w:val="clear" w:color="auto" w:fill="231EDC" w:themeFill="accent1"/>
          </w:tcPr>
          <w:p w14:paraId="46826545" w14:textId="77777777" w:rsidR="00B242C3" w:rsidRPr="003272C7" w:rsidRDefault="00B242C3" w:rsidP="00C06DED">
            <w:pPr>
              <w:pStyle w:val="TableText"/>
              <w:rPr>
                <w:rFonts w:cs="Arial"/>
                <w:b/>
                <w:bCs/>
                <w:szCs w:val="18"/>
              </w:rPr>
            </w:pPr>
            <w:r w:rsidRPr="003272C7">
              <w:rPr>
                <w:rFonts w:cs="Arial"/>
                <w:b/>
                <w:bCs/>
                <w:szCs w:val="18"/>
              </w:rPr>
              <w:lastRenderedPageBreak/>
              <w:t>Future priorities</w:t>
            </w:r>
          </w:p>
        </w:tc>
        <w:tc>
          <w:tcPr>
            <w:tcW w:w="4021" w:type="pct"/>
          </w:tcPr>
          <w:p w14:paraId="63B8FF24" w14:textId="77777777" w:rsidR="00142559" w:rsidRPr="003272C7" w:rsidRDefault="00B242C3" w:rsidP="00BD1A21">
            <w:pPr>
              <w:pStyle w:val="TableText"/>
              <w:rPr>
                <w:rFonts w:cs="Arial"/>
              </w:rPr>
            </w:pPr>
            <w:r w:rsidRPr="003272C7">
              <w:rPr>
                <w:rFonts w:cs="Arial"/>
              </w:rPr>
              <w:t>Ongoing maintenance and oversight of the unregulated and groundwater licensing and management frameworks will continue to be essential into the future</w:t>
            </w:r>
            <w:r w:rsidR="00847839" w:rsidRPr="00623380">
              <w:rPr>
                <w:rFonts w:cs="Arial"/>
              </w:rPr>
              <w:t>, as water scarcity and increased demand are expected to put pressure on the resource</w:t>
            </w:r>
            <w:r w:rsidRPr="003272C7">
              <w:rPr>
                <w:rFonts w:cs="Arial"/>
              </w:rPr>
              <w:t>. Improvements to the framework will be driven by:</w:t>
            </w:r>
          </w:p>
          <w:p w14:paraId="5FD3B145" w14:textId="74D3282B" w:rsidR="00B242C3" w:rsidRPr="003272C7" w:rsidRDefault="00B242C3" w:rsidP="002261B7">
            <w:pPr>
              <w:pStyle w:val="TableBullet"/>
              <w:rPr>
                <w:rFonts w:cs="Arial"/>
              </w:rPr>
            </w:pPr>
            <w:r w:rsidRPr="003272C7">
              <w:rPr>
                <w:rFonts w:cs="Arial"/>
              </w:rPr>
              <w:t xml:space="preserve">Traditional Owner </w:t>
            </w:r>
            <w:r w:rsidR="0005059C" w:rsidRPr="003272C7">
              <w:rPr>
                <w:rFonts w:cs="Arial"/>
              </w:rPr>
              <w:t>self-determination.</w:t>
            </w:r>
          </w:p>
          <w:p w14:paraId="5744949C" w14:textId="7FDBEDD9" w:rsidR="00B242C3" w:rsidRPr="003272C7" w:rsidRDefault="0005059C" w:rsidP="002261B7">
            <w:pPr>
              <w:pStyle w:val="TableBullet"/>
              <w:rPr>
                <w:rFonts w:cs="Arial"/>
              </w:rPr>
            </w:pPr>
            <w:r w:rsidRPr="003272C7">
              <w:rPr>
                <w:rFonts w:cs="Arial"/>
              </w:rPr>
              <w:t>E</w:t>
            </w:r>
            <w:r w:rsidR="00B242C3" w:rsidRPr="003272C7">
              <w:rPr>
                <w:rFonts w:cs="Arial"/>
              </w:rPr>
              <w:t>nergy sector reforms</w:t>
            </w:r>
            <w:r w:rsidRPr="003272C7">
              <w:rPr>
                <w:rFonts w:cs="Arial"/>
              </w:rPr>
              <w:t>.</w:t>
            </w:r>
          </w:p>
          <w:p w14:paraId="7D05F7C4" w14:textId="226F398B" w:rsidR="00B242C3" w:rsidRPr="003272C7" w:rsidRDefault="0005059C" w:rsidP="002261B7">
            <w:pPr>
              <w:pStyle w:val="TableBullet"/>
              <w:rPr>
                <w:rFonts w:cs="Arial"/>
              </w:rPr>
            </w:pPr>
            <w:r w:rsidRPr="003272C7">
              <w:rPr>
                <w:rFonts w:cs="Arial"/>
              </w:rPr>
              <w:t>R</w:t>
            </w:r>
            <w:r w:rsidR="00B242C3" w:rsidRPr="003272C7">
              <w:rPr>
                <w:rFonts w:cs="Arial"/>
              </w:rPr>
              <w:t>esponding to urban growth and changing land use</w:t>
            </w:r>
            <w:r w:rsidRPr="003272C7">
              <w:rPr>
                <w:rFonts w:cs="Arial"/>
              </w:rPr>
              <w:t>.</w:t>
            </w:r>
          </w:p>
          <w:p w14:paraId="68FF04E6" w14:textId="595FEFBB" w:rsidR="00B242C3" w:rsidRPr="003272C7" w:rsidRDefault="0005059C" w:rsidP="002261B7">
            <w:pPr>
              <w:pStyle w:val="TableBullet"/>
              <w:rPr>
                <w:rFonts w:cs="Arial"/>
              </w:rPr>
            </w:pPr>
            <w:r w:rsidRPr="003272C7">
              <w:rPr>
                <w:rFonts w:cs="Arial"/>
              </w:rPr>
              <w:t>F</w:t>
            </w:r>
            <w:r w:rsidR="00B242C3" w:rsidRPr="003272C7">
              <w:rPr>
                <w:rFonts w:cs="Arial"/>
              </w:rPr>
              <w:t>uture proofing groundwater resources</w:t>
            </w:r>
            <w:r w:rsidRPr="003272C7">
              <w:rPr>
                <w:rFonts w:cs="Arial"/>
              </w:rPr>
              <w:t>.</w:t>
            </w:r>
          </w:p>
          <w:p w14:paraId="1A6BDE92" w14:textId="665F1021" w:rsidR="00B242C3" w:rsidRPr="00623380" w:rsidRDefault="0005059C" w:rsidP="002261B7">
            <w:pPr>
              <w:pStyle w:val="TableBullet"/>
              <w:rPr>
                <w:rFonts w:cs="Arial"/>
                <w:sz w:val="19"/>
                <w:szCs w:val="19"/>
                <w:lang w:eastAsia="en-AU"/>
              </w:rPr>
            </w:pPr>
            <w:r w:rsidRPr="003272C7">
              <w:rPr>
                <w:rFonts w:cs="Arial"/>
              </w:rPr>
              <w:t>R</w:t>
            </w:r>
            <w:r w:rsidR="00B242C3" w:rsidRPr="003272C7">
              <w:rPr>
                <w:rFonts w:cs="Arial"/>
              </w:rPr>
              <w:t>egulatory oversight and assurance.</w:t>
            </w:r>
          </w:p>
        </w:tc>
      </w:tr>
    </w:tbl>
    <w:p w14:paraId="4EE742B4" w14:textId="77777777" w:rsidR="00B242C3" w:rsidRPr="003272C7" w:rsidRDefault="00B242C3" w:rsidP="00B242C3">
      <w:pPr>
        <w:pStyle w:val="Heading2"/>
        <w:rPr>
          <w:rFonts w:cs="Arial"/>
        </w:rPr>
      </w:pPr>
      <w:bookmarkStart w:id="27" w:name="_Toc147410780"/>
      <w:bookmarkStart w:id="28" w:name="_Toc183777788"/>
      <w:r w:rsidRPr="003272C7">
        <w:rPr>
          <w:rFonts w:cs="Arial"/>
        </w:rPr>
        <w:t>WRS7: Water Compliance Reform</w:t>
      </w:r>
      <w:bookmarkEnd w:id="27"/>
      <w:bookmarkEnd w:id="2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65709301" w14:textId="77777777" w:rsidTr="007232C6">
        <w:trPr>
          <w:trHeight w:val="395"/>
        </w:trPr>
        <w:tc>
          <w:tcPr>
            <w:tcW w:w="979" w:type="pct"/>
            <w:shd w:val="clear" w:color="auto" w:fill="231EDC" w:themeFill="accent1"/>
          </w:tcPr>
          <w:p w14:paraId="18F6C524" w14:textId="67A15E48" w:rsidR="00B242C3" w:rsidRPr="003272C7" w:rsidRDefault="00C412A9" w:rsidP="002261B7">
            <w:pPr>
              <w:pStyle w:val="TableHeading"/>
              <w:rPr>
                <w:rFonts w:cs="Arial"/>
              </w:rPr>
            </w:pPr>
            <w:r w:rsidRPr="003272C7">
              <w:rPr>
                <w:rFonts w:cs="Arial"/>
              </w:rPr>
              <w:t>Initiative</w:t>
            </w:r>
          </w:p>
        </w:tc>
        <w:tc>
          <w:tcPr>
            <w:tcW w:w="4021" w:type="pct"/>
            <w:shd w:val="clear" w:color="auto" w:fill="231EDC" w:themeFill="accent1"/>
          </w:tcPr>
          <w:p w14:paraId="4DF5B012" w14:textId="3D37DC65" w:rsidR="00B242C3" w:rsidRPr="003272C7" w:rsidRDefault="00B242C3" w:rsidP="002261B7">
            <w:pPr>
              <w:pStyle w:val="TableHeading"/>
              <w:rPr>
                <w:rFonts w:cs="Arial"/>
              </w:rPr>
            </w:pPr>
            <w:r w:rsidRPr="003272C7">
              <w:rPr>
                <w:rFonts w:cs="Arial"/>
              </w:rPr>
              <w:t>2.</w:t>
            </w:r>
            <w:r w:rsidR="0005059C" w:rsidRPr="003272C7">
              <w:rPr>
                <w:rFonts w:cs="Arial"/>
              </w:rPr>
              <w:t xml:space="preserve"> </w:t>
            </w:r>
            <w:r w:rsidRPr="003272C7">
              <w:rPr>
                <w:rFonts w:cs="Arial"/>
              </w:rPr>
              <w:t>Strong foundations for Victoria's water: compliance, markets, water entitlements and oversight of the water grid</w:t>
            </w:r>
          </w:p>
        </w:tc>
      </w:tr>
      <w:tr w:rsidR="00B242C3" w:rsidRPr="003272C7" w14:paraId="26850EBB" w14:textId="77777777" w:rsidTr="007232C6">
        <w:trPr>
          <w:trHeight w:val="341"/>
        </w:trPr>
        <w:tc>
          <w:tcPr>
            <w:tcW w:w="979" w:type="pct"/>
            <w:shd w:val="clear" w:color="auto" w:fill="231EDC" w:themeFill="accent1"/>
          </w:tcPr>
          <w:p w14:paraId="2AC47FDB" w14:textId="77777777" w:rsidR="00B242C3" w:rsidRPr="003272C7" w:rsidRDefault="00B242C3" w:rsidP="0076007F">
            <w:pPr>
              <w:pStyle w:val="TableText"/>
              <w:rPr>
                <w:rFonts w:cs="Arial"/>
                <w:b/>
                <w:bCs/>
              </w:rPr>
            </w:pPr>
            <w:r w:rsidRPr="003272C7">
              <w:rPr>
                <w:rFonts w:cs="Arial"/>
                <w:b/>
                <w:bCs/>
              </w:rPr>
              <w:t>Project</w:t>
            </w:r>
          </w:p>
        </w:tc>
        <w:tc>
          <w:tcPr>
            <w:tcW w:w="4021" w:type="pct"/>
          </w:tcPr>
          <w:p w14:paraId="4F69BD03" w14:textId="77777777" w:rsidR="00B242C3" w:rsidRPr="003272C7" w:rsidRDefault="00B242C3" w:rsidP="0076007F">
            <w:pPr>
              <w:pStyle w:val="TableText"/>
              <w:rPr>
                <w:rFonts w:cs="Arial"/>
              </w:rPr>
            </w:pPr>
            <w:r w:rsidRPr="003272C7">
              <w:rPr>
                <w:rFonts w:cs="Arial"/>
              </w:rPr>
              <w:t>WRS7: Water Compliance Reform</w:t>
            </w:r>
          </w:p>
        </w:tc>
      </w:tr>
      <w:tr w:rsidR="00B242C3" w:rsidRPr="003272C7" w14:paraId="5AD2742C" w14:textId="77777777" w:rsidTr="007232C6">
        <w:trPr>
          <w:trHeight w:val="259"/>
        </w:trPr>
        <w:tc>
          <w:tcPr>
            <w:tcW w:w="979" w:type="pct"/>
            <w:shd w:val="clear" w:color="auto" w:fill="231EDC" w:themeFill="accent1"/>
          </w:tcPr>
          <w:p w14:paraId="7567448C" w14:textId="0C4C2E57" w:rsidR="00B242C3" w:rsidRPr="003272C7" w:rsidRDefault="00B242C3" w:rsidP="00C06DED">
            <w:pPr>
              <w:pStyle w:val="TableText"/>
              <w:rPr>
                <w:rFonts w:cs="Arial"/>
                <w:b/>
                <w:bCs/>
                <w:szCs w:val="18"/>
              </w:rPr>
            </w:pPr>
            <w:r w:rsidRPr="003272C7">
              <w:rPr>
                <w:rFonts w:cs="Arial"/>
                <w:b/>
                <w:bCs/>
                <w:szCs w:val="18"/>
              </w:rPr>
              <w:t>Description</w:t>
            </w:r>
          </w:p>
        </w:tc>
        <w:tc>
          <w:tcPr>
            <w:tcW w:w="4021" w:type="pct"/>
          </w:tcPr>
          <w:p w14:paraId="38FC635E" w14:textId="3485503E" w:rsidR="001764DE" w:rsidRPr="003272C7" w:rsidRDefault="001764DE" w:rsidP="0076007F">
            <w:pPr>
              <w:pStyle w:val="TableText"/>
              <w:rPr>
                <w:rFonts w:cs="Arial"/>
              </w:rPr>
            </w:pPr>
            <w:r w:rsidRPr="003272C7">
              <w:rPr>
                <w:rFonts w:cs="Arial"/>
              </w:rPr>
              <w:t>At the time of the project initiation, the risk of unauthorised take was unacceptably high, causing heightened community concern about the potential for water theft due to high-profile cases in other states. In addition, there were some inconsistencies in how</w:t>
            </w:r>
            <w:r w:rsidRPr="00623380">
              <w:rPr>
                <w:rFonts w:cs="Arial" w:hint="eastAsia"/>
              </w:rPr>
              <w:t> </w:t>
            </w:r>
            <w:r w:rsidRPr="003272C7">
              <w:rPr>
                <w:rFonts w:cs="Arial"/>
              </w:rPr>
              <w:t>different rural water corporations across Victoria were addressing unauthorised take. Wide-scale unauthorised take was also compromising the integrity of the water market. Particular risks were identified in northern Victoria where there is a heavy reliance on the water market and large irrigation enterprises can quickly take large volumes of water.</w:t>
            </w:r>
          </w:p>
          <w:p w14:paraId="509AB9B0" w14:textId="08EE09FD" w:rsidR="00B242C3" w:rsidRPr="003272C7" w:rsidRDefault="001764DE" w:rsidP="0076007F">
            <w:pPr>
              <w:pStyle w:val="TableText"/>
              <w:rPr>
                <w:rFonts w:cs="Arial"/>
              </w:rPr>
            </w:pPr>
            <w:r w:rsidRPr="00623380">
              <w:rPr>
                <w:rFonts w:cs="Arial"/>
              </w:rPr>
              <w:t xml:space="preserve">This project sought to address this problem by implementing a modern regulatory regime to minimise the instance and extent of unauthorised take. This included further implementing modern metering to support compliance and establishing standards and accountability for unauthorised take with </w:t>
            </w:r>
            <w:r w:rsidR="0005059C" w:rsidRPr="003272C7">
              <w:rPr>
                <w:rFonts w:cs="Arial"/>
              </w:rPr>
              <w:t xml:space="preserve">rural water corporations </w:t>
            </w:r>
            <w:r w:rsidRPr="00623380">
              <w:rPr>
                <w:rFonts w:cs="Arial"/>
              </w:rPr>
              <w:t xml:space="preserve">to create statewide consistency. It has also ensured that Victoria meets its Murray-Darling Basin Plan compliance obligations. Through this work, DEECA and </w:t>
            </w:r>
            <w:r w:rsidR="0005059C" w:rsidRPr="003272C7">
              <w:rPr>
                <w:rFonts w:cs="Arial"/>
              </w:rPr>
              <w:t xml:space="preserve">rural water corporations </w:t>
            </w:r>
            <w:r w:rsidRPr="00623380">
              <w:rPr>
                <w:rFonts w:cs="Arial"/>
              </w:rPr>
              <w:t>have successfully delivered priority outcomes under Victoria</w:t>
            </w:r>
            <w:r w:rsidRPr="00623380">
              <w:rPr>
                <w:rFonts w:cs="Arial" w:hint="eastAsia"/>
              </w:rPr>
              <w:t>’</w:t>
            </w:r>
            <w:r w:rsidRPr="00623380">
              <w:rPr>
                <w:rFonts w:cs="Arial"/>
              </w:rPr>
              <w:t>s zero-</w:t>
            </w:r>
            <w:r w:rsidR="001B4C85" w:rsidRPr="00623380">
              <w:rPr>
                <w:rFonts w:cs="Arial"/>
              </w:rPr>
              <w:t>tolerance approach</w:t>
            </w:r>
            <w:r w:rsidRPr="00623380">
              <w:rPr>
                <w:rFonts w:cs="Arial"/>
              </w:rPr>
              <w:t xml:space="preserve"> to unauthorised take</w:t>
            </w:r>
            <w:r w:rsidR="001B4C85" w:rsidRPr="00623380">
              <w:rPr>
                <w:rFonts w:cs="Arial"/>
              </w:rPr>
              <w:t>.</w:t>
            </w:r>
          </w:p>
        </w:tc>
      </w:tr>
      <w:tr w:rsidR="00B242C3" w:rsidRPr="003272C7" w14:paraId="64823A8B" w14:textId="77777777" w:rsidTr="007232C6">
        <w:trPr>
          <w:trHeight w:val="259"/>
        </w:trPr>
        <w:tc>
          <w:tcPr>
            <w:tcW w:w="979" w:type="pct"/>
            <w:shd w:val="clear" w:color="auto" w:fill="231EDC" w:themeFill="accent1"/>
          </w:tcPr>
          <w:p w14:paraId="56BF90A7"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0E1D3A40" w14:textId="1BF9EE13" w:rsidR="00B242C3" w:rsidRPr="003272C7" w:rsidRDefault="00B76043" w:rsidP="0076007F">
            <w:pPr>
              <w:pStyle w:val="TableBullet"/>
              <w:rPr>
                <w:rFonts w:cs="Arial"/>
              </w:rPr>
            </w:pPr>
            <w:r w:rsidRPr="003272C7">
              <w:rPr>
                <w:rFonts w:cs="Arial"/>
              </w:rPr>
              <w:t>Supported delivery of an i</w:t>
            </w:r>
            <w:r w:rsidR="00B242C3" w:rsidRPr="003272C7">
              <w:rPr>
                <w:rFonts w:cs="Arial"/>
              </w:rPr>
              <w:t>ndependent review into the extent of unauthorised take and Victoria’s compliance capability</w:t>
            </w:r>
            <w:r w:rsidRPr="003272C7">
              <w:rPr>
                <w:rFonts w:cs="Arial"/>
              </w:rPr>
              <w:t>, and subsequent progress review</w:t>
            </w:r>
            <w:r w:rsidR="00B242C3" w:rsidRPr="003272C7">
              <w:rPr>
                <w:rFonts w:cs="Arial"/>
              </w:rPr>
              <w:t>.</w:t>
            </w:r>
          </w:p>
          <w:p w14:paraId="5ADBA288" w14:textId="4517B3DC" w:rsidR="002555A5" w:rsidRPr="003272C7" w:rsidRDefault="00B76043" w:rsidP="0076007F">
            <w:pPr>
              <w:pStyle w:val="TableBullet"/>
              <w:rPr>
                <w:rFonts w:cs="Arial"/>
              </w:rPr>
            </w:pPr>
            <w:r w:rsidRPr="003272C7">
              <w:rPr>
                <w:rFonts w:cs="Arial"/>
              </w:rPr>
              <w:t>Introduced</w:t>
            </w:r>
            <w:r w:rsidR="00135A9C" w:rsidRPr="003272C7">
              <w:rPr>
                <w:rFonts w:cs="Arial"/>
              </w:rPr>
              <w:t xml:space="preserve"> the implementation of Penalty Infringement Notices (PINs) for</w:t>
            </w:r>
            <w:r w:rsidR="00B242C3" w:rsidRPr="003272C7">
              <w:rPr>
                <w:rFonts w:cs="Arial"/>
              </w:rPr>
              <w:t xml:space="preserve"> unauthorised take of up to 10 ML</w:t>
            </w:r>
            <w:r w:rsidR="00135A9C" w:rsidRPr="003272C7">
              <w:rPr>
                <w:rFonts w:cs="Arial"/>
              </w:rPr>
              <w:t xml:space="preserve"> for all </w:t>
            </w:r>
            <w:r w:rsidR="0005059C" w:rsidRPr="003272C7">
              <w:rPr>
                <w:rFonts w:cs="Arial"/>
              </w:rPr>
              <w:t>rural water corporations.</w:t>
            </w:r>
          </w:p>
          <w:p w14:paraId="12506C17" w14:textId="43F24AD5" w:rsidR="00B242C3" w:rsidRPr="003272C7" w:rsidRDefault="002555A5" w:rsidP="0076007F">
            <w:pPr>
              <w:pStyle w:val="TableBullet"/>
              <w:rPr>
                <w:rFonts w:cs="Arial"/>
              </w:rPr>
            </w:pPr>
            <w:r w:rsidRPr="00623380">
              <w:rPr>
                <w:rFonts w:cs="Arial"/>
              </w:rPr>
              <w:t>Developed unauthorised take escalation policies</w:t>
            </w:r>
            <w:r w:rsidR="006B39E0" w:rsidRPr="003272C7">
              <w:rPr>
                <w:rFonts w:cs="Arial"/>
              </w:rPr>
              <w:t>.</w:t>
            </w:r>
          </w:p>
          <w:p w14:paraId="7512EB2F" w14:textId="4F7E4EE7" w:rsidR="00AA1819" w:rsidRPr="003272C7" w:rsidRDefault="00AA1819" w:rsidP="0076007F">
            <w:pPr>
              <w:pStyle w:val="TableBullet"/>
              <w:rPr>
                <w:rFonts w:cs="Arial"/>
              </w:rPr>
            </w:pPr>
            <w:r w:rsidRPr="00623380">
              <w:rPr>
                <w:rFonts w:cs="Arial"/>
              </w:rPr>
              <w:t>Ongoing effort to embed outcomes from various projects and reviews into</w:t>
            </w:r>
            <w:r w:rsidR="0005059C" w:rsidRPr="003272C7">
              <w:rPr>
                <w:rFonts w:cs="Arial"/>
              </w:rPr>
              <w:t xml:space="preserve"> the</w:t>
            </w:r>
            <w:r w:rsidRPr="00623380">
              <w:rPr>
                <w:rFonts w:cs="Arial"/>
              </w:rPr>
              <w:t xml:space="preserve"> Compliance Team annual work program.</w:t>
            </w:r>
          </w:p>
          <w:p w14:paraId="3FF08490" w14:textId="646A7B3F" w:rsidR="00142559" w:rsidRPr="003272C7" w:rsidRDefault="00AA1819" w:rsidP="0076007F">
            <w:pPr>
              <w:pStyle w:val="TableBullet"/>
              <w:rPr>
                <w:rFonts w:cs="Arial"/>
              </w:rPr>
            </w:pPr>
            <w:r w:rsidRPr="003272C7">
              <w:rPr>
                <w:rFonts w:cs="Arial"/>
              </w:rPr>
              <w:t>Finalised a statewide rural water corporation compliance and enforcement capability framework</w:t>
            </w:r>
            <w:r w:rsidR="00F70FDC" w:rsidRPr="003272C7">
              <w:rPr>
                <w:rFonts w:cs="Arial"/>
              </w:rPr>
              <w:t xml:space="preserve"> </w:t>
            </w:r>
            <w:r w:rsidRPr="003272C7">
              <w:rPr>
                <w:rFonts w:cs="Arial"/>
              </w:rPr>
              <w:t xml:space="preserve">and delivered training modules for </w:t>
            </w:r>
            <w:r w:rsidR="0005059C" w:rsidRPr="003272C7">
              <w:rPr>
                <w:rFonts w:cs="Arial"/>
              </w:rPr>
              <w:t>A</w:t>
            </w:r>
            <w:r w:rsidRPr="003272C7">
              <w:rPr>
                <w:rFonts w:cs="Arial"/>
              </w:rPr>
              <w:t xml:space="preserve">uthorised </w:t>
            </w:r>
            <w:r w:rsidR="0005059C" w:rsidRPr="003272C7">
              <w:rPr>
                <w:rFonts w:cs="Arial"/>
              </w:rPr>
              <w:t>W</w:t>
            </w:r>
            <w:r w:rsidRPr="003272C7">
              <w:rPr>
                <w:rFonts w:cs="Arial"/>
              </w:rPr>
              <w:t xml:space="preserve">ater </w:t>
            </w:r>
            <w:r w:rsidR="0005059C" w:rsidRPr="003272C7">
              <w:rPr>
                <w:rFonts w:cs="Arial"/>
              </w:rPr>
              <w:t>O</w:t>
            </w:r>
            <w:r w:rsidRPr="003272C7">
              <w:rPr>
                <w:rFonts w:cs="Arial"/>
              </w:rPr>
              <w:t>fficers on compliance and enforcement.</w:t>
            </w:r>
          </w:p>
          <w:p w14:paraId="7767FF9D" w14:textId="77777777" w:rsidR="00142559" w:rsidRPr="003272C7" w:rsidRDefault="00AA1819" w:rsidP="0076007F">
            <w:pPr>
              <w:pStyle w:val="TableBullet"/>
              <w:rPr>
                <w:rFonts w:cs="Arial"/>
              </w:rPr>
            </w:pPr>
            <w:r w:rsidRPr="003272C7">
              <w:rPr>
                <w:rFonts w:cs="Arial"/>
              </w:rPr>
              <w:t>Developed communications strategies and products and provided oversight to ensure consistent public messaging on the Government’s zero-tolerance policy and importance of compliance, including public reporting and release of annual Compliance Statistics and Non-Urban Metering Implementation Reports.</w:t>
            </w:r>
          </w:p>
          <w:p w14:paraId="143854C2" w14:textId="77777777" w:rsidR="00142559" w:rsidRPr="003272C7" w:rsidRDefault="00AA1819" w:rsidP="0076007F">
            <w:pPr>
              <w:pStyle w:val="TableBullet"/>
              <w:rPr>
                <w:rFonts w:cs="Arial"/>
              </w:rPr>
            </w:pPr>
            <w:r w:rsidRPr="003272C7">
              <w:rPr>
                <w:rFonts w:cs="Arial"/>
              </w:rPr>
              <w:t>Delivered regular reports to meet Minister and DEECA reporting requirements and Ministerial Public Accounts and Estimates Committee and Possible Parliamentary Question briefs on water compliance.</w:t>
            </w:r>
          </w:p>
          <w:p w14:paraId="65FF38A6" w14:textId="6AB74754" w:rsidR="00AA1819" w:rsidRPr="003272C7" w:rsidRDefault="00AA1819" w:rsidP="0076007F">
            <w:pPr>
              <w:pStyle w:val="TableBullet"/>
              <w:rPr>
                <w:rFonts w:cs="Arial"/>
              </w:rPr>
            </w:pPr>
            <w:r w:rsidRPr="003272C7">
              <w:rPr>
                <w:rFonts w:cs="Arial"/>
              </w:rPr>
              <w:t xml:space="preserve">Embedded Key Performance Indicators for </w:t>
            </w:r>
            <w:r w:rsidR="0005059C" w:rsidRPr="003272C7">
              <w:rPr>
                <w:rFonts w:cs="Arial"/>
              </w:rPr>
              <w:t xml:space="preserve">rural water corporations </w:t>
            </w:r>
            <w:r w:rsidRPr="003272C7">
              <w:rPr>
                <w:rFonts w:cs="Arial"/>
              </w:rPr>
              <w:t>to improve compliance and enforcement outcomes and improve transparency and confidence in regulation of unauthorised take</w:t>
            </w:r>
            <w:r w:rsidR="0005059C" w:rsidRPr="003272C7">
              <w:rPr>
                <w:rFonts w:cs="Arial"/>
              </w:rPr>
              <w:t>.</w:t>
            </w:r>
          </w:p>
          <w:p w14:paraId="29FB9315" w14:textId="77777777" w:rsidR="00142559" w:rsidRPr="003272C7" w:rsidRDefault="00054439" w:rsidP="0076007F">
            <w:pPr>
              <w:pStyle w:val="TableBullet"/>
              <w:rPr>
                <w:rFonts w:cs="Arial"/>
              </w:rPr>
            </w:pPr>
            <w:r w:rsidRPr="00623380">
              <w:rPr>
                <w:rFonts w:cs="Arial"/>
              </w:rPr>
              <w:t>Developed a cost benefit framework to support telemetry investment decision-making by rural water corporations which has supported funding submissions for state and Commonwealth funding in metering improvements.</w:t>
            </w:r>
          </w:p>
          <w:p w14:paraId="02242E1F" w14:textId="77777777" w:rsidR="00142559" w:rsidRPr="003272C7" w:rsidRDefault="00054439" w:rsidP="0076007F">
            <w:pPr>
              <w:pStyle w:val="TableBullet"/>
              <w:rPr>
                <w:rFonts w:cs="Arial"/>
              </w:rPr>
            </w:pPr>
            <w:r w:rsidRPr="00623380">
              <w:rPr>
                <w:rFonts w:cs="Arial"/>
              </w:rPr>
              <w:lastRenderedPageBreak/>
              <w:t>Executed $2.5 million funding agreement to accelerate telemetry installation and meter upgrades for Goulburn-Murray Water private diverters in priority areas, with Project Control Board established and implementation underway.</w:t>
            </w:r>
          </w:p>
          <w:p w14:paraId="0992EC5C" w14:textId="03201DCF" w:rsidR="00B242C3" w:rsidRPr="003272C7" w:rsidRDefault="00D7629B" w:rsidP="0076007F">
            <w:pPr>
              <w:pStyle w:val="TableBullet"/>
              <w:rPr>
                <w:rFonts w:cs="Arial"/>
              </w:rPr>
            </w:pPr>
            <w:r w:rsidRPr="00623380">
              <w:rPr>
                <w:rFonts w:cs="Arial"/>
              </w:rPr>
              <w:t>Supported Victorian contributions to collaborative work with other jurisdictions and the Murray-Darling Basin Inspector-General of Water Compliance, including increased reporting, development of policies and frameworks and supporting audits of accredited Water Resource Plans</w:t>
            </w:r>
            <w:r w:rsidR="0005059C" w:rsidRPr="003272C7">
              <w:rPr>
                <w:rFonts w:cs="Arial"/>
              </w:rPr>
              <w:t>.</w:t>
            </w:r>
          </w:p>
        </w:tc>
      </w:tr>
      <w:tr w:rsidR="00B242C3" w:rsidRPr="003272C7" w14:paraId="4FBC210E" w14:textId="77777777" w:rsidTr="005D7E06">
        <w:trPr>
          <w:trHeight w:val="259"/>
        </w:trPr>
        <w:tc>
          <w:tcPr>
            <w:tcW w:w="5000" w:type="pct"/>
            <w:gridSpan w:val="2"/>
            <w:shd w:val="clear" w:color="auto" w:fill="231EDC" w:themeFill="accent1"/>
          </w:tcPr>
          <w:p w14:paraId="730CDE61" w14:textId="141F7425" w:rsidR="00B242C3" w:rsidRPr="003272C7" w:rsidRDefault="00C51015" w:rsidP="00C06DED">
            <w:pPr>
              <w:pStyle w:val="TableText"/>
              <w:rPr>
                <w:rFonts w:cs="Arial"/>
                <w:b/>
                <w:bCs/>
                <w:szCs w:val="18"/>
              </w:rPr>
            </w:pPr>
            <w:r w:rsidRPr="003272C7">
              <w:rPr>
                <w:rFonts w:cs="Arial"/>
                <w:b/>
                <w:bCs/>
                <w:szCs w:val="18"/>
              </w:rPr>
              <w:lastRenderedPageBreak/>
              <w:t>Summary against evaluation domains</w:t>
            </w:r>
          </w:p>
        </w:tc>
      </w:tr>
      <w:tr w:rsidR="00B242C3" w:rsidRPr="003272C7" w14:paraId="5ED5E6AB" w14:textId="77777777" w:rsidTr="007232C6">
        <w:trPr>
          <w:trHeight w:val="259"/>
        </w:trPr>
        <w:tc>
          <w:tcPr>
            <w:tcW w:w="979" w:type="pct"/>
            <w:shd w:val="clear" w:color="auto" w:fill="231EDC" w:themeFill="accent1"/>
          </w:tcPr>
          <w:p w14:paraId="7F4CECA0"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300B0078" w14:textId="77777777" w:rsidR="00142559" w:rsidRPr="003272C7" w:rsidRDefault="00E24D7C" w:rsidP="001B35D5">
            <w:pPr>
              <w:pStyle w:val="TableText"/>
              <w:rPr>
                <w:rFonts w:cs="Arial"/>
              </w:rPr>
            </w:pPr>
            <w:r w:rsidRPr="003272C7">
              <w:rPr>
                <w:rFonts w:cs="Arial"/>
              </w:rPr>
              <w:t>This project directly improved the effectiveness of Victoria</w:t>
            </w:r>
            <w:r w:rsidRPr="00623380">
              <w:rPr>
                <w:rFonts w:cs="Arial" w:hint="eastAsia"/>
              </w:rPr>
              <w:t>’</w:t>
            </w:r>
            <w:r w:rsidRPr="003272C7">
              <w:rPr>
                <w:rFonts w:cs="Arial"/>
              </w:rPr>
              <w:t xml:space="preserve">s water governance, by underpinning the </w:t>
            </w:r>
            <w:r w:rsidR="0005059C" w:rsidRPr="003272C7">
              <w:rPr>
                <w:rFonts w:cs="Arial"/>
              </w:rPr>
              <w:t>Victoria’s</w:t>
            </w:r>
            <w:r w:rsidRPr="003272C7">
              <w:rPr>
                <w:rFonts w:cs="Arial"/>
              </w:rPr>
              <w:t xml:space="preserve"> water entitlement framework with a modern regulatory regime for compliance and enforcement of unauthorised take. All water users across the state are now held to a common standard for compliance and enforcement which promotes the integrity of the water market and broader entitlement framework. </w:t>
            </w:r>
            <w:r w:rsidR="0005059C" w:rsidRPr="003272C7">
              <w:rPr>
                <w:rFonts w:cs="Arial"/>
              </w:rPr>
              <w:t xml:space="preserve">Rural water corporations </w:t>
            </w:r>
            <w:r w:rsidRPr="003272C7">
              <w:rPr>
                <w:rFonts w:cs="Arial"/>
              </w:rPr>
              <w:t>now regularly issue fines for low volume (up to 10 ML) unauthorised take using PIN</w:t>
            </w:r>
            <w:r w:rsidR="0005059C" w:rsidRPr="003272C7">
              <w:rPr>
                <w:rFonts w:cs="Arial"/>
              </w:rPr>
              <w:t>s</w:t>
            </w:r>
            <w:r w:rsidRPr="003272C7">
              <w:rPr>
                <w:rFonts w:cs="Arial"/>
              </w:rPr>
              <w:t>.</w:t>
            </w:r>
          </w:p>
          <w:p w14:paraId="444EB7DB" w14:textId="77777777" w:rsidR="00142559" w:rsidRPr="003272C7" w:rsidRDefault="00E24D7C" w:rsidP="001B35D5">
            <w:pPr>
              <w:pStyle w:val="TableText"/>
              <w:rPr>
                <w:rFonts w:cs="Arial"/>
              </w:rPr>
            </w:pPr>
            <w:r w:rsidRPr="003272C7">
              <w:rPr>
                <w:rFonts w:cs="Arial"/>
              </w:rPr>
              <w:t>The project also supports Victoria</w:t>
            </w:r>
            <w:r w:rsidRPr="00623380">
              <w:rPr>
                <w:rFonts w:cs="Arial" w:hint="eastAsia"/>
              </w:rPr>
              <w:t>’</w:t>
            </w:r>
            <w:r w:rsidRPr="003272C7">
              <w:rPr>
                <w:rFonts w:cs="Arial"/>
              </w:rPr>
              <w:t>s water security by reducing unauthorised levels of take and safeguarding the rights of all water users and the state</w:t>
            </w:r>
            <w:r w:rsidRPr="00623380">
              <w:rPr>
                <w:rFonts w:cs="Arial" w:hint="eastAsia"/>
              </w:rPr>
              <w:t>’</w:t>
            </w:r>
            <w:r w:rsidRPr="003272C7">
              <w:rPr>
                <w:rFonts w:cs="Arial"/>
              </w:rPr>
              <w:t>s water resources.</w:t>
            </w:r>
          </w:p>
          <w:p w14:paraId="72D49C33" w14:textId="77777777" w:rsidR="00142559" w:rsidRPr="003272C7" w:rsidRDefault="00E24D7C" w:rsidP="001B35D5">
            <w:pPr>
              <w:pStyle w:val="TableText"/>
              <w:rPr>
                <w:rFonts w:cs="Arial"/>
              </w:rPr>
            </w:pPr>
            <w:r w:rsidRPr="003272C7">
              <w:rPr>
                <w:rFonts w:cs="Arial"/>
              </w:rPr>
              <w:t>Other beneficial outcomes include:</w:t>
            </w:r>
          </w:p>
          <w:p w14:paraId="7238A853" w14:textId="77777777" w:rsidR="00142559" w:rsidRPr="003272C7" w:rsidRDefault="00E24D7C" w:rsidP="001B35D5">
            <w:pPr>
              <w:pStyle w:val="TableBullet"/>
              <w:rPr>
                <w:rFonts w:cs="Arial"/>
              </w:rPr>
            </w:pPr>
            <w:r w:rsidRPr="003272C7">
              <w:rPr>
                <w:rFonts w:cs="Arial"/>
              </w:rPr>
              <w:t>The establishment of PIN</w:t>
            </w:r>
            <w:r w:rsidR="0005059C" w:rsidRPr="003272C7">
              <w:rPr>
                <w:rFonts w:cs="Arial"/>
              </w:rPr>
              <w:t>s</w:t>
            </w:r>
            <w:r w:rsidRPr="003272C7">
              <w:rPr>
                <w:rFonts w:cs="Arial"/>
              </w:rPr>
              <w:t xml:space="preserve"> with Fines Victoria has paved the way for introducing PIN</w:t>
            </w:r>
            <w:r w:rsidR="0005059C" w:rsidRPr="003272C7">
              <w:rPr>
                <w:rFonts w:cs="Arial"/>
              </w:rPr>
              <w:t>s</w:t>
            </w:r>
            <w:r w:rsidRPr="003272C7">
              <w:rPr>
                <w:rFonts w:cs="Arial"/>
              </w:rPr>
              <w:t xml:space="preserve"> to improve other water resource management activities (e.g. recreational services and assets).</w:t>
            </w:r>
          </w:p>
          <w:p w14:paraId="7B1C757E" w14:textId="77777777" w:rsidR="00142559" w:rsidRPr="003272C7" w:rsidRDefault="00E24D7C" w:rsidP="001B35D5">
            <w:pPr>
              <w:pStyle w:val="TableBullet"/>
              <w:rPr>
                <w:rFonts w:cs="Arial"/>
              </w:rPr>
            </w:pPr>
            <w:r w:rsidRPr="003272C7">
              <w:rPr>
                <w:rFonts w:cs="Arial"/>
              </w:rPr>
              <w:t>The program has resulted in knowledge sharing and collaboration between water corporations.</w:t>
            </w:r>
          </w:p>
          <w:p w14:paraId="7BAC6FBA" w14:textId="77777777" w:rsidR="00142559" w:rsidRPr="003272C7" w:rsidRDefault="00E24D7C" w:rsidP="001B35D5">
            <w:pPr>
              <w:pStyle w:val="TableBullet"/>
              <w:rPr>
                <w:rFonts w:cs="Arial"/>
              </w:rPr>
            </w:pPr>
            <w:r w:rsidRPr="003272C7">
              <w:rPr>
                <w:rFonts w:cs="Arial"/>
              </w:rPr>
              <w:t>Engagement processes have provided opportunities for water corporations to leverage off each other and</w:t>
            </w:r>
            <w:r w:rsidR="0005059C" w:rsidRPr="003272C7">
              <w:rPr>
                <w:rFonts w:cs="Arial"/>
              </w:rPr>
              <w:t xml:space="preserve"> </w:t>
            </w:r>
            <w:r w:rsidRPr="003272C7">
              <w:rPr>
                <w:rFonts w:cs="Arial"/>
              </w:rPr>
              <w:t>share experiences and approaches.</w:t>
            </w:r>
          </w:p>
          <w:p w14:paraId="6E8E295E" w14:textId="7945CCB7" w:rsidR="00B242C3" w:rsidRPr="003272C7" w:rsidRDefault="008C20E1" w:rsidP="001B35D5">
            <w:pPr>
              <w:pStyle w:val="TableBullet"/>
              <w:rPr>
                <w:rFonts w:cs="Arial"/>
              </w:rPr>
            </w:pPr>
            <w:r w:rsidRPr="00623380">
              <w:rPr>
                <w:rFonts w:cs="Arial"/>
              </w:rPr>
              <w:t>Victori</w:t>
            </w:r>
            <w:r w:rsidR="004C17AD">
              <w:rPr>
                <w:rFonts w:cs="Arial"/>
              </w:rPr>
              <w:t>a’</w:t>
            </w:r>
            <w:r w:rsidRPr="00623380">
              <w:rPr>
                <w:rFonts w:cs="Arial"/>
              </w:rPr>
              <w:t>s strong compliance standards put it in a good position to advocate for greater compliance in other states, protecting the environment, encouraging a level playing field for water take and supporting greater water security.</w:t>
            </w:r>
          </w:p>
        </w:tc>
      </w:tr>
      <w:tr w:rsidR="00B242C3" w:rsidRPr="003272C7" w14:paraId="4F3CE351" w14:textId="77777777" w:rsidTr="007232C6">
        <w:trPr>
          <w:trHeight w:val="259"/>
        </w:trPr>
        <w:tc>
          <w:tcPr>
            <w:tcW w:w="979" w:type="pct"/>
            <w:shd w:val="clear" w:color="auto" w:fill="231EDC" w:themeFill="accent1"/>
          </w:tcPr>
          <w:p w14:paraId="4EFF2123" w14:textId="77777777" w:rsidR="00B242C3" w:rsidRPr="003272C7" w:rsidRDefault="00B242C3" w:rsidP="00C06DED">
            <w:pPr>
              <w:pStyle w:val="TableText"/>
              <w:rPr>
                <w:rFonts w:cs="Arial"/>
                <w:b/>
                <w:bCs/>
                <w:szCs w:val="18"/>
              </w:rPr>
            </w:pPr>
            <w:r w:rsidRPr="003272C7">
              <w:rPr>
                <w:rFonts w:cs="Arial"/>
                <w:b/>
                <w:bCs/>
                <w:szCs w:val="18"/>
              </w:rPr>
              <w:t>Effectiveness</w:t>
            </w:r>
          </w:p>
        </w:tc>
        <w:tc>
          <w:tcPr>
            <w:tcW w:w="4021" w:type="pct"/>
          </w:tcPr>
          <w:p w14:paraId="094DB5D3" w14:textId="66355736" w:rsidR="00142957" w:rsidRPr="003272C7" w:rsidRDefault="00142957" w:rsidP="00343905">
            <w:pPr>
              <w:pStyle w:val="TableBullet"/>
              <w:rPr>
                <w:rFonts w:cs="Arial"/>
              </w:rPr>
            </w:pPr>
            <w:r w:rsidRPr="003272C7">
              <w:rPr>
                <w:rFonts w:cs="Arial"/>
              </w:rPr>
              <w:t>The project successfully reduced unauthorised levels of take, with an independent review by former Victorian Auditor-General, Mr Des Pearson AO, finding there had been very good progress and significant reductions in unauthorised take.</w:t>
            </w:r>
          </w:p>
          <w:p w14:paraId="05451EAC" w14:textId="54AA7902" w:rsidR="00142957" w:rsidRPr="003272C7" w:rsidRDefault="00142957" w:rsidP="00343905">
            <w:pPr>
              <w:pStyle w:val="TableBullet"/>
              <w:rPr>
                <w:rFonts w:cs="Arial"/>
              </w:rPr>
            </w:pPr>
            <w:r w:rsidRPr="003272C7">
              <w:rPr>
                <w:rFonts w:cs="Arial"/>
              </w:rPr>
              <w:t xml:space="preserve">The project was developed and delivered in partnership with rural water corporations, other parts of the Victorian </w:t>
            </w:r>
            <w:r w:rsidR="0005059C" w:rsidRPr="003272C7">
              <w:rPr>
                <w:rFonts w:cs="Arial"/>
              </w:rPr>
              <w:t>G</w:t>
            </w:r>
            <w:r w:rsidRPr="003272C7">
              <w:rPr>
                <w:rFonts w:cs="Arial"/>
              </w:rPr>
              <w:t xml:space="preserve">overnment (e.g. Fines Victoria) and with Basin Governments. This has included establishing and regularly convening meetings with other agencies, including a compliance Community of Practice with </w:t>
            </w:r>
            <w:r w:rsidR="0005059C" w:rsidRPr="003272C7">
              <w:rPr>
                <w:rFonts w:cs="Arial"/>
              </w:rPr>
              <w:t xml:space="preserve">rural water corporations </w:t>
            </w:r>
            <w:r w:rsidRPr="003272C7">
              <w:rPr>
                <w:rFonts w:cs="Arial"/>
              </w:rPr>
              <w:t>and inter-agency working groups for Authorised Water Officers, metering and communications. Victoria has built strategic relationships with the other jurisdictions on Basin-wide compliance matters and has provided insights on how other jurisdictions can better manage compliance and enforcement. DEECA also supported the implementation of work by the Murray-Darling Basin Inspector-General of Water Compliance, including their audits of implementation of accredited Water Resource Plans.</w:t>
            </w:r>
          </w:p>
          <w:p w14:paraId="2EBACC50" w14:textId="32EADE53" w:rsidR="00B242C3" w:rsidRPr="003272C7" w:rsidRDefault="00BA584E" w:rsidP="00343905">
            <w:pPr>
              <w:pStyle w:val="TableBullet"/>
              <w:rPr>
                <w:rFonts w:cs="Arial"/>
              </w:rPr>
            </w:pPr>
            <w:r w:rsidRPr="003272C7">
              <w:rPr>
                <w:rFonts w:cs="Arial"/>
              </w:rPr>
              <w:t xml:space="preserve">The success of the </w:t>
            </w:r>
            <w:r w:rsidR="00445736" w:rsidRPr="003272C7">
              <w:rPr>
                <w:rFonts w:cs="Arial"/>
              </w:rPr>
              <w:t>project</w:t>
            </w:r>
            <w:r w:rsidRPr="003272C7">
              <w:rPr>
                <w:rFonts w:cs="Arial"/>
              </w:rPr>
              <w:t xml:space="preserve"> in priority and </w:t>
            </w:r>
            <w:r w:rsidR="0005059C" w:rsidRPr="003272C7">
              <w:rPr>
                <w:rFonts w:cs="Arial"/>
              </w:rPr>
              <w:t>high-risk</w:t>
            </w:r>
            <w:r w:rsidRPr="003272C7">
              <w:rPr>
                <w:rFonts w:cs="Arial"/>
              </w:rPr>
              <w:t xml:space="preserve"> areas of water take has meant that an enhanced and consistent approach is now being expanded to lower risk areas of water take like River Murray shortfall compliance and for farm dams. Urban water corporation and </w:t>
            </w:r>
            <w:r w:rsidR="0005059C" w:rsidRPr="003272C7">
              <w:rPr>
                <w:rFonts w:cs="Arial"/>
              </w:rPr>
              <w:t>CMA</w:t>
            </w:r>
            <w:r w:rsidRPr="003272C7">
              <w:rPr>
                <w:rFonts w:cs="Arial"/>
              </w:rPr>
              <w:t xml:space="preserve"> Authorised Water Officers are also utilising the online compliance training modules developed through this </w:t>
            </w:r>
            <w:r w:rsidR="00445736" w:rsidRPr="003272C7">
              <w:rPr>
                <w:rFonts w:cs="Arial"/>
              </w:rPr>
              <w:t>project</w:t>
            </w:r>
            <w:r w:rsidRPr="003272C7">
              <w:rPr>
                <w:rFonts w:cs="Arial"/>
              </w:rPr>
              <w:t>. </w:t>
            </w:r>
          </w:p>
        </w:tc>
      </w:tr>
      <w:tr w:rsidR="00B242C3" w:rsidRPr="003272C7" w14:paraId="254C9A97" w14:textId="77777777" w:rsidTr="007232C6">
        <w:trPr>
          <w:trHeight w:val="259"/>
        </w:trPr>
        <w:tc>
          <w:tcPr>
            <w:tcW w:w="979" w:type="pct"/>
            <w:shd w:val="clear" w:color="auto" w:fill="231EDC" w:themeFill="accent1"/>
          </w:tcPr>
          <w:p w14:paraId="6DE9747D"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746A05C2" w14:textId="77777777" w:rsidR="00142559" w:rsidRPr="003272C7" w:rsidRDefault="00116E53" w:rsidP="00343905">
            <w:pPr>
              <w:pStyle w:val="TableBullet"/>
              <w:rPr>
                <w:rFonts w:cs="Arial"/>
              </w:rPr>
            </w:pPr>
            <w:r w:rsidRPr="00623380">
              <w:rPr>
                <w:rFonts w:cs="Arial"/>
              </w:rPr>
              <w:t>This project directly aligns with key management strategies, including Water for Victoria Action 8.5</w:t>
            </w:r>
            <w:r w:rsidR="0005059C" w:rsidRPr="003272C7">
              <w:rPr>
                <w:rFonts w:cs="Arial"/>
              </w:rPr>
              <w:t>:</w:t>
            </w:r>
            <w:r w:rsidRPr="00623380">
              <w:rPr>
                <w:rFonts w:cs="Arial"/>
              </w:rPr>
              <w:t xml:space="preserve"> Ensure a modern compliance regime that works, which committed to modernising the compliance and enforcement regime for water corporations to reflect best practice management. There are also requirements for Victoria to deliver on shared objectives under the </w:t>
            </w:r>
            <w:r w:rsidR="001B6A9A" w:rsidRPr="003272C7">
              <w:rPr>
                <w:rFonts w:cs="Arial"/>
              </w:rPr>
              <w:t xml:space="preserve">Murray-Darling </w:t>
            </w:r>
            <w:r w:rsidRPr="00623380">
              <w:rPr>
                <w:rFonts w:cs="Arial"/>
              </w:rPr>
              <w:t xml:space="preserve">Basin Plan and the </w:t>
            </w:r>
            <w:r w:rsidR="001B6A9A" w:rsidRPr="003272C7">
              <w:rPr>
                <w:rFonts w:cs="Arial"/>
              </w:rPr>
              <w:t xml:space="preserve">Murray-Darling </w:t>
            </w:r>
            <w:r w:rsidRPr="00623380">
              <w:rPr>
                <w:rFonts w:cs="Arial"/>
              </w:rPr>
              <w:t>Basin Compliance Compact.</w:t>
            </w:r>
          </w:p>
          <w:p w14:paraId="3695A0F5" w14:textId="6ECE1E37" w:rsidR="00B242C3" w:rsidRPr="003272C7" w:rsidRDefault="00116E53" w:rsidP="00343905">
            <w:pPr>
              <w:pStyle w:val="TableBullet"/>
              <w:rPr>
                <w:rFonts w:cs="Arial"/>
              </w:rPr>
            </w:pPr>
            <w:r w:rsidRPr="00623380">
              <w:rPr>
                <w:rFonts w:cs="Arial"/>
              </w:rPr>
              <w:lastRenderedPageBreak/>
              <w:t xml:space="preserve">The strategic context and underlying program logic remained relevant throughout EC5 (and continues to be). Unauthorised take remains an on-going concern and the </w:t>
            </w:r>
            <w:r w:rsidR="001B6A9A" w:rsidRPr="003272C7">
              <w:rPr>
                <w:rFonts w:cs="Arial"/>
              </w:rPr>
              <w:t>g</w:t>
            </w:r>
            <w:r w:rsidRPr="00623380">
              <w:rPr>
                <w:rFonts w:cs="Arial"/>
              </w:rPr>
              <w:t>overnment</w:t>
            </w:r>
            <w:r w:rsidR="0005059C" w:rsidRPr="003272C7">
              <w:rPr>
                <w:rFonts w:cs="Arial"/>
              </w:rPr>
              <w:t>’</w:t>
            </w:r>
            <w:r w:rsidRPr="00623380">
              <w:rPr>
                <w:rFonts w:cs="Arial"/>
              </w:rPr>
              <w:t>s zero-take policy is still a priority. Significant improvements have been made in modernising Victoria</w:t>
            </w:r>
            <w:r w:rsidR="0005059C" w:rsidRPr="003272C7">
              <w:rPr>
                <w:rFonts w:cs="Arial"/>
              </w:rPr>
              <w:t>’</w:t>
            </w:r>
            <w:r w:rsidRPr="00623380">
              <w:rPr>
                <w:rFonts w:cs="Arial"/>
              </w:rPr>
              <w:t>s compliance and enforcement regime, with a focus on the highest-risk areas. There are still residual risks which need to be mitigated and areas where addressing lower-tier compliance risks will result in substantial public benefit and improved water resource management outcomes.</w:t>
            </w:r>
          </w:p>
        </w:tc>
      </w:tr>
      <w:tr w:rsidR="00B242C3" w:rsidRPr="003272C7" w14:paraId="057DBA87" w14:textId="77777777" w:rsidTr="007232C6">
        <w:trPr>
          <w:trHeight w:val="259"/>
        </w:trPr>
        <w:tc>
          <w:tcPr>
            <w:tcW w:w="979" w:type="pct"/>
            <w:shd w:val="clear" w:color="auto" w:fill="231EDC" w:themeFill="accent1"/>
          </w:tcPr>
          <w:p w14:paraId="06D3668E" w14:textId="77777777" w:rsidR="00B242C3" w:rsidRPr="003272C7" w:rsidRDefault="00B242C3" w:rsidP="00C06DED">
            <w:pPr>
              <w:pStyle w:val="TableText"/>
              <w:rPr>
                <w:rFonts w:cs="Arial"/>
                <w:b/>
                <w:bCs/>
                <w:szCs w:val="18"/>
              </w:rPr>
            </w:pPr>
            <w:r w:rsidRPr="003272C7">
              <w:rPr>
                <w:rFonts w:cs="Arial"/>
                <w:b/>
                <w:bCs/>
                <w:szCs w:val="18"/>
              </w:rPr>
              <w:lastRenderedPageBreak/>
              <w:t>Efficiency</w:t>
            </w:r>
          </w:p>
        </w:tc>
        <w:tc>
          <w:tcPr>
            <w:tcW w:w="4021" w:type="pct"/>
          </w:tcPr>
          <w:p w14:paraId="5367EC59" w14:textId="77777777" w:rsidR="00142559" w:rsidRPr="003272C7" w:rsidRDefault="0051015F" w:rsidP="00343905">
            <w:pPr>
              <w:pStyle w:val="TableBullet"/>
              <w:rPr>
                <w:rFonts w:cs="Arial"/>
              </w:rPr>
            </w:pPr>
            <w:r w:rsidRPr="003272C7">
              <w:rPr>
                <w:rFonts w:cs="Arial"/>
              </w:rPr>
              <w:t xml:space="preserve">All projects have been delivered on time and on budget in accordance with an annual work plan endorsed by relevant executives. Funding was leveraged from the </w:t>
            </w:r>
            <w:r w:rsidR="001B6A9A" w:rsidRPr="003272C7">
              <w:rPr>
                <w:rFonts w:cs="Arial"/>
              </w:rPr>
              <w:t>Australian</w:t>
            </w:r>
            <w:r w:rsidRPr="003272C7">
              <w:rPr>
                <w:rFonts w:cs="Arial"/>
              </w:rPr>
              <w:t xml:space="preserve"> Government to deliver some of the outcomes under this </w:t>
            </w:r>
            <w:r w:rsidR="00445736" w:rsidRPr="003272C7">
              <w:rPr>
                <w:rFonts w:cs="Arial"/>
              </w:rPr>
              <w:t>project</w:t>
            </w:r>
            <w:r w:rsidRPr="003272C7">
              <w:rPr>
                <w:rFonts w:cs="Arial"/>
              </w:rPr>
              <w:t xml:space="preserve"> which were additional to Victorian priorities.</w:t>
            </w:r>
          </w:p>
          <w:p w14:paraId="1B7A2925" w14:textId="77777777" w:rsidR="00142559" w:rsidRPr="003272C7" w:rsidRDefault="0051015F" w:rsidP="00343905">
            <w:pPr>
              <w:pStyle w:val="TableBullet"/>
              <w:rPr>
                <w:rFonts w:cs="Arial"/>
              </w:rPr>
            </w:pPr>
            <w:r w:rsidRPr="003272C7">
              <w:rPr>
                <w:rFonts w:cs="Arial"/>
              </w:rPr>
              <w:t>The compliance and enforcement framework emphasises action to prevent unauthorised take (commonly described as voluntary compliance) which is considerably more cost effective than enforcement action following non-compliance. Policies have been developed to define where the recovery of unauthorised take or enforcement is not in the public interest,</w:t>
            </w:r>
            <w:r w:rsidRPr="00623380">
              <w:rPr>
                <w:rFonts w:cs="Arial" w:hint="eastAsia"/>
              </w:rPr>
              <w:t> </w:t>
            </w:r>
            <w:r w:rsidRPr="003272C7">
              <w:rPr>
                <w:rFonts w:cs="Arial"/>
              </w:rPr>
              <w:t>therefore avoiding further costly compliance and enforcement action.</w:t>
            </w:r>
          </w:p>
          <w:p w14:paraId="0954639A" w14:textId="7EEE6A8A" w:rsidR="00B242C3" w:rsidRPr="003272C7" w:rsidRDefault="0051015F" w:rsidP="00343905">
            <w:pPr>
              <w:pStyle w:val="TableBullet"/>
              <w:rPr>
                <w:rFonts w:cs="Arial"/>
              </w:rPr>
            </w:pPr>
            <w:r w:rsidRPr="003272C7">
              <w:rPr>
                <w:rFonts w:cs="Arial"/>
              </w:rPr>
              <w:t>Economic cost benefit approaches have been developed for prioritising telemetry and to ensure value for money.</w:t>
            </w:r>
          </w:p>
        </w:tc>
      </w:tr>
      <w:tr w:rsidR="00B242C3" w:rsidRPr="003272C7" w14:paraId="5DB758E9" w14:textId="77777777" w:rsidTr="007232C6">
        <w:trPr>
          <w:trHeight w:val="259"/>
        </w:trPr>
        <w:tc>
          <w:tcPr>
            <w:tcW w:w="979" w:type="pct"/>
            <w:shd w:val="clear" w:color="auto" w:fill="231EDC" w:themeFill="accent1"/>
          </w:tcPr>
          <w:p w14:paraId="43698DA2"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0543EBB2" w14:textId="77777777" w:rsidR="00142559" w:rsidRPr="003272C7" w:rsidRDefault="00887228" w:rsidP="00343905">
            <w:pPr>
              <w:pStyle w:val="TableBullet"/>
              <w:rPr>
                <w:rFonts w:cs="Arial"/>
              </w:rPr>
            </w:pPr>
            <w:r w:rsidRPr="00623380">
              <w:rPr>
                <w:rFonts w:cs="Arial"/>
              </w:rPr>
              <w:t xml:space="preserve">Compliance and enforcement is expected to improve and evolve to address new compliance challenges as they arise. The new systems and policies are now beginning to be embedded as business-as-usual within DEECA and </w:t>
            </w:r>
            <w:r w:rsidR="001B6A9A" w:rsidRPr="003272C7">
              <w:rPr>
                <w:rFonts w:cs="Arial"/>
              </w:rPr>
              <w:t>rural water corporations</w:t>
            </w:r>
            <w:r w:rsidRPr="00623380">
              <w:rPr>
                <w:rFonts w:cs="Arial"/>
              </w:rPr>
              <w:t xml:space="preserve"> and will continue to be refined.</w:t>
            </w:r>
          </w:p>
          <w:p w14:paraId="0CBEAEBF" w14:textId="65DDB3B4" w:rsidR="00253651" w:rsidRPr="003272C7" w:rsidRDefault="00253651" w:rsidP="00343905">
            <w:pPr>
              <w:pStyle w:val="TableBullet"/>
              <w:rPr>
                <w:rFonts w:cs="Arial"/>
              </w:rPr>
            </w:pPr>
            <w:r w:rsidRPr="00623380">
              <w:rPr>
                <w:rFonts w:cs="Arial"/>
              </w:rPr>
              <w:t xml:space="preserve">Enduring changes that have been introduced through legislation will continue to support compliance over time. However, maintaining low levels of unauthorised take will require ongoing effort by </w:t>
            </w:r>
            <w:r w:rsidR="001B6A9A" w:rsidRPr="003272C7">
              <w:rPr>
                <w:rFonts w:cs="Arial"/>
              </w:rPr>
              <w:t>rural water corporations</w:t>
            </w:r>
            <w:r w:rsidRPr="00623380">
              <w:rPr>
                <w:rFonts w:cs="Arial"/>
              </w:rPr>
              <w:t>, with support from DEECA in statewide oversight and assurance (see future priorities below).</w:t>
            </w:r>
          </w:p>
          <w:p w14:paraId="7409B5D0" w14:textId="63886364" w:rsidR="00253651" w:rsidRPr="003272C7" w:rsidRDefault="00253651" w:rsidP="00343905">
            <w:pPr>
              <w:pStyle w:val="TableBullet"/>
              <w:rPr>
                <w:rFonts w:cs="Arial"/>
              </w:rPr>
            </w:pPr>
            <w:r w:rsidRPr="00623380">
              <w:rPr>
                <w:rFonts w:cs="Arial"/>
              </w:rPr>
              <w:t>The Minister</w:t>
            </w:r>
            <w:r w:rsidR="001B6A9A" w:rsidRPr="003272C7">
              <w:rPr>
                <w:rFonts w:cs="Arial"/>
              </w:rPr>
              <w:t>’</w:t>
            </w:r>
            <w:r w:rsidRPr="00623380">
              <w:rPr>
                <w:rFonts w:cs="Arial"/>
              </w:rPr>
              <w:t xml:space="preserve">s </w:t>
            </w:r>
            <w:r w:rsidR="001B6A9A" w:rsidRPr="003272C7">
              <w:rPr>
                <w:rFonts w:cs="Arial"/>
              </w:rPr>
              <w:t>L</w:t>
            </w:r>
            <w:r w:rsidRPr="00623380">
              <w:rPr>
                <w:rFonts w:cs="Arial"/>
              </w:rPr>
              <w:t xml:space="preserve">etter of </w:t>
            </w:r>
            <w:r w:rsidR="001B6A9A" w:rsidRPr="003272C7">
              <w:rPr>
                <w:rFonts w:cs="Arial"/>
              </w:rPr>
              <w:t>E</w:t>
            </w:r>
            <w:r w:rsidRPr="00623380">
              <w:rPr>
                <w:rFonts w:cs="Arial"/>
              </w:rPr>
              <w:t xml:space="preserve">xpectations now requires </w:t>
            </w:r>
            <w:r w:rsidR="001B6A9A" w:rsidRPr="003272C7">
              <w:rPr>
                <w:rFonts w:cs="Arial"/>
              </w:rPr>
              <w:t>rural water corporations</w:t>
            </w:r>
            <w:r w:rsidR="001B6A9A" w:rsidRPr="00623380">
              <w:rPr>
                <w:rFonts w:cs="Arial"/>
              </w:rPr>
              <w:t xml:space="preserve"> </w:t>
            </w:r>
            <w:r w:rsidRPr="00623380">
              <w:rPr>
                <w:rFonts w:cs="Arial"/>
              </w:rPr>
              <w:t>to publicly report including to Parliament on compliance and enforcement</w:t>
            </w:r>
            <w:r w:rsidR="004A62B0" w:rsidRPr="003272C7">
              <w:rPr>
                <w:rFonts w:cs="Arial"/>
              </w:rPr>
              <w:t xml:space="preserve"> </w:t>
            </w:r>
            <w:r w:rsidR="001B6A9A" w:rsidRPr="003272C7">
              <w:rPr>
                <w:rFonts w:cs="Arial"/>
              </w:rPr>
              <w:t xml:space="preserve">and on </w:t>
            </w:r>
            <w:r w:rsidRPr="00623380">
              <w:rPr>
                <w:rFonts w:cs="Arial"/>
              </w:rPr>
              <w:t>their customers</w:t>
            </w:r>
            <w:r w:rsidR="001B6A9A" w:rsidRPr="003272C7">
              <w:rPr>
                <w:rFonts w:cs="Arial"/>
              </w:rPr>
              <w:t>’</w:t>
            </w:r>
            <w:r w:rsidRPr="00623380">
              <w:rPr>
                <w:rFonts w:cs="Arial"/>
              </w:rPr>
              <w:t xml:space="preserve"> unauthorised take against performance targets. Public accountability is a powerful incentive for ongoing commitment and continuous improvement.</w:t>
            </w:r>
          </w:p>
          <w:p w14:paraId="6F3EF7DA" w14:textId="17E18207" w:rsidR="00B242C3" w:rsidRPr="003272C7" w:rsidRDefault="00253651" w:rsidP="00343905">
            <w:pPr>
              <w:pStyle w:val="TableBullet"/>
              <w:rPr>
                <w:rFonts w:cs="Arial"/>
              </w:rPr>
            </w:pPr>
            <w:r w:rsidRPr="00623380">
              <w:rPr>
                <w:rFonts w:cs="Arial"/>
              </w:rPr>
              <w:t>Victoria also has enduring responsibilities and accountabilities to implement compliance under the Murray-Darling Basin Plan including supporting the Murray-Darling Inspector-General of Water Compliance, which will continue to focus attention on compliance and enforcement.</w:t>
            </w:r>
          </w:p>
        </w:tc>
      </w:tr>
      <w:tr w:rsidR="00B242C3" w:rsidRPr="003272C7" w14:paraId="5FA437EB" w14:textId="77777777" w:rsidTr="007232C6">
        <w:trPr>
          <w:trHeight w:val="259"/>
        </w:trPr>
        <w:tc>
          <w:tcPr>
            <w:tcW w:w="979" w:type="pct"/>
            <w:shd w:val="clear" w:color="auto" w:fill="231EDC" w:themeFill="accent1"/>
          </w:tcPr>
          <w:p w14:paraId="5DDAC014"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234F6918" w14:textId="77777777" w:rsidR="00142559" w:rsidRPr="003272C7" w:rsidRDefault="00B242C3" w:rsidP="00055AD3">
            <w:pPr>
              <w:pStyle w:val="TableBullet"/>
              <w:rPr>
                <w:rFonts w:cs="Arial"/>
              </w:rPr>
            </w:pPr>
            <w:r w:rsidRPr="003272C7">
              <w:rPr>
                <w:rFonts w:cs="Arial"/>
              </w:rPr>
              <w:t>Implementing a modern regulatory regime is not an exercise of set and forget. It requires ongoing effort to sustain the current low level of unauthorised take</w:t>
            </w:r>
            <w:r w:rsidR="00753ABE" w:rsidRPr="003272C7">
              <w:rPr>
                <w:rFonts w:cs="Arial"/>
              </w:rPr>
              <w:t xml:space="preserve"> across Victoria</w:t>
            </w:r>
            <w:r w:rsidRPr="003272C7">
              <w:rPr>
                <w:rFonts w:cs="Arial"/>
              </w:rPr>
              <w:t xml:space="preserve">. Currently there is a relative abundance of water and record low allocation prices </w:t>
            </w:r>
            <w:r w:rsidR="00753ABE" w:rsidRPr="003272C7">
              <w:rPr>
                <w:rFonts w:cs="Arial"/>
              </w:rPr>
              <w:t>due to a number of high rainfall years across Victoria</w:t>
            </w:r>
            <w:r w:rsidR="002256BE" w:rsidRPr="003272C7">
              <w:rPr>
                <w:rFonts w:cs="Arial"/>
              </w:rPr>
              <w:t xml:space="preserve"> – noting that scarcity and high prices are</w:t>
            </w:r>
            <w:r w:rsidRPr="003272C7">
              <w:rPr>
                <w:rFonts w:cs="Arial"/>
              </w:rPr>
              <w:t xml:space="preserve"> key drivers for non-compliance.</w:t>
            </w:r>
          </w:p>
          <w:p w14:paraId="31B551D1" w14:textId="77777777" w:rsidR="00142559" w:rsidRPr="003272C7" w:rsidRDefault="002256BE" w:rsidP="00055AD3">
            <w:pPr>
              <w:pStyle w:val="TableBullet"/>
              <w:rPr>
                <w:rFonts w:cs="Arial"/>
              </w:rPr>
            </w:pPr>
            <w:r w:rsidRPr="00623380">
              <w:rPr>
                <w:rFonts w:cs="Arial"/>
              </w:rPr>
              <w:t>The Murray-Darling Basin Inspector General Water Compliance requirements and increased public scrutiny will also drive the need for further funding to ensure ongoing accountability and support of Victoria</w:t>
            </w:r>
            <w:r w:rsidR="001B6A9A" w:rsidRPr="003272C7">
              <w:rPr>
                <w:rFonts w:cs="Arial"/>
              </w:rPr>
              <w:t>’</w:t>
            </w:r>
            <w:r w:rsidRPr="00623380">
              <w:rPr>
                <w:rFonts w:cs="Arial"/>
              </w:rPr>
              <w:t>s obligations.</w:t>
            </w:r>
          </w:p>
          <w:p w14:paraId="7D005E21" w14:textId="34801BC0" w:rsidR="003C1DA7" w:rsidRPr="003272C7" w:rsidRDefault="003C1DA7" w:rsidP="00055AD3">
            <w:pPr>
              <w:pStyle w:val="TableBullet"/>
              <w:rPr>
                <w:rFonts w:cs="Arial"/>
              </w:rPr>
            </w:pPr>
            <w:r w:rsidRPr="00623380">
              <w:rPr>
                <w:rFonts w:cs="Arial"/>
              </w:rPr>
              <w:t>There is now an opportunity to build on the initial success of the compliance and enforcement framework</w:t>
            </w:r>
            <w:r w:rsidR="001B6A9A" w:rsidRPr="003272C7">
              <w:rPr>
                <w:rFonts w:cs="Arial"/>
              </w:rPr>
              <w:t>’</w:t>
            </w:r>
            <w:r w:rsidRPr="00623380">
              <w:rPr>
                <w:rFonts w:cs="Arial"/>
              </w:rPr>
              <w:t>s success in reducing unauthorised take and improve the regulatory environment and compliance of broader water resource management activities. This includes:</w:t>
            </w:r>
          </w:p>
          <w:p w14:paraId="3ACE9FAA" w14:textId="78424BA5" w:rsidR="003C1DA7" w:rsidRPr="003272C7" w:rsidRDefault="003C1DA7" w:rsidP="00055AD3">
            <w:pPr>
              <w:pStyle w:val="TableBullet2"/>
              <w:rPr>
                <w:rFonts w:cs="Arial"/>
              </w:rPr>
            </w:pPr>
            <w:r w:rsidRPr="00623380">
              <w:rPr>
                <w:rFonts w:cs="Arial"/>
              </w:rPr>
              <w:t>Roll out PINs to support improved compliance and enforcement outcomes in other</w:t>
            </w:r>
            <w:r w:rsidR="00055AD3" w:rsidRPr="00623380">
              <w:rPr>
                <w:rFonts w:cs="Arial" w:hint="eastAsia"/>
              </w:rPr>
              <w:t> </w:t>
            </w:r>
            <w:r w:rsidRPr="00623380">
              <w:rPr>
                <w:rFonts w:cs="Arial"/>
              </w:rPr>
              <w:t xml:space="preserve">areas of water resource management </w:t>
            </w:r>
            <w:r w:rsidRPr="00623380">
              <w:rPr>
                <w:rFonts w:cs="Arial" w:hint="eastAsia"/>
              </w:rPr>
              <w:t>–</w:t>
            </w:r>
            <w:r w:rsidRPr="00623380">
              <w:rPr>
                <w:rFonts w:cs="Arial"/>
              </w:rPr>
              <w:t xml:space="preserve"> e.g., recreational water management regulations.</w:t>
            </w:r>
          </w:p>
          <w:p w14:paraId="0A0F4B49" w14:textId="77777777" w:rsidR="00142559" w:rsidRPr="003272C7" w:rsidRDefault="003C1DA7" w:rsidP="00055AD3">
            <w:pPr>
              <w:pStyle w:val="TableBullet2"/>
              <w:rPr>
                <w:rFonts w:cs="Arial"/>
              </w:rPr>
            </w:pPr>
            <w:r w:rsidRPr="00623380">
              <w:rPr>
                <w:rFonts w:cs="Arial"/>
              </w:rPr>
              <w:t>Finalise a water allocation bad debt policy</w:t>
            </w:r>
            <w:r w:rsidR="000523F4" w:rsidRPr="00623380">
              <w:rPr>
                <w:rFonts w:cs="Arial"/>
              </w:rPr>
              <w:t xml:space="preserve"> for the </w:t>
            </w:r>
            <w:r w:rsidR="00B10467" w:rsidRPr="003272C7">
              <w:rPr>
                <w:rFonts w:cs="Arial"/>
              </w:rPr>
              <w:t>VWR</w:t>
            </w:r>
            <w:r w:rsidR="000523F4" w:rsidRPr="00623380">
              <w:rPr>
                <w:rFonts w:cs="Arial"/>
              </w:rPr>
              <w:t>.</w:t>
            </w:r>
          </w:p>
          <w:p w14:paraId="119639CC" w14:textId="551B0EB0" w:rsidR="000523F4" w:rsidRPr="003272C7" w:rsidRDefault="000523F4" w:rsidP="00055AD3">
            <w:pPr>
              <w:pStyle w:val="TableBullet2"/>
              <w:rPr>
                <w:rFonts w:cs="Arial"/>
              </w:rPr>
            </w:pPr>
            <w:r w:rsidRPr="003272C7">
              <w:rPr>
                <w:rFonts w:cs="Arial"/>
              </w:rPr>
              <w:t>Continue to lead the development of the Shortfall Compliance Approach and</w:t>
            </w:r>
            <w:r w:rsidR="00055AD3" w:rsidRPr="003272C7">
              <w:rPr>
                <w:rFonts w:cs="Arial"/>
              </w:rPr>
              <w:t> </w:t>
            </w:r>
            <w:r w:rsidRPr="003272C7">
              <w:rPr>
                <w:rFonts w:cs="Arial"/>
              </w:rPr>
              <w:t>unmetered take estimation procedures</w:t>
            </w:r>
            <w:r w:rsidR="001B6A9A" w:rsidRPr="003272C7">
              <w:rPr>
                <w:rFonts w:cs="Arial"/>
              </w:rPr>
              <w:t>.</w:t>
            </w:r>
          </w:p>
          <w:p w14:paraId="4B340706" w14:textId="6FB27523" w:rsidR="000523F4" w:rsidRPr="003272C7" w:rsidRDefault="000523F4" w:rsidP="00055AD3">
            <w:pPr>
              <w:pStyle w:val="TableBullet2"/>
              <w:rPr>
                <w:rFonts w:cs="Arial"/>
              </w:rPr>
            </w:pPr>
            <w:r w:rsidRPr="003272C7">
              <w:rPr>
                <w:rFonts w:cs="Arial"/>
              </w:rPr>
              <w:t>Develop the project plan for the implementation of the Minister</w:t>
            </w:r>
            <w:r w:rsidRPr="00623380">
              <w:rPr>
                <w:rFonts w:cs="Arial" w:hint="eastAsia"/>
              </w:rPr>
              <w:t>’</w:t>
            </w:r>
            <w:r w:rsidRPr="003272C7">
              <w:rPr>
                <w:rFonts w:cs="Arial"/>
              </w:rPr>
              <w:t>s Power to</w:t>
            </w:r>
            <w:r w:rsidR="00055AD3" w:rsidRPr="003272C7">
              <w:rPr>
                <w:rFonts w:cs="Arial"/>
              </w:rPr>
              <w:t> </w:t>
            </w:r>
            <w:r w:rsidRPr="003272C7">
              <w:rPr>
                <w:rFonts w:cs="Arial"/>
              </w:rPr>
              <w:t>Deduct</w:t>
            </w:r>
            <w:r w:rsidR="001B6A9A" w:rsidRPr="003272C7">
              <w:rPr>
                <w:rFonts w:cs="Arial"/>
              </w:rPr>
              <w:t>.</w:t>
            </w:r>
          </w:p>
          <w:p w14:paraId="25FE48B3" w14:textId="61057443" w:rsidR="000523F4" w:rsidRPr="003272C7" w:rsidRDefault="000523F4" w:rsidP="00055AD3">
            <w:pPr>
              <w:pStyle w:val="TableBullet2"/>
              <w:rPr>
                <w:rFonts w:cs="Arial"/>
              </w:rPr>
            </w:pPr>
            <w:r w:rsidRPr="003272C7">
              <w:rPr>
                <w:rFonts w:cs="Arial"/>
              </w:rPr>
              <w:lastRenderedPageBreak/>
              <w:t>Continue to review Water Infringement Regulations (2020) to rectify administrative</w:t>
            </w:r>
            <w:r w:rsidR="00055AD3" w:rsidRPr="003272C7">
              <w:rPr>
                <w:rFonts w:cs="Arial"/>
              </w:rPr>
              <w:t> </w:t>
            </w:r>
            <w:r w:rsidRPr="003272C7">
              <w:rPr>
                <w:rFonts w:cs="Arial"/>
              </w:rPr>
              <w:t>issues</w:t>
            </w:r>
            <w:r w:rsidR="001B6A9A" w:rsidRPr="003272C7">
              <w:rPr>
                <w:rFonts w:cs="Arial"/>
              </w:rPr>
              <w:t>.</w:t>
            </w:r>
          </w:p>
          <w:p w14:paraId="2737B480" w14:textId="1A702422" w:rsidR="000523F4" w:rsidRPr="003272C7" w:rsidRDefault="000523F4" w:rsidP="00055AD3">
            <w:pPr>
              <w:pStyle w:val="TableBullet2"/>
              <w:rPr>
                <w:rFonts w:cs="Arial"/>
              </w:rPr>
            </w:pPr>
            <w:r w:rsidRPr="003272C7">
              <w:rPr>
                <w:rFonts w:cs="Arial"/>
              </w:rPr>
              <w:t>Continuing to socialise the cost benefit tool to telemeter irrigators meters with the</w:t>
            </w:r>
            <w:r w:rsidR="00055AD3" w:rsidRPr="003272C7">
              <w:rPr>
                <w:rFonts w:cs="Arial"/>
              </w:rPr>
              <w:t> </w:t>
            </w:r>
            <w:r w:rsidRPr="003272C7">
              <w:rPr>
                <w:rFonts w:cs="Arial"/>
              </w:rPr>
              <w:t>rural water corporations</w:t>
            </w:r>
            <w:r w:rsidR="001B6A9A" w:rsidRPr="003272C7">
              <w:rPr>
                <w:rFonts w:cs="Arial"/>
              </w:rPr>
              <w:t>.</w:t>
            </w:r>
          </w:p>
          <w:p w14:paraId="0EBC0F50" w14:textId="69D2D019" w:rsidR="00B242C3" w:rsidRPr="00623380" w:rsidRDefault="000523F4" w:rsidP="00055AD3">
            <w:pPr>
              <w:pStyle w:val="TableBullet2"/>
              <w:rPr>
                <w:rFonts w:cs="Arial"/>
                <w:sz w:val="19"/>
                <w:szCs w:val="19"/>
                <w:lang w:eastAsia="en-AU"/>
              </w:rPr>
            </w:pPr>
            <w:r w:rsidRPr="00623380">
              <w:rPr>
                <w:rFonts w:cs="Arial"/>
              </w:rPr>
              <w:t xml:space="preserve">Improving the effectiveness and consistency of compliance and enforcement regarding lower risk areas of water take </w:t>
            </w:r>
            <w:r w:rsidRPr="00623380">
              <w:rPr>
                <w:rFonts w:cs="Arial" w:hint="eastAsia"/>
              </w:rPr>
              <w:t>–</w:t>
            </w:r>
            <w:r w:rsidRPr="00623380">
              <w:rPr>
                <w:rFonts w:cs="Arial"/>
              </w:rPr>
              <w:t xml:space="preserve"> including small catchment dams.</w:t>
            </w:r>
          </w:p>
        </w:tc>
      </w:tr>
    </w:tbl>
    <w:p w14:paraId="7CB7D87B" w14:textId="77777777" w:rsidR="00B242C3" w:rsidRPr="003272C7" w:rsidRDefault="00B242C3" w:rsidP="00B242C3">
      <w:pPr>
        <w:pStyle w:val="Heading2"/>
        <w:rPr>
          <w:rFonts w:cs="Arial"/>
        </w:rPr>
      </w:pPr>
      <w:bookmarkStart w:id="29" w:name="_Toc147410781"/>
      <w:bookmarkStart w:id="30" w:name="_Toc183777789"/>
      <w:r w:rsidRPr="003272C7">
        <w:rPr>
          <w:rFonts w:cs="Arial"/>
        </w:rPr>
        <w:lastRenderedPageBreak/>
        <w:t>WRS8: Accounting for Water Recovery</w:t>
      </w:r>
      <w:bookmarkEnd w:id="29"/>
      <w:bookmarkEnd w:id="3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10DD4A51" w14:textId="77777777" w:rsidTr="00A34F29">
        <w:trPr>
          <w:trHeight w:val="395"/>
        </w:trPr>
        <w:tc>
          <w:tcPr>
            <w:tcW w:w="979" w:type="pct"/>
            <w:shd w:val="clear" w:color="auto" w:fill="231EDC" w:themeFill="accent1"/>
          </w:tcPr>
          <w:p w14:paraId="33F8F473" w14:textId="4145FAFE" w:rsidR="00B242C3" w:rsidRPr="003272C7" w:rsidRDefault="00C412A9" w:rsidP="00A944F9">
            <w:pPr>
              <w:pStyle w:val="TableHeading"/>
              <w:rPr>
                <w:rFonts w:cs="Arial"/>
              </w:rPr>
            </w:pPr>
            <w:r w:rsidRPr="003272C7">
              <w:rPr>
                <w:rFonts w:cs="Arial"/>
              </w:rPr>
              <w:t>Initiative</w:t>
            </w:r>
          </w:p>
        </w:tc>
        <w:tc>
          <w:tcPr>
            <w:tcW w:w="4021" w:type="pct"/>
            <w:shd w:val="clear" w:color="auto" w:fill="231EDC" w:themeFill="accent1"/>
          </w:tcPr>
          <w:p w14:paraId="70C6ACBA" w14:textId="77777777" w:rsidR="00B242C3" w:rsidRPr="003272C7" w:rsidRDefault="00B242C3" w:rsidP="00A944F9">
            <w:pPr>
              <w:pStyle w:val="TableHeading"/>
              <w:rPr>
                <w:rFonts w:cs="Arial"/>
              </w:rPr>
            </w:pPr>
            <w:r w:rsidRPr="003272C7">
              <w:rPr>
                <w:rFonts w:cs="Arial"/>
              </w:rPr>
              <w:t>2. Strong foundations for Victoria's water: compliance, markets, water entitlements and oversight of the water grid</w:t>
            </w:r>
          </w:p>
        </w:tc>
      </w:tr>
      <w:tr w:rsidR="00B242C3" w:rsidRPr="003272C7" w14:paraId="627C8B01" w14:textId="77777777" w:rsidTr="00A34F29">
        <w:trPr>
          <w:trHeight w:val="341"/>
        </w:trPr>
        <w:tc>
          <w:tcPr>
            <w:tcW w:w="979" w:type="pct"/>
            <w:shd w:val="clear" w:color="auto" w:fill="231EDC" w:themeFill="accent1"/>
          </w:tcPr>
          <w:p w14:paraId="1478CAE3" w14:textId="77777777" w:rsidR="00B242C3" w:rsidRPr="003272C7" w:rsidRDefault="00B242C3" w:rsidP="00A944F9">
            <w:pPr>
              <w:pStyle w:val="TableText"/>
              <w:rPr>
                <w:rFonts w:cs="Arial"/>
                <w:b/>
                <w:bCs/>
              </w:rPr>
            </w:pPr>
            <w:r w:rsidRPr="003272C7">
              <w:rPr>
                <w:rFonts w:cs="Arial"/>
                <w:b/>
                <w:bCs/>
              </w:rPr>
              <w:t>Project</w:t>
            </w:r>
          </w:p>
        </w:tc>
        <w:tc>
          <w:tcPr>
            <w:tcW w:w="4021" w:type="pct"/>
          </w:tcPr>
          <w:p w14:paraId="790C288C" w14:textId="77777777" w:rsidR="00B242C3" w:rsidRPr="003272C7" w:rsidRDefault="00B242C3" w:rsidP="00A944F9">
            <w:pPr>
              <w:pStyle w:val="TableText"/>
              <w:rPr>
                <w:rFonts w:cs="Arial"/>
              </w:rPr>
            </w:pPr>
            <w:r w:rsidRPr="003272C7">
              <w:rPr>
                <w:rFonts w:cs="Arial"/>
              </w:rPr>
              <w:t>WRS8: Accounting for Water Recovery</w:t>
            </w:r>
          </w:p>
        </w:tc>
      </w:tr>
      <w:tr w:rsidR="00B242C3" w:rsidRPr="003272C7" w14:paraId="4F0584FB" w14:textId="77777777" w:rsidTr="00A34F29">
        <w:trPr>
          <w:trHeight w:val="259"/>
        </w:trPr>
        <w:tc>
          <w:tcPr>
            <w:tcW w:w="979" w:type="pct"/>
            <w:shd w:val="clear" w:color="auto" w:fill="231EDC" w:themeFill="accent1"/>
          </w:tcPr>
          <w:p w14:paraId="5EED80D9" w14:textId="77777777" w:rsidR="00B242C3" w:rsidRPr="003272C7" w:rsidRDefault="00B242C3" w:rsidP="00C06DED">
            <w:pPr>
              <w:pStyle w:val="TableText"/>
              <w:rPr>
                <w:rFonts w:cs="Arial"/>
                <w:b/>
                <w:bCs/>
                <w:szCs w:val="18"/>
              </w:rPr>
            </w:pPr>
            <w:r w:rsidRPr="003272C7">
              <w:rPr>
                <w:rFonts w:cs="Arial"/>
                <w:b/>
                <w:bCs/>
                <w:szCs w:val="18"/>
              </w:rPr>
              <w:t>Description</w:t>
            </w:r>
          </w:p>
          <w:p w14:paraId="5874FCB7" w14:textId="77777777" w:rsidR="00B242C3" w:rsidRPr="003272C7" w:rsidRDefault="00B242C3" w:rsidP="00C06DED">
            <w:pPr>
              <w:pStyle w:val="TableText"/>
              <w:rPr>
                <w:rFonts w:cs="Arial"/>
                <w:b/>
                <w:bCs/>
                <w:szCs w:val="18"/>
              </w:rPr>
            </w:pPr>
          </w:p>
        </w:tc>
        <w:tc>
          <w:tcPr>
            <w:tcW w:w="4021" w:type="pct"/>
          </w:tcPr>
          <w:p w14:paraId="769B0705" w14:textId="77777777" w:rsidR="00142559" w:rsidRPr="003272C7" w:rsidRDefault="00B242C3" w:rsidP="00A944F9">
            <w:pPr>
              <w:pStyle w:val="TableBullet"/>
              <w:rPr>
                <w:rFonts w:cs="Arial"/>
              </w:rPr>
            </w:pPr>
            <w:r w:rsidRPr="003272C7">
              <w:rPr>
                <w:rFonts w:cs="Arial"/>
              </w:rPr>
              <w:t>The Australian and Victoria Governments, and irrigators have invested more than $2.5 billion dollars to modernise the public irrigation systems to reduce water being lost by these systems. The water recovered is to provide additional water for the environment, irrigation, urban water supplies and for Traditional Owners.</w:t>
            </w:r>
          </w:p>
          <w:p w14:paraId="4C9C3C14" w14:textId="4DEF7652" w:rsidR="00B242C3" w:rsidRPr="003272C7" w:rsidRDefault="00B242C3" w:rsidP="00A944F9">
            <w:pPr>
              <w:pStyle w:val="TableBullet"/>
              <w:rPr>
                <w:rFonts w:cs="Arial"/>
              </w:rPr>
            </w:pPr>
            <w:r w:rsidRPr="003272C7">
              <w:rPr>
                <w:rFonts w:cs="Arial"/>
              </w:rPr>
              <w:t xml:space="preserve">Distributing the water recovery requires creating water entitlements equivalent to the long-term water recovery and making amendments to bulk entitlements. The Minister for Water cannot approve the issuing of water entitlements and necessary bulk entitlement amendments until assured there are no third-party impacts. To demonstrate </w:t>
            </w:r>
            <w:r w:rsidR="00DC443D" w:rsidRPr="003272C7">
              <w:rPr>
                <w:rFonts w:cs="Arial"/>
              </w:rPr>
              <w:t xml:space="preserve">there are </w:t>
            </w:r>
            <w:r w:rsidRPr="003272C7">
              <w:rPr>
                <w:rFonts w:cs="Arial"/>
              </w:rPr>
              <w:t xml:space="preserve">no third-party impacts, the Minister’s water savings </w:t>
            </w:r>
            <w:r w:rsidR="00B10467" w:rsidRPr="003272C7">
              <w:rPr>
                <w:rFonts w:cs="Arial"/>
              </w:rPr>
              <w:t>p</w:t>
            </w:r>
            <w:r w:rsidRPr="003272C7">
              <w:rPr>
                <w:rFonts w:cs="Arial"/>
              </w:rPr>
              <w:t>rotocol requires the water recovery to be independently verified and water set aside to mitigate the adverse environmental impacts from a more efficient irrigation system.</w:t>
            </w:r>
          </w:p>
          <w:p w14:paraId="20B99645" w14:textId="5791E354" w:rsidR="00B242C3" w:rsidRPr="003272C7" w:rsidRDefault="00B242C3" w:rsidP="00A944F9">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enabled the audited long-term water recovery to be converted into water entitlement volumes and reliabilities and for the legally necessary amendments to bulk entitlements to be made.</w:t>
            </w:r>
          </w:p>
          <w:p w14:paraId="0AC6A817" w14:textId="523FEAE1" w:rsidR="00B242C3" w:rsidRPr="003272C7" w:rsidRDefault="00B242C3" w:rsidP="00A944F9">
            <w:pPr>
              <w:pStyle w:val="TableBullet"/>
              <w:rPr>
                <w:rFonts w:cs="Arial"/>
              </w:rPr>
            </w:pPr>
            <w:r w:rsidRPr="003272C7">
              <w:rPr>
                <w:rFonts w:cs="Arial"/>
              </w:rPr>
              <w:t>Converting the water recovery into water entitlements enabled distributing the water recovery benefits</w:t>
            </w:r>
            <w:r w:rsidR="00A57228" w:rsidRPr="003272C7">
              <w:rPr>
                <w:rFonts w:cs="Arial"/>
              </w:rPr>
              <w:t>,</w:t>
            </w:r>
            <w:r w:rsidRPr="003272C7">
              <w:rPr>
                <w:rFonts w:cs="Arial"/>
              </w:rPr>
              <w:t xml:space="preserve"> including to the Australian Government</w:t>
            </w:r>
            <w:r w:rsidR="00A57228" w:rsidRPr="003272C7">
              <w:rPr>
                <w:rFonts w:cs="Arial"/>
              </w:rPr>
              <w:t>,</w:t>
            </w:r>
            <w:r w:rsidRPr="003272C7">
              <w:rPr>
                <w:rFonts w:cs="Arial"/>
              </w:rPr>
              <w:t xml:space="preserve"> thereby meeting contractual obligations.</w:t>
            </w:r>
          </w:p>
          <w:p w14:paraId="022B37BA" w14:textId="111C9190" w:rsidR="00B242C3" w:rsidRPr="00623380" w:rsidRDefault="00B242C3" w:rsidP="00A944F9">
            <w:pPr>
              <w:pStyle w:val="TableBullet"/>
              <w:rPr>
                <w:rFonts w:cs="Arial"/>
                <w:sz w:val="19"/>
                <w:szCs w:val="19"/>
              </w:rPr>
            </w:pPr>
            <w:r w:rsidRPr="003272C7">
              <w:rPr>
                <w:rFonts w:cs="Arial"/>
              </w:rPr>
              <w:t xml:space="preserve">The </w:t>
            </w:r>
            <w:r w:rsidR="00445736" w:rsidRPr="003272C7">
              <w:rPr>
                <w:rFonts w:cs="Arial"/>
              </w:rPr>
              <w:t>project</w:t>
            </w:r>
            <w:r w:rsidRPr="003272C7">
              <w:rPr>
                <w:rFonts w:cs="Arial"/>
              </w:rPr>
              <w:t xml:space="preserve"> was also critical for Victoria to demonstrate its progress to meeting its water recovery target obligations under the Murray-Darling Basin Plan.</w:t>
            </w:r>
          </w:p>
        </w:tc>
      </w:tr>
      <w:tr w:rsidR="00B242C3" w:rsidRPr="003272C7" w14:paraId="2A4EC427" w14:textId="77777777" w:rsidTr="00A34F29">
        <w:trPr>
          <w:trHeight w:val="259"/>
        </w:trPr>
        <w:tc>
          <w:tcPr>
            <w:tcW w:w="979" w:type="pct"/>
            <w:shd w:val="clear" w:color="auto" w:fill="231EDC" w:themeFill="accent1"/>
          </w:tcPr>
          <w:p w14:paraId="21CB63AF"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231457E2" w14:textId="6F62802D" w:rsidR="007623AA" w:rsidRPr="003272C7" w:rsidRDefault="000566BD" w:rsidP="0037767F">
            <w:pPr>
              <w:pStyle w:val="TableBullet"/>
              <w:rPr>
                <w:rFonts w:cs="Arial"/>
              </w:rPr>
            </w:pPr>
            <w:r w:rsidRPr="003272C7">
              <w:rPr>
                <w:rFonts w:cs="Arial"/>
              </w:rPr>
              <w:t>Conducted i</w:t>
            </w:r>
            <w:r w:rsidR="00B242C3" w:rsidRPr="003272C7">
              <w:rPr>
                <w:rFonts w:cs="Arial"/>
              </w:rPr>
              <w:t>ndependent audit and reviews of water recovery for</w:t>
            </w:r>
            <w:r w:rsidR="00B10467" w:rsidRPr="003272C7">
              <w:rPr>
                <w:rFonts w:cs="Arial"/>
              </w:rPr>
              <w:t>:</w:t>
            </w:r>
          </w:p>
          <w:p w14:paraId="42F3C37B" w14:textId="520D897D" w:rsidR="00297B3D" w:rsidRPr="003272C7" w:rsidRDefault="00B242C3" w:rsidP="003A64BD">
            <w:pPr>
              <w:pStyle w:val="TableBullet2"/>
              <w:rPr>
                <w:rFonts w:cs="Arial"/>
              </w:rPr>
            </w:pPr>
            <w:r w:rsidRPr="003272C7">
              <w:rPr>
                <w:rFonts w:cs="Arial"/>
              </w:rPr>
              <w:t>the Goulburn-Murray Water Connections Project and Water Efficiency Project</w:t>
            </w:r>
            <w:r w:rsidR="007623AA" w:rsidRPr="003272C7">
              <w:rPr>
                <w:rFonts w:cs="Arial"/>
              </w:rPr>
              <w:t xml:space="preserve"> (GMW WEP)</w:t>
            </w:r>
            <w:r w:rsidR="00B10467" w:rsidRPr="003272C7">
              <w:rPr>
                <w:rFonts w:cs="Arial"/>
              </w:rPr>
              <w:t>.</w:t>
            </w:r>
          </w:p>
          <w:p w14:paraId="3C2DECD9" w14:textId="1BFB7ACB" w:rsidR="00297B3D" w:rsidRPr="003272C7" w:rsidRDefault="00B242C3" w:rsidP="003A64BD">
            <w:pPr>
              <w:pStyle w:val="TableBullet2"/>
              <w:rPr>
                <w:rFonts w:cs="Arial"/>
              </w:rPr>
            </w:pPr>
            <w:r w:rsidRPr="003272C7">
              <w:rPr>
                <w:rFonts w:cs="Arial"/>
              </w:rPr>
              <w:t>the modernisation of the Southern Rural Water Maffra Weir and Willang Yarn balancing storage</w:t>
            </w:r>
            <w:r w:rsidR="00B10467" w:rsidRPr="003272C7">
              <w:rPr>
                <w:rFonts w:cs="Arial"/>
              </w:rPr>
              <w:t>.</w:t>
            </w:r>
          </w:p>
          <w:p w14:paraId="3C8F341D" w14:textId="06761C91" w:rsidR="00AD218A" w:rsidRPr="003272C7" w:rsidRDefault="00B242C3" w:rsidP="003A64BD">
            <w:pPr>
              <w:pStyle w:val="TableBullet2"/>
              <w:rPr>
                <w:rFonts w:cs="Arial"/>
              </w:rPr>
            </w:pPr>
            <w:r w:rsidRPr="003272C7">
              <w:rPr>
                <w:rFonts w:cs="Arial"/>
              </w:rPr>
              <w:t xml:space="preserve">a final audit of water recovery achieved by Phase 1A of the Macalister Irrigation District 2030 </w:t>
            </w:r>
            <w:r w:rsidR="00AD218A" w:rsidRPr="003272C7">
              <w:rPr>
                <w:rFonts w:cs="Arial"/>
              </w:rPr>
              <w:t xml:space="preserve">Irrigation Modernisation </w:t>
            </w:r>
            <w:r w:rsidRPr="003272C7">
              <w:rPr>
                <w:rFonts w:cs="Arial"/>
              </w:rPr>
              <w:t>Program</w:t>
            </w:r>
            <w:r w:rsidR="00B10467" w:rsidRPr="003272C7">
              <w:rPr>
                <w:rFonts w:cs="Arial"/>
              </w:rPr>
              <w:t>.</w:t>
            </w:r>
          </w:p>
          <w:p w14:paraId="12BBFA88" w14:textId="3ECB5ADC" w:rsidR="00B242C3" w:rsidRPr="003272C7" w:rsidRDefault="00AD218A" w:rsidP="003A64BD">
            <w:pPr>
              <w:pStyle w:val="TableBullet2"/>
              <w:rPr>
                <w:rFonts w:cs="Arial"/>
              </w:rPr>
            </w:pPr>
            <w:r w:rsidRPr="003272C7">
              <w:rPr>
                <w:rFonts w:cs="Arial"/>
              </w:rPr>
              <w:t>Tranche 1 Audit of the Lower Murray Water Sunraysia Water Efficiency Project (LMW SWEP)</w:t>
            </w:r>
            <w:r w:rsidR="00B242C3" w:rsidRPr="003272C7">
              <w:rPr>
                <w:rFonts w:cs="Arial"/>
              </w:rPr>
              <w:t>.</w:t>
            </w:r>
          </w:p>
          <w:p w14:paraId="5086F199" w14:textId="44067B7C" w:rsidR="00B242C3" w:rsidRPr="003272C7" w:rsidRDefault="00350E64" w:rsidP="003A64BD">
            <w:pPr>
              <w:pStyle w:val="TableBullet"/>
              <w:rPr>
                <w:rFonts w:cs="Arial"/>
              </w:rPr>
            </w:pPr>
            <w:r w:rsidRPr="003272C7">
              <w:rPr>
                <w:rFonts w:cs="Arial"/>
              </w:rPr>
              <w:t>Implemented a</w:t>
            </w:r>
            <w:r w:rsidR="00B242C3" w:rsidRPr="003272C7">
              <w:rPr>
                <w:rFonts w:cs="Arial"/>
              </w:rPr>
              <w:t>mendments to respective loss bulk entitlements to account for the water recovery.</w:t>
            </w:r>
          </w:p>
          <w:p w14:paraId="450DB348" w14:textId="18F2D53F" w:rsidR="008170FE" w:rsidRPr="003272C7" w:rsidRDefault="00350E64" w:rsidP="003A64BD">
            <w:pPr>
              <w:pStyle w:val="TableBullet"/>
              <w:rPr>
                <w:rFonts w:cs="Arial"/>
              </w:rPr>
            </w:pPr>
            <w:r w:rsidRPr="003272C7">
              <w:rPr>
                <w:rFonts w:cs="Arial"/>
              </w:rPr>
              <w:t xml:space="preserve">Translated </w:t>
            </w:r>
            <w:r w:rsidR="00B242C3" w:rsidRPr="003272C7">
              <w:rPr>
                <w:rFonts w:cs="Arial"/>
              </w:rPr>
              <w:t>the water recovery into water entitlement volumes.</w:t>
            </w:r>
            <w:r w:rsidR="00B10467" w:rsidRPr="003272C7">
              <w:rPr>
                <w:rFonts w:cs="Arial"/>
              </w:rPr>
              <w:t xml:space="preserve"> </w:t>
            </w:r>
            <w:r w:rsidR="000C4B97" w:rsidRPr="003272C7">
              <w:rPr>
                <w:rFonts w:cs="Arial"/>
              </w:rPr>
              <w:t xml:space="preserve">Coordinated </w:t>
            </w:r>
            <w:r w:rsidR="00B242C3" w:rsidRPr="003272C7">
              <w:rPr>
                <w:rFonts w:cs="Arial"/>
              </w:rPr>
              <w:t xml:space="preserve">and led in the timely allocation achieved by the </w:t>
            </w:r>
            <w:r w:rsidR="00B10467" w:rsidRPr="003272C7">
              <w:rPr>
                <w:rFonts w:cs="Arial"/>
              </w:rPr>
              <w:t xml:space="preserve">Goulburn-Murray Water </w:t>
            </w:r>
            <w:r w:rsidR="00B242C3" w:rsidRPr="003272C7">
              <w:rPr>
                <w:rFonts w:cs="Arial"/>
              </w:rPr>
              <w:t xml:space="preserve">Connections Project and </w:t>
            </w:r>
            <w:r w:rsidR="00A818B9" w:rsidRPr="003272C7">
              <w:rPr>
                <w:rFonts w:cs="Arial"/>
              </w:rPr>
              <w:t xml:space="preserve">identified </w:t>
            </w:r>
            <w:r w:rsidR="00B242C3" w:rsidRPr="003272C7">
              <w:rPr>
                <w:rFonts w:cs="Arial"/>
              </w:rPr>
              <w:t xml:space="preserve">additional water recovery (returned to </w:t>
            </w:r>
            <w:r w:rsidR="00A818B9" w:rsidRPr="003272C7">
              <w:rPr>
                <w:rFonts w:cs="Arial"/>
              </w:rPr>
              <w:t>Traditional Owners</w:t>
            </w:r>
            <w:r w:rsidR="00B242C3" w:rsidRPr="003272C7">
              <w:rPr>
                <w:rFonts w:cs="Arial"/>
              </w:rPr>
              <w:t>).</w:t>
            </w:r>
            <w:r w:rsidR="004A62B0" w:rsidRPr="003272C7">
              <w:rPr>
                <w:rFonts w:cs="Arial"/>
              </w:rPr>
              <w:t xml:space="preserve"> </w:t>
            </w:r>
            <w:r w:rsidR="00A818B9" w:rsidRPr="003272C7">
              <w:rPr>
                <w:rFonts w:cs="Arial"/>
              </w:rPr>
              <w:t>Successfully c</w:t>
            </w:r>
            <w:r w:rsidR="00B242C3" w:rsidRPr="003272C7">
              <w:rPr>
                <w:rFonts w:cs="Arial"/>
              </w:rPr>
              <w:t>lose</w:t>
            </w:r>
            <w:r w:rsidR="00A818B9" w:rsidRPr="003272C7">
              <w:rPr>
                <w:rFonts w:cs="Arial"/>
              </w:rPr>
              <w:t xml:space="preserve">d </w:t>
            </w:r>
            <w:r w:rsidR="00B242C3" w:rsidRPr="003272C7">
              <w:rPr>
                <w:rFonts w:cs="Arial"/>
              </w:rPr>
              <w:t>out the Connections Project</w:t>
            </w:r>
            <w:r w:rsidR="00A818B9" w:rsidRPr="003272C7">
              <w:rPr>
                <w:rFonts w:cs="Arial"/>
              </w:rPr>
              <w:t>, ensuring</w:t>
            </w:r>
            <w:r w:rsidR="00B242C3" w:rsidRPr="003272C7">
              <w:rPr>
                <w:rFonts w:cs="Arial"/>
              </w:rPr>
              <w:t xml:space="preserve"> the distribution of water recovery to the </w:t>
            </w:r>
            <w:r w:rsidR="00B10467" w:rsidRPr="003272C7">
              <w:rPr>
                <w:rFonts w:cs="Arial"/>
              </w:rPr>
              <w:t>Commonwealth</w:t>
            </w:r>
            <w:r w:rsidR="00B242C3" w:rsidRPr="003272C7">
              <w:rPr>
                <w:rFonts w:cs="Arial"/>
              </w:rPr>
              <w:t xml:space="preserve"> and Victorian environmental water entitlement holders, Melbourne retail water corporations</w:t>
            </w:r>
            <w:r w:rsidR="002A217E" w:rsidRPr="003272C7">
              <w:rPr>
                <w:rFonts w:cs="Arial"/>
              </w:rPr>
              <w:t xml:space="preserve"> and</w:t>
            </w:r>
            <w:r w:rsidR="00B242C3" w:rsidRPr="003272C7">
              <w:rPr>
                <w:rFonts w:cs="Arial"/>
              </w:rPr>
              <w:t xml:space="preserve"> irrigators.</w:t>
            </w:r>
          </w:p>
          <w:p w14:paraId="5674090C" w14:textId="57BA5286" w:rsidR="00B242C3" w:rsidRPr="003272C7" w:rsidRDefault="002F7639" w:rsidP="003A64BD">
            <w:pPr>
              <w:pStyle w:val="TableBullet"/>
              <w:rPr>
                <w:rFonts w:cs="Arial"/>
              </w:rPr>
            </w:pPr>
            <w:r w:rsidRPr="003272C7">
              <w:rPr>
                <w:rFonts w:cs="Arial"/>
              </w:rPr>
              <w:t>Successfully completed the</w:t>
            </w:r>
            <w:r w:rsidR="00B242C3" w:rsidRPr="003272C7">
              <w:rPr>
                <w:rFonts w:cs="Arial"/>
              </w:rPr>
              <w:t xml:space="preserve"> timely distribution of water shares to the Australian Government for </w:t>
            </w:r>
            <w:r w:rsidRPr="003272C7">
              <w:rPr>
                <w:rFonts w:cs="Arial"/>
              </w:rPr>
              <w:t xml:space="preserve">both </w:t>
            </w:r>
            <w:r w:rsidR="00B242C3" w:rsidRPr="003272C7">
              <w:rPr>
                <w:rFonts w:cs="Arial"/>
              </w:rPr>
              <w:t>stage</w:t>
            </w:r>
            <w:r w:rsidRPr="003272C7">
              <w:rPr>
                <w:rFonts w:cs="Arial"/>
              </w:rPr>
              <w:t>s</w:t>
            </w:r>
            <w:r w:rsidR="00B242C3" w:rsidRPr="003272C7">
              <w:rPr>
                <w:rFonts w:cs="Arial"/>
              </w:rPr>
              <w:t xml:space="preserve"> 1 </w:t>
            </w:r>
            <w:r w:rsidRPr="003272C7">
              <w:rPr>
                <w:rFonts w:cs="Arial"/>
              </w:rPr>
              <w:t>and 2</w:t>
            </w:r>
            <w:r w:rsidR="00B242C3" w:rsidRPr="003272C7">
              <w:rPr>
                <w:rFonts w:cs="Arial"/>
              </w:rPr>
              <w:t xml:space="preserve"> of the GMW </w:t>
            </w:r>
            <w:r w:rsidRPr="003272C7">
              <w:rPr>
                <w:rFonts w:cs="Arial"/>
              </w:rPr>
              <w:t>WEP</w:t>
            </w:r>
            <w:r w:rsidR="00B242C3" w:rsidRPr="003272C7">
              <w:rPr>
                <w:rFonts w:cs="Arial"/>
              </w:rPr>
              <w:t>.</w:t>
            </w:r>
          </w:p>
          <w:p w14:paraId="756990AA" w14:textId="1CA821EB" w:rsidR="002F7639" w:rsidRPr="003272C7" w:rsidRDefault="002F7639" w:rsidP="003A64BD">
            <w:pPr>
              <w:pStyle w:val="TableBullet"/>
              <w:rPr>
                <w:rFonts w:cs="Arial"/>
              </w:rPr>
            </w:pPr>
            <w:r w:rsidRPr="003272C7">
              <w:rPr>
                <w:rFonts w:cs="Arial"/>
              </w:rPr>
              <w:t>Successfully completed the timely distribution of water shares to the Australian Government for Tranche 1 LMW SWEP.</w:t>
            </w:r>
          </w:p>
          <w:p w14:paraId="28F1D07D" w14:textId="77777777" w:rsidR="00142559" w:rsidRPr="003272C7" w:rsidRDefault="002F7639" w:rsidP="003A64BD">
            <w:pPr>
              <w:pStyle w:val="TableBullet"/>
              <w:rPr>
                <w:rFonts w:cs="Arial"/>
              </w:rPr>
            </w:pPr>
            <w:r w:rsidRPr="003272C7">
              <w:rPr>
                <w:rFonts w:cs="Arial"/>
              </w:rPr>
              <w:lastRenderedPageBreak/>
              <w:t xml:space="preserve">Successfully completed the creation of high- and low -reliability water shares in the </w:t>
            </w:r>
            <w:r w:rsidR="00B10467" w:rsidRPr="003272C7">
              <w:rPr>
                <w:rFonts w:cs="Arial"/>
              </w:rPr>
              <w:t>MID</w:t>
            </w:r>
            <w:r w:rsidRPr="003272C7">
              <w:rPr>
                <w:rFonts w:cs="Arial"/>
              </w:rPr>
              <w:t xml:space="preserve"> for sale by </w:t>
            </w:r>
            <w:r w:rsidR="00B10467" w:rsidRPr="003272C7">
              <w:rPr>
                <w:rFonts w:cs="Arial"/>
              </w:rPr>
              <w:t>Southern Rural Water</w:t>
            </w:r>
            <w:r w:rsidRPr="003272C7">
              <w:rPr>
                <w:rFonts w:cs="Arial"/>
              </w:rPr>
              <w:t>.</w:t>
            </w:r>
          </w:p>
          <w:p w14:paraId="3C8BEBB9" w14:textId="11A95A17" w:rsidR="00B242C3" w:rsidRPr="003272C7" w:rsidRDefault="00B242C3" w:rsidP="003A64BD">
            <w:pPr>
              <w:pStyle w:val="TableBullet"/>
              <w:rPr>
                <w:rFonts w:cs="Arial"/>
              </w:rPr>
            </w:pPr>
            <w:r w:rsidRPr="003272C7">
              <w:rPr>
                <w:rFonts w:cs="Arial"/>
              </w:rPr>
              <w:t>Verif</w:t>
            </w:r>
            <w:r w:rsidR="002F7639" w:rsidRPr="003272C7">
              <w:rPr>
                <w:rFonts w:cs="Arial"/>
              </w:rPr>
              <w:t>ied</w:t>
            </w:r>
            <w:r w:rsidR="00311BCF" w:rsidRPr="003272C7">
              <w:rPr>
                <w:rFonts w:cs="Arial"/>
              </w:rPr>
              <w:t xml:space="preserve"> the</w:t>
            </w:r>
            <w:r w:rsidRPr="003272C7">
              <w:rPr>
                <w:rFonts w:cs="Arial"/>
              </w:rPr>
              <w:t xml:space="preserve"> water recovery estimates for the </w:t>
            </w:r>
            <w:r w:rsidR="00B10467" w:rsidRPr="003272C7">
              <w:rPr>
                <w:rFonts w:cs="Arial"/>
              </w:rPr>
              <w:t>Lower Murray Water</w:t>
            </w:r>
            <w:r w:rsidRPr="003272C7">
              <w:rPr>
                <w:rFonts w:cs="Arial"/>
              </w:rPr>
              <w:t xml:space="preserve"> business case for further modernisation of their irrigation district (</w:t>
            </w:r>
            <w:r w:rsidR="00311BCF" w:rsidRPr="003272C7">
              <w:rPr>
                <w:rFonts w:cs="Arial"/>
              </w:rPr>
              <w:t>Water Efficiency Project</w:t>
            </w:r>
            <w:r w:rsidRPr="003272C7">
              <w:rPr>
                <w:rFonts w:cs="Arial"/>
              </w:rPr>
              <w:t>)</w:t>
            </w:r>
            <w:r w:rsidR="00311BCF" w:rsidRPr="003272C7">
              <w:rPr>
                <w:rFonts w:cs="Arial"/>
              </w:rPr>
              <w:t xml:space="preserve"> and reviewed </w:t>
            </w:r>
            <w:r w:rsidR="00B10467" w:rsidRPr="003272C7">
              <w:rPr>
                <w:rFonts w:cs="Arial"/>
              </w:rPr>
              <w:t xml:space="preserve">Lower Murray Water </w:t>
            </w:r>
            <w:r w:rsidR="00311BCF" w:rsidRPr="003272C7">
              <w:rPr>
                <w:rFonts w:cs="Arial"/>
              </w:rPr>
              <w:t>metering plan</w:t>
            </w:r>
            <w:r w:rsidRPr="003272C7">
              <w:rPr>
                <w:rFonts w:cs="Arial"/>
              </w:rPr>
              <w:t>.</w:t>
            </w:r>
          </w:p>
          <w:p w14:paraId="76724006" w14:textId="19A7B1B7" w:rsidR="00B242C3" w:rsidRPr="003272C7" w:rsidRDefault="00B242C3" w:rsidP="003A64BD">
            <w:pPr>
              <w:pStyle w:val="TableBullet"/>
              <w:rPr>
                <w:rFonts w:cs="Arial"/>
              </w:rPr>
            </w:pPr>
            <w:r w:rsidRPr="003272C7">
              <w:rPr>
                <w:rFonts w:cs="Arial"/>
              </w:rPr>
              <w:t xml:space="preserve">Revised water recovery </w:t>
            </w:r>
            <w:r w:rsidR="00A57228" w:rsidRPr="003272C7">
              <w:rPr>
                <w:rFonts w:cs="Arial"/>
              </w:rPr>
              <w:t>con</w:t>
            </w:r>
            <w:r w:rsidRPr="003272C7">
              <w:rPr>
                <w:rFonts w:cs="Arial"/>
              </w:rPr>
              <w:t>version factors to estimate long-term water recovery for Southern Victoria which is more representative of the drying climate.</w:t>
            </w:r>
          </w:p>
          <w:p w14:paraId="5EDEF44B" w14:textId="7FDCC567" w:rsidR="00B242C3" w:rsidRPr="00623380" w:rsidRDefault="00311BCF" w:rsidP="003A64BD">
            <w:pPr>
              <w:pStyle w:val="TableBullet"/>
              <w:rPr>
                <w:rFonts w:cs="Arial"/>
                <w:sz w:val="19"/>
                <w:szCs w:val="19"/>
              </w:rPr>
            </w:pPr>
            <w:r w:rsidRPr="00623380">
              <w:rPr>
                <w:rFonts w:cs="Arial"/>
              </w:rPr>
              <w:t>Monitored and provided quarterly reports on water recovery generated from irrigation modernisation and water recovery projects to the MDBA.</w:t>
            </w:r>
            <w:r w:rsidR="00142559" w:rsidRPr="00623380">
              <w:rPr>
                <w:rStyle w:val="normaltextrun"/>
                <w:rFonts w:cs="Arial"/>
                <w:sz w:val="19"/>
                <w:szCs w:val="19"/>
                <w:shd w:val="clear" w:color="auto" w:fill="FFFFFF"/>
              </w:rPr>
              <w:t xml:space="preserve"> </w:t>
            </w:r>
          </w:p>
        </w:tc>
      </w:tr>
      <w:tr w:rsidR="00C51015" w:rsidRPr="003272C7" w14:paraId="42FE2F6F" w14:textId="77777777" w:rsidTr="00C51015">
        <w:trPr>
          <w:trHeight w:val="259"/>
        </w:trPr>
        <w:tc>
          <w:tcPr>
            <w:tcW w:w="5000" w:type="pct"/>
            <w:gridSpan w:val="2"/>
            <w:shd w:val="clear" w:color="auto" w:fill="231EDC" w:themeFill="accent1"/>
          </w:tcPr>
          <w:p w14:paraId="4FD53FD2" w14:textId="3CF5F361" w:rsidR="00C51015" w:rsidRPr="003272C7" w:rsidRDefault="00C51015" w:rsidP="00C51015">
            <w:pPr>
              <w:pStyle w:val="TableBullet"/>
              <w:numPr>
                <w:ilvl w:val="0"/>
                <w:numId w:val="0"/>
              </w:numPr>
              <w:ind w:left="284" w:hanging="284"/>
              <w:rPr>
                <w:rFonts w:cs="Arial"/>
                <w:b/>
                <w:bCs/>
              </w:rPr>
            </w:pPr>
            <w:r w:rsidRPr="003272C7">
              <w:rPr>
                <w:rFonts w:cs="Arial"/>
                <w:b/>
                <w:bCs/>
              </w:rPr>
              <w:lastRenderedPageBreak/>
              <w:t>Summary against evaluation domains</w:t>
            </w:r>
          </w:p>
        </w:tc>
      </w:tr>
      <w:tr w:rsidR="00B242C3" w:rsidRPr="003272C7" w14:paraId="2CC20029" w14:textId="77777777" w:rsidTr="00A34F29">
        <w:trPr>
          <w:trHeight w:val="259"/>
        </w:trPr>
        <w:tc>
          <w:tcPr>
            <w:tcW w:w="979" w:type="pct"/>
            <w:shd w:val="clear" w:color="auto" w:fill="231EDC" w:themeFill="accent1"/>
          </w:tcPr>
          <w:p w14:paraId="7613FB90"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2F29C46F" w14:textId="77777777" w:rsidR="00142559" w:rsidRPr="003272C7" w:rsidRDefault="00586F48" w:rsidP="003A64BD">
            <w:pPr>
              <w:pStyle w:val="TableBullet"/>
              <w:rPr>
                <w:rFonts w:cs="Arial"/>
              </w:rPr>
            </w:pPr>
            <w:r w:rsidRPr="00623380">
              <w:rPr>
                <w:rFonts w:cs="Arial"/>
              </w:rPr>
              <w:t>Assurance that water recovered from irrigation modernisation is verified and that associated water entitlements issued for the water recovery will not adversely impact the environment and on the reliability of existing water entitlements.</w:t>
            </w:r>
          </w:p>
          <w:p w14:paraId="50ECF00D" w14:textId="30DD26E4" w:rsidR="00B242C3" w:rsidRPr="00623380" w:rsidRDefault="00B242C3" w:rsidP="003A64BD">
            <w:pPr>
              <w:pStyle w:val="TableBullet"/>
              <w:rPr>
                <w:rFonts w:cs="Arial"/>
                <w:sz w:val="19"/>
                <w:szCs w:val="19"/>
              </w:rPr>
            </w:pPr>
            <w:r w:rsidRPr="003272C7">
              <w:rPr>
                <w:rFonts w:cs="Arial"/>
              </w:rPr>
              <w:t xml:space="preserve">Since EC5 commenced, there have been </w:t>
            </w:r>
            <w:r w:rsidR="00B10467" w:rsidRPr="003272C7">
              <w:rPr>
                <w:rFonts w:cs="Arial"/>
              </w:rPr>
              <w:t>6</w:t>
            </w:r>
            <w:r w:rsidR="00586F48" w:rsidRPr="003272C7">
              <w:rPr>
                <w:rFonts w:cs="Arial"/>
              </w:rPr>
              <w:t xml:space="preserve"> </w:t>
            </w:r>
            <w:r w:rsidRPr="003272C7">
              <w:rPr>
                <w:rFonts w:cs="Arial"/>
              </w:rPr>
              <w:t xml:space="preserve">independent audits and </w:t>
            </w:r>
            <w:r w:rsidR="00B10467" w:rsidRPr="003272C7">
              <w:rPr>
                <w:rFonts w:cs="Arial"/>
              </w:rPr>
              <w:t>9</w:t>
            </w:r>
            <w:r w:rsidR="00586F48" w:rsidRPr="003272C7">
              <w:rPr>
                <w:rFonts w:cs="Arial"/>
              </w:rPr>
              <w:t xml:space="preserve"> independent </w:t>
            </w:r>
            <w:r w:rsidRPr="003272C7">
              <w:rPr>
                <w:rFonts w:cs="Arial"/>
              </w:rPr>
              <w:t>technical reviews for water recovered through modernisation of water storages. Each audit and review have resulted in the water recovery being independently verified and accepted by DEECA and the Minister. Water entitlements have subsequently been issued for the verified long-term water recovery.</w:t>
            </w:r>
            <w:r w:rsidR="00586F48" w:rsidRPr="003272C7">
              <w:rPr>
                <w:rFonts w:cs="Arial"/>
              </w:rPr>
              <w:t xml:space="preserve"> This has led to enduring entitlement for the environment, irrigators, cities and towns, and Traditional Owners.</w:t>
            </w:r>
          </w:p>
        </w:tc>
      </w:tr>
      <w:tr w:rsidR="00B242C3" w:rsidRPr="003272C7" w14:paraId="0F7911D4" w14:textId="77777777" w:rsidTr="00A34F29">
        <w:trPr>
          <w:trHeight w:val="259"/>
        </w:trPr>
        <w:tc>
          <w:tcPr>
            <w:tcW w:w="979" w:type="pct"/>
            <w:shd w:val="clear" w:color="auto" w:fill="231EDC" w:themeFill="accent1"/>
          </w:tcPr>
          <w:p w14:paraId="298CEBC7" w14:textId="77777777" w:rsidR="00B242C3" w:rsidRPr="003272C7" w:rsidRDefault="00B242C3" w:rsidP="00C06DED">
            <w:pPr>
              <w:pStyle w:val="TableText"/>
              <w:rPr>
                <w:rFonts w:cs="Arial"/>
                <w:b/>
                <w:bCs/>
                <w:szCs w:val="18"/>
              </w:rPr>
            </w:pPr>
            <w:r w:rsidRPr="003272C7">
              <w:rPr>
                <w:rFonts w:cs="Arial"/>
                <w:b/>
                <w:bCs/>
                <w:szCs w:val="18"/>
              </w:rPr>
              <w:t>Effectiveness</w:t>
            </w:r>
          </w:p>
        </w:tc>
        <w:tc>
          <w:tcPr>
            <w:tcW w:w="4021" w:type="pct"/>
          </w:tcPr>
          <w:p w14:paraId="1E3E04B1" w14:textId="77777777" w:rsidR="00B242C3" w:rsidRPr="003272C7" w:rsidRDefault="00B242C3" w:rsidP="003A64BD">
            <w:pPr>
              <w:pStyle w:val="TableBullet"/>
              <w:rPr>
                <w:rFonts w:cs="Arial"/>
              </w:rPr>
            </w:pPr>
            <w:r w:rsidRPr="003272C7">
              <w:rPr>
                <w:rFonts w:cs="Arial"/>
              </w:rPr>
              <w:t>A process of continuous improvement is embedded into the procurement process of independent water recovery auditors:</w:t>
            </w:r>
          </w:p>
          <w:p w14:paraId="31462F43" w14:textId="77777777" w:rsidR="00142559" w:rsidRPr="003272C7" w:rsidRDefault="00B242C3" w:rsidP="003A64BD">
            <w:pPr>
              <w:pStyle w:val="TableBullet2"/>
              <w:rPr>
                <w:rFonts w:cs="Arial"/>
              </w:rPr>
            </w:pPr>
            <w:r w:rsidRPr="003272C7">
              <w:rPr>
                <w:rFonts w:cs="Arial"/>
              </w:rPr>
              <w:t xml:space="preserve">To continuously improve the operation of the independent panel, DEECA evaluates the performance of each engagement against agreed standards and measures. </w:t>
            </w:r>
            <w:r w:rsidR="00B10467" w:rsidRPr="003272C7">
              <w:rPr>
                <w:rFonts w:cs="Arial"/>
              </w:rPr>
              <w:t>DEECA</w:t>
            </w:r>
            <w:r w:rsidRPr="003272C7">
              <w:rPr>
                <w:rFonts w:cs="Arial"/>
              </w:rPr>
              <w:t xml:space="preserve"> focuses on communicating quality expectations to suppliers to rectify communication issues to embed further quality controls into procurement processes;</w:t>
            </w:r>
          </w:p>
          <w:p w14:paraId="4F79D1F9" w14:textId="615266FF" w:rsidR="00B242C3" w:rsidRPr="003272C7" w:rsidRDefault="00B242C3" w:rsidP="003A64BD">
            <w:pPr>
              <w:pStyle w:val="TableBullet2"/>
              <w:rPr>
                <w:rFonts w:cs="Arial"/>
              </w:rPr>
            </w:pPr>
            <w:r w:rsidRPr="003272C7">
              <w:rPr>
                <w:rFonts w:cs="Arial"/>
              </w:rPr>
              <w:t>DEECA prepare</w:t>
            </w:r>
            <w:r w:rsidR="00B10467" w:rsidRPr="003272C7">
              <w:rPr>
                <w:rFonts w:cs="Arial"/>
              </w:rPr>
              <w:t>s</w:t>
            </w:r>
            <w:r w:rsidRPr="003272C7">
              <w:rPr>
                <w:rFonts w:cs="Arial"/>
              </w:rPr>
              <w:t xml:space="preserve"> an annual report on the performance of the Independent Panel of Water Recovery Auditors and Verifiers. This includes reporting on any shortcomings of the audit, the extent they were addressed by the supplier and opportunities to improve the audit process.</w:t>
            </w:r>
          </w:p>
        </w:tc>
      </w:tr>
      <w:tr w:rsidR="00B242C3" w:rsidRPr="003272C7" w14:paraId="109F3149" w14:textId="77777777" w:rsidTr="00A34F29">
        <w:trPr>
          <w:trHeight w:val="259"/>
        </w:trPr>
        <w:tc>
          <w:tcPr>
            <w:tcW w:w="979" w:type="pct"/>
            <w:shd w:val="clear" w:color="auto" w:fill="231EDC" w:themeFill="accent1"/>
          </w:tcPr>
          <w:p w14:paraId="32ADB9B9"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59D598D3" w14:textId="77777777" w:rsidR="00142559" w:rsidRPr="003272C7" w:rsidRDefault="00756A7C" w:rsidP="003A64BD">
            <w:pPr>
              <w:pStyle w:val="TableBullet"/>
              <w:rPr>
                <w:rFonts w:cs="Arial"/>
              </w:rPr>
            </w:pPr>
            <w:r w:rsidRPr="003272C7">
              <w:rPr>
                <w:rFonts w:cs="Arial"/>
              </w:rPr>
              <w:t>The allocation of funding was aligned with Action 4.5 of Water for Victoria, as it adhered to principles for public investment in rural water infrastructure projects. This includes the implementation of Water Savings Protocols to estimate water savings from district assets prior to converting savings into entitlements and improvements to monitoring and reporting of farm water use efficiency in irrigation district.</w:t>
            </w:r>
          </w:p>
          <w:p w14:paraId="4DBAC187" w14:textId="4DAF517A" w:rsidR="00B242C3" w:rsidRPr="003272C7" w:rsidRDefault="00756A7C" w:rsidP="003A64BD">
            <w:pPr>
              <w:pStyle w:val="TableBullet"/>
              <w:rPr>
                <w:rFonts w:cs="Arial"/>
              </w:rPr>
            </w:pPr>
            <w:r w:rsidRPr="00623380">
              <w:rPr>
                <w:rFonts w:cs="Arial"/>
              </w:rPr>
              <w:t>The Panel of Independent Water Recovery Auditors and Reviewers (the Panel) was established by</w:t>
            </w:r>
            <w:r w:rsidR="00B10467" w:rsidRPr="003272C7">
              <w:rPr>
                <w:rFonts w:cs="Arial"/>
              </w:rPr>
              <w:t xml:space="preserve"> the DEECA</w:t>
            </w:r>
            <w:r w:rsidRPr="00623380">
              <w:rPr>
                <w:rFonts w:cs="Arial"/>
              </w:rPr>
              <w:t xml:space="preserve"> Water Resource Strategy (WRS) division in August 2020, to support independent auditing and verification of water recovery estimates and provide technical advice on water recovery. A series of checks and balances were incorporated into the panel arrangements, to maintain fairness, accountability, and transparency in associated expenditures. For example, panel rules required annual reporting on panel outcomes, and performance reporting after each engagement is completed. The panel also enables fair distribution of work by providing reasonable opportunity to every supplier on the panel.</w:t>
            </w:r>
            <w:r w:rsidRPr="003272C7">
              <w:rPr>
                <w:rFonts w:cs="Arial"/>
              </w:rPr>
              <w:t> </w:t>
            </w:r>
          </w:p>
        </w:tc>
      </w:tr>
      <w:tr w:rsidR="00B242C3" w:rsidRPr="003272C7" w14:paraId="2FC903FB" w14:textId="77777777" w:rsidTr="00A34F29">
        <w:trPr>
          <w:trHeight w:val="259"/>
        </w:trPr>
        <w:tc>
          <w:tcPr>
            <w:tcW w:w="979" w:type="pct"/>
            <w:shd w:val="clear" w:color="auto" w:fill="231EDC" w:themeFill="accent1"/>
          </w:tcPr>
          <w:p w14:paraId="46327DCF"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1A114232" w14:textId="0D37DCC9" w:rsidR="00B242C3" w:rsidRPr="003272C7" w:rsidRDefault="00B242C3" w:rsidP="003A64BD">
            <w:pPr>
              <w:pStyle w:val="TableBullet"/>
              <w:rPr>
                <w:rFonts w:cs="Arial"/>
              </w:rPr>
            </w:pPr>
            <w:r w:rsidRPr="003272C7">
              <w:rPr>
                <w:rFonts w:cs="Arial"/>
              </w:rPr>
              <w:t xml:space="preserve">All engagements were completed on time, </w:t>
            </w:r>
            <w:r w:rsidR="00756A7C" w:rsidRPr="003272C7">
              <w:rPr>
                <w:rFonts w:cs="Arial"/>
              </w:rPr>
              <w:t xml:space="preserve">within </w:t>
            </w:r>
            <w:r w:rsidRPr="003272C7">
              <w:rPr>
                <w:rFonts w:cs="Arial"/>
              </w:rPr>
              <w:t>budget and were of a high standard.</w:t>
            </w:r>
            <w:r w:rsidR="00756A7C" w:rsidRPr="003272C7">
              <w:rPr>
                <w:rFonts w:cs="Arial"/>
              </w:rPr>
              <w:t xml:space="preserve"> However, on one </w:t>
            </w:r>
            <w:r w:rsidR="00546E76" w:rsidRPr="003272C7">
              <w:rPr>
                <w:rFonts w:cs="Arial"/>
              </w:rPr>
              <w:t>occasion, completion of a water recovery audit was delayed due to resourcing constraints within a partner water corporation.</w:t>
            </w:r>
          </w:p>
          <w:p w14:paraId="23254365" w14:textId="77777777" w:rsidR="00B242C3" w:rsidRPr="003272C7" w:rsidRDefault="00B242C3" w:rsidP="003A64BD">
            <w:pPr>
              <w:pStyle w:val="TableBullet"/>
              <w:rPr>
                <w:rFonts w:cs="Arial"/>
              </w:rPr>
            </w:pPr>
            <w:r w:rsidRPr="003272C7">
              <w:rPr>
                <w:rFonts w:cs="Arial"/>
              </w:rPr>
              <w:t>All suppliers were selected from the Independent Panel of Water Recovery Auditors and Verifiers and where appropriate subject to competitive tender.</w:t>
            </w:r>
          </w:p>
          <w:p w14:paraId="67973B40" w14:textId="56841239" w:rsidR="00B242C3" w:rsidRPr="003272C7" w:rsidRDefault="0040310C" w:rsidP="003A64BD">
            <w:pPr>
              <w:pStyle w:val="TableBullet"/>
              <w:rPr>
                <w:rFonts w:cs="Arial"/>
              </w:rPr>
            </w:pPr>
            <w:r w:rsidRPr="003272C7">
              <w:rPr>
                <w:rFonts w:cs="Arial"/>
              </w:rPr>
              <w:t>In some cas</w:t>
            </w:r>
            <w:r w:rsidR="00B10467" w:rsidRPr="003272C7">
              <w:rPr>
                <w:rFonts w:cs="Arial"/>
              </w:rPr>
              <w:t>e</w:t>
            </w:r>
            <w:r w:rsidRPr="003272C7">
              <w:rPr>
                <w:rFonts w:cs="Arial"/>
              </w:rPr>
              <w:t>s, e.g. GMW WEP and LMW SWEP, the</w:t>
            </w:r>
            <w:r w:rsidR="00B242C3" w:rsidRPr="003272C7">
              <w:rPr>
                <w:rFonts w:cs="Arial"/>
              </w:rPr>
              <w:t xml:space="preserve"> audits were time critical and needed to be completed on schedule to support Victoria’s contractual obligations with the Australian Government. DEECA ensured that they were supported by the water corporations as a very high priority and that the DEECA </w:t>
            </w:r>
            <w:r w:rsidR="00B242C3" w:rsidRPr="003272C7">
              <w:rPr>
                <w:rFonts w:cs="Arial"/>
              </w:rPr>
              <w:lastRenderedPageBreak/>
              <w:t>Water and Catchments Group senior executive were engaged and committed to the water recovery verification process.</w:t>
            </w:r>
          </w:p>
        </w:tc>
      </w:tr>
      <w:tr w:rsidR="00B242C3" w:rsidRPr="003272C7" w14:paraId="184A247B" w14:textId="77777777" w:rsidTr="00A34F29">
        <w:trPr>
          <w:trHeight w:val="259"/>
        </w:trPr>
        <w:tc>
          <w:tcPr>
            <w:tcW w:w="979" w:type="pct"/>
            <w:shd w:val="clear" w:color="auto" w:fill="231EDC" w:themeFill="accent1"/>
          </w:tcPr>
          <w:p w14:paraId="4DAA8614" w14:textId="77777777" w:rsidR="00B242C3" w:rsidRPr="003272C7" w:rsidRDefault="00B242C3" w:rsidP="00C06DED">
            <w:pPr>
              <w:pStyle w:val="TableText"/>
              <w:rPr>
                <w:rFonts w:cs="Arial"/>
                <w:b/>
                <w:bCs/>
                <w:szCs w:val="18"/>
              </w:rPr>
            </w:pPr>
            <w:r w:rsidRPr="003272C7">
              <w:rPr>
                <w:rFonts w:cs="Arial"/>
                <w:b/>
                <w:bCs/>
                <w:szCs w:val="18"/>
              </w:rPr>
              <w:lastRenderedPageBreak/>
              <w:t>Legacy</w:t>
            </w:r>
          </w:p>
        </w:tc>
        <w:tc>
          <w:tcPr>
            <w:tcW w:w="4021" w:type="pct"/>
          </w:tcPr>
          <w:p w14:paraId="0CF9F484" w14:textId="77777777" w:rsidR="00142559" w:rsidRPr="003272C7" w:rsidRDefault="00B242C3" w:rsidP="003A64BD">
            <w:pPr>
              <w:pStyle w:val="TableBullet"/>
              <w:rPr>
                <w:rFonts w:cs="Arial"/>
              </w:rPr>
            </w:pPr>
            <w:r w:rsidRPr="003272C7">
              <w:rPr>
                <w:rFonts w:cs="Arial"/>
              </w:rPr>
              <w:t>The audits have been open to public scrutiny and have been trusted</w:t>
            </w:r>
            <w:r w:rsidR="00B10467" w:rsidRPr="003272C7">
              <w:rPr>
                <w:rFonts w:cs="Arial"/>
              </w:rPr>
              <w:t>, and t</w:t>
            </w:r>
            <w:r w:rsidRPr="003272C7">
              <w:rPr>
                <w:rFonts w:cs="Arial"/>
              </w:rPr>
              <w:t>he audit process is now mature and repeatable.</w:t>
            </w:r>
          </w:p>
          <w:p w14:paraId="12CF7C3A" w14:textId="037079B6" w:rsidR="00B242C3" w:rsidRPr="003272C7" w:rsidRDefault="00B242C3" w:rsidP="003A64BD">
            <w:pPr>
              <w:pStyle w:val="TableBullet"/>
              <w:rPr>
                <w:rFonts w:cs="Arial"/>
              </w:rPr>
            </w:pPr>
            <w:r w:rsidRPr="003272C7">
              <w:rPr>
                <w:rFonts w:cs="Arial"/>
              </w:rPr>
              <w:t xml:space="preserve">The Minister’s water savings </w:t>
            </w:r>
            <w:r w:rsidR="00B10467" w:rsidRPr="003272C7">
              <w:rPr>
                <w:rFonts w:cs="Arial"/>
              </w:rPr>
              <w:t>p</w:t>
            </w:r>
            <w:r w:rsidRPr="003272C7">
              <w:rPr>
                <w:rFonts w:cs="Arial"/>
              </w:rPr>
              <w:t xml:space="preserve">rotocol is published on the DEECA website. The </w:t>
            </w:r>
            <w:r w:rsidR="00B10467" w:rsidRPr="003272C7">
              <w:rPr>
                <w:rFonts w:cs="Arial"/>
              </w:rPr>
              <w:t>p</w:t>
            </w:r>
            <w:r w:rsidRPr="003272C7">
              <w:rPr>
                <w:rFonts w:cs="Arial"/>
              </w:rPr>
              <w:t>rotocol sets out the roles and responsibilities for organisations involved in irrigation modernisation projects and the methods to determine the long-term water recovery. It includes DEECA’s responsibility to establish a panel of independent water recovery auditors and verifiers.</w:t>
            </w:r>
          </w:p>
          <w:p w14:paraId="3CDD7E7C" w14:textId="6179C2DD" w:rsidR="00B242C3" w:rsidRPr="003272C7" w:rsidRDefault="00B242C3" w:rsidP="003A64BD">
            <w:pPr>
              <w:pStyle w:val="TableBullet"/>
              <w:rPr>
                <w:rFonts w:cs="Arial"/>
              </w:rPr>
            </w:pPr>
            <w:r w:rsidRPr="003272C7">
              <w:rPr>
                <w:rFonts w:cs="Arial"/>
              </w:rPr>
              <w:t xml:space="preserve">The </w:t>
            </w:r>
            <w:r w:rsidR="00B10467" w:rsidRPr="003272C7">
              <w:rPr>
                <w:rFonts w:cs="Arial"/>
              </w:rPr>
              <w:t>p</w:t>
            </w:r>
            <w:r w:rsidRPr="003272C7">
              <w:rPr>
                <w:rFonts w:cs="Arial"/>
              </w:rPr>
              <w:t>rotocol continues to be refined for lessons learnt to continuously improve the methods for determining the long-term water recovery.</w:t>
            </w:r>
          </w:p>
        </w:tc>
      </w:tr>
      <w:tr w:rsidR="00B242C3" w:rsidRPr="003272C7" w14:paraId="31C1FFC7" w14:textId="77777777" w:rsidTr="00A34F29">
        <w:trPr>
          <w:trHeight w:val="259"/>
        </w:trPr>
        <w:tc>
          <w:tcPr>
            <w:tcW w:w="979" w:type="pct"/>
            <w:shd w:val="clear" w:color="auto" w:fill="231EDC" w:themeFill="accent1"/>
          </w:tcPr>
          <w:p w14:paraId="6F663675"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449214EF" w14:textId="23609383" w:rsidR="004B0DEA" w:rsidRPr="003272C7" w:rsidRDefault="00B242C3" w:rsidP="003A64BD">
            <w:pPr>
              <w:pStyle w:val="TableBullet"/>
              <w:rPr>
                <w:rFonts w:cs="Arial"/>
              </w:rPr>
            </w:pPr>
            <w:r w:rsidRPr="003272C7">
              <w:rPr>
                <w:rFonts w:cs="Arial"/>
              </w:rPr>
              <w:t xml:space="preserve">Verification of water recovery for significant projects </w:t>
            </w:r>
            <w:r w:rsidR="002F23A2" w:rsidRPr="003272C7">
              <w:rPr>
                <w:rFonts w:cs="Arial"/>
              </w:rPr>
              <w:t xml:space="preserve">is </w:t>
            </w:r>
            <w:r w:rsidRPr="003272C7">
              <w:rPr>
                <w:rFonts w:cs="Arial"/>
              </w:rPr>
              <w:t xml:space="preserve">currently underway </w:t>
            </w:r>
            <w:r w:rsidR="002F23A2" w:rsidRPr="003272C7">
              <w:rPr>
                <w:rFonts w:cs="Arial"/>
              </w:rPr>
              <w:t>including</w:t>
            </w:r>
            <w:r w:rsidRPr="003272C7">
              <w:rPr>
                <w:rFonts w:cs="Arial"/>
              </w:rPr>
              <w:t xml:space="preserve"> new water recovery works and measures projects (2-3 projects)</w:t>
            </w:r>
            <w:r w:rsidR="004B0DEA" w:rsidRPr="003272C7">
              <w:rPr>
                <w:rFonts w:cs="Arial"/>
              </w:rPr>
              <w:t>.</w:t>
            </w:r>
          </w:p>
          <w:p w14:paraId="3F44140D" w14:textId="75FF3EC1" w:rsidR="00B242C3" w:rsidRPr="003272C7" w:rsidRDefault="004B0DEA" w:rsidP="003A64BD">
            <w:pPr>
              <w:pStyle w:val="TableBullet"/>
              <w:rPr>
                <w:rFonts w:cs="Arial"/>
              </w:rPr>
            </w:pPr>
            <w:r w:rsidRPr="00623380">
              <w:rPr>
                <w:rFonts w:cs="Arial"/>
              </w:rPr>
              <w:t xml:space="preserve">To ensure continued confidence and assurance, water recovery team will continue to implement updates and changes within the </w:t>
            </w:r>
            <w:r w:rsidR="00B10467" w:rsidRPr="003272C7">
              <w:rPr>
                <w:rFonts w:cs="Arial"/>
              </w:rPr>
              <w:t>w</w:t>
            </w:r>
            <w:r w:rsidRPr="00623380">
              <w:rPr>
                <w:rFonts w:cs="Arial"/>
              </w:rPr>
              <w:t xml:space="preserve">ater </w:t>
            </w:r>
            <w:r w:rsidR="00B10467" w:rsidRPr="003272C7">
              <w:rPr>
                <w:rFonts w:cs="Arial"/>
              </w:rPr>
              <w:t>s</w:t>
            </w:r>
            <w:r w:rsidRPr="00623380">
              <w:rPr>
                <w:rFonts w:cs="Arial"/>
              </w:rPr>
              <w:t xml:space="preserve">avings </w:t>
            </w:r>
            <w:r w:rsidR="00B10467" w:rsidRPr="003272C7">
              <w:rPr>
                <w:rFonts w:cs="Arial"/>
              </w:rPr>
              <w:t>p</w:t>
            </w:r>
            <w:r w:rsidRPr="00623380">
              <w:rPr>
                <w:rFonts w:cs="Arial"/>
              </w:rPr>
              <w:t>rotocols.</w:t>
            </w:r>
          </w:p>
        </w:tc>
      </w:tr>
    </w:tbl>
    <w:p w14:paraId="5B41366D" w14:textId="065E5468" w:rsidR="00B242C3" w:rsidRPr="003272C7" w:rsidRDefault="00B242C3" w:rsidP="00B242C3">
      <w:pPr>
        <w:pStyle w:val="Heading2"/>
        <w:rPr>
          <w:rFonts w:cs="Arial"/>
        </w:rPr>
      </w:pPr>
      <w:bookmarkStart w:id="31" w:name="_Toc147410782"/>
      <w:bookmarkStart w:id="32" w:name="_Toc183777790"/>
      <w:r w:rsidRPr="003272C7">
        <w:rPr>
          <w:rFonts w:cs="Arial"/>
        </w:rPr>
        <w:t xml:space="preserve">WRS9: </w:t>
      </w:r>
      <w:bookmarkEnd w:id="31"/>
      <w:r w:rsidR="00D833A7" w:rsidRPr="003272C7">
        <w:rPr>
          <w:rFonts w:cs="Arial"/>
        </w:rPr>
        <w:t>Sustaining a Resilient and Secure Water Register for Victoria</w:t>
      </w:r>
      <w:bookmarkEnd w:id="3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58DAE92A" w14:textId="77777777" w:rsidTr="00C20193">
        <w:trPr>
          <w:trHeight w:val="395"/>
        </w:trPr>
        <w:tc>
          <w:tcPr>
            <w:tcW w:w="979" w:type="pct"/>
            <w:shd w:val="clear" w:color="auto" w:fill="231EDC" w:themeFill="accent1"/>
          </w:tcPr>
          <w:p w14:paraId="6FD1E111" w14:textId="23BBEF72" w:rsidR="00B242C3" w:rsidRPr="003272C7" w:rsidRDefault="00C412A9" w:rsidP="0023757B">
            <w:pPr>
              <w:pStyle w:val="TableHeading"/>
              <w:rPr>
                <w:rFonts w:cs="Arial"/>
              </w:rPr>
            </w:pPr>
            <w:r w:rsidRPr="003272C7">
              <w:rPr>
                <w:rFonts w:cs="Arial"/>
              </w:rPr>
              <w:t>Initiative</w:t>
            </w:r>
          </w:p>
        </w:tc>
        <w:tc>
          <w:tcPr>
            <w:tcW w:w="4021" w:type="pct"/>
            <w:shd w:val="clear" w:color="auto" w:fill="231EDC" w:themeFill="accent1"/>
          </w:tcPr>
          <w:p w14:paraId="61B43179" w14:textId="77777777" w:rsidR="00B242C3" w:rsidRPr="003272C7" w:rsidRDefault="00B242C3" w:rsidP="0023757B">
            <w:pPr>
              <w:pStyle w:val="TableHeading"/>
              <w:rPr>
                <w:rFonts w:cs="Arial"/>
              </w:rPr>
            </w:pPr>
            <w:r w:rsidRPr="003272C7">
              <w:rPr>
                <w:rFonts w:cs="Arial"/>
              </w:rPr>
              <w:t>3. Sustaining a Resilient and Secure Water Register for Victoria</w:t>
            </w:r>
          </w:p>
        </w:tc>
      </w:tr>
      <w:tr w:rsidR="00B242C3" w:rsidRPr="003272C7" w14:paraId="203DDF2F" w14:textId="77777777" w:rsidTr="00C20193">
        <w:trPr>
          <w:trHeight w:val="341"/>
        </w:trPr>
        <w:tc>
          <w:tcPr>
            <w:tcW w:w="979" w:type="pct"/>
            <w:shd w:val="clear" w:color="auto" w:fill="231EDC" w:themeFill="accent1"/>
          </w:tcPr>
          <w:p w14:paraId="612FD3E9" w14:textId="77777777" w:rsidR="00B242C3" w:rsidRPr="003272C7" w:rsidRDefault="00B242C3" w:rsidP="0023757B">
            <w:pPr>
              <w:pStyle w:val="TableText"/>
              <w:rPr>
                <w:rFonts w:cs="Arial"/>
                <w:b/>
                <w:bCs/>
              </w:rPr>
            </w:pPr>
            <w:r w:rsidRPr="003272C7">
              <w:rPr>
                <w:rFonts w:cs="Arial"/>
                <w:b/>
                <w:bCs/>
              </w:rPr>
              <w:t>Project</w:t>
            </w:r>
          </w:p>
        </w:tc>
        <w:tc>
          <w:tcPr>
            <w:tcW w:w="4021" w:type="pct"/>
          </w:tcPr>
          <w:p w14:paraId="02E181D1" w14:textId="77777777" w:rsidR="00B242C3" w:rsidRPr="003272C7" w:rsidRDefault="00B242C3" w:rsidP="0023757B">
            <w:pPr>
              <w:pStyle w:val="TableText"/>
              <w:rPr>
                <w:rFonts w:cs="Arial"/>
              </w:rPr>
            </w:pPr>
            <w:r w:rsidRPr="003272C7">
              <w:rPr>
                <w:rFonts w:cs="Arial"/>
              </w:rPr>
              <w:t>WRS9: Water Register Operations and Improvements</w:t>
            </w:r>
          </w:p>
        </w:tc>
      </w:tr>
      <w:tr w:rsidR="00B242C3" w:rsidRPr="003272C7" w14:paraId="7BD01D36" w14:textId="77777777" w:rsidTr="00C20193">
        <w:trPr>
          <w:trHeight w:val="259"/>
        </w:trPr>
        <w:tc>
          <w:tcPr>
            <w:tcW w:w="979" w:type="pct"/>
            <w:shd w:val="clear" w:color="auto" w:fill="231EDC" w:themeFill="accent1"/>
          </w:tcPr>
          <w:p w14:paraId="3E96A873" w14:textId="5A4FDFD5" w:rsidR="00B242C3" w:rsidRPr="003272C7" w:rsidRDefault="00B242C3" w:rsidP="00C06DED">
            <w:pPr>
              <w:pStyle w:val="TableText"/>
              <w:rPr>
                <w:rFonts w:cs="Arial"/>
                <w:b/>
                <w:bCs/>
                <w:szCs w:val="18"/>
              </w:rPr>
            </w:pPr>
            <w:r w:rsidRPr="003272C7">
              <w:rPr>
                <w:rFonts w:cs="Arial"/>
                <w:b/>
                <w:bCs/>
                <w:szCs w:val="18"/>
              </w:rPr>
              <w:t>Description</w:t>
            </w:r>
          </w:p>
        </w:tc>
        <w:tc>
          <w:tcPr>
            <w:tcW w:w="4021" w:type="pct"/>
          </w:tcPr>
          <w:p w14:paraId="3201B6F2" w14:textId="77777777" w:rsidR="00142559" w:rsidRPr="003272C7" w:rsidRDefault="0017473E" w:rsidP="0023757B">
            <w:pPr>
              <w:pStyle w:val="TableText"/>
              <w:rPr>
                <w:rFonts w:cs="Arial"/>
              </w:rPr>
            </w:pPr>
            <w:r w:rsidRPr="00623380">
              <w:rPr>
                <w:rFonts w:cs="Arial"/>
              </w:rPr>
              <w:t xml:space="preserve">The investment was seeking to continue operation of a Victorian Water Register </w:t>
            </w:r>
            <w:r w:rsidR="00B10467" w:rsidRPr="003272C7">
              <w:rPr>
                <w:rFonts w:cs="Arial"/>
              </w:rPr>
              <w:t>(VWR) t</w:t>
            </w:r>
            <w:r w:rsidRPr="00623380">
              <w:rPr>
                <w:rFonts w:cs="Arial"/>
              </w:rPr>
              <w:t>hat provides a public, authoritative record of water entitlement ownership and enables the government to meet its legislative obligations under the Water Act 1989 (Victoria) and the Water Act 2007 (Commonwealth). The investment as originally envisaged comprised 2 components (a) business-as-usual (BAU) VWR operations and (b) delivering an upgraded VWR platform (Transform Project). As detailed below, the second component was significantly modified during the EC5 period.</w:t>
            </w:r>
          </w:p>
          <w:p w14:paraId="2E53C820" w14:textId="254A6497" w:rsidR="00066626" w:rsidRPr="003272C7" w:rsidRDefault="00066626" w:rsidP="0023757B">
            <w:pPr>
              <w:pStyle w:val="TableTextBold"/>
              <w:rPr>
                <w:rFonts w:cs="Arial"/>
              </w:rPr>
            </w:pPr>
            <w:r w:rsidRPr="003272C7">
              <w:rPr>
                <w:rFonts w:cs="Arial"/>
              </w:rPr>
              <w:t>BAU Operations</w:t>
            </w:r>
            <w:r w:rsidR="00B10467" w:rsidRPr="003272C7">
              <w:rPr>
                <w:rFonts w:cs="Arial"/>
              </w:rPr>
              <w:t>:</w:t>
            </w:r>
          </w:p>
          <w:p w14:paraId="580CFC0C" w14:textId="77777777" w:rsidR="00142559" w:rsidRPr="003272C7" w:rsidRDefault="00066626" w:rsidP="0023757B">
            <w:pPr>
              <w:pStyle w:val="TableText"/>
              <w:rPr>
                <w:rFonts w:cs="Arial"/>
              </w:rPr>
            </w:pPr>
            <w:r w:rsidRPr="003272C7">
              <w:rPr>
                <w:rFonts w:cs="Arial"/>
              </w:rPr>
              <w:t xml:space="preserve">The BAU operations component of this </w:t>
            </w:r>
            <w:r w:rsidR="00445736" w:rsidRPr="003272C7">
              <w:rPr>
                <w:rFonts w:cs="Arial"/>
              </w:rPr>
              <w:t>project</w:t>
            </w:r>
            <w:r w:rsidRPr="003272C7">
              <w:rPr>
                <w:rFonts w:cs="Arial"/>
              </w:rPr>
              <w:t xml:space="preserve"> encompasses provision of day-to-day maintenance and support activities to ensure the VWR platform is available to users and that VWR services are delivered.</w:t>
            </w:r>
          </w:p>
          <w:p w14:paraId="266D6476" w14:textId="77777777" w:rsidR="00142559" w:rsidRPr="003272C7" w:rsidRDefault="00066626" w:rsidP="0023757B">
            <w:pPr>
              <w:pStyle w:val="TableText"/>
              <w:rPr>
                <w:rFonts w:cs="Arial"/>
              </w:rPr>
            </w:pPr>
            <w:r w:rsidRPr="003272C7">
              <w:rPr>
                <w:rFonts w:cs="Arial"/>
              </w:rPr>
              <w:t>The key benefits an operational VWR delivers are:</w:t>
            </w:r>
          </w:p>
          <w:p w14:paraId="30EBF0DA" w14:textId="77777777" w:rsidR="00142559" w:rsidRPr="003272C7" w:rsidRDefault="00066626" w:rsidP="0023757B">
            <w:pPr>
              <w:pStyle w:val="TableNumber"/>
              <w:numPr>
                <w:ilvl w:val="0"/>
                <w:numId w:val="168"/>
              </w:numPr>
              <w:rPr>
                <w:rFonts w:cs="Arial"/>
              </w:rPr>
            </w:pPr>
            <w:r w:rsidRPr="003272C7">
              <w:rPr>
                <w:rFonts w:cs="Arial"/>
              </w:rPr>
              <w:t>Maximising the value of irrigated agricultural production – by supporting the efficient and effective operation of water markets, the new VWR will support farmers to maximise the value of their production.</w:t>
            </w:r>
          </w:p>
          <w:p w14:paraId="34852AB6" w14:textId="77777777" w:rsidR="00142559" w:rsidRPr="003272C7" w:rsidRDefault="00066626" w:rsidP="0023757B">
            <w:pPr>
              <w:pStyle w:val="TableNumber"/>
              <w:rPr>
                <w:rFonts w:cs="Arial"/>
              </w:rPr>
            </w:pPr>
            <w:r w:rsidRPr="003272C7">
              <w:rPr>
                <w:rFonts w:cs="Arial"/>
              </w:rPr>
              <w:t>Strong entitlements and planning – the VWR underpins secure rights to water and its information and data is used to inform water resource planning.</w:t>
            </w:r>
          </w:p>
          <w:p w14:paraId="1AD812CF" w14:textId="77777777" w:rsidR="00142559" w:rsidRPr="003272C7" w:rsidRDefault="00066626" w:rsidP="0023757B">
            <w:pPr>
              <w:pStyle w:val="TableNumber"/>
              <w:rPr>
                <w:rFonts w:cs="Arial"/>
              </w:rPr>
            </w:pPr>
            <w:r w:rsidRPr="003272C7">
              <w:rPr>
                <w:rFonts w:cs="Arial"/>
              </w:rPr>
              <w:t>Making the best use of Victoria’s water grid and markets – the VWR facilitates the efficient trading of water products and underpins a range of options that customers and stakeholders can use to manage risks.</w:t>
            </w:r>
          </w:p>
          <w:p w14:paraId="5C1E8DB7" w14:textId="25D5EC54" w:rsidR="00965668" w:rsidRPr="003272C7" w:rsidRDefault="00965668" w:rsidP="0023757B">
            <w:pPr>
              <w:pStyle w:val="TableTextBold"/>
              <w:rPr>
                <w:rFonts w:cs="Arial"/>
              </w:rPr>
            </w:pPr>
            <w:r w:rsidRPr="003272C7">
              <w:rPr>
                <w:rFonts w:cs="Arial"/>
              </w:rPr>
              <w:t>Transform Project</w:t>
            </w:r>
            <w:r w:rsidR="00B10467" w:rsidRPr="003272C7">
              <w:rPr>
                <w:rFonts w:cs="Arial"/>
              </w:rPr>
              <w:t>:</w:t>
            </w:r>
          </w:p>
          <w:p w14:paraId="714A413C" w14:textId="77777777" w:rsidR="00142559" w:rsidRPr="003272C7" w:rsidRDefault="00965668" w:rsidP="0023757B">
            <w:pPr>
              <w:pStyle w:val="TableText"/>
              <w:rPr>
                <w:rFonts w:cs="Arial"/>
              </w:rPr>
            </w:pPr>
            <w:r w:rsidRPr="003272C7">
              <w:rPr>
                <w:rFonts w:cs="Arial"/>
              </w:rPr>
              <w:t xml:space="preserve">The second component of this </w:t>
            </w:r>
            <w:r w:rsidR="00445736" w:rsidRPr="003272C7">
              <w:rPr>
                <w:rFonts w:cs="Arial"/>
              </w:rPr>
              <w:t>project</w:t>
            </w:r>
            <w:r w:rsidRPr="003272C7">
              <w:rPr>
                <w:rFonts w:cs="Arial"/>
              </w:rPr>
              <w:t xml:space="preserve"> entails transitioning the VWR to a new technology platform. The key driver of this component is that the current VWR is operated on an outdated, unsupported IT platform. The Transform project also sought to deliver additional enhancements for VWR beneficiaries, such as more efficient processes and an improved online service offering.</w:t>
            </w:r>
          </w:p>
          <w:p w14:paraId="157E03E6" w14:textId="77777777" w:rsidR="00142559" w:rsidRPr="003272C7" w:rsidRDefault="00965668" w:rsidP="0023757B">
            <w:pPr>
              <w:pStyle w:val="TableText"/>
              <w:rPr>
                <w:rFonts w:cs="Arial"/>
              </w:rPr>
            </w:pPr>
            <w:r w:rsidRPr="003272C7">
              <w:rPr>
                <w:rFonts w:cs="Arial"/>
              </w:rPr>
              <w:t>During the period December 2022 to July 2023 the Transform project, together with the VWR Partners and the Water Registrar delivered a comprehensive understanding of the current VWR, and documented future requirements.</w:t>
            </w:r>
          </w:p>
          <w:p w14:paraId="0F4A4B75" w14:textId="77777777" w:rsidR="00142559" w:rsidRPr="003272C7" w:rsidRDefault="00965668" w:rsidP="0023757B">
            <w:pPr>
              <w:pStyle w:val="TableTextBold"/>
              <w:rPr>
                <w:rFonts w:cs="Arial"/>
              </w:rPr>
            </w:pPr>
            <w:r w:rsidRPr="003272C7">
              <w:rPr>
                <w:rFonts w:cs="Arial"/>
              </w:rPr>
              <w:t>Transition from Transform project to Evolve project</w:t>
            </w:r>
            <w:r w:rsidR="00B10467" w:rsidRPr="003272C7">
              <w:rPr>
                <w:rFonts w:cs="Arial"/>
              </w:rPr>
              <w:t>:</w:t>
            </w:r>
          </w:p>
          <w:p w14:paraId="306B56D6" w14:textId="77777777" w:rsidR="00142559" w:rsidRPr="003272C7" w:rsidRDefault="00965668" w:rsidP="0023757B">
            <w:pPr>
              <w:pStyle w:val="TableText"/>
              <w:rPr>
                <w:rFonts w:cs="Arial"/>
              </w:rPr>
            </w:pPr>
            <w:r w:rsidRPr="003272C7">
              <w:rPr>
                <w:rFonts w:cs="Arial"/>
              </w:rPr>
              <w:t xml:space="preserve">Subsequent to completing a successful Request for Tender process, DEECA onboarded a new VWR Implementation Partner in July 2022 enabling the Transform </w:t>
            </w:r>
            <w:r w:rsidRPr="003272C7">
              <w:rPr>
                <w:rFonts w:cs="Arial"/>
              </w:rPr>
              <w:lastRenderedPageBreak/>
              <w:t>project to enter into a project discovery stage. Following project discovery, the project entered a delivery stage that commenced in December 2022.</w:t>
            </w:r>
          </w:p>
          <w:p w14:paraId="0ACA83A9" w14:textId="77777777" w:rsidR="00142559" w:rsidRPr="003272C7" w:rsidRDefault="00965668" w:rsidP="0023757B">
            <w:pPr>
              <w:pStyle w:val="TableText"/>
              <w:rPr>
                <w:rFonts w:cs="Arial"/>
              </w:rPr>
            </w:pPr>
            <w:r w:rsidRPr="003272C7">
              <w:rPr>
                <w:rFonts w:cs="Arial"/>
              </w:rPr>
              <w:t>During the period December 2022 to July 2023 slippage in provision of planned deliverables against actual deliverables for each project increment occurred. The small, incremental slippages accumulated over time and resulted in:</w:t>
            </w:r>
          </w:p>
          <w:p w14:paraId="507027C7" w14:textId="77777777" w:rsidR="00142559" w:rsidRPr="003272C7" w:rsidRDefault="00965668" w:rsidP="00503240">
            <w:pPr>
              <w:pStyle w:val="TableNumber"/>
              <w:numPr>
                <w:ilvl w:val="0"/>
                <w:numId w:val="169"/>
              </w:numPr>
              <w:rPr>
                <w:rFonts w:cs="Arial"/>
              </w:rPr>
            </w:pPr>
            <w:r w:rsidRPr="003272C7">
              <w:rPr>
                <w:rFonts w:cs="Arial"/>
              </w:rPr>
              <w:t>Significant project schedule slippage; and</w:t>
            </w:r>
          </w:p>
          <w:p w14:paraId="3AE65DC1" w14:textId="77777777" w:rsidR="00142559" w:rsidRPr="003272C7" w:rsidRDefault="00965668" w:rsidP="00503240">
            <w:pPr>
              <w:pStyle w:val="TableNumber"/>
              <w:rPr>
                <w:rFonts w:cs="Arial"/>
              </w:rPr>
            </w:pPr>
            <w:r w:rsidRPr="003272C7">
              <w:rPr>
                <w:rFonts w:cs="Arial"/>
              </w:rPr>
              <w:t>Higher than planned consumption of project resources</w:t>
            </w:r>
          </w:p>
          <w:p w14:paraId="796C00FB" w14:textId="7355BAA6" w:rsidR="00965668" w:rsidRPr="003272C7" w:rsidRDefault="00965668" w:rsidP="00503240">
            <w:pPr>
              <w:pStyle w:val="TableText"/>
              <w:rPr>
                <w:rFonts w:cs="Arial"/>
              </w:rPr>
            </w:pPr>
            <w:r w:rsidRPr="003272C7">
              <w:rPr>
                <w:rFonts w:cs="Arial"/>
              </w:rPr>
              <w:t>During the period August 2023 – December 2023 the project was ramped down to manage commercial risk and expenditure while a review of the project was undertaken.</w:t>
            </w:r>
          </w:p>
          <w:p w14:paraId="0A59B007" w14:textId="77777777" w:rsidR="00142559" w:rsidRPr="003272C7" w:rsidRDefault="00965668" w:rsidP="00503240">
            <w:pPr>
              <w:pStyle w:val="TableText"/>
              <w:rPr>
                <w:rFonts w:cs="Arial"/>
              </w:rPr>
            </w:pPr>
            <w:r w:rsidRPr="003272C7">
              <w:rPr>
                <w:rFonts w:cs="Arial"/>
              </w:rPr>
              <w:t>Two formal variation proposals to complete the project were provided by the VWR Implementation Partner as part of the project review. These proposals forecast increased costs and time to complete the project that were significantly more than previous estimates and were not commensurate with the business benefits proposed to be delivered.</w:t>
            </w:r>
          </w:p>
          <w:p w14:paraId="30632C08" w14:textId="77777777" w:rsidR="00142559" w:rsidRPr="003272C7" w:rsidRDefault="00965668" w:rsidP="00503240">
            <w:pPr>
              <w:pStyle w:val="TableText"/>
              <w:rPr>
                <w:rFonts w:cs="Arial"/>
              </w:rPr>
            </w:pPr>
            <w:r w:rsidRPr="003272C7">
              <w:rPr>
                <w:rFonts w:cs="Arial"/>
              </w:rPr>
              <w:t>DEECA</w:t>
            </w:r>
            <w:r w:rsidRPr="00623380">
              <w:rPr>
                <w:rFonts w:cs="Arial" w:hint="eastAsia"/>
              </w:rPr>
              <w:t>’</w:t>
            </w:r>
            <w:r w:rsidRPr="003272C7">
              <w:rPr>
                <w:rFonts w:cs="Arial"/>
              </w:rPr>
              <w:t>s assessment was that continuing the active approach to delivery of the project and its benefits was no longer viable based upon the forecast increase in costs and time to complete the project and the forecast future BAU operational costs.</w:t>
            </w:r>
          </w:p>
          <w:p w14:paraId="2E133797" w14:textId="77777777" w:rsidR="00142559" w:rsidRPr="003272C7" w:rsidRDefault="00965668" w:rsidP="00503240">
            <w:pPr>
              <w:pStyle w:val="TableText"/>
              <w:rPr>
                <w:rFonts w:cs="Arial"/>
              </w:rPr>
            </w:pPr>
            <w:r w:rsidRPr="003272C7">
              <w:rPr>
                <w:rFonts w:cs="Arial"/>
              </w:rPr>
              <w:t xml:space="preserve">In March 2024 the Minister approved terminating the agreement to build a new VWR with the VWR Implementation Partner and approved DEECA proceed with preparing a new procurement to build a new VWR that aligns with the Victorian 2024-25 budget outcome. Assets built by the Transform project with potential to be leveraged by </w:t>
            </w:r>
            <w:r w:rsidR="00AB59A7" w:rsidRPr="003272C7">
              <w:rPr>
                <w:rFonts w:cs="Arial"/>
              </w:rPr>
              <w:t>a</w:t>
            </w:r>
            <w:r w:rsidRPr="003272C7">
              <w:rPr>
                <w:rFonts w:cs="Arial"/>
              </w:rPr>
              <w:t xml:space="preserve"> new VWR Evolve project (refer Outputs section below).</w:t>
            </w:r>
          </w:p>
          <w:p w14:paraId="7EFAEFD8" w14:textId="732D5B44" w:rsidR="00B242C3" w:rsidRPr="00623380" w:rsidRDefault="00965668" w:rsidP="00503240">
            <w:pPr>
              <w:pStyle w:val="TableText"/>
              <w:rPr>
                <w:rFonts w:cs="Arial"/>
                <w:sz w:val="19"/>
                <w:szCs w:val="19"/>
              </w:rPr>
            </w:pPr>
            <w:r w:rsidRPr="00623380">
              <w:rPr>
                <w:rFonts w:cs="Arial"/>
              </w:rPr>
              <w:t xml:space="preserve">In April 2024, a new project </w:t>
            </w:r>
            <w:r w:rsidRPr="00623380">
              <w:rPr>
                <w:rFonts w:cs="Arial" w:hint="eastAsia"/>
              </w:rPr>
              <w:t>–</w:t>
            </w:r>
            <w:r w:rsidRPr="00623380">
              <w:rPr>
                <w:rFonts w:cs="Arial"/>
              </w:rPr>
              <w:t xml:space="preserve"> Project Evolve </w:t>
            </w:r>
            <w:r w:rsidRPr="00623380">
              <w:rPr>
                <w:rFonts w:cs="Arial" w:hint="eastAsia"/>
              </w:rPr>
              <w:t>–</w:t>
            </w:r>
            <w:r w:rsidR="005D01BB" w:rsidRPr="00623380">
              <w:rPr>
                <w:rFonts w:cs="Arial"/>
              </w:rPr>
              <w:t xml:space="preserve"> </w:t>
            </w:r>
            <w:r w:rsidRPr="00623380">
              <w:rPr>
                <w:rFonts w:cs="Arial"/>
              </w:rPr>
              <w:t>was established to develop an alternative approach to delivering a new VWR that maximises reuse of the investment made to date, aligns with the Victorian 2024-25 budget outcome and delivers value to the Victorian community.</w:t>
            </w:r>
            <w:r w:rsidRPr="00623380">
              <w:rPr>
                <w:rStyle w:val="normaltextrun"/>
                <w:rFonts w:cs="Arial" w:hint="eastAsia"/>
                <w:sz w:val="19"/>
                <w:szCs w:val="19"/>
                <w:shd w:val="clear" w:color="auto" w:fill="FFFFFF"/>
              </w:rPr>
              <w:t> </w:t>
            </w:r>
          </w:p>
        </w:tc>
      </w:tr>
      <w:tr w:rsidR="00B242C3" w:rsidRPr="003272C7" w14:paraId="08254E8E" w14:textId="77777777" w:rsidTr="00C20193">
        <w:trPr>
          <w:trHeight w:val="259"/>
        </w:trPr>
        <w:tc>
          <w:tcPr>
            <w:tcW w:w="979" w:type="pct"/>
            <w:shd w:val="clear" w:color="auto" w:fill="231EDC" w:themeFill="accent1"/>
          </w:tcPr>
          <w:p w14:paraId="79FDA89C" w14:textId="77777777" w:rsidR="00B242C3" w:rsidRPr="003272C7" w:rsidRDefault="00B242C3" w:rsidP="00C06DED">
            <w:pPr>
              <w:pStyle w:val="TableText"/>
              <w:rPr>
                <w:rFonts w:cs="Arial"/>
                <w:b/>
                <w:bCs/>
                <w:szCs w:val="18"/>
              </w:rPr>
            </w:pPr>
            <w:r w:rsidRPr="003272C7">
              <w:rPr>
                <w:rFonts w:cs="Arial"/>
                <w:b/>
                <w:bCs/>
                <w:szCs w:val="18"/>
              </w:rPr>
              <w:lastRenderedPageBreak/>
              <w:t>Outputs</w:t>
            </w:r>
          </w:p>
        </w:tc>
        <w:tc>
          <w:tcPr>
            <w:tcW w:w="4021" w:type="pct"/>
          </w:tcPr>
          <w:p w14:paraId="133A5C97" w14:textId="23D634E3" w:rsidR="00B242C3" w:rsidRPr="003272C7" w:rsidRDefault="00B242C3" w:rsidP="00A76400">
            <w:pPr>
              <w:pStyle w:val="TableBullet"/>
              <w:rPr>
                <w:rFonts w:cs="Arial"/>
              </w:rPr>
            </w:pPr>
            <w:r w:rsidRPr="003272C7">
              <w:rPr>
                <w:rFonts w:cs="Arial"/>
              </w:rPr>
              <w:t>VWR BAU operations deliver a</w:t>
            </w:r>
            <w:r w:rsidR="009E6FED" w:rsidRPr="003272C7">
              <w:rPr>
                <w:rFonts w:cs="Arial"/>
              </w:rPr>
              <w:t>n accessible,</w:t>
            </w:r>
            <w:r w:rsidRPr="003272C7">
              <w:rPr>
                <w:rFonts w:cs="Arial"/>
              </w:rPr>
              <w:t xml:space="preserve"> public register of all water related entitlements in Victoria</w:t>
            </w:r>
            <w:r w:rsidR="00B41D24" w:rsidRPr="003272C7">
              <w:rPr>
                <w:rFonts w:cs="Arial"/>
              </w:rPr>
              <w:t>, provide services (e.g. held desk, water market administration services),</w:t>
            </w:r>
            <w:r w:rsidRPr="003272C7">
              <w:rPr>
                <w:rFonts w:cs="Arial"/>
              </w:rPr>
              <w:t xml:space="preserve"> and provide information required to effectively manage Victoria’s water resources and support Victoria’s water markets.</w:t>
            </w:r>
          </w:p>
          <w:p w14:paraId="4E047125" w14:textId="77777777" w:rsidR="00142559" w:rsidRPr="003272C7" w:rsidRDefault="00724F24" w:rsidP="00A76400">
            <w:pPr>
              <w:pStyle w:val="TableBullet"/>
              <w:rPr>
                <w:rFonts w:cs="Arial"/>
              </w:rPr>
            </w:pPr>
            <w:r w:rsidRPr="003272C7">
              <w:rPr>
                <w:rFonts w:cs="Arial"/>
              </w:rPr>
              <w:t>Assets built by the Transform project with potential to be leveraged by the new VWR Evolve project include:</w:t>
            </w:r>
          </w:p>
          <w:p w14:paraId="657211C5" w14:textId="77777777" w:rsidR="00142559" w:rsidRPr="003272C7" w:rsidRDefault="00724F24" w:rsidP="00A76400">
            <w:pPr>
              <w:pStyle w:val="TableTextBullet2"/>
              <w:rPr>
                <w:rFonts w:cs="Arial"/>
              </w:rPr>
            </w:pPr>
            <w:r w:rsidRPr="003272C7">
              <w:rPr>
                <w:rFonts w:cs="Arial"/>
              </w:rPr>
              <w:t>Data platform</w:t>
            </w:r>
          </w:p>
          <w:p w14:paraId="38EBEF2A" w14:textId="77777777" w:rsidR="00142559" w:rsidRPr="003272C7" w:rsidRDefault="00724F24" w:rsidP="00A76400">
            <w:pPr>
              <w:pStyle w:val="TableTextBullet2"/>
              <w:rPr>
                <w:rFonts w:cs="Arial"/>
              </w:rPr>
            </w:pPr>
            <w:r w:rsidRPr="003272C7">
              <w:rPr>
                <w:rFonts w:cs="Arial"/>
              </w:rPr>
              <w:t>Designs for the new website (templates &amp; data flows)</w:t>
            </w:r>
          </w:p>
          <w:p w14:paraId="601A1DB6" w14:textId="77777777" w:rsidR="00142559" w:rsidRPr="003272C7" w:rsidRDefault="00724F24" w:rsidP="00A76400">
            <w:pPr>
              <w:pStyle w:val="TableTextBullet2"/>
              <w:rPr>
                <w:rFonts w:cs="Arial"/>
              </w:rPr>
            </w:pPr>
            <w:r w:rsidRPr="003272C7">
              <w:rPr>
                <w:rFonts w:cs="Arial"/>
              </w:rPr>
              <w:t>Website technologies</w:t>
            </w:r>
          </w:p>
          <w:p w14:paraId="35430983" w14:textId="77777777" w:rsidR="00142559" w:rsidRPr="003272C7" w:rsidRDefault="00724F24" w:rsidP="00A76400">
            <w:pPr>
              <w:pStyle w:val="TableTextBullet2"/>
              <w:rPr>
                <w:rFonts w:cs="Arial"/>
              </w:rPr>
            </w:pPr>
            <w:r w:rsidRPr="003272C7">
              <w:rPr>
                <w:rFonts w:cs="Arial"/>
              </w:rPr>
              <w:t>Power BI Reports</w:t>
            </w:r>
          </w:p>
          <w:p w14:paraId="70895A3E" w14:textId="77777777" w:rsidR="00142559" w:rsidRPr="003272C7" w:rsidRDefault="00724F24" w:rsidP="00A76400">
            <w:pPr>
              <w:pStyle w:val="TableTextBullet2"/>
              <w:rPr>
                <w:rFonts w:cs="Arial"/>
              </w:rPr>
            </w:pPr>
            <w:r w:rsidRPr="003272C7">
              <w:rPr>
                <w:rFonts w:cs="Arial"/>
              </w:rPr>
              <w:t>Identity management</w:t>
            </w:r>
          </w:p>
          <w:p w14:paraId="132ABFDB" w14:textId="77777777" w:rsidR="00142559" w:rsidRPr="003272C7" w:rsidRDefault="00724F24" w:rsidP="00A76400">
            <w:pPr>
              <w:pStyle w:val="TableTextBullet2"/>
              <w:rPr>
                <w:rFonts w:cs="Arial"/>
              </w:rPr>
            </w:pPr>
            <w:r w:rsidRPr="003272C7">
              <w:rPr>
                <w:rFonts w:cs="Arial"/>
              </w:rPr>
              <w:t>Integration Designs and File Transfer Components</w:t>
            </w:r>
          </w:p>
          <w:p w14:paraId="40FEC055" w14:textId="6E216BA0" w:rsidR="00B242C3" w:rsidRPr="00623380" w:rsidRDefault="00724F24" w:rsidP="00A76400">
            <w:pPr>
              <w:pStyle w:val="TableTextBullet2"/>
              <w:rPr>
                <w:rFonts w:cs="Arial"/>
                <w:sz w:val="19"/>
                <w:szCs w:val="19"/>
              </w:rPr>
            </w:pPr>
            <w:r w:rsidRPr="003272C7">
              <w:rPr>
                <w:rFonts w:cs="Arial"/>
              </w:rPr>
              <w:t>D365 “Foundation” components (environments, connections with Azure, Data flows for ingestion into the Data Platform)</w:t>
            </w:r>
          </w:p>
        </w:tc>
      </w:tr>
      <w:tr w:rsidR="00B242C3" w:rsidRPr="003272C7" w14:paraId="23786543" w14:textId="77777777" w:rsidTr="00100020">
        <w:trPr>
          <w:trHeight w:val="259"/>
        </w:trPr>
        <w:tc>
          <w:tcPr>
            <w:tcW w:w="5000" w:type="pct"/>
            <w:gridSpan w:val="2"/>
            <w:shd w:val="clear" w:color="auto" w:fill="231EDC" w:themeFill="accent1"/>
          </w:tcPr>
          <w:p w14:paraId="1A43509D" w14:textId="7962B81F"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69B4A04F" w14:textId="77777777" w:rsidTr="00C20193">
        <w:trPr>
          <w:trHeight w:val="259"/>
        </w:trPr>
        <w:tc>
          <w:tcPr>
            <w:tcW w:w="979" w:type="pct"/>
            <w:shd w:val="clear" w:color="auto" w:fill="231EDC" w:themeFill="accent1"/>
          </w:tcPr>
          <w:p w14:paraId="5CD18717"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6D386FB2" w14:textId="77777777" w:rsidR="00B242C3" w:rsidRPr="003272C7" w:rsidRDefault="00B242C3" w:rsidP="00497986">
            <w:pPr>
              <w:pStyle w:val="TableTextBold"/>
              <w:rPr>
                <w:rFonts w:cs="Arial"/>
              </w:rPr>
            </w:pPr>
            <w:r w:rsidRPr="003272C7">
              <w:rPr>
                <w:rFonts w:cs="Arial"/>
              </w:rPr>
              <w:t>The VWR is a critical enabler of Victoria’s entitlements framework that delivers:</w:t>
            </w:r>
          </w:p>
          <w:p w14:paraId="2921E08C" w14:textId="5716B9D4" w:rsidR="00B242C3" w:rsidRPr="003272C7" w:rsidRDefault="00AB59A7" w:rsidP="00497986">
            <w:pPr>
              <w:pStyle w:val="TableBullet"/>
              <w:rPr>
                <w:rFonts w:cs="Arial"/>
              </w:rPr>
            </w:pPr>
            <w:r w:rsidRPr="003272C7">
              <w:rPr>
                <w:rFonts w:cs="Arial"/>
              </w:rPr>
              <w:t>S</w:t>
            </w:r>
            <w:r w:rsidR="00B242C3" w:rsidRPr="003272C7">
              <w:rPr>
                <w:rFonts w:cs="Arial"/>
              </w:rPr>
              <w:t>ecure entitlements with tenure that is certain and protected, including bulk entitlements, environmental entitlements, water shares, section 51 licences, and contractual agreements to supply</w:t>
            </w:r>
            <w:r w:rsidRPr="003272C7">
              <w:rPr>
                <w:rFonts w:cs="Arial"/>
              </w:rPr>
              <w:t>.</w:t>
            </w:r>
          </w:p>
          <w:p w14:paraId="13B02F75" w14:textId="4BD2C2E0" w:rsidR="00B242C3" w:rsidRPr="003272C7" w:rsidRDefault="00AB59A7" w:rsidP="00497986">
            <w:pPr>
              <w:pStyle w:val="TableBullet"/>
              <w:rPr>
                <w:rFonts w:cs="Arial"/>
              </w:rPr>
            </w:pPr>
            <w:r w:rsidRPr="003272C7">
              <w:rPr>
                <w:rFonts w:cs="Arial"/>
              </w:rPr>
              <w:t>L</w:t>
            </w:r>
            <w:r w:rsidR="00B242C3" w:rsidRPr="003272C7">
              <w:rPr>
                <w:rFonts w:cs="Arial"/>
              </w:rPr>
              <w:t>imits on entitlements (volumes, extraction rates and locations, diversion rules and sharing arrangements)</w:t>
            </w:r>
            <w:r w:rsidRPr="003272C7">
              <w:rPr>
                <w:rFonts w:cs="Arial"/>
              </w:rPr>
              <w:t>.</w:t>
            </w:r>
          </w:p>
          <w:p w14:paraId="691951C0" w14:textId="3406CA15" w:rsidR="00B242C3" w:rsidRPr="003272C7" w:rsidRDefault="00AB59A7" w:rsidP="00497986">
            <w:pPr>
              <w:pStyle w:val="TableBullet"/>
              <w:rPr>
                <w:rFonts w:cs="Arial"/>
              </w:rPr>
            </w:pPr>
            <w:r w:rsidRPr="003272C7">
              <w:rPr>
                <w:rFonts w:cs="Arial"/>
              </w:rPr>
              <w:t>I</w:t>
            </w:r>
            <w:r w:rsidR="00B242C3" w:rsidRPr="003272C7">
              <w:rPr>
                <w:rFonts w:cs="Arial"/>
              </w:rPr>
              <w:t>mplementation of seasonal water allocation rules that respond to water availability</w:t>
            </w:r>
            <w:r w:rsidRPr="003272C7">
              <w:rPr>
                <w:rFonts w:cs="Arial"/>
              </w:rPr>
              <w:t>.</w:t>
            </w:r>
          </w:p>
          <w:p w14:paraId="0B622013" w14:textId="2F5909A8" w:rsidR="00B242C3" w:rsidRPr="003272C7" w:rsidRDefault="00AB59A7" w:rsidP="00497986">
            <w:pPr>
              <w:pStyle w:val="TableBullet"/>
              <w:rPr>
                <w:rFonts w:cs="Arial"/>
              </w:rPr>
            </w:pPr>
            <w:r w:rsidRPr="003272C7">
              <w:rPr>
                <w:rFonts w:cs="Arial"/>
              </w:rPr>
              <w:t>C</w:t>
            </w:r>
            <w:r w:rsidR="00B242C3" w:rsidRPr="003272C7">
              <w:rPr>
                <w:rFonts w:cs="Arial"/>
              </w:rPr>
              <w:t>lear consultative processes before entitlements can be changed</w:t>
            </w:r>
            <w:r w:rsidRPr="003272C7">
              <w:rPr>
                <w:rFonts w:cs="Arial"/>
              </w:rPr>
              <w:t>.</w:t>
            </w:r>
          </w:p>
          <w:p w14:paraId="4E752CE7" w14:textId="5E9841DD" w:rsidR="00B242C3" w:rsidRPr="003272C7" w:rsidRDefault="00AB59A7" w:rsidP="00497986">
            <w:pPr>
              <w:pStyle w:val="TableBullet"/>
              <w:rPr>
                <w:rFonts w:cs="Arial"/>
              </w:rPr>
            </w:pPr>
            <w:r w:rsidRPr="003272C7">
              <w:rPr>
                <w:rFonts w:cs="Arial"/>
              </w:rPr>
              <w:t>A</w:t>
            </w:r>
            <w:r w:rsidR="00B242C3" w:rsidRPr="003272C7">
              <w:rPr>
                <w:rFonts w:cs="Arial"/>
              </w:rPr>
              <w:t>bility to trade, using markets to facilitate efficient movement of water</w:t>
            </w:r>
            <w:r w:rsidRPr="003272C7">
              <w:rPr>
                <w:rFonts w:cs="Arial"/>
              </w:rPr>
              <w:t>.</w:t>
            </w:r>
          </w:p>
          <w:p w14:paraId="00487602" w14:textId="3B9D131B" w:rsidR="00B242C3" w:rsidRPr="003272C7" w:rsidRDefault="00AB59A7" w:rsidP="00497986">
            <w:pPr>
              <w:pStyle w:val="TableBullet"/>
              <w:rPr>
                <w:rFonts w:cs="Arial"/>
              </w:rPr>
            </w:pPr>
            <w:r w:rsidRPr="003272C7">
              <w:rPr>
                <w:rFonts w:cs="Arial"/>
              </w:rPr>
              <w:lastRenderedPageBreak/>
              <w:t>P</w:t>
            </w:r>
            <w:r w:rsidR="00B242C3" w:rsidRPr="003272C7">
              <w:rPr>
                <w:rFonts w:cs="Arial"/>
              </w:rPr>
              <w:t>rivate rights enabling individuals to take water for domestic and stock purposes in certain circumstances without a licence.</w:t>
            </w:r>
          </w:p>
          <w:p w14:paraId="6DEECF05" w14:textId="77777777" w:rsidR="00142559" w:rsidRPr="003272C7" w:rsidRDefault="00B242C3" w:rsidP="00497986">
            <w:pPr>
              <w:pStyle w:val="TableTextBold"/>
              <w:rPr>
                <w:rFonts w:cs="Arial"/>
              </w:rPr>
            </w:pPr>
            <w:r w:rsidRPr="003272C7">
              <w:rPr>
                <w:rFonts w:cs="Arial"/>
              </w:rPr>
              <w:t xml:space="preserve">The </w:t>
            </w:r>
            <w:r w:rsidR="00724F24" w:rsidRPr="003272C7">
              <w:rPr>
                <w:rFonts w:cs="Arial"/>
              </w:rPr>
              <w:t xml:space="preserve">new </w:t>
            </w:r>
            <w:r w:rsidRPr="003272C7">
              <w:rPr>
                <w:rFonts w:cs="Arial"/>
              </w:rPr>
              <w:t xml:space="preserve">VWR </w:t>
            </w:r>
            <w:r w:rsidR="00724F24" w:rsidRPr="003272C7">
              <w:rPr>
                <w:rFonts w:cs="Arial"/>
              </w:rPr>
              <w:t xml:space="preserve">will deliver </w:t>
            </w:r>
            <w:r w:rsidRPr="003272C7">
              <w:rPr>
                <w:rFonts w:cs="Arial"/>
              </w:rPr>
              <w:t xml:space="preserve">the following key </w:t>
            </w:r>
            <w:r w:rsidR="00724F24" w:rsidRPr="003272C7">
              <w:rPr>
                <w:rFonts w:cs="Arial"/>
              </w:rPr>
              <w:t>benefits</w:t>
            </w:r>
            <w:r w:rsidRPr="003272C7">
              <w:rPr>
                <w:rFonts w:cs="Arial"/>
              </w:rPr>
              <w:t>:</w:t>
            </w:r>
          </w:p>
          <w:p w14:paraId="6CAD65D8" w14:textId="4CF4FF31" w:rsidR="00244960" w:rsidRPr="003272C7" w:rsidRDefault="00244960" w:rsidP="00497986">
            <w:pPr>
              <w:pStyle w:val="TableBullet"/>
              <w:rPr>
                <w:rFonts w:cs="Arial"/>
              </w:rPr>
            </w:pPr>
            <w:r w:rsidRPr="003272C7">
              <w:rPr>
                <w:rFonts w:cs="Arial"/>
              </w:rPr>
              <w:t>Secure – the VWR platform continues to be secure, meeting evolving community expectations about data privacy and cyber security.</w:t>
            </w:r>
          </w:p>
          <w:p w14:paraId="5328FB71" w14:textId="3C2F539B" w:rsidR="00244960" w:rsidRPr="003272C7" w:rsidRDefault="00244960" w:rsidP="00497986">
            <w:pPr>
              <w:pStyle w:val="TableBullet"/>
              <w:rPr>
                <w:rFonts w:cs="Arial"/>
              </w:rPr>
            </w:pPr>
            <w:r w:rsidRPr="003272C7">
              <w:rPr>
                <w:rFonts w:cs="Arial"/>
              </w:rPr>
              <w:t>Reliable – available when required and provides the authoritative point of truth for VWR water-related entitlement records and information.</w:t>
            </w:r>
          </w:p>
          <w:p w14:paraId="6642EE26" w14:textId="51426F26" w:rsidR="00244960" w:rsidRPr="003272C7" w:rsidRDefault="00244960" w:rsidP="00497986">
            <w:pPr>
              <w:pStyle w:val="TableBullet"/>
              <w:rPr>
                <w:rFonts w:cs="Arial"/>
              </w:rPr>
            </w:pPr>
            <w:r w:rsidRPr="003272C7">
              <w:rPr>
                <w:rFonts w:cs="Arial"/>
              </w:rPr>
              <w:t>Efficient VWR Partner processes – the costs to VWR Partners of delivering services via the VWR platform are maintained or reduced.</w:t>
            </w:r>
          </w:p>
          <w:p w14:paraId="30B70850" w14:textId="43EFED50" w:rsidR="00244960" w:rsidRPr="003272C7" w:rsidRDefault="00244960" w:rsidP="00497986">
            <w:pPr>
              <w:pStyle w:val="TableBullet"/>
              <w:rPr>
                <w:rFonts w:cs="Arial"/>
              </w:rPr>
            </w:pPr>
            <w:r w:rsidRPr="003272C7">
              <w:rPr>
                <w:rFonts w:cs="Arial"/>
              </w:rPr>
              <w:t>Accessible, responsive and user-friendly services – enables end users to understand and manage their water needs and obligations</w:t>
            </w:r>
            <w:r w:rsidR="00AB59A7" w:rsidRPr="003272C7">
              <w:rPr>
                <w:rFonts w:cs="Arial"/>
              </w:rPr>
              <w:t>.</w:t>
            </w:r>
          </w:p>
          <w:p w14:paraId="79B32C3A" w14:textId="323F62A8" w:rsidR="00B242C3" w:rsidRPr="00623380" w:rsidRDefault="00244960" w:rsidP="00497986">
            <w:pPr>
              <w:pStyle w:val="TableBullet"/>
              <w:rPr>
                <w:rFonts w:cs="Arial"/>
                <w:sz w:val="19"/>
                <w:szCs w:val="19"/>
              </w:rPr>
            </w:pPr>
            <w:r w:rsidRPr="003272C7">
              <w:rPr>
                <w:rFonts w:cs="Arial"/>
              </w:rPr>
              <w:t>Compliance by design – implements the Victorian entitlement framework and relevant policy commitments.</w:t>
            </w:r>
            <w:r w:rsidRPr="00623380">
              <w:rPr>
                <w:rFonts w:cs="Arial"/>
                <w:sz w:val="19"/>
                <w:szCs w:val="19"/>
              </w:rPr>
              <w:t xml:space="preserve"> </w:t>
            </w:r>
          </w:p>
        </w:tc>
      </w:tr>
      <w:tr w:rsidR="00B242C3" w:rsidRPr="003272C7" w14:paraId="48BFEEAB" w14:textId="77777777" w:rsidTr="00C20193">
        <w:trPr>
          <w:trHeight w:val="259"/>
        </w:trPr>
        <w:tc>
          <w:tcPr>
            <w:tcW w:w="979" w:type="pct"/>
            <w:shd w:val="clear" w:color="auto" w:fill="231EDC" w:themeFill="accent1"/>
          </w:tcPr>
          <w:p w14:paraId="5176DEA0"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217FBA95" w14:textId="747C0470" w:rsidR="00565D81" w:rsidRPr="003272C7" w:rsidRDefault="00565D81" w:rsidP="007D69DB">
            <w:pPr>
              <w:pStyle w:val="TableTextBold"/>
              <w:keepNext/>
              <w:keepLines/>
              <w:rPr>
                <w:rFonts w:cs="Arial"/>
              </w:rPr>
            </w:pPr>
            <w:r w:rsidRPr="003272C7">
              <w:rPr>
                <w:rFonts w:cs="Arial"/>
              </w:rPr>
              <w:t>What worked well</w:t>
            </w:r>
            <w:r w:rsidR="00AB59A7" w:rsidRPr="003272C7">
              <w:rPr>
                <w:rFonts w:cs="Arial"/>
              </w:rPr>
              <w:t>:</w:t>
            </w:r>
          </w:p>
          <w:p w14:paraId="3B8815AD" w14:textId="77777777" w:rsidR="00142559" w:rsidRPr="003272C7" w:rsidRDefault="00565D81" w:rsidP="00497986">
            <w:pPr>
              <w:pStyle w:val="TableBullet"/>
              <w:rPr>
                <w:rFonts w:cs="Arial"/>
              </w:rPr>
            </w:pPr>
            <w:r w:rsidRPr="003272C7">
              <w:rPr>
                <w:rFonts w:cs="Arial"/>
              </w:rPr>
              <w:t>Transitioning maintenance and support services from the incumbent vendor to a new vendor without disruption to VWR services.</w:t>
            </w:r>
          </w:p>
          <w:p w14:paraId="7DF08FC9" w14:textId="77777777" w:rsidR="00142559" w:rsidRPr="003272C7" w:rsidRDefault="00565D81" w:rsidP="00497986">
            <w:pPr>
              <w:pStyle w:val="TableBullet"/>
              <w:rPr>
                <w:rFonts w:cs="Arial"/>
              </w:rPr>
            </w:pPr>
            <w:r w:rsidRPr="003272C7">
              <w:rPr>
                <w:rFonts w:cs="Arial"/>
              </w:rPr>
              <w:t>BAU operations were delivered in a manner that met all relevant service standards.</w:t>
            </w:r>
          </w:p>
          <w:p w14:paraId="34183E10" w14:textId="77777777" w:rsidR="00142559" w:rsidRPr="003272C7" w:rsidRDefault="00565D81" w:rsidP="00497986">
            <w:pPr>
              <w:pStyle w:val="TableBullet"/>
              <w:rPr>
                <w:rFonts w:cs="Arial"/>
              </w:rPr>
            </w:pPr>
            <w:r w:rsidRPr="003272C7">
              <w:rPr>
                <w:rFonts w:cs="Arial"/>
              </w:rPr>
              <w:t>Several changes to trade facilitation services were successfully introduced to mitigate risks of system outages caused by the existing ageing IT platform.</w:t>
            </w:r>
          </w:p>
          <w:p w14:paraId="4073E33C" w14:textId="77777777" w:rsidR="00142559" w:rsidRPr="003272C7" w:rsidRDefault="00565D81" w:rsidP="00497986">
            <w:pPr>
              <w:pStyle w:val="TableBullet"/>
              <w:rPr>
                <w:rFonts w:cs="Arial"/>
              </w:rPr>
            </w:pPr>
            <w:r w:rsidRPr="003272C7">
              <w:rPr>
                <w:rFonts w:cs="Arial"/>
              </w:rPr>
              <w:t xml:space="preserve">BAU operations delivered improved contract management reporting which ensured robust governance of BAU </w:t>
            </w:r>
            <w:r w:rsidR="00C23B4B" w:rsidRPr="003272C7">
              <w:rPr>
                <w:rFonts w:cs="Arial"/>
              </w:rPr>
              <w:t xml:space="preserve">Information and Communications Technology </w:t>
            </w:r>
            <w:r w:rsidR="00883CBA" w:rsidRPr="003272C7">
              <w:rPr>
                <w:rFonts w:cs="Arial"/>
              </w:rPr>
              <w:t>(</w:t>
            </w:r>
            <w:r w:rsidRPr="003272C7">
              <w:rPr>
                <w:rFonts w:cs="Arial"/>
              </w:rPr>
              <w:t>ICT</w:t>
            </w:r>
            <w:r w:rsidR="00883CBA" w:rsidRPr="003272C7">
              <w:rPr>
                <w:rFonts w:cs="Arial"/>
              </w:rPr>
              <w:t>)</w:t>
            </w:r>
            <w:r w:rsidRPr="003272C7">
              <w:rPr>
                <w:rFonts w:cs="Arial"/>
              </w:rPr>
              <w:t xml:space="preserve"> service providers and assisted the BAU operations team to effectively manage</w:t>
            </w:r>
            <w:r w:rsidR="00827425" w:rsidRPr="003272C7">
              <w:rPr>
                <w:rFonts w:cs="Arial"/>
              </w:rPr>
              <w:t> </w:t>
            </w:r>
            <w:r w:rsidRPr="003272C7">
              <w:rPr>
                <w:rFonts w:cs="Arial"/>
              </w:rPr>
              <w:t>workloads.</w:t>
            </w:r>
          </w:p>
          <w:p w14:paraId="4435463A" w14:textId="5A105AAF" w:rsidR="00565D81" w:rsidRPr="003272C7" w:rsidRDefault="00565D81" w:rsidP="00497986">
            <w:pPr>
              <w:pStyle w:val="TableBullet"/>
              <w:rPr>
                <w:rFonts w:cs="Arial"/>
              </w:rPr>
            </w:pPr>
            <w:r w:rsidRPr="003272C7">
              <w:rPr>
                <w:rFonts w:cs="Arial"/>
              </w:rPr>
              <w:t xml:space="preserve">The business case underpinning the </w:t>
            </w:r>
            <w:r w:rsidR="00445736" w:rsidRPr="003272C7">
              <w:rPr>
                <w:rFonts w:cs="Arial"/>
              </w:rPr>
              <w:t>project</w:t>
            </w:r>
            <w:r w:rsidRPr="003272C7">
              <w:rPr>
                <w:rFonts w:cs="Arial"/>
              </w:rPr>
              <w:t xml:space="preserve"> was comprehensive, the business benefits were mapped early and well understood by the project team and Transform Project Control Board (Transform PCB) prior to commencing work with the vendor</w:t>
            </w:r>
            <w:r w:rsidR="00883CBA" w:rsidRPr="003272C7">
              <w:rPr>
                <w:rFonts w:cs="Arial"/>
              </w:rPr>
              <w:t>.</w:t>
            </w:r>
          </w:p>
          <w:p w14:paraId="43B2B547" w14:textId="0E08A444" w:rsidR="00565D81" w:rsidRPr="003272C7" w:rsidRDefault="00565D81" w:rsidP="00497986">
            <w:pPr>
              <w:pStyle w:val="TableBullet"/>
              <w:rPr>
                <w:rFonts w:cs="Arial"/>
              </w:rPr>
            </w:pPr>
            <w:r w:rsidRPr="003272C7">
              <w:rPr>
                <w:rFonts w:cs="Arial"/>
              </w:rPr>
              <w:t>The project team culture was strong, and the team supported each other and showed persistence through difficult times</w:t>
            </w:r>
            <w:r w:rsidR="00883CBA" w:rsidRPr="003272C7">
              <w:rPr>
                <w:rFonts w:cs="Arial"/>
              </w:rPr>
              <w:t>.</w:t>
            </w:r>
          </w:p>
          <w:p w14:paraId="125D50D1" w14:textId="2D452249" w:rsidR="00565D81" w:rsidRPr="003272C7" w:rsidRDefault="00565D81" w:rsidP="00497986">
            <w:pPr>
              <w:pStyle w:val="TableBullet"/>
              <w:rPr>
                <w:rFonts w:cs="Arial"/>
              </w:rPr>
            </w:pPr>
            <w:r w:rsidRPr="003272C7">
              <w:rPr>
                <w:rFonts w:cs="Arial"/>
              </w:rPr>
              <w:t>Good project participation, time commitment and support from water corporation and water registrar stakeholders, and DEECA WRS teams, to provide input into requirements and design</w:t>
            </w:r>
            <w:r w:rsidR="00883CBA" w:rsidRPr="003272C7">
              <w:rPr>
                <w:rFonts w:cs="Arial"/>
              </w:rPr>
              <w:t>.</w:t>
            </w:r>
          </w:p>
          <w:p w14:paraId="05A13A43" w14:textId="75148115" w:rsidR="00565D81" w:rsidRPr="003272C7" w:rsidRDefault="00565D81" w:rsidP="00497986">
            <w:pPr>
              <w:pStyle w:val="TableBullet"/>
              <w:rPr>
                <w:rFonts w:cs="Arial"/>
              </w:rPr>
            </w:pPr>
            <w:r w:rsidRPr="003272C7">
              <w:rPr>
                <w:rFonts w:cs="Arial"/>
              </w:rPr>
              <w:t>Stakeholder engagement was effective through Business &amp; Customer Working Group and Technical Working Group forums, and also through showcases and in-person visits</w:t>
            </w:r>
            <w:r w:rsidR="00883CBA" w:rsidRPr="003272C7">
              <w:rPr>
                <w:rFonts w:cs="Arial"/>
              </w:rPr>
              <w:t>.</w:t>
            </w:r>
          </w:p>
          <w:p w14:paraId="0B559D11" w14:textId="3C5AC749" w:rsidR="00565D81" w:rsidRPr="003272C7" w:rsidRDefault="00565D81" w:rsidP="00497986">
            <w:pPr>
              <w:pStyle w:val="TableBullet"/>
              <w:rPr>
                <w:rFonts w:cs="Arial"/>
              </w:rPr>
            </w:pPr>
            <w:r w:rsidRPr="003272C7">
              <w:rPr>
                <w:rFonts w:cs="Arial"/>
              </w:rPr>
              <w:t>Having a Project Assurance Advisor engaged from the beginning of the project and sitting on the PCB</w:t>
            </w:r>
            <w:r w:rsidR="00883CBA" w:rsidRPr="003272C7">
              <w:rPr>
                <w:rFonts w:cs="Arial"/>
              </w:rPr>
              <w:t>.</w:t>
            </w:r>
          </w:p>
          <w:p w14:paraId="7394F518" w14:textId="77777777" w:rsidR="00142559" w:rsidRPr="003272C7" w:rsidRDefault="00565D81" w:rsidP="00827425">
            <w:pPr>
              <w:pStyle w:val="TableBullet"/>
              <w:rPr>
                <w:rFonts w:cs="Arial"/>
              </w:rPr>
            </w:pPr>
            <w:r w:rsidRPr="003272C7">
              <w:rPr>
                <w:rFonts w:cs="Arial"/>
              </w:rPr>
              <w:t>The project team took the opportunity to engage early and work with key stakeholders and partners to reengineer and simplify processes where possible, prior to engaging with the vendor.</w:t>
            </w:r>
          </w:p>
          <w:p w14:paraId="43C883FD" w14:textId="59AD975F" w:rsidR="00565D81" w:rsidRPr="003272C7" w:rsidRDefault="00565D81" w:rsidP="00827425">
            <w:pPr>
              <w:pStyle w:val="TableTextBold"/>
              <w:rPr>
                <w:rFonts w:cs="Arial"/>
              </w:rPr>
            </w:pPr>
            <w:r w:rsidRPr="003272C7">
              <w:rPr>
                <w:rFonts w:cs="Arial"/>
              </w:rPr>
              <w:t>What didn’t work well</w:t>
            </w:r>
            <w:r w:rsidR="00883CBA" w:rsidRPr="003272C7">
              <w:rPr>
                <w:rFonts w:cs="Arial"/>
              </w:rPr>
              <w:t>:</w:t>
            </w:r>
          </w:p>
          <w:p w14:paraId="7DB29F9F" w14:textId="77777777" w:rsidR="00142559" w:rsidRPr="003272C7" w:rsidRDefault="00565D81" w:rsidP="00827425">
            <w:pPr>
              <w:pStyle w:val="TableBullet"/>
              <w:rPr>
                <w:rFonts w:cs="Arial"/>
              </w:rPr>
            </w:pPr>
            <w:r w:rsidRPr="003272C7">
              <w:rPr>
                <w:rFonts w:cs="Arial"/>
              </w:rPr>
              <w:t>The Transform project vendor had unrealistic expectations on velocity and throughput considering DEECA’s resource profile and did not use appropriate sizing and data to inform planning.</w:t>
            </w:r>
          </w:p>
          <w:p w14:paraId="5AC95FEA" w14:textId="77777777" w:rsidR="00142559" w:rsidRPr="003272C7" w:rsidRDefault="00565D81" w:rsidP="00827425">
            <w:pPr>
              <w:pStyle w:val="TableBullet"/>
              <w:rPr>
                <w:rFonts w:cs="Arial"/>
              </w:rPr>
            </w:pPr>
            <w:r w:rsidRPr="003272C7">
              <w:rPr>
                <w:rFonts w:cs="Arial"/>
              </w:rPr>
              <w:t>The Transform project vendor relied upon the DEECA to provide information about the current system, rather than using their technical team to analyse the system directly, with consequent time and resource impacts, and incomplete understanding.</w:t>
            </w:r>
          </w:p>
          <w:p w14:paraId="7A93AE25" w14:textId="77777777" w:rsidR="00142559" w:rsidRPr="003272C7" w:rsidRDefault="00565D81" w:rsidP="00827425">
            <w:pPr>
              <w:pStyle w:val="TableBullet"/>
              <w:rPr>
                <w:rFonts w:cs="Arial"/>
              </w:rPr>
            </w:pPr>
            <w:r w:rsidRPr="003272C7">
              <w:rPr>
                <w:rFonts w:cs="Arial"/>
              </w:rPr>
              <w:t xml:space="preserve">Vendor project reporting was not sufficiently detailed to allow DEECA to assess progress against schedule, deliverables, costs and risks and DEECA did not have a strong enough </w:t>
            </w:r>
            <w:r w:rsidR="00C23B4B" w:rsidRPr="003272C7">
              <w:rPr>
                <w:rFonts w:cs="Arial"/>
              </w:rPr>
              <w:t>project management office (</w:t>
            </w:r>
            <w:r w:rsidRPr="003272C7">
              <w:rPr>
                <w:rFonts w:cs="Arial"/>
              </w:rPr>
              <w:t>PMO</w:t>
            </w:r>
            <w:r w:rsidR="00C23B4B" w:rsidRPr="003272C7">
              <w:rPr>
                <w:rFonts w:cs="Arial"/>
              </w:rPr>
              <w:t>)</w:t>
            </w:r>
            <w:r w:rsidRPr="003272C7">
              <w:rPr>
                <w:rFonts w:cs="Arial"/>
              </w:rPr>
              <w:t xml:space="preserve"> setup from the beginning to drive the required change in this area.</w:t>
            </w:r>
          </w:p>
          <w:p w14:paraId="2FFF75E4" w14:textId="77777777" w:rsidR="00142559" w:rsidRPr="003272C7" w:rsidRDefault="00565D81" w:rsidP="00827425">
            <w:pPr>
              <w:pStyle w:val="TableBullet"/>
              <w:rPr>
                <w:rFonts w:cs="Arial"/>
              </w:rPr>
            </w:pPr>
            <w:r w:rsidRPr="003272C7">
              <w:rPr>
                <w:rFonts w:cs="Arial"/>
              </w:rPr>
              <w:t>Roles and responsibilities between the vendor and the DEECA project team were not always clear.</w:t>
            </w:r>
          </w:p>
          <w:p w14:paraId="47D04BBD" w14:textId="77777777" w:rsidR="00142559" w:rsidRPr="003272C7" w:rsidRDefault="00565D81" w:rsidP="00827425">
            <w:pPr>
              <w:pStyle w:val="TableBullet"/>
              <w:rPr>
                <w:rFonts w:cs="Arial"/>
              </w:rPr>
            </w:pPr>
            <w:r w:rsidRPr="003272C7">
              <w:rPr>
                <w:rFonts w:cs="Arial"/>
              </w:rPr>
              <w:lastRenderedPageBreak/>
              <w:t>DEECA did not have sufficient experience</w:t>
            </w:r>
            <w:r w:rsidR="00C23B4B" w:rsidRPr="003272C7">
              <w:rPr>
                <w:rFonts w:cs="Arial"/>
              </w:rPr>
              <w:t xml:space="preserve"> </w:t>
            </w:r>
            <w:r w:rsidRPr="003272C7">
              <w:rPr>
                <w:rFonts w:cs="Arial"/>
              </w:rPr>
              <w:t>/</w:t>
            </w:r>
            <w:r w:rsidR="00C23B4B" w:rsidRPr="003272C7">
              <w:rPr>
                <w:rFonts w:cs="Arial"/>
              </w:rPr>
              <w:t xml:space="preserve"> </w:t>
            </w:r>
            <w:r w:rsidRPr="003272C7">
              <w:rPr>
                <w:rFonts w:cs="Arial"/>
              </w:rPr>
              <w:t>capabilities in the new technologies being used, leading to increased reliance on the vendor and reduced ability to challenge or influence decisions or advice.</w:t>
            </w:r>
          </w:p>
          <w:p w14:paraId="5847777D" w14:textId="03F0CC0A" w:rsidR="00B242C3" w:rsidRPr="00623380" w:rsidRDefault="00565D81" w:rsidP="00827425">
            <w:pPr>
              <w:pStyle w:val="TableBullet"/>
              <w:rPr>
                <w:rFonts w:cs="Arial"/>
                <w:sz w:val="19"/>
                <w:szCs w:val="19"/>
              </w:rPr>
            </w:pPr>
            <w:r w:rsidRPr="003272C7">
              <w:rPr>
                <w:rFonts w:cs="Arial"/>
              </w:rPr>
              <w:t>DEECA did not have appropriate mechanisms in place to track escalated issues to ensure effective and timely resolution.</w:t>
            </w:r>
          </w:p>
        </w:tc>
      </w:tr>
      <w:tr w:rsidR="00B242C3" w:rsidRPr="003272C7" w14:paraId="7C657F2C" w14:textId="77777777" w:rsidTr="00C20193">
        <w:trPr>
          <w:trHeight w:val="259"/>
        </w:trPr>
        <w:tc>
          <w:tcPr>
            <w:tcW w:w="979" w:type="pct"/>
            <w:shd w:val="clear" w:color="auto" w:fill="231EDC" w:themeFill="accent1"/>
          </w:tcPr>
          <w:p w14:paraId="0634046B" w14:textId="77777777" w:rsidR="00B242C3" w:rsidRPr="003272C7" w:rsidRDefault="00B242C3" w:rsidP="00C06DED">
            <w:pPr>
              <w:pStyle w:val="TableText"/>
              <w:rPr>
                <w:rFonts w:cs="Arial"/>
                <w:b/>
                <w:bCs/>
                <w:szCs w:val="18"/>
              </w:rPr>
            </w:pPr>
            <w:r w:rsidRPr="003272C7">
              <w:rPr>
                <w:rFonts w:cs="Arial"/>
                <w:b/>
                <w:bCs/>
                <w:szCs w:val="18"/>
              </w:rPr>
              <w:lastRenderedPageBreak/>
              <w:t>Appropriateness</w:t>
            </w:r>
          </w:p>
        </w:tc>
        <w:tc>
          <w:tcPr>
            <w:tcW w:w="4021" w:type="pct"/>
          </w:tcPr>
          <w:p w14:paraId="78734CF3" w14:textId="77777777" w:rsidR="00142559" w:rsidRPr="003272C7" w:rsidRDefault="00367A00" w:rsidP="00827425">
            <w:pPr>
              <w:pStyle w:val="TableText"/>
              <w:rPr>
                <w:rFonts w:cs="Arial"/>
              </w:rPr>
            </w:pPr>
            <w:r w:rsidRPr="003272C7">
              <w:rPr>
                <w:rFonts w:cs="Arial"/>
              </w:rPr>
              <w:t xml:space="preserve">The </w:t>
            </w:r>
            <w:r w:rsidR="00445736" w:rsidRPr="003272C7">
              <w:rPr>
                <w:rFonts w:cs="Arial"/>
              </w:rPr>
              <w:t>projec</w:t>
            </w:r>
            <w:r w:rsidR="0087478C" w:rsidRPr="003272C7">
              <w:rPr>
                <w:rFonts w:cs="Arial"/>
              </w:rPr>
              <w:t>t’</w:t>
            </w:r>
            <w:r w:rsidRPr="003272C7">
              <w:rPr>
                <w:rFonts w:cs="Arial"/>
              </w:rPr>
              <w:t xml:space="preserve">s primary objective was to ensure that the VWR </w:t>
            </w:r>
            <w:r w:rsidRPr="00623380">
              <w:rPr>
                <w:rFonts w:cs="Arial" w:hint="eastAsia"/>
              </w:rPr>
              <w:t>–</w:t>
            </w:r>
            <w:r w:rsidRPr="003272C7">
              <w:rPr>
                <w:rFonts w:cs="Arial"/>
              </w:rPr>
              <w:t xml:space="preserve"> and its related services </w:t>
            </w:r>
            <w:r w:rsidRPr="00623380">
              <w:rPr>
                <w:rFonts w:cs="Arial" w:hint="eastAsia"/>
              </w:rPr>
              <w:t>–</w:t>
            </w:r>
            <w:r w:rsidRPr="003272C7">
              <w:rPr>
                <w:rFonts w:cs="Arial"/>
              </w:rPr>
              <w:t xml:space="preserve"> remain fit-for-purpose as a trusted, secure and accessible record of Victorian water entitlements. Given the fundamental role the VWR plays in the sector, the level and overall scope of the investment was appropriate. Both components (BAU and uplifting the VWR) were required to achieve the objective.</w:t>
            </w:r>
          </w:p>
          <w:p w14:paraId="149A3EBC" w14:textId="6AB68E05" w:rsidR="00B242C3" w:rsidRPr="003272C7" w:rsidRDefault="00367A00" w:rsidP="00827425">
            <w:pPr>
              <w:pStyle w:val="TableText"/>
              <w:rPr>
                <w:rFonts w:cs="Arial"/>
              </w:rPr>
            </w:pPr>
            <w:r w:rsidRPr="00623380">
              <w:rPr>
                <w:rFonts w:cs="Arial"/>
              </w:rPr>
              <w:t>The approach for the Transform project assumed it was viable to deliver all the planned benefits of the VWR via a ‘greenfield</w:t>
            </w:r>
            <w:r w:rsidRPr="00623380">
              <w:rPr>
                <w:rFonts w:cs="Arial" w:hint="eastAsia"/>
              </w:rPr>
              <w:t>’</w:t>
            </w:r>
            <w:r w:rsidRPr="00623380">
              <w:rPr>
                <w:rFonts w:cs="Arial"/>
              </w:rPr>
              <w:t xml:space="preserve"> approach of entirely rebuilding the VWR on newer technology. The complexity discovered in adopting this approach during execution of the Transform project suggests that this approach could have been more thoroughly considered, including consideration of alternative approaches</w:t>
            </w:r>
            <w:r w:rsidRPr="003272C7">
              <w:rPr>
                <w:rFonts w:cs="Arial"/>
              </w:rPr>
              <w:t> </w:t>
            </w:r>
          </w:p>
        </w:tc>
      </w:tr>
      <w:tr w:rsidR="00C23B4B" w:rsidRPr="003272C7" w14:paraId="03EDFD14" w14:textId="77777777" w:rsidTr="00C20193">
        <w:trPr>
          <w:trHeight w:val="259"/>
        </w:trPr>
        <w:tc>
          <w:tcPr>
            <w:tcW w:w="979" w:type="pct"/>
            <w:shd w:val="clear" w:color="auto" w:fill="231EDC" w:themeFill="accent1"/>
          </w:tcPr>
          <w:p w14:paraId="5CCCA2C2"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318CDC59" w14:textId="086A6A18" w:rsidR="00B242C3" w:rsidRPr="003272C7" w:rsidRDefault="00B242C3" w:rsidP="00827425">
            <w:pPr>
              <w:pStyle w:val="TableText"/>
              <w:rPr>
                <w:rFonts w:cs="Arial"/>
              </w:rPr>
            </w:pPr>
            <w:r w:rsidRPr="003272C7">
              <w:rPr>
                <w:rFonts w:cs="Arial"/>
              </w:rPr>
              <w:t xml:space="preserve">The </w:t>
            </w:r>
            <w:r w:rsidR="00367A00" w:rsidRPr="003272C7">
              <w:rPr>
                <w:rFonts w:cs="Arial"/>
              </w:rPr>
              <w:t xml:space="preserve">delivery of a new VWR </w:t>
            </w:r>
            <w:r w:rsidRPr="003272C7">
              <w:rPr>
                <w:rFonts w:cs="Arial"/>
              </w:rPr>
              <w:t xml:space="preserve">has been restructured </w:t>
            </w:r>
            <w:r w:rsidR="006D689C" w:rsidRPr="00623380">
              <w:rPr>
                <w:rFonts w:cs="Arial"/>
              </w:rPr>
              <w:t>to align with the Victorian 2024-25 budget (refer Description section above).</w:t>
            </w:r>
          </w:p>
        </w:tc>
      </w:tr>
      <w:tr w:rsidR="00C23B4B" w:rsidRPr="003272C7" w14:paraId="5F64244F" w14:textId="77777777" w:rsidTr="00C20193">
        <w:trPr>
          <w:trHeight w:val="259"/>
        </w:trPr>
        <w:tc>
          <w:tcPr>
            <w:tcW w:w="979" w:type="pct"/>
            <w:shd w:val="clear" w:color="auto" w:fill="231EDC" w:themeFill="accent1"/>
          </w:tcPr>
          <w:p w14:paraId="5C12AB53"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657D09E4" w14:textId="77777777" w:rsidR="00142559" w:rsidRPr="003272C7" w:rsidRDefault="000B705F" w:rsidP="00827425">
            <w:pPr>
              <w:pStyle w:val="TableText"/>
              <w:rPr>
                <w:rFonts w:cs="Arial"/>
              </w:rPr>
            </w:pPr>
            <w:r w:rsidRPr="00623380">
              <w:rPr>
                <w:rFonts w:cs="Arial"/>
              </w:rPr>
              <w:t>The delivery of BAU operations during the EC5 period contributes to long-term confidence in Victorian water markets and DEECA</w:t>
            </w:r>
            <w:r w:rsidR="00C23B4B" w:rsidRPr="003272C7">
              <w:rPr>
                <w:rFonts w:cs="Arial"/>
              </w:rPr>
              <w:t>’</w:t>
            </w:r>
            <w:r w:rsidRPr="00623380">
              <w:rPr>
                <w:rFonts w:cs="Arial"/>
              </w:rPr>
              <w:t>s role as operator of the VWR and administering the trading framework.</w:t>
            </w:r>
          </w:p>
          <w:p w14:paraId="53437ECB" w14:textId="5EB1C91B" w:rsidR="00B242C3" w:rsidRPr="003272C7" w:rsidRDefault="000B705F" w:rsidP="00827425">
            <w:pPr>
              <w:pStyle w:val="TableText"/>
              <w:rPr>
                <w:rFonts w:cs="Arial"/>
              </w:rPr>
            </w:pPr>
            <w:r w:rsidRPr="003272C7">
              <w:rPr>
                <w:rFonts w:cs="Arial"/>
              </w:rPr>
              <w:t>The benefits delivered by an upgraded VWR (refer Impact section) are long-term and will be of value to VWR</w:t>
            </w:r>
            <w:r w:rsidR="007B72FE" w:rsidRPr="003272C7">
              <w:rPr>
                <w:rFonts w:cs="Arial"/>
              </w:rPr>
              <w:t xml:space="preserve"> Partners and stakeholders into the future.</w:t>
            </w:r>
            <w:r w:rsidR="00B242C3" w:rsidRPr="003272C7">
              <w:rPr>
                <w:rFonts w:cs="Arial"/>
              </w:rPr>
              <w:t xml:space="preserve"> </w:t>
            </w:r>
          </w:p>
        </w:tc>
      </w:tr>
      <w:tr w:rsidR="00C23B4B" w:rsidRPr="003272C7" w14:paraId="6F4315FF" w14:textId="77777777" w:rsidTr="00C20193">
        <w:trPr>
          <w:trHeight w:val="259"/>
        </w:trPr>
        <w:tc>
          <w:tcPr>
            <w:tcW w:w="979" w:type="pct"/>
            <w:shd w:val="clear" w:color="auto" w:fill="231EDC" w:themeFill="accent1"/>
          </w:tcPr>
          <w:p w14:paraId="1FD1E07D" w14:textId="77777777" w:rsidR="00B242C3" w:rsidRPr="003272C7" w:rsidRDefault="00B242C3" w:rsidP="00C06DED">
            <w:pPr>
              <w:pStyle w:val="TableText"/>
              <w:rPr>
                <w:rFonts w:cs="Arial"/>
                <w:b/>
                <w:bCs/>
                <w:szCs w:val="18"/>
              </w:rPr>
            </w:pPr>
            <w:r w:rsidRPr="003272C7">
              <w:rPr>
                <w:rFonts w:cs="Arial"/>
                <w:b/>
                <w:bCs/>
                <w:szCs w:val="18"/>
              </w:rPr>
              <w:t>Future priorities</w:t>
            </w:r>
          </w:p>
        </w:tc>
        <w:tc>
          <w:tcPr>
            <w:tcW w:w="4021" w:type="pct"/>
          </w:tcPr>
          <w:p w14:paraId="41777B18" w14:textId="77777777" w:rsidR="00142559" w:rsidRPr="003272C7" w:rsidRDefault="007B72FE" w:rsidP="00827425">
            <w:pPr>
              <w:pStyle w:val="TableBullet"/>
              <w:rPr>
                <w:rFonts w:cs="Arial"/>
              </w:rPr>
            </w:pPr>
            <w:r w:rsidRPr="003272C7">
              <w:rPr>
                <w:rFonts w:cs="Arial"/>
              </w:rPr>
              <w:t xml:space="preserve">Continued delivery </w:t>
            </w:r>
            <w:r w:rsidR="00B242C3" w:rsidRPr="003272C7">
              <w:rPr>
                <w:rFonts w:cs="Arial"/>
              </w:rPr>
              <w:t>VWR BAU Operations</w:t>
            </w:r>
          </w:p>
          <w:p w14:paraId="049EB885" w14:textId="77777777" w:rsidR="00142559" w:rsidRPr="003272C7" w:rsidRDefault="001247B9" w:rsidP="00827425">
            <w:pPr>
              <w:pStyle w:val="TableBullet"/>
              <w:rPr>
                <w:rFonts w:cs="Arial"/>
              </w:rPr>
            </w:pPr>
            <w:r w:rsidRPr="003272C7">
              <w:rPr>
                <w:rFonts w:cs="Arial"/>
              </w:rPr>
              <w:t>Complete transition of current VWR onto a supported, secure and reliable technology platform.</w:t>
            </w:r>
          </w:p>
          <w:p w14:paraId="2487E05D" w14:textId="77777777" w:rsidR="00142559" w:rsidRPr="003272C7" w:rsidRDefault="001247B9" w:rsidP="00827425">
            <w:pPr>
              <w:pStyle w:val="TableBullet"/>
              <w:rPr>
                <w:rFonts w:cs="Arial"/>
              </w:rPr>
            </w:pPr>
            <w:r w:rsidRPr="003272C7">
              <w:rPr>
                <w:rFonts w:cs="Arial"/>
              </w:rPr>
              <w:t>Deliver new services for VWR users:</w:t>
            </w:r>
          </w:p>
          <w:p w14:paraId="31300872" w14:textId="319E64A5" w:rsidR="00B242C3" w:rsidRPr="003272C7" w:rsidRDefault="00B242C3" w:rsidP="00827425">
            <w:pPr>
              <w:pStyle w:val="TableBullet2"/>
              <w:rPr>
                <w:rFonts w:cs="Arial"/>
              </w:rPr>
            </w:pPr>
            <w:r w:rsidRPr="003272C7">
              <w:rPr>
                <w:rFonts w:cs="Arial"/>
              </w:rPr>
              <w:t>Electronic Lodgement services providing farmers, irrigators and water market participants efficient, fully digital (paperless) services when undertaking business transactions such as water share transfers, water allocation trading, bore construction licenses, works licenses, etc.</w:t>
            </w:r>
          </w:p>
          <w:p w14:paraId="1AC0BDEE" w14:textId="54E6BD28" w:rsidR="00B242C3" w:rsidRPr="003272C7" w:rsidRDefault="00B242C3" w:rsidP="00827425">
            <w:pPr>
              <w:pStyle w:val="TableBullet2"/>
              <w:rPr>
                <w:rFonts w:cs="Arial"/>
                <w:lang w:eastAsia="en-AU"/>
              </w:rPr>
            </w:pPr>
            <w:r w:rsidRPr="003272C7">
              <w:rPr>
                <w:rFonts w:cs="Arial"/>
              </w:rPr>
              <w:t xml:space="preserve">Personalised mobile services providing farmers, irrigators, license holders and water market participants mobile access to services that support operational and investment decisions within their business. Mobile services provide capability that </w:t>
            </w:r>
            <w:r w:rsidR="00C23B4B" w:rsidRPr="003272C7">
              <w:rPr>
                <w:rFonts w:cs="Arial"/>
              </w:rPr>
              <w:t>includes</w:t>
            </w:r>
            <w:r w:rsidRPr="003272C7">
              <w:rPr>
                <w:rFonts w:cs="Arial"/>
              </w:rPr>
              <w:t xml:space="preserve"> managing water entitlement assets such as water shares and allocations, initiating and monitoring progress of lodged applications and receiving notifications relating to, VWR business transactions, water asset security and self-regulation / compliance.</w:t>
            </w:r>
            <w:r w:rsidRPr="003272C7">
              <w:rPr>
                <w:rFonts w:cs="Arial"/>
                <w:lang w:eastAsia="en-AU"/>
              </w:rPr>
              <w:t xml:space="preserve"> </w:t>
            </w:r>
          </w:p>
        </w:tc>
      </w:tr>
    </w:tbl>
    <w:p w14:paraId="1FED5369" w14:textId="77777777" w:rsidR="00B242C3" w:rsidRPr="003272C7" w:rsidRDefault="00B242C3" w:rsidP="00B242C3">
      <w:pPr>
        <w:pStyle w:val="Heading2"/>
        <w:rPr>
          <w:rFonts w:cs="Arial"/>
        </w:rPr>
      </w:pPr>
      <w:bookmarkStart w:id="33" w:name="_Toc147410783"/>
      <w:bookmarkStart w:id="34" w:name="_Toc183777791"/>
      <w:r w:rsidRPr="003272C7">
        <w:rPr>
          <w:rFonts w:cs="Arial"/>
        </w:rPr>
        <w:t>WRS10: Understand and Apply Climate Science to Water</w:t>
      </w:r>
      <w:bookmarkEnd w:id="33"/>
      <w:bookmarkEnd w:id="3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087EE3A2" w14:textId="77777777" w:rsidTr="00C20193">
        <w:trPr>
          <w:trHeight w:val="395"/>
        </w:trPr>
        <w:tc>
          <w:tcPr>
            <w:tcW w:w="979" w:type="pct"/>
            <w:shd w:val="clear" w:color="auto" w:fill="231EDC" w:themeFill="accent1"/>
          </w:tcPr>
          <w:p w14:paraId="6EA5B6FD" w14:textId="302E06D8" w:rsidR="00B242C3" w:rsidRPr="003272C7" w:rsidRDefault="00C412A9" w:rsidP="00827425">
            <w:pPr>
              <w:pStyle w:val="TableHeading"/>
              <w:rPr>
                <w:rFonts w:cs="Arial"/>
              </w:rPr>
            </w:pPr>
            <w:r w:rsidRPr="003272C7">
              <w:rPr>
                <w:rFonts w:cs="Arial"/>
              </w:rPr>
              <w:t>Initiative</w:t>
            </w:r>
          </w:p>
        </w:tc>
        <w:tc>
          <w:tcPr>
            <w:tcW w:w="4021" w:type="pct"/>
            <w:shd w:val="clear" w:color="auto" w:fill="231EDC" w:themeFill="accent1"/>
          </w:tcPr>
          <w:p w14:paraId="6669EB90" w14:textId="77777777" w:rsidR="00B242C3" w:rsidRPr="003272C7" w:rsidRDefault="00B242C3" w:rsidP="00827425">
            <w:pPr>
              <w:pStyle w:val="TableHeading"/>
              <w:rPr>
                <w:rFonts w:cs="Arial"/>
              </w:rPr>
            </w:pPr>
            <w:r w:rsidRPr="003272C7">
              <w:rPr>
                <w:rFonts w:cs="Arial"/>
              </w:rPr>
              <w:t>4. The evidence base for Victorian water: availability and knowledge</w:t>
            </w:r>
          </w:p>
        </w:tc>
      </w:tr>
      <w:tr w:rsidR="00B242C3" w:rsidRPr="003272C7" w14:paraId="5980B231" w14:textId="77777777" w:rsidTr="00C20193">
        <w:trPr>
          <w:trHeight w:val="341"/>
        </w:trPr>
        <w:tc>
          <w:tcPr>
            <w:tcW w:w="979" w:type="pct"/>
            <w:shd w:val="clear" w:color="auto" w:fill="231EDC" w:themeFill="accent1"/>
          </w:tcPr>
          <w:p w14:paraId="06EF7C0C" w14:textId="77777777" w:rsidR="00B242C3" w:rsidRPr="003272C7" w:rsidRDefault="00B242C3" w:rsidP="00827425">
            <w:pPr>
              <w:pStyle w:val="TableText"/>
              <w:rPr>
                <w:rFonts w:cs="Arial"/>
                <w:b/>
                <w:bCs/>
              </w:rPr>
            </w:pPr>
            <w:r w:rsidRPr="003272C7">
              <w:rPr>
                <w:rFonts w:cs="Arial"/>
                <w:b/>
                <w:bCs/>
              </w:rPr>
              <w:t>Project</w:t>
            </w:r>
          </w:p>
        </w:tc>
        <w:tc>
          <w:tcPr>
            <w:tcW w:w="4021" w:type="pct"/>
          </w:tcPr>
          <w:p w14:paraId="2C7682B2" w14:textId="77777777" w:rsidR="00B242C3" w:rsidRPr="003272C7" w:rsidRDefault="00B242C3" w:rsidP="00827425">
            <w:pPr>
              <w:pStyle w:val="TableText"/>
              <w:rPr>
                <w:rFonts w:cs="Arial"/>
              </w:rPr>
            </w:pPr>
            <w:r w:rsidRPr="003272C7">
              <w:rPr>
                <w:rFonts w:cs="Arial"/>
              </w:rPr>
              <w:t>WRS10: Understand and Apply Climate Science to Water</w:t>
            </w:r>
          </w:p>
        </w:tc>
      </w:tr>
      <w:tr w:rsidR="00B242C3" w:rsidRPr="003272C7" w14:paraId="55B8A28B" w14:textId="77777777" w:rsidTr="00C20193">
        <w:trPr>
          <w:trHeight w:val="259"/>
        </w:trPr>
        <w:tc>
          <w:tcPr>
            <w:tcW w:w="979" w:type="pct"/>
            <w:shd w:val="clear" w:color="auto" w:fill="231EDC" w:themeFill="accent1"/>
          </w:tcPr>
          <w:p w14:paraId="3940DF3D" w14:textId="77777777" w:rsidR="00B242C3" w:rsidRPr="003272C7" w:rsidRDefault="00B242C3" w:rsidP="00C06DED">
            <w:pPr>
              <w:pStyle w:val="TableText"/>
              <w:rPr>
                <w:rFonts w:cs="Arial"/>
                <w:b/>
                <w:bCs/>
                <w:szCs w:val="18"/>
              </w:rPr>
            </w:pPr>
            <w:r w:rsidRPr="003272C7">
              <w:rPr>
                <w:rFonts w:cs="Arial"/>
                <w:b/>
                <w:bCs/>
                <w:szCs w:val="18"/>
              </w:rPr>
              <w:t>Description</w:t>
            </w:r>
          </w:p>
          <w:p w14:paraId="08C0EE0C" w14:textId="77777777" w:rsidR="00B242C3" w:rsidRPr="003272C7" w:rsidRDefault="00B242C3" w:rsidP="00C06DED">
            <w:pPr>
              <w:pStyle w:val="TableText"/>
              <w:rPr>
                <w:rFonts w:cs="Arial"/>
                <w:b/>
                <w:bCs/>
                <w:szCs w:val="18"/>
              </w:rPr>
            </w:pPr>
          </w:p>
        </w:tc>
        <w:tc>
          <w:tcPr>
            <w:tcW w:w="4021" w:type="pct"/>
          </w:tcPr>
          <w:p w14:paraId="6C78EF64" w14:textId="18FB35AB" w:rsidR="00B242C3" w:rsidRPr="003272C7" w:rsidRDefault="00B242C3" w:rsidP="00827425">
            <w:pPr>
              <w:pStyle w:val="TableText"/>
              <w:rPr>
                <w:rFonts w:cs="Arial"/>
              </w:rPr>
            </w:pPr>
            <w:r w:rsidRPr="003272C7">
              <w:rPr>
                <w:rFonts w:cs="Arial"/>
              </w:rPr>
              <w:t xml:space="preserve">The aim of the second phase of the Victorian Water and Climate </w:t>
            </w:r>
            <w:r w:rsidR="00445736" w:rsidRPr="003272C7">
              <w:rPr>
                <w:rFonts w:cs="Arial"/>
              </w:rPr>
              <w:t>Project</w:t>
            </w:r>
            <w:r w:rsidRPr="003272C7">
              <w:rPr>
                <w:rFonts w:cs="Arial"/>
              </w:rPr>
              <w:t xml:space="preserve"> (VicWaCI</w:t>
            </w:r>
            <w:r w:rsidR="00C23B4B" w:rsidRPr="003272C7">
              <w:rPr>
                <w:rFonts w:cs="Arial"/>
              </w:rPr>
              <w:t>2</w:t>
            </w:r>
            <w:r w:rsidRPr="003272C7">
              <w:rPr>
                <w:rFonts w:cs="Arial"/>
              </w:rPr>
              <w:t xml:space="preserve">) research </w:t>
            </w:r>
            <w:r w:rsidR="00F8738B" w:rsidRPr="003272C7">
              <w:rPr>
                <w:rFonts w:cs="Arial"/>
              </w:rPr>
              <w:t xml:space="preserve">program </w:t>
            </w:r>
            <w:r w:rsidRPr="003272C7">
              <w:rPr>
                <w:rFonts w:cs="Arial"/>
              </w:rPr>
              <w:t>was to equip Victoria’s water sector stakeholders and communities to plan for, and adapt to, the impact of climate change on our water resources. The broad objectives of the research strategy are:</w:t>
            </w:r>
          </w:p>
          <w:p w14:paraId="7684AF88" w14:textId="6A0F64B0" w:rsidR="00B242C3" w:rsidRPr="003272C7" w:rsidRDefault="00C23B4B" w:rsidP="00827425">
            <w:pPr>
              <w:pStyle w:val="TableBullet"/>
              <w:rPr>
                <w:rFonts w:cs="Arial"/>
              </w:rPr>
            </w:pPr>
            <w:r w:rsidRPr="003272C7">
              <w:rPr>
                <w:rFonts w:cs="Arial"/>
              </w:rPr>
              <w:t>I</w:t>
            </w:r>
            <w:r w:rsidR="00B242C3" w:rsidRPr="003272C7">
              <w:rPr>
                <w:rFonts w:cs="Arial"/>
              </w:rPr>
              <w:t>mproving our understanding of the impact of climate change</w:t>
            </w:r>
            <w:r w:rsidR="00233FF0" w:rsidRPr="003272C7">
              <w:rPr>
                <w:rFonts w:cs="Arial"/>
              </w:rPr>
              <w:t xml:space="preserve"> on water resources</w:t>
            </w:r>
            <w:r w:rsidRPr="003272C7">
              <w:rPr>
                <w:rFonts w:cs="Arial"/>
              </w:rPr>
              <w:t>.</w:t>
            </w:r>
          </w:p>
          <w:p w14:paraId="5B4EFD4D" w14:textId="24BCF420" w:rsidR="00B242C3" w:rsidRPr="003272C7" w:rsidRDefault="00C23B4B" w:rsidP="00827425">
            <w:pPr>
              <w:pStyle w:val="TableBullet"/>
              <w:rPr>
                <w:rFonts w:cs="Arial"/>
              </w:rPr>
            </w:pPr>
            <w:r w:rsidRPr="003272C7">
              <w:rPr>
                <w:rFonts w:cs="Arial"/>
              </w:rPr>
              <w:t>M</w:t>
            </w:r>
            <w:r w:rsidR="00B242C3" w:rsidRPr="003272C7">
              <w:rPr>
                <w:rFonts w:cs="Arial"/>
              </w:rPr>
              <w:t>aximising the value from research investment in Victoria.</w:t>
            </w:r>
          </w:p>
          <w:p w14:paraId="0058476C" w14:textId="5622EF11" w:rsidR="00B242C3" w:rsidRPr="003272C7" w:rsidRDefault="00B242C3" w:rsidP="00827425">
            <w:pPr>
              <w:pStyle w:val="TableText"/>
              <w:rPr>
                <w:rFonts w:cs="Arial"/>
              </w:rPr>
            </w:pPr>
            <w:r w:rsidRPr="003272C7">
              <w:rPr>
                <w:rFonts w:cs="Arial"/>
              </w:rPr>
              <w:t xml:space="preserve">VicWaCI2 builds on research output from </w:t>
            </w:r>
            <w:r w:rsidR="00233FF0" w:rsidRPr="003272C7">
              <w:rPr>
                <w:rFonts w:cs="Arial"/>
              </w:rPr>
              <w:t xml:space="preserve">the first phase of </w:t>
            </w:r>
            <w:r w:rsidR="00C23B4B" w:rsidRPr="003272C7">
              <w:rPr>
                <w:rFonts w:cs="Arial"/>
              </w:rPr>
              <w:t>the Victorian Water and Climate Project (</w:t>
            </w:r>
            <w:r w:rsidRPr="003272C7">
              <w:rPr>
                <w:rFonts w:cs="Arial"/>
              </w:rPr>
              <w:t>VicWaCI</w:t>
            </w:r>
            <w:r w:rsidR="00C23B4B" w:rsidRPr="003272C7">
              <w:rPr>
                <w:rFonts w:cs="Arial"/>
              </w:rPr>
              <w:t>)</w:t>
            </w:r>
            <w:r w:rsidRPr="003272C7">
              <w:rPr>
                <w:rFonts w:cs="Arial"/>
              </w:rPr>
              <w:t>, focusing on water sector research needs in climate science and hydrology</w:t>
            </w:r>
            <w:r w:rsidR="0062145C" w:rsidRPr="003272C7">
              <w:rPr>
                <w:rFonts w:cs="Arial"/>
              </w:rPr>
              <w:t>,</w:t>
            </w:r>
            <w:r w:rsidRPr="003272C7">
              <w:rPr>
                <w:rFonts w:cs="Arial"/>
              </w:rPr>
              <w:t xml:space="preserve"> </w:t>
            </w:r>
            <w:r w:rsidR="00233FF0" w:rsidRPr="003272C7">
              <w:rPr>
                <w:rFonts w:cs="Arial"/>
              </w:rPr>
              <w:t>creating</w:t>
            </w:r>
            <w:r w:rsidRPr="003272C7">
              <w:rPr>
                <w:rFonts w:cs="Arial"/>
              </w:rPr>
              <w:t xml:space="preserve"> a pathway for sharing the latest research and translating this into policy and action</w:t>
            </w:r>
            <w:r w:rsidR="0062145C" w:rsidRPr="003272C7">
              <w:rPr>
                <w:rFonts w:cs="Arial"/>
              </w:rPr>
              <w:t>.</w:t>
            </w:r>
          </w:p>
        </w:tc>
      </w:tr>
      <w:tr w:rsidR="00B242C3" w:rsidRPr="003272C7" w14:paraId="7654843C" w14:textId="77777777" w:rsidTr="00C20193">
        <w:trPr>
          <w:trHeight w:val="259"/>
        </w:trPr>
        <w:tc>
          <w:tcPr>
            <w:tcW w:w="979" w:type="pct"/>
            <w:shd w:val="clear" w:color="auto" w:fill="231EDC" w:themeFill="accent1"/>
          </w:tcPr>
          <w:p w14:paraId="2740A410" w14:textId="77777777" w:rsidR="00B242C3" w:rsidRPr="003272C7" w:rsidRDefault="00B242C3" w:rsidP="00C06DED">
            <w:pPr>
              <w:pStyle w:val="TableText"/>
              <w:rPr>
                <w:rFonts w:cs="Arial"/>
                <w:b/>
                <w:bCs/>
                <w:szCs w:val="18"/>
              </w:rPr>
            </w:pPr>
            <w:r w:rsidRPr="003272C7">
              <w:rPr>
                <w:rFonts w:cs="Arial"/>
                <w:b/>
                <w:bCs/>
                <w:szCs w:val="18"/>
              </w:rPr>
              <w:lastRenderedPageBreak/>
              <w:t>Outputs</w:t>
            </w:r>
          </w:p>
        </w:tc>
        <w:tc>
          <w:tcPr>
            <w:tcW w:w="4021" w:type="pct"/>
          </w:tcPr>
          <w:p w14:paraId="75E2BB72" w14:textId="2A8530DA" w:rsidR="00B242C3" w:rsidRPr="003272C7" w:rsidRDefault="00B242C3" w:rsidP="00827425">
            <w:pPr>
              <w:pStyle w:val="TableBullet"/>
              <w:rPr>
                <w:rFonts w:cs="Arial"/>
              </w:rPr>
            </w:pPr>
            <w:r w:rsidRPr="003272C7">
              <w:rPr>
                <w:rFonts w:cs="Arial"/>
              </w:rPr>
              <w:t>The development of communication products</w:t>
            </w:r>
            <w:r w:rsidR="00AE374F" w:rsidRPr="003272C7">
              <w:rPr>
                <w:rFonts w:cs="Arial"/>
              </w:rPr>
              <w:t>:</w:t>
            </w:r>
            <w:r w:rsidRPr="003272C7">
              <w:rPr>
                <w:rFonts w:cs="Arial"/>
              </w:rPr>
              <w:t xml:space="preserve"> fact sheets, webinars, newsletters, conference presentations, VicWaCI2 </w:t>
            </w:r>
            <w:r w:rsidR="00AE374F" w:rsidRPr="003272C7">
              <w:rPr>
                <w:rFonts w:cs="Arial"/>
              </w:rPr>
              <w:t>annual science day</w:t>
            </w:r>
            <w:r w:rsidRPr="003272C7">
              <w:rPr>
                <w:rFonts w:cs="Arial"/>
              </w:rPr>
              <w:t xml:space="preserve">, scientific </w:t>
            </w:r>
            <w:r w:rsidR="00AE374F" w:rsidRPr="003272C7">
              <w:rPr>
                <w:rFonts w:cs="Arial"/>
              </w:rPr>
              <w:t xml:space="preserve">journal </w:t>
            </w:r>
            <w:r w:rsidRPr="003272C7">
              <w:rPr>
                <w:rFonts w:cs="Arial"/>
              </w:rPr>
              <w:t>articles</w:t>
            </w:r>
          </w:p>
          <w:p w14:paraId="163E091D" w14:textId="0C1E0266" w:rsidR="00B242C3" w:rsidRPr="003272C7" w:rsidRDefault="00B242C3" w:rsidP="00827425">
            <w:pPr>
              <w:pStyle w:val="TableBullet"/>
              <w:rPr>
                <w:rFonts w:cs="Arial"/>
              </w:rPr>
            </w:pPr>
            <w:r w:rsidRPr="003272C7">
              <w:rPr>
                <w:rFonts w:cs="Arial"/>
              </w:rPr>
              <w:t xml:space="preserve">Working with stakeholders to </w:t>
            </w:r>
            <w:r w:rsidR="00AE374F" w:rsidRPr="003272C7">
              <w:rPr>
                <w:rFonts w:cs="Arial"/>
              </w:rPr>
              <w:t xml:space="preserve">understand research needs, support and </w:t>
            </w:r>
            <w:r w:rsidRPr="003272C7">
              <w:rPr>
                <w:rFonts w:cs="Arial"/>
              </w:rPr>
              <w:t xml:space="preserve">embed climate change impact and adaptation into planning (e.g. through the Urban Water Strategies, </w:t>
            </w:r>
            <w:r w:rsidR="00C23B4B" w:rsidRPr="003272C7">
              <w:rPr>
                <w:rFonts w:cs="Arial"/>
              </w:rPr>
              <w:t>CGRSWS</w:t>
            </w:r>
            <w:r w:rsidRPr="003272C7">
              <w:rPr>
                <w:rFonts w:cs="Arial"/>
              </w:rPr>
              <w:t>)</w:t>
            </w:r>
          </w:p>
          <w:p w14:paraId="69B76CA5" w14:textId="1A26612A" w:rsidR="00D74548" w:rsidRPr="003272C7" w:rsidRDefault="00D74548" w:rsidP="00827425">
            <w:pPr>
              <w:pStyle w:val="TableBullet"/>
              <w:rPr>
                <w:rFonts w:cs="Arial"/>
              </w:rPr>
            </w:pPr>
            <w:r w:rsidRPr="003272C7">
              <w:rPr>
                <w:rFonts w:cs="Arial"/>
              </w:rPr>
              <w:t xml:space="preserve">Release of the </w:t>
            </w:r>
            <w:r w:rsidR="00C23B4B" w:rsidRPr="003272C7">
              <w:rPr>
                <w:rFonts w:cs="Arial"/>
              </w:rPr>
              <w:t xml:space="preserve">Guidelines for Assessing the Impact of Climate Change on Water Availability in Victoria </w:t>
            </w:r>
            <w:r w:rsidRPr="003272C7">
              <w:rPr>
                <w:rFonts w:cs="Arial"/>
              </w:rPr>
              <w:t>(November 2020) and providing information to support the next</w:t>
            </w:r>
            <w:r w:rsidR="00827425" w:rsidRPr="003272C7">
              <w:rPr>
                <w:rFonts w:cs="Arial"/>
              </w:rPr>
              <w:t> </w:t>
            </w:r>
            <w:r w:rsidRPr="003272C7">
              <w:rPr>
                <w:rFonts w:cs="Arial"/>
              </w:rPr>
              <w:t>update.</w:t>
            </w:r>
          </w:p>
          <w:p w14:paraId="64F06B62" w14:textId="0333F002" w:rsidR="00B242C3" w:rsidRPr="00623380" w:rsidRDefault="00D74548" w:rsidP="00827425">
            <w:pPr>
              <w:pStyle w:val="TableBullet"/>
              <w:rPr>
                <w:rFonts w:cs="Arial"/>
                <w:sz w:val="19"/>
                <w:szCs w:val="19"/>
              </w:rPr>
            </w:pPr>
            <w:r w:rsidRPr="003272C7">
              <w:rPr>
                <w:rFonts w:cs="Arial"/>
              </w:rPr>
              <w:t xml:space="preserve">Release of a synthesis report summarising the insights from the Victorian Water and Climate </w:t>
            </w:r>
            <w:r w:rsidR="00445736" w:rsidRPr="003272C7">
              <w:rPr>
                <w:rFonts w:cs="Arial"/>
              </w:rPr>
              <w:t>Project</w:t>
            </w:r>
            <w:r w:rsidRPr="003272C7">
              <w:rPr>
                <w:rFonts w:cs="Arial"/>
              </w:rPr>
              <w:t xml:space="preserve"> – Victoria’s water in a changing climate (DEECA, February 2021)</w:t>
            </w:r>
            <w:r w:rsidRPr="003272C7">
              <w:rPr>
                <w:rStyle w:val="eop"/>
                <w:rFonts w:cs="Arial"/>
                <w:color w:val="000000"/>
                <w:shd w:val="clear" w:color="auto" w:fill="FFFFFF"/>
              </w:rPr>
              <w:t> </w:t>
            </w:r>
          </w:p>
        </w:tc>
      </w:tr>
      <w:tr w:rsidR="00B242C3" w:rsidRPr="003272C7" w14:paraId="0090701D" w14:textId="77777777" w:rsidTr="00C20193">
        <w:trPr>
          <w:trHeight w:val="259"/>
        </w:trPr>
        <w:tc>
          <w:tcPr>
            <w:tcW w:w="5000" w:type="pct"/>
            <w:gridSpan w:val="2"/>
            <w:shd w:val="clear" w:color="auto" w:fill="231EDC" w:themeFill="accent1"/>
          </w:tcPr>
          <w:p w14:paraId="2361F8BF" w14:textId="77777777" w:rsidR="00B242C3" w:rsidRPr="003272C7" w:rsidRDefault="00B242C3" w:rsidP="007D69DB">
            <w:pPr>
              <w:pStyle w:val="TableTextBold"/>
              <w:keepNext/>
              <w:keepLines/>
              <w:rPr>
                <w:rFonts w:cs="Arial"/>
              </w:rPr>
            </w:pPr>
            <w:r w:rsidRPr="003272C7">
              <w:rPr>
                <w:rFonts w:cs="Arial"/>
              </w:rPr>
              <w:t>Summary against evaluation domains</w:t>
            </w:r>
          </w:p>
        </w:tc>
      </w:tr>
      <w:tr w:rsidR="00B242C3" w:rsidRPr="003272C7" w14:paraId="3191DB7A" w14:textId="77777777" w:rsidTr="00C20193">
        <w:trPr>
          <w:trHeight w:val="259"/>
        </w:trPr>
        <w:tc>
          <w:tcPr>
            <w:tcW w:w="979" w:type="pct"/>
            <w:shd w:val="clear" w:color="auto" w:fill="231EDC" w:themeFill="accent1"/>
          </w:tcPr>
          <w:p w14:paraId="4029A8E8"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194191BE" w14:textId="77777777" w:rsidR="00B242C3" w:rsidRPr="003272C7" w:rsidRDefault="00B242C3" w:rsidP="007D69DB">
            <w:pPr>
              <w:pStyle w:val="TableTextBold"/>
              <w:keepNext/>
              <w:keepLines/>
              <w:rPr>
                <w:rFonts w:cs="Arial"/>
              </w:rPr>
            </w:pPr>
            <w:r w:rsidRPr="003272C7">
              <w:rPr>
                <w:rFonts w:cs="Arial"/>
              </w:rPr>
              <w:t>Application and communication of research findings:</w:t>
            </w:r>
          </w:p>
          <w:p w14:paraId="0380F394" w14:textId="77777777" w:rsidR="00B242C3" w:rsidRPr="003272C7" w:rsidRDefault="00B242C3" w:rsidP="00827425">
            <w:pPr>
              <w:pStyle w:val="TableBullet"/>
              <w:rPr>
                <w:rFonts w:cs="Arial"/>
              </w:rPr>
            </w:pPr>
            <w:r w:rsidRPr="003272C7">
              <w:rPr>
                <w:rFonts w:cs="Arial"/>
              </w:rPr>
              <w:t>Research findings and advice from the Program have been applied in a diverse range of water resource planning processes, such as into long-term climate trend information in Annual Water Outlook reports produced each year by water corporations, informed the Victorian Annual Water Outlook produced by DEECA, Urban Water Strategies produced by all Victorian water corporations, and the 2023 Victorian State of the Environment Report produced by the Commissioner for Environmental Sustainability, Victoria.</w:t>
            </w:r>
          </w:p>
          <w:p w14:paraId="050D282C" w14:textId="32B4857A" w:rsidR="00B242C3" w:rsidRPr="003272C7" w:rsidRDefault="00B242C3" w:rsidP="00827425">
            <w:pPr>
              <w:pStyle w:val="TableBullet"/>
              <w:rPr>
                <w:rFonts w:cs="Arial"/>
              </w:rPr>
            </w:pPr>
            <w:r w:rsidRPr="003272C7">
              <w:rPr>
                <w:rFonts w:cs="Arial"/>
              </w:rPr>
              <w:t xml:space="preserve">Information from the research </w:t>
            </w:r>
            <w:r w:rsidR="001E249E" w:rsidRPr="003272C7">
              <w:rPr>
                <w:rFonts w:cs="Arial"/>
              </w:rPr>
              <w:t xml:space="preserve">program </w:t>
            </w:r>
            <w:r w:rsidRPr="003272C7">
              <w:rPr>
                <w:rFonts w:cs="Arial"/>
              </w:rPr>
              <w:t xml:space="preserve">has been communicated to water sector stakeholders through </w:t>
            </w:r>
            <w:r w:rsidR="001E249E" w:rsidRPr="003272C7">
              <w:rPr>
                <w:rFonts w:cs="Arial"/>
              </w:rPr>
              <w:t>webinars</w:t>
            </w:r>
            <w:r w:rsidRPr="003272C7">
              <w:rPr>
                <w:rFonts w:cs="Arial"/>
              </w:rPr>
              <w:t xml:space="preserve">, </w:t>
            </w:r>
            <w:r w:rsidR="001E249E" w:rsidRPr="003272C7">
              <w:rPr>
                <w:rFonts w:cs="Arial"/>
              </w:rPr>
              <w:t>newsletters</w:t>
            </w:r>
            <w:r w:rsidRPr="003272C7">
              <w:rPr>
                <w:rFonts w:cs="Arial"/>
              </w:rPr>
              <w:t xml:space="preserve">, VicWaCI website, </w:t>
            </w:r>
            <w:r w:rsidR="001E249E" w:rsidRPr="003272C7">
              <w:rPr>
                <w:rFonts w:cs="Arial"/>
              </w:rPr>
              <w:t xml:space="preserve">targeted </w:t>
            </w:r>
            <w:r w:rsidRPr="003272C7">
              <w:rPr>
                <w:rFonts w:cs="Arial"/>
              </w:rPr>
              <w:t>stakeholder engagement</w:t>
            </w:r>
            <w:r w:rsidR="00827B1A" w:rsidRPr="003272C7">
              <w:rPr>
                <w:rFonts w:cs="Arial"/>
              </w:rPr>
              <w:t xml:space="preserve"> such as</w:t>
            </w:r>
            <w:r w:rsidRPr="003272C7">
              <w:rPr>
                <w:rFonts w:cs="Arial"/>
              </w:rPr>
              <w:t xml:space="preserve"> workshops, interviews, and meetings, </w:t>
            </w:r>
            <w:r w:rsidR="00827B1A" w:rsidRPr="003272C7">
              <w:rPr>
                <w:rFonts w:cs="Arial"/>
              </w:rPr>
              <w:t xml:space="preserve">annual </w:t>
            </w:r>
            <w:r w:rsidRPr="003272C7">
              <w:rPr>
                <w:rFonts w:cs="Arial"/>
              </w:rPr>
              <w:t xml:space="preserve">VicWaCI Science Day, </w:t>
            </w:r>
            <w:r w:rsidR="00827B1A" w:rsidRPr="003272C7">
              <w:rPr>
                <w:rFonts w:cs="Arial"/>
              </w:rPr>
              <w:t>presentations</w:t>
            </w:r>
            <w:r w:rsidRPr="003272C7">
              <w:rPr>
                <w:rFonts w:cs="Arial"/>
              </w:rPr>
              <w:t xml:space="preserve">, </w:t>
            </w:r>
            <w:r w:rsidR="00827B1A" w:rsidRPr="003272C7">
              <w:rPr>
                <w:rFonts w:cs="Arial"/>
              </w:rPr>
              <w:t xml:space="preserve">research </w:t>
            </w:r>
            <w:r w:rsidRPr="003272C7">
              <w:rPr>
                <w:rFonts w:cs="Arial"/>
              </w:rPr>
              <w:t xml:space="preserve">papers, </w:t>
            </w:r>
            <w:r w:rsidR="00827B1A" w:rsidRPr="003272C7">
              <w:rPr>
                <w:rFonts w:cs="Arial"/>
              </w:rPr>
              <w:t xml:space="preserve">conference </w:t>
            </w:r>
            <w:r w:rsidRPr="003272C7">
              <w:rPr>
                <w:rFonts w:cs="Arial"/>
              </w:rPr>
              <w:t>papers and seminars</w:t>
            </w:r>
            <w:r w:rsidR="00827B1A" w:rsidRPr="003272C7">
              <w:rPr>
                <w:rFonts w:cs="Arial"/>
              </w:rPr>
              <w:t>.</w:t>
            </w:r>
          </w:p>
          <w:p w14:paraId="2E56B773" w14:textId="77777777" w:rsidR="00142559" w:rsidRPr="003272C7" w:rsidRDefault="00B242C3" w:rsidP="00827425">
            <w:pPr>
              <w:pStyle w:val="TableBullet"/>
              <w:rPr>
                <w:rFonts w:cs="Arial"/>
              </w:rPr>
            </w:pPr>
            <w:r w:rsidRPr="003272C7">
              <w:rPr>
                <w:rFonts w:cs="Arial"/>
              </w:rPr>
              <w:t>Newsletter subscribers are made up of a range of groups with subscriptions growing close to 350.</w:t>
            </w:r>
          </w:p>
          <w:p w14:paraId="51DA81A9" w14:textId="5D3DFE6E" w:rsidR="00B242C3" w:rsidRPr="003272C7" w:rsidRDefault="00B242C3" w:rsidP="00827425">
            <w:pPr>
              <w:pStyle w:val="TableTextBold"/>
              <w:rPr>
                <w:rFonts w:cs="Arial"/>
              </w:rPr>
            </w:pPr>
            <w:r w:rsidRPr="003272C7">
              <w:rPr>
                <w:rFonts w:cs="Arial"/>
              </w:rPr>
              <w:t>Broadened suite of transparent and accessible information to enable an informed</w:t>
            </w:r>
            <w:r w:rsidR="00827425" w:rsidRPr="003272C7">
              <w:rPr>
                <w:rFonts w:cs="Arial"/>
              </w:rPr>
              <w:t> </w:t>
            </w:r>
            <w:r w:rsidRPr="003272C7">
              <w:rPr>
                <w:rFonts w:cs="Arial"/>
              </w:rPr>
              <w:t>community</w:t>
            </w:r>
          </w:p>
          <w:p w14:paraId="46AD249C" w14:textId="0D2C827A" w:rsidR="00B242C3" w:rsidRPr="003272C7" w:rsidRDefault="00B242C3" w:rsidP="00827425">
            <w:pPr>
              <w:pStyle w:val="TableText"/>
              <w:rPr>
                <w:rFonts w:cs="Arial"/>
              </w:rPr>
            </w:pPr>
            <w:r w:rsidRPr="003272C7">
              <w:rPr>
                <w:rFonts w:cs="Arial"/>
              </w:rPr>
              <w:t xml:space="preserve">The Guidelines for Assessing the Impact of Climate Change on Water Availability in Victoria provide guidance to Victorian </w:t>
            </w:r>
            <w:r w:rsidR="00827B1A" w:rsidRPr="003272C7">
              <w:rPr>
                <w:rFonts w:cs="Arial"/>
              </w:rPr>
              <w:t>urban water corporations</w:t>
            </w:r>
            <w:r w:rsidRPr="003272C7">
              <w:rPr>
                <w:rFonts w:cs="Arial"/>
              </w:rPr>
              <w:t xml:space="preserve">, and are also used by </w:t>
            </w:r>
            <w:r w:rsidR="00827B1A" w:rsidRPr="003272C7">
              <w:rPr>
                <w:rFonts w:cs="Arial"/>
              </w:rPr>
              <w:t xml:space="preserve">rural water </w:t>
            </w:r>
            <w:r w:rsidR="00C23B4B" w:rsidRPr="003272C7">
              <w:rPr>
                <w:rFonts w:cs="Arial"/>
              </w:rPr>
              <w:t>c</w:t>
            </w:r>
            <w:r w:rsidR="00827B1A" w:rsidRPr="003272C7">
              <w:rPr>
                <w:rFonts w:cs="Arial"/>
              </w:rPr>
              <w:t>orporations</w:t>
            </w:r>
            <w:r w:rsidRPr="003272C7">
              <w:rPr>
                <w:rFonts w:cs="Arial"/>
              </w:rPr>
              <w:t xml:space="preserve">, DEECA teams, and consultants. </w:t>
            </w:r>
            <w:r w:rsidR="00DA020B" w:rsidRPr="003272C7">
              <w:rPr>
                <w:rFonts w:cs="Arial"/>
              </w:rPr>
              <w:t xml:space="preserve">Support with application of the guidelines was a significant part of the work of the program over this period. </w:t>
            </w:r>
            <w:r w:rsidRPr="003272C7">
              <w:rPr>
                <w:rFonts w:cs="Arial"/>
              </w:rPr>
              <w:t xml:space="preserve">An independent survey conducted to understand the usefulness of </w:t>
            </w:r>
            <w:r w:rsidR="00DA020B" w:rsidRPr="003272C7">
              <w:rPr>
                <w:rFonts w:cs="Arial"/>
              </w:rPr>
              <w:t xml:space="preserve">the </w:t>
            </w:r>
            <w:r w:rsidRPr="003272C7">
              <w:rPr>
                <w:rFonts w:cs="Arial"/>
              </w:rPr>
              <w:t>Guidelines to the water sector found:</w:t>
            </w:r>
          </w:p>
          <w:p w14:paraId="7B6243F1" w14:textId="10720C2C" w:rsidR="00B242C3" w:rsidRPr="003272C7" w:rsidRDefault="00B242C3" w:rsidP="00827425">
            <w:pPr>
              <w:pStyle w:val="TableBullet"/>
              <w:rPr>
                <w:rFonts w:cs="Arial"/>
              </w:rPr>
            </w:pPr>
            <w:r w:rsidRPr="003272C7">
              <w:rPr>
                <w:rFonts w:cs="Arial"/>
              </w:rPr>
              <w:t xml:space="preserve">‘The </w:t>
            </w:r>
            <w:r w:rsidR="00C23B4B" w:rsidRPr="003272C7">
              <w:rPr>
                <w:rFonts w:cs="Arial"/>
              </w:rPr>
              <w:t>g</w:t>
            </w:r>
            <w:r w:rsidRPr="003272C7">
              <w:rPr>
                <w:rFonts w:cs="Arial"/>
              </w:rPr>
              <w:t>uidelines appear to be universally used by urban water corporations for their Urban Water Strategies and associated water resource planning’</w:t>
            </w:r>
            <w:r w:rsidR="00DA020B" w:rsidRPr="003272C7">
              <w:rPr>
                <w:rFonts w:cs="Arial"/>
              </w:rPr>
              <w:t>.</w:t>
            </w:r>
          </w:p>
          <w:p w14:paraId="03D57B80" w14:textId="050677DA" w:rsidR="00B242C3" w:rsidRPr="003272C7" w:rsidRDefault="00B242C3" w:rsidP="00827425">
            <w:pPr>
              <w:pStyle w:val="TableBullet"/>
              <w:rPr>
                <w:rFonts w:cs="Arial"/>
              </w:rPr>
            </w:pPr>
            <w:r w:rsidRPr="003272C7">
              <w:rPr>
                <w:rFonts w:cs="Arial"/>
              </w:rPr>
              <w:t xml:space="preserve">‘The consultants interviewed used the guidelines for </w:t>
            </w:r>
            <w:r w:rsidR="00C23B4B" w:rsidRPr="003272C7">
              <w:rPr>
                <w:rFonts w:cs="Arial"/>
              </w:rPr>
              <w:t>U</w:t>
            </w:r>
            <w:r w:rsidRPr="003272C7">
              <w:rPr>
                <w:rFonts w:cs="Arial"/>
              </w:rPr>
              <w:t xml:space="preserve">rban </w:t>
            </w:r>
            <w:r w:rsidR="00C23B4B" w:rsidRPr="003272C7">
              <w:rPr>
                <w:rFonts w:cs="Arial"/>
              </w:rPr>
              <w:t>W</w:t>
            </w:r>
            <w:r w:rsidRPr="003272C7">
              <w:rPr>
                <w:rFonts w:cs="Arial"/>
              </w:rPr>
              <w:t xml:space="preserve">ater </w:t>
            </w:r>
            <w:r w:rsidR="00C23B4B" w:rsidRPr="003272C7">
              <w:rPr>
                <w:rFonts w:cs="Arial"/>
              </w:rPr>
              <w:t>S</w:t>
            </w:r>
            <w:r w:rsidRPr="003272C7">
              <w:rPr>
                <w:rFonts w:cs="Arial"/>
              </w:rPr>
              <w:t xml:space="preserve">trategies, but also for environmental type studies and investigations in the rural water area. DEECA teams use the </w:t>
            </w:r>
            <w:r w:rsidR="00C23B4B" w:rsidRPr="003272C7">
              <w:rPr>
                <w:rFonts w:cs="Arial"/>
              </w:rPr>
              <w:t>g</w:t>
            </w:r>
            <w:r w:rsidRPr="003272C7">
              <w:rPr>
                <w:rFonts w:cs="Arial"/>
              </w:rPr>
              <w:t>uidelines in strategic areas such as Sustainable Water Strategies, Long-Term Water Resource Assessment as well as Urban Water Strategies, and modelling of the northern Victorian regulated systems’</w:t>
            </w:r>
            <w:r w:rsidR="00DA020B" w:rsidRPr="003272C7">
              <w:rPr>
                <w:rFonts w:cs="Arial"/>
              </w:rPr>
              <w:t>.</w:t>
            </w:r>
          </w:p>
          <w:p w14:paraId="2FEF9639" w14:textId="50AC4648" w:rsidR="00B242C3" w:rsidRPr="003272C7" w:rsidRDefault="00B242C3" w:rsidP="00827425">
            <w:pPr>
              <w:pStyle w:val="TableBullet"/>
              <w:rPr>
                <w:rFonts w:cs="Arial"/>
              </w:rPr>
            </w:pPr>
            <w:r w:rsidRPr="003272C7">
              <w:rPr>
                <w:rFonts w:cs="Arial"/>
              </w:rPr>
              <w:t xml:space="preserve">‘Almost all participants commented on the high value of the </w:t>
            </w:r>
            <w:r w:rsidR="00C23B4B" w:rsidRPr="003272C7">
              <w:rPr>
                <w:rFonts w:cs="Arial"/>
              </w:rPr>
              <w:t>g</w:t>
            </w:r>
            <w:r w:rsidR="00DA020B" w:rsidRPr="003272C7">
              <w:rPr>
                <w:rFonts w:cs="Arial"/>
              </w:rPr>
              <w:t>uidelines</w:t>
            </w:r>
            <w:r w:rsidRPr="003272C7">
              <w:rPr>
                <w:rFonts w:cs="Arial"/>
              </w:rPr>
              <w:t>, that they provide consistent and dependable advice, that they are of high quality and well researched and that they are a “point of truth” for the industry’.</w:t>
            </w:r>
          </w:p>
          <w:p w14:paraId="1562CF71" w14:textId="77777777" w:rsidR="00B242C3" w:rsidRPr="003272C7" w:rsidRDefault="00B242C3" w:rsidP="005218A9">
            <w:pPr>
              <w:pStyle w:val="TableTextBold"/>
              <w:rPr>
                <w:rFonts w:cs="Arial"/>
              </w:rPr>
            </w:pPr>
            <w:r w:rsidRPr="003272C7">
              <w:rPr>
                <w:rFonts w:cs="Arial"/>
              </w:rPr>
              <w:t>Informing Policy Makers:</w:t>
            </w:r>
          </w:p>
          <w:p w14:paraId="0ABCE783" w14:textId="70C95B4A" w:rsidR="00B242C3" w:rsidRPr="003272C7" w:rsidRDefault="00B242C3" w:rsidP="005218A9">
            <w:pPr>
              <w:pStyle w:val="TableBullet"/>
              <w:rPr>
                <w:rFonts w:cs="Arial"/>
              </w:rPr>
            </w:pPr>
            <w:r w:rsidRPr="003272C7">
              <w:rPr>
                <w:rFonts w:cs="Arial"/>
              </w:rPr>
              <w:t xml:space="preserve">Key findings from </w:t>
            </w:r>
            <w:r w:rsidR="00C23B4B" w:rsidRPr="003272C7">
              <w:rPr>
                <w:rFonts w:cs="Arial"/>
              </w:rPr>
              <w:t xml:space="preserve">the </w:t>
            </w:r>
            <w:r w:rsidRPr="003272C7">
              <w:rPr>
                <w:rFonts w:cs="Arial"/>
              </w:rPr>
              <w:t xml:space="preserve">research </w:t>
            </w:r>
            <w:r w:rsidR="00DA020B" w:rsidRPr="003272C7">
              <w:rPr>
                <w:rFonts w:cs="Arial"/>
              </w:rPr>
              <w:t>p</w:t>
            </w:r>
            <w:r w:rsidRPr="003272C7">
              <w:rPr>
                <w:rFonts w:cs="Arial"/>
              </w:rPr>
              <w:t>rogram, including VicWaCI, inform various water resource strategies (e.g. Urban Water Strategy, Central and Gippsland Region Sustainable Water Strategy) and policy papers. Those findings have been applied to assess climate change impact on water availability.</w:t>
            </w:r>
          </w:p>
          <w:p w14:paraId="0C0A4EAE" w14:textId="77777777" w:rsidR="00B242C3" w:rsidRPr="003272C7" w:rsidRDefault="00B242C3" w:rsidP="005218A9">
            <w:pPr>
              <w:pStyle w:val="TableBullet"/>
              <w:rPr>
                <w:rFonts w:cs="Arial"/>
              </w:rPr>
            </w:pPr>
            <w:r w:rsidRPr="003272C7">
              <w:rPr>
                <w:rFonts w:cs="Arial"/>
              </w:rPr>
              <w:t>Annual Water Outlooks developed by urban water corporations used information developed through the climate and hydrology research Program as part of the longer-term context for their outlooks.</w:t>
            </w:r>
          </w:p>
          <w:p w14:paraId="027924A2" w14:textId="28589EDC" w:rsidR="00B242C3" w:rsidRPr="003272C7" w:rsidRDefault="00B242C3" w:rsidP="005218A9">
            <w:pPr>
              <w:pStyle w:val="TableBullet"/>
              <w:rPr>
                <w:rFonts w:cs="Arial"/>
              </w:rPr>
            </w:pPr>
            <w:r w:rsidRPr="003272C7">
              <w:rPr>
                <w:rFonts w:cs="Arial"/>
              </w:rPr>
              <w:t xml:space="preserve">The </w:t>
            </w:r>
            <w:r w:rsidR="00C23B4B" w:rsidRPr="003272C7">
              <w:rPr>
                <w:rFonts w:cs="Arial"/>
              </w:rPr>
              <w:t>CGSWS</w:t>
            </w:r>
            <w:r w:rsidRPr="003272C7">
              <w:rPr>
                <w:rFonts w:cs="Arial"/>
              </w:rPr>
              <w:t xml:space="preserve"> used the science from the </w:t>
            </w:r>
            <w:r w:rsidR="00DA020B" w:rsidRPr="003272C7">
              <w:rPr>
                <w:rFonts w:cs="Arial"/>
              </w:rPr>
              <w:t>p</w:t>
            </w:r>
            <w:r w:rsidRPr="003272C7">
              <w:rPr>
                <w:rFonts w:cs="Arial"/>
              </w:rPr>
              <w:t>rogram as an important part of the evidence base, informing many of the actions and policy positions developed.</w:t>
            </w:r>
          </w:p>
          <w:p w14:paraId="224352CB" w14:textId="77777777" w:rsidR="00B242C3" w:rsidRPr="003272C7" w:rsidRDefault="00B242C3" w:rsidP="005218A9">
            <w:pPr>
              <w:pStyle w:val="TableBullet"/>
              <w:rPr>
                <w:rFonts w:cs="Arial"/>
              </w:rPr>
            </w:pPr>
            <w:r w:rsidRPr="003272C7">
              <w:rPr>
                <w:rFonts w:cs="Arial"/>
              </w:rPr>
              <w:lastRenderedPageBreak/>
              <w:t>Provided an evidence base to support Latrobe Valley Regional Rehabilitation Project activities, including targeted assessments of current and future water resource availability for mine rehabilitation.</w:t>
            </w:r>
          </w:p>
          <w:p w14:paraId="7C7F0FE6" w14:textId="68A5EEC8" w:rsidR="00B242C3" w:rsidRPr="00623380" w:rsidRDefault="00066F4A" w:rsidP="005218A9">
            <w:pPr>
              <w:pStyle w:val="TableBullet"/>
              <w:rPr>
                <w:rFonts w:eastAsia="Calibri" w:cs="Arial"/>
                <w:bCs/>
                <w:sz w:val="19"/>
                <w:szCs w:val="19"/>
              </w:rPr>
            </w:pPr>
            <w:r w:rsidRPr="003272C7">
              <w:rPr>
                <w:rFonts w:cs="Arial"/>
              </w:rPr>
              <w:t>Latest climate science emerging through VicWaCI2 is playing a significant role in informing work across the Murray-Darling Basin on understanding and responding to climate change challenges.</w:t>
            </w:r>
          </w:p>
        </w:tc>
      </w:tr>
      <w:tr w:rsidR="00B242C3" w:rsidRPr="003272C7" w14:paraId="3076BCB7" w14:textId="77777777" w:rsidTr="00C20193">
        <w:trPr>
          <w:trHeight w:val="259"/>
        </w:trPr>
        <w:tc>
          <w:tcPr>
            <w:tcW w:w="979" w:type="pct"/>
            <w:shd w:val="clear" w:color="auto" w:fill="231EDC" w:themeFill="accent1"/>
          </w:tcPr>
          <w:p w14:paraId="439D9789"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0FCB2FCD" w14:textId="561623E7" w:rsidR="00B242C3" w:rsidRPr="003272C7" w:rsidRDefault="00B242C3" w:rsidP="006C3DDC">
            <w:pPr>
              <w:pStyle w:val="TableBullet"/>
              <w:rPr>
                <w:rFonts w:cs="Arial"/>
              </w:rPr>
            </w:pPr>
            <w:r w:rsidRPr="003272C7">
              <w:rPr>
                <w:rFonts w:cs="Arial"/>
              </w:rPr>
              <w:t xml:space="preserve">Interviews conducted to gather feedback on the use of the </w:t>
            </w:r>
            <w:r w:rsidRPr="003272C7">
              <w:rPr>
                <w:rFonts w:cs="Arial"/>
                <w:i/>
                <w:iCs/>
              </w:rPr>
              <w:t xml:space="preserve">Guidelines for Assessing the Impact of Climate Change on Water Availability in Victoria </w:t>
            </w:r>
            <w:r w:rsidRPr="003272C7">
              <w:rPr>
                <w:rFonts w:cs="Arial"/>
              </w:rPr>
              <w:t xml:space="preserve">indicated these are a useful resource, providing consistent and dependable advice. Interviewees included consultants, </w:t>
            </w:r>
            <w:r w:rsidR="00066F4A" w:rsidRPr="003272C7">
              <w:rPr>
                <w:rFonts w:cs="Arial"/>
              </w:rPr>
              <w:t>urban water corporations</w:t>
            </w:r>
            <w:r w:rsidRPr="003272C7">
              <w:rPr>
                <w:rFonts w:cs="Arial"/>
              </w:rPr>
              <w:t>, and other DEECA teams that use the Guidelines for their work. Some examples of the feedback are as follows:</w:t>
            </w:r>
          </w:p>
          <w:p w14:paraId="00F57476" w14:textId="7029B182" w:rsidR="00B242C3" w:rsidRPr="003272C7" w:rsidRDefault="00B242C3" w:rsidP="006C3DDC">
            <w:pPr>
              <w:pStyle w:val="TableBullet2"/>
              <w:rPr>
                <w:rFonts w:cs="Arial"/>
              </w:rPr>
            </w:pPr>
            <w:r w:rsidRPr="003272C7">
              <w:rPr>
                <w:rFonts w:cs="Arial"/>
              </w:rPr>
              <w:t xml:space="preserve">‘For planning decision-making, the information in the </w:t>
            </w:r>
            <w:r w:rsidR="00C23B4B" w:rsidRPr="003272C7">
              <w:rPr>
                <w:rFonts w:cs="Arial"/>
              </w:rPr>
              <w:t>g</w:t>
            </w:r>
            <w:r w:rsidR="00066F4A" w:rsidRPr="003272C7">
              <w:rPr>
                <w:rFonts w:cs="Arial"/>
              </w:rPr>
              <w:t xml:space="preserve">uidelines </w:t>
            </w:r>
            <w:r w:rsidRPr="003272C7">
              <w:rPr>
                <w:rFonts w:cs="Arial"/>
              </w:rPr>
              <w:t>is very useful in terms of explaining to exec the range of plausible outcomes and building appropriate lead time into adaptive decision-making processes’.</w:t>
            </w:r>
          </w:p>
          <w:p w14:paraId="6381940E" w14:textId="77777777" w:rsidR="00B242C3" w:rsidRPr="003272C7" w:rsidRDefault="00B242C3" w:rsidP="006C3DDC">
            <w:pPr>
              <w:pStyle w:val="TableBullet2"/>
              <w:rPr>
                <w:rFonts w:cs="Arial"/>
              </w:rPr>
            </w:pPr>
            <w:r w:rsidRPr="003272C7">
              <w:rPr>
                <w:rFonts w:cs="Arial"/>
              </w:rPr>
              <w:t>‘the water corps trust the scientific and expert advice contained in them.’</w:t>
            </w:r>
          </w:p>
          <w:p w14:paraId="7D19B7F9" w14:textId="08C2D174" w:rsidR="00B242C3" w:rsidRPr="003272C7" w:rsidRDefault="00B242C3" w:rsidP="006C3DDC">
            <w:pPr>
              <w:pStyle w:val="TableBullet2"/>
              <w:rPr>
                <w:rFonts w:cs="Arial"/>
              </w:rPr>
            </w:pPr>
            <w:r w:rsidRPr="003272C7">
              <w:rPr>
                <w:rFonts w:cs="Arial"/>
              </w:rPr>
              <w:t>‘Clients value being able to say that what they do aligns with DEECA guidelines</w:t>
            </w:r>
            <w:r w:rsidR="00066F4A" w:rsidRPr="003272C7">
              <w:rPr>
                <w:rFonts w:cs="Arial"/>
              </w:rPr>
              <w:t>.</w:t>
            </w:r>
            <w:r w:rsidRPr="003272C7">
              <w:rPr>
                <w:rFonts w:cs="Arial"/>
              </w:rPr>
              <w:t>’</w:t>
            </w:r>
          </w:p>
          <w:p w14:paraId="5EB3BD6C" w14:textId="166F75F1" w:rsidR="00B242C3" w:rsidRPr="003272C7" w:rsidRDefault="00B242C3" w:rsidP="006C3DDC">
            <w:pPr>
              <w:pStyle w:val="TableBullet2"/>
              <w:rPr>
                <w:rFonts w:cs="Arial"/>
              </w:rPr>
            </w:pPr>
            <w:r w:rsidRPr="003272C7">
              <w:rPr>
                <w:rFonts w:cs="Arial"/>
              </w:rPr>
              <w:t>‘…it is really powerful for governments to be able to say that they expect organisations to plan for climate change and to refer to the guidelines as how to do it</w:t>
            </w:r>
            <w:r w:rsidR="00066F4A" w:rsidRPr="003272C7">
              <w:rPr>
                <w:rFonts w:cs="Arial"/>
              </w:rPr>
              <w:t>.</w:t>
            </w:r>
            <w:r w:rsidRPr="003272C7">
              <w:rPr>
                <w:rFonts w:cs="Arial"/>
              </w:rPr>
              <w:t>’</w:t>
            </w:r>
          </w:p>
        </w:tc>
      </w:tr>
      <w:tr w:rsidR="00B242C3" w:rsidRPr="003272C7" w14:paraId="33F8CB9C" w14:textId="77777777" w:rsidTr="00C20193">
        <w:trPr>
          <w:trHeight w:val="259"/>
        </w:trPr>
        <w:tc>
          <w:tcPr>
            <w:tcW w:w="979" w:type="pct"/>
            <w:shd w:val="clear" w:color="auto" w:fill="231EDC" w:themeFill="accent1"/>
          </w:tcPr>
          <w:p w14:paraId="56328235"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6ABA2144" w14:textId="59F0CD04" w:rsidR="00B242C3" w:rsidRPr="003272C7" w:rsidRDefault="00B242C3" w:rsidP="003970EE">
            <w:pPr>
              <w:pStyle w:val="TableBullet"/>
              <w:rPr>
                <w:rFonts w:cs="Arial"/>
              </w:rPr>
            </w:pPr>
            <w:r w:rsidRPr="003272C7">
              <w:rPr>
                <w:rFonts w:cs="Arial"/>
              </w:rPr>
              <w:t xml:space="preserve">Action 2.2 in </w:t>
            </w:r>
            <w:r w:rsidRPr="003272C7">
              <w:rPr>
                <w:rFonts w:cs="Arial"/>
                <w:i/>
                <w:iCs/>
              </w:rPr>
              <w:t>Water for Victoria</w:t>
            </w:r>
            <w:r w:rsidRPr="003272C7">
              <w:rPr>
                <w:rFonts w:cs="Arial"/>
              </w:rPr>
              <w:t xml:space="preserve"> is </w:t>
            </w:r>
            <w:r w:rsidR="001857DB" w:rsidRPr="003272C7">
              <w:rPr>
                <w:rFonts w:cs="Arial"/>
              </w:rPr>
              <w:t xml:space="preserve">intended </w:t>
            </w:r>
            <w:r w:rsidRPr="003272C7">
              <w:rPr>
                <w:rFonts w:cs="Arial"/>
              </w:rPr>
              <w:t xml:space="preserve">to continue to build our understanding of how climate change will affect water resources by investing in research on climate change and building partnerships with stakeholders to share knowledge and apply research to policy, planning and practice. VicWaCI </w:t>
            </w:r>
            <w:r w:rsidR="001857DB" w:rsidRPr="003272C7">
              <w:rPr>
                <w:rFonts w:cs="Arial"/>
              </w:rPr>
              <w:t>and VicWaCI2</w:t>
            </w:r>
            <w:r w:rsidRPr="003272C7">
              <w:rPr>
                <w:rFonts w:cs="Arial"/>
              </w:rPr>
              <w:t xml:space="preserve"> is a </w:t>
            </w:r>
            <w:r w:rsidR="00445736" w:rsidRPr="003272C7">
              <w:rPr>
                <w:rFonts w:cs="Arial"/>
              </w:rPr>
              <w:t>project</w:t>
            </w:r>
            <w:r w:rsidRPr="003272C7">
              <w:rPr>
                <w:rFonts w:cs="Arial"/>
              </w:rPr>
              <w:t xml:space="preserve"> to implement Action 2.2.</w:t>
            </w:r>
          </w:p>
          <w:p w14:paraId="019B0AC5" w14:textId="5985ACA1" w:rsidR="00B242C3" w:rsidRPr="003272C7" w:rsidRDefault="00B242C3" w:rsidP="003970EE">
            <w:pPr>
              <w:pStyle w:val="TableBullet"/>
              <w:rPr>
                <w:rFonts w:cs="Arial"/>
              </w:rPr>
            </w:pPr>
            <w:r w:rsidRPr="003272C7">
              <w:rPr>
                <w:rFonts w:cs="Arial"/>
              </w:rPr>
              <w:t xml:space="preserve">Action 2.2 </w:t>
            </w:r>
            <w:r w:rsidRPr="003272C7">
              <w:rPr>
                <w:rFonts w:cs="Arial"/>
                <w:i/>
                <w:iCs/>
              </w:rPr>
              <w:t>Water for Victoria</w:t>
            </w:r>
            <w:r w:rsidRPr="003272C7">
              <w:rPr>
                <w:rFonts w:cs="Arial"/>
              </w:rPr>
              <w:t xml:space="preserve"> remains current. Since the beginning of the EC5 period, there has been a new Australian </w:t>
            </w:r>
            <w:r w:rsidR="00C23B4B" w:rsidRPr="003272C7">
              <w:rPr>
                <w:rFonts w:cs="Arial"/>
              </w:rPr>
              <w:t>G</w:t>
            </w:r>
            <w:r w:rsidRPr="003272C7">
              <w:rPr>
                <w:rFonts w:cs="Arial"/>
              </w:rPr>
              <w:t xml:space="preserve">overnment that has committed to undertaking a new Murray-Darling Basin Sustainable Yields project ahead of the </w:t>
            </w:r>
            <w:r w:rsidR="00C23B4B" w:rsidRPr="003272C7">
              <w:rPr>
                <w:rFonts w:cs="Arial"/>
                <w:i/>
                <w:iCs/>
              </w:rPr>
              <w:t xml:space="preserve">Murray-Darling </w:t>
            </w:r>
            <w:r w:rsidRPr="003272C7">
              <w:rPr>
                <w:rFonts w:cs="Arial"/>
                <w:i/>
                <w:iCs/>
              </w:rPr>
              <w:t>Basin Plan</w:t>
            </w:r>
            <w:r w:rsidRPr="003272C7">
              <w:rPr>
                <w:rFonts w:cs="Arial"/>
              </w:rPr>
              <w:t xml:space="preserve"> review. Climate change information is a significant focus of the activities currently underway, with this investment through EC5 supporting Victoria’s contribution and interests in these activities.</w:t>
            </w:r>
          </w:p>
        </w:tc>
      </w:tr>
      <w:tr w:rsidR="00B242C3" w:rsidRPr="003272C7" w14:paraId="3776EDF9" w14:textId="77777777" w:rsidTr="00C20193">
        <w:trPr>
          <w:trHeight w:val="259"/>
        </w:trPr>
        <w:tc>
          <w:tcPr>
            <w:tcW w:w="979" w:type="pct"/>
            <w:shd w:val="clear" w:color="auto" w:fill="231EDC" w:themeFill="accent1"/>
          </w:tcPr>
          <w:p w14:paraId="6AA7E14F"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457B7D89" w14:textId="77777777" w:rsidR="00B242C3" w:rsidRPr="003272C7" w:rsidRDefault="00B242C3" w:rsidP="003970EE">
            <w:pPr>
              <w:pStyle w:val="TableText"/>
              <w:rPr>
                <w:rFonts w:cs="Arial"/>
              </w:rPr>
            </w:pPr>
            <w:r w:rsidRPr="003272C7">
              <w:rPr>
                <w:rFonts w:cs="Arial"/>
              </w:rPr>
              <w:t>The economic value of VicWaCI cannot be directly estimated, however will most likely be derived from three main benefits:</w:t>
            </w:r>
          </w:p>
          <w:p w14:paraId="2D8BCD3C" w14:textId="459B035D" w:rsidR="00B242C3" w:rsidRPr="003272C7" w:rsidRDefault="00B242C3" w:rsidP="00004BDE">
            <w:pPr>
              <w:pStyle w:val="TableBullet"/>
              <w:rPr>
                <w:rFonts w:cs="Arial"/>
              </w:rPr>
            </w:pPr>
            <w:r w:rsidRPr="003272C7">
              <w:rPr>
                <w:rFonts w:cs="Arial"/>
              </w:rPr>
              <w:t>Improved water resource planning that enables longer lead times to develop and implement considered strategies and prudent investments for water supply augmentation</w:t>
            </w:r>
            <w:r w:rsidR="00C23B4B" w:rsidRPr="003272C7">
              <w:rPr>
                <w:rFonts w:cs="Arial"/>
              </w:rPr>
              <w:t>.</w:t>
            </w:r>
          </w:p>
          <w:p w14:paraId="674D2FD1" w14:textId="5336E0C4" w:rsidR="00B242C3" w:rsidRPr="003272C7" w:rsidRDefault="00B242C3" w:rsidP="00004BDE">
            <w:pPr>
              <w:pStyle w:val="TableBullet"/>
              <w:rPr>
                <w:rFonts w:cs="Arial"/>
              </w:rPr>
            </w:pPr>
            <w:r w:rsidRPr="003272C7">
              <w:rPr>
                <w:rFonts w:cs="Arial"/>
              </w:rPr>
              <w:t>Better coordinated and more consistent planning for water infrastructure investment and water trade</w:t>
            </w:r>
            <w:r w:rsidR="00C23B4B" w:rsidRPr="003272C7">
              <w:rPr>
                <w:rFonts w:cs="Arial"/>
              </w:rPr>
              <w:t>.</w:t>
            </w:r>
          </w:p>
          <w:p w14:paraId="17304789" w14:textId="77777777" w:rsidR="00B242C3" w:rsidRPr="003272C7" w:rsidRDefault="00B242C3" w:rsidP="00004BDE">
            <w:pPr>
              <w:pStyle w:val="TableBullet"/>
              <w:rPr>
                <w:rFonts w:cs="Arial"/>
              </w:rPr>
            </w:pPr>
            <w:r w:rsidRPr="003272C7">
              <w:rPr>
                <w:rFonts w:cs="Arial"/>
              </w:rPr>
              <w:t>Avoidance of direct investment by water corporations in climate and climate change science to support water resource planning.</w:t>
            </w:r>
          </w:p>
          <w:p w14:paraId="323507BF" w14:textId="331D10CB" w:rsidR="00B242C3" w:rsidRPr="003272C7" w:rsidRDefault="00B242C3" w:rsidP="00004BDE">
            <w:pPr>
              <w:pStyle w:val="TableBullet"/>
              <w:rPr>
                <w:rFonts w:cs="Arial"/>
              </w:rPr>
            </w:pPr>
            <w:r w:rsidRPr="003272C7">
              <w:rPr>
                <w:rFonts w:cs="Arial"/>
              </w:rPr>
              <w:t>The Bureau of Meteorology and Commonwealth Scientific and Industrial Research Organisation (CSIRO) provided $</w:t>
            </w:r>
            <w:r w:rsidR="001857DB" w:rsidRPr="003272C7">
              <w:rPr>
                <w:rFonts w:cs="Arial"/>
              </w:rPr>
              <w:t>1.</w:t>
            </w:r>
            <w:r w:rsidR="00CC03EB" w:rsidRPr="003272C7">
              <w:rPr>
                <w:rFonts w:cs="Arial"/>
              </w:rPr>
              <w:t>621</w:t>
            </w:r>
            <w:r w:rsidR="00C23B4B" w:rsidRPr="003272C7">
              <w:rPr>
                <w:rFonts w:cs="Arial"/>
              </w:rPr>
              <w:t xml:space="preserve"> million</w:t>
            </w:r>
            <w:r w:rsidRPr="003272C7">
              <w:rPr>
                <w:rFonts w:cs="Arial"/>
              </w:rPr>
              <w:t xml:space="preserve"> and $1</w:t>
            </w:r>
            <w:r w:rsidR="00CC03EB" w:rsidRPr="003272C7">
              <w:rPr>
                <w:rFonts w:cs="Arial"/>
              </w:rPr>
              <w:t>.021</w:t>
            </w:r>
            <w:r w:rsidR="00C23B4B" w:rsidRPr="003272C7">
              <w:rPr>
                <w:rFonts w:cs="Arial"/>
              </w:rPr>
              <w:t xml:space="preserve"> million</w:t>
            </w:r>
            <w:r w:rsidRPr="003272C7">
              <w:rPr>
                <w:rFonts w:cs="Arial"/>
              </w:rPr>
              <w:t xml:space="preserve"> as co-funding to the </w:t>
            </w:r>
            <w:r w:rsidR="00C23B4B" w:rsidRPr="003272C7">
              <w:rPr>
                <w:rFonts w:cs="Arial"/>
              </w:rPr>
              <w:t>p</w:t>
            </w:r>
            <w:r w:rsidRPr="003272C7">
              <w:rPr>
                <w:rFonts w:cs="Arial"/>
              </w:rPr>
              <w:t>rogram respectively</w:t>
            </w:r>
            <w:r w:rsidR="00C23B4B" w:rsidRPr="003272C7">
              <w:rPr>
                <w:rFonts w:cs="Arial"/>
              </w:rPr>
              <w:t>.</w:t>
            </w:r>
          </w:p>
        </w:tc>
      </w:tr>
      <w:tr w:rsidR="00B242C3" w:rsidRPr="003272C7" w14:paraId="2ED83B76" w14:textId="77777777" w:rsidTr="00C20193">
        <w:trPr>
          <w:trHeight w:val="259"/>
        </w:trPr>
        <w:tc>
          <w:tcPr>
            <w:tcW w:w="979" w:type="pct"/>
            <w:shd w:val="clear" w:color="auto" w:fill="231EDC" w:themeFill="accent1"/>
          </w:tcPr>
          <w:p w14:paraId="68943D26"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19FAD6E3" w14:textId="4B70C423" w:rsidR="00B242C3" w:rsidRPr="003272C7" w:rsidRDefault="00B242C3" w:rsidP="00004BDE">
            <w:pPr>
              <w:pStyle w:val="TableBullet"/>
              <w:rPr>
                <w:rFonts w:cs="Arial"/>
              </w:rPr>
            </w:pPr>
            <w:r w:rsidRPr="003272C7">
              <w:rPr>
                <w:rFonts w:cs="Arial"/>
              </w:rPr>
              <w:t>An established Community of Practice of water resource modellers continues to apply climate change information to water resource models to assess climate change impact and water availability by using the guidance and data developed through the VicWaCI research</w:t>
            </w:r>
            <w:r w:rsidR="00CC03EB" w:rsidRPr="003272C7">
              <w:rPr>
                <w:rFonts w:cs="Arial"/>
              </w:rPr>
              <w:t xml:space="preserve"> program.</w:t>
            </w:r>
          </w:p>
          <w:p w14:paraId="7379816F" w14:textId="262A262D" w:rsidR="00B242C3" w:rsidRPr="003272C7" w:rsidRDefault="00B242C3" w:rsidP="00004BDE">
            <w:pPr>
              <w:pStyle w:val="TableBullet"/>
              <w:rPr>
                <w:rFonts w:cs="Arial"/>
              </w:rPr>
            </w:pPr>
            <w:r w:rsidRPr="003272C7">
              <w:rPr>
                <w:rFonts w:cs="Arial"/>
              </w:rPr>
              <w:t xml:space="preserve">There is a demonstrated reliance on the </w:t>
            </w:r>
            <w:r w:rsidRPr="003272C7">
              <w:rPr>
                <w:rFonts w:cs="Arial"/>
                <w:i/>
                <w:iCs/>
              </w:rPr>
              <w:t>Guidelines for Assessing the Impact of Climate Change on Water Availability in Victoria</w:t>
            </w:r>
            <w:r w:rsidRPr="003272C7">
              <w:rPr>
                <w:rFonts w:cs="Arial"/>
              </w:rPr>
              <w:t xml:space="preserve"> across the water industry and parts of government for planning purposes and decision-making on short to very long-term scale.</w:t>
            </w:r>
          </w:p>
          <w:p w14:paraId="47129483" w14:textId="5AD40B33" w:rsidR="00B242C3" w:rsidRPr="003272C7" w:rsidRDefault="00116628" w:rsidP="00004BDE">
            <w:pPr>
              <w:pStyle w:val="TableBullet"/>
              <w:rPr>
                <w:rFonts w:cs="Arial"/>
              </w:rPr>
            </w:pPr>
            <w:r w:rsidRPr="003272C7">
              <w:rPr>
                <w:rFonts w:cs="Arial"/>
              </w:rPr>
              <w:t>The networks formed between water sector stakeholders, DEECA and the VicWaCI researchers provide both immediate and future benefits around access, understanding and application of the science.</w:t>
            </w:r>
            <w:r w:rsidRPr="003272C7">
              <w:rPr>
                <w:rStyle w:val="eop"/>
                <w:rFonts w:cs="Arial"/>
                <w:color w:val="000000"/>
                <w:shd w:val="clear" w:color="auto" w:fill="FFFFFF"/>
              </w:rPr>
              <w:t> </w:t>
            </w:r>
          </w:p>
        </w:tc>
      </w:tr>
      <w:tr w:rsidR="00B242C3" w:rsidRPr="003272C7" w14:paraId="17BB9BF4" w14:textId="77777777" w:rsidTr="00C20193">
        <w:trPr>
          <w:trHeight w:val="259"/>
        </w:trPr>
        <w:tc>
          <w:tcPr>
            <w:tcW w:w="979" w:type="pct"/>
            <w:shd w:val="clear" w:color="auto" w:fill="231EDC" w:themeFill="accent1"/>
          </w:tcPr>
          <w:p w14:paraId="386DD77D" w14:textId="77777777" w:rsidR="00B242C3" w:rsidRPr="003272C7" w:rsidRDefault="00B242C3" w:rsidP="00C06DED">
            <w:pPr>
              <w:pStyle w:val="TableText"/>
              <w:rPr>
                <w:rFonts w:cs="Arial"/>
                <w:b/>
                <w:bCs/>
                <w:szCs w:val="18"/>
              </w:rPr>
            </w:pPr>
            <w:r w:rsidRPr="003272C7">
              <w:rPr>
                <w:rFonts w:cs="Arial"/>
                <w:b/>
                <w:bCs/>
                <w:szCs w:val="18"/>
              </w:rPr>
              <w:lastRenderedPageBreak/>
              <w:t>Future priorities</w:t>
            </w:r>
          </w:p>
        </w:tc>
        <w:tc>
          <w:tcPr>
            <w:tcW w:w="4021" w:type="pct"/>
          </w:tcPr>
          <w:p w14:paraId="68F0A409" w14:textId="50507078" w:rsidR="00B242C3" w:rsidRPr="003272C7" w:rsidRDefault="00B242C3" w:rsidP="00004BDE">
            <w:pPr>
              <w:pStyle w:val="TableBullet"/>
              <w:rPr>
                <w:rFonts w:cs="Arial"/>
              </w:rPr>
            </w:pPr>
            <w:r w:rsidRPr="003272C7">
              <w:rPr>
                <w:rFonts w:cs="Arial"/>
              </w:rPr>
              <w:t xml:space="preserve">The needs of Victorian water sector stakeholders for continued connection and improvement of the science relies on State investment into application focused climate science and hydrology </w:t>
            </w:r>
            <w:r w:rsidR="00116628" w:rsidRPr="003272C7">
              <w:rPr>
                <w:rFonts w:cs="Arial"/>
              </w:rPr>
              <w:t>p</w:t>
            </w:r>
            <w:r w:rsidRPr="003272C7">
              <w:rPr>
                <w:rFonts w:cs="Arial"/>
              </w:rPr>
              <w:t>rograms.</w:t>
            </w:r>
          </w:p>
          <w:p w14:paraId="72D1CE00" w14:textId="416148DE" w:rsidR="00B242C3" w:rsidRPr="003272C7" w:rsidRDefault="00B242C3" w:rsidP="00004BDE">
            <w:pPr>
              <w:pStyle w:val="TableBullet"/>
              <w:rPr>
                <w:rFonts w:cs="Arial"/>
              </w:rPr>
            </w:pPr>
            <w:r w:rsidRPr="003272C7">
              <w:rPr>
                <w:rFonts w:cs="Arial"/>
              </w:rPr>
              <w:t xml:space="preserve">Examples of future needs include the need to incorporate the latest </w:t>
            </w:r>
            <w:r w:rsidR="00874CBC" w:rsidRPr="003272C7">
              <w:rPr>
                <w:rFonts w:cs="Arial"/>
              </w:rPr>
              <w:t>Intergovernmental Panel on Climate Change (</w:t>
            </w:r>
            <w:r w:rsidRPr="003272C7">
              <w:rPr>
                <w:rFonts w:cs="Arial"/>
              </w:rPr>
              <w:t>IPCC</w:t>
            </w:r>
            <w:r w:rsidR="00874CBC" w:rsidRPr="003272C7">
              <w:rPr>
                <w:rFonts w:cs="Arial"/>
              </w:rPr>
              <w:t>)</w:t>
            </w:r>
            <w:r w:rsidRPr="003272C7">
              <w:rPr>
                <w:rFonts w:cs="Arial"/>
              </w:rPr>
              <w:t xml:space="preserve"> models of the global climate into guidance and decision-making, along with considering how to incorporate improved knowledge about changes in climate variability over time.</w:t>
            </w:r>
          </w:p>
          <w:p w14:paraId="75D8C2F1" w14:textId="7C8B77DD" w:rsidR="00B242C3" w:rsidRPr="003272C7" w:rsidRDefault="00B242C3" w:rsidP="00004BDE">
            <w:pPr>
              <w:pStyle w:val="TableBullet"/>
              <w:rPr>
                <w:rFonts w:cs="Arial"/>
              </w:rPr>
            </w:pPr>
            <w:r w:rsidRPr="003272C7">
              <w:rPr>
                <w:rFonts w:cs="Arial"/>
              </w:rPr>
              <w:t xml:space="preserve">Future funding of the </w:t>
            </w:r>
            <w:r w:rsidR="00116628" w:rsidRPr="003272C7">
              <w:rPr>
                <w:rFonts w:cs="Arial"/>
              </w:rPr>
              <w:t>p</w:t>
            </w:r>
            <w:r w:rsidRPr="003272C7">
              <w:rPr>
                <w:rFonts w:cs="Arial"/>
              </w:rPr>
              <w:t>rogram will ensure the sector continues to adapt to the changing climate and respond appropriately, in and efficient and evidenced based way.</w:t>
            </w:r>
          </w:p>
        </w:tc>
      </w:tr>
    </w:tbl>
    <w:p w14:paraId="135A919F" w14:textId="54638BF6" w:rsidR="00B242C3" w:rsidRPr="003272C7" w:rsidRDefault="00B242C3" w:rsidP="00B242C3">
      <w:pPr>
        <w:pStyle w:val="Heading2"/>
        <w:rPr>
          <w:rFonts w:cs="Arial"/>
        </w:rPr>
      </w:pPr>
      <w:bookmarkStart w:id="35" w:name="_Toc147410784"/>
      <w:bookmarkStart w:id="36" w:name="_Toc183777792"/>
      <w:r w:rsidRPr="003272C7">
        <w:rPr>
          <w:rFonts w:cs="Arial"/>
        </w:rPr>
        <w:t xml:space="preserve">WRS11: Surface </w:t>
      </w:r>
      <w:r w:rsidR="00271AE7" w:rsidRPr="003272C7">
        <w:rPr>
          <w:rFonts w:cs="Arial"/>
        </w:rPr>
        <w:t>W</w:t>
      </w:r>
      <w:r w:rsidRPr="003272C7">
        <w:rPr>
          <w:rFonts w:cs="Arial"/>
        </w:rPr>
        <w:t xml:space="preserve">ater </w:t>
      </w:r>
      <w:r w:rsidR="00271AE7" w:rsidRPr="003272C7">
        <w:rPr>
          <w:rFonts w:cs="Arial"/>
        </w:rPr>
        <w:t>A</w:t>
      </w:r>
      <w:r w:rsidRPr="003272C7">
        <w:rPr>
          <w:rFonts w:cs="Arial"/>
        </w:rPr>
        <w:t xml:space="preserve">ssessment and </w:t>
      </w:r>
      <w:r w:rsidR="00271AE7" w:rsidRPr="003272C7">
        <w:rPr>
          <w:rFonts w:cs="Arial"/>
        </w:rPr>
        <w:t>M</w:t>
      </w:r>
      <w:r w:rsidRPr="003272C7">
        <w:rPr>
          <w:rFonts w:cs="Arial"/>
        </w:rPr>
        <w:t>odelling</w:t>
      </w:r>
      <w:bookmarkEnd w:id="35"/>
      <w:bookmarkEnd w:id="3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61A54721" w14:textId="77777777" w:rsidTr="00DD1CB2">
        <w:trPr>
          <w:trHeight w:val="395"/>
        </w:trPr>
        <w:tc>
          <w:tcPr>
            <w:tcW w:w="979" w:type="pct"/>
            <w:shd w:val="clear" w:color="auto" w:fill="231EDC" w:themeFill="accent1"/>
          </w:tcPr>
          <w:p w14:paraId="14913A29" w14:textId="77C02961" w:rsidR="00B242C3" w:rsidRPr="003272C7" w:rsidRDefault="00C412A9" w:rsidP="00004BDE">
            <w:pPr>
              <w:pStyle w:val="TableHeading"/>
              <w:rPr>
                <w:rFonts w:cs="Arial"/>
              </w:rPr>
            </w:pPr>
            <w:r w:rsidRPr="003272C7">
              <w:rPr>
                <w:rFonts w:cs="Arial"/>
              </w:rPr>
              <w:t>Initiative</w:t>
            </w:r>
          </w:p>
        </w:tc>
        <w:tc>
          <w:tcPr>
            <w:tcW w:w="4021" w:type="pct"/>
            <w:shd w:val="clear" w:color="auto" w:fill="231EDC" w:themeFill="accent1"/>
          </w:tcPr>
          <w:p w14:paraId="2270EF9E" w14:textId="77777777" w:rsidR="00B242C3" w:rsidRPr="003272C7" w:rsidRDefault="00B242C3" w:rsidP="00004BDE">
            <w:pPr>
              <w:pStyle w:val="TableHeading"/>
              <w:rPr>
                <w:rFonts w:cs="Arial"/>
              </w:rPr>
            </w:pPr>
            <w:r w:rsidRPr="003272C7">
              <w:rPr>
                <w:rFonts w:cs="Arial"/>
              </w:rPr>
              <w:t>4. The evidence base for Victorian water: availability and knowledge</w:t>
            </w:r>
          </w:p>
        </w:tc>
      </w:tr>
      <w:tr w:rsidR="00B242C3" w:rsidRPr="003272C7" w14:paraId="602AC316" w14:textId="77777777" w:rsidTr="00DD1CB2">
        <w:trPr>
          <w:trHeight w:val="341"/>
        </w:trPr>
        <w:tc>
          <w:tcPr>
            <w:tcW w:w="979" w:type="pct"/>
            <w:shd w:val="clear" w:color="auto" w:fill="231EDC" w:themeFill="accent1"/>
          </w:tcPr>
          <w:p w14:paraId="1CA6A8D0" w14:textId="77777777" w:rsidR="00B242C3" w:rsidRPr="003272C7" w:rsidRDefault="00B242C3" w:rsidP="00004BDE">
            <w:pPr>
              <w:pStyle w:val="TableText"/>
              <w:rPr>
                <w:rFonts w:cs="Arial"/>
                <w:b/>
                <w:bCs/>
              </w:rPr>
            </w:pPr>
            <w:r w:rsidRPr="003272C7">
              <w:rPr>
                <w:rFonts w:cs="Arial"/>
                <w:b/>
                <w:bCs/>
              </w:rPr>
              <w:t>Project</w:t>
            </w:r>
          </w:p>
        </w:tc>
        <w:tc>
          <w:tcPr>
            <w:tcW w:w="4021" w:type="pct"/>
          </w:tcPr>
          <w:p w14:paraId="40A6F5A6" w14:textId="77777777" w:rsidR="00B242C3" w:rsidRPr="003272C7" w:rsidRDefault="00B242C3" w:rsidP="00004BDE">
            <w:pPr>
              <w:pStyle w:val="TableText"/>
              <w:rPr>
                <w:rFonts w:cs="Arial"/>
              </w:rPr>
            </w:pPr>
            <w:r w:rsidRPr="003272C7">
              <w:rPr>
                <w:rFonts w:cs="Arial"/>
              </w:rPr>
              <w:t>WRS11: Surface water assessment and modelling</w:t>
            </w:r>
          </w:p>
        </w:tc>
      </w:tr>
      <w:tr w:rsidR="00B242C3" w:rsidRPr="003272C7" w14:paraId="58D8166A" w14:textId="77777777" w:rsidTr="00DD1CB2">
        <w:trPr>
          <w:trHeight w:val="259"/>
        </w:trPr>
        <w:tc>
          <w:tcPr>
            <w:tcW w:w="979" w:type="pct"/>
            <w:shd w:val="clear" w:color="auto" w:fill="231EDC" w:themeFill="accent1"/>
          </w:tcPr>
          <w:p w14:paraId="664EA655" w14:textId="6FFA5C86" w:rsidR="00B242C3" w:rsidRPr="003272C7" w:rsidRDefault="00B242C3" w:rsidP="00004BDE">
            <w:pPr>
              <w:pStyle w:val="TableText"/>
              <w:rPr>
                <w:rFonts w:cs="Arial"/>
                <w:b/>
                <w:bCs/>
              </w:rPr>
            </w:pPr>
            <w:r w:rsidRPr="003272C7">
              <w:rPr>
                <w:rFonts w:cs="Arial"/>
                <w:b/>
                <w:bCs/>
              </w:rPr>
              <w:t>Description</w:t>
            </w:r>
          </w:p>
        </w:tc>
        <w:tc>
          <w:tcPr>
            <w:tcW w:w="4021" w:type="pct"/>
          </w:tcPr>
          <w:p w14:paraId="725000D0" w14:textId="1CB142DF" w:rsidR="00B242C3" w:rsidRPr="003272C7" w:rsidRDefault="00B242C3" w:rsidP="00004BDE">
            <w:pPr>
              <w:pStyle w:val="TableText"/>
              <w:rPr>
                <w:rFonts w:cs="Arial"/>
              </w:rPr>
            </w:pPr>
            <w:r w:rsidRPr="003272C7">
              <w:rPr>
                <w:rFonts w:cs="Arial"/>
              </w:rPr>
              <w:t xml:space="preserve">This </w:t>
            </w:r>
            <w:r w:rsidR="00874CBC" w:rsidRPr="003272C7">
              <w:rPr>
                <w:rFonts w:cs="Arial"/>
              </w:rPr>
              <w:t>p</w:t>
            </w:r>
            <w:r w:rsidRPr="003272C7">
              <w:rPr>
                <w:rFonts w:cs="Arial"/>
              </w:rPr>
              <w:t>rogram of surface water assessment and modelling supports the sustainable management of Victoria’s water resources</w:t>
            </w:r>
            <w:r w:rsidR="002A2D28" w:rsidRPr="003272C7">
              <w:rPr>
                <w:rFonts w:cs="Arial"/>
              </w:rPr>
              <w:t>, including the</w:t>
            </w:r>
            <w:r w:rsidRPr="003272C7">
              <w:rPr>
                <w:rFonts w:cs="Arial"/>
              </w:rPr>
              <w:t xml:space="preserve"> security and transparency of Victorian entitlement framework and planning, delivery of Water for Victoria actions and effective interstate water-sharing arrangements. The surface water analyses and models are fundamental in informing </w:t>
            </w:r>
            <w:r w:rsidR="00874CBC" w:rsidRPr="003272C7">
              <w:rPr>
                <w:rFonts w:cs="Arial"/>
              </w:rPr>
              <w:t>government’s</w:t>
            </w:r>
            <w:r w:rsidRPr="003272C7">
              <w:rPr>
                <w:rFonts w:cs="Arial"/>
              </w:rPr>
              <w:t xml:space="preserve"> decision-making </w:t>
            </w:r>
            <w:r w:rsidR="0087478C" w:rsidRPr="003272C7">
              <w:rPr>
                <w:rFonts w:cs="Arial"/>
              </w:rPr>
              <w:t xml:space="preserve">project </w:t>
            </w:r>
            <w:r w:rsidRPr="003272C7">
              <w:rPr>
                <w:rFonts w:cs="Arial"/>
              </w:rPr>
              <w:t>to sustainably manage its water resources, such as Victoria’s water grid augmentation, quantification of climate change impacts, sustainable diversion limits under Murray-Darling Basin Plan, long-term water resource assessment, sustainable water strategies, urban water strategies, and equitable sharing of resources between consumptive, environmental and recreational users.</w:t>
            </w:r>
          </w:p>
          <w:p w14:paraId="023C2806" w14:textId="3CC0C618" w:rsidR="00B242C3" w:rsidRPr="003272C7" w:rsidRDefault="00B242C3" w:rsidP="00004BDE">
            <w:pPr>
              <w:pStyle w:val="TableText"/>
              <w:rPr>
                <w:rFonts w:cs="Arial"/>
              </w:rPr>
            </w:pPr>
            <w:r w:rsidRPr="003272C7">
              <w:rPr>
                <w:rFonts w:cs="Arial"/>
              </w:rPr>
              <w:t xml:space="preserve">The investment delivered these benefits through continued development of a comprehensive and more defensible surface water modelling platform (Source), consistent with national modelling </w:t>
            </w:r>
            <w:r w:rsidR="0053366C" w:rsidRPr="003272C7">
              <w:rPr>
                <w:rFonts w:cs="Arial"/>
              </w:rPr>
              <w:t xml:space="preserve">, </w:t>
            </w:r>
            <w:r w:rsidRPr="003272C7">
              <w:rPr>
                <w:rFonts w:cs="Arial"/>
              </w:rPr>
              <w:t>pilot automation of the platform and improve</w:t>
            </w:r>
            <w:r w:rsidR="0053366C" w:rsidRPr="003272C7">
              <w:rPr>
                <w:rFonts w:cs="Arial"/>
              </w:rPr>
              <w:t>d</w:t>
            </w:r>
            <w:r w:rsidRPr="003272C7">
              <w:rPr>
                <w:rFonts w:cs="Arial"/>
              </w:rPr>
              <w:t xml:space="preserve"> sharing with water corporations (and the broader modelling community to ensure transparency and consistency).</w:t>
            </w:r>
          </w:p>
        </w:tc>
      </w:tr>
      <w:tr w:rsidR="00B242C3" w:rsidRPr="003272C7" w14:paraId="36BF9B67" w14:textId="77777777" w:rsidTr="00DD1CB2">
        <w:trPr>
          <w:trHeight w:val="259"/>
        </w:trPr>
        <w:tc>
          <w:tcPr>
            <w:tcW w:w="979" w:type="pct"/>
            <w:shd w:val="clear" w:color="auto" w:fill="231EDC" w:themeFill="accent1"/>
          </w:tcPr>
          <w:p w14:paraId="74E0CF1A" w14:textId="77777777" w:rsidR="00B242C3" w:rsidRPr="003272C7" w:rsidRDefault="00B242C3" w:rsidP="00C06DED">
            <w:pPr>
              <w:pStyle w:val="TableText"/>
              <w:rPr>
                <w:rFonts w:cs="Arial"/>
                <w:b/>
                <w:bCs/>
                <w:szCs w:val="18"/>
              </w:rPr>
            </w:pPr>
            <w:r w:rsidRPr="003272C7">
              <w:rPr>
                <w:rFonts w:cs="Arial"/>
                <w:b/>
                <w:bCs/>
                <w:szCs w:val="18"/>
              </w:rPr>
              <w:t>Outputs</w:t>
            </w:r>
          </w:p>
        </w:tc>
        <w:tc>
          <w:tcPr>
            <w:tcW w:w="4021" w:type="pct"/>
          </w:tcPr>
          <w:p w14:paraId="73AF6B38" w14:textId="77777777" w:rsidR="00142559" w:rsidRPr="003272C7" w:rsidRDefault="00B242C3" w:rsidP="00A77584">
            <w:pPr>
              <w:pStyle w:val="TableBullet"/>
              <w:rPr>
                <w:rFonts w:cs="Arial"/>
              </w:rPr>
            </w:pPr>
            <w:r w:rsidRPr="003272C7">
              <w:rPr>
                <w:rFonts w:cs="Arial"/>
              </w:rPr>
              <w:t>Transition from</w:t>
            </w:r>
            <w:r w:rsidR="00F923CF" w:rsidRPr="003272C7">
              <w:rPr>
                <w:rFonts w:cs="Arial"/>
              </w:rPr>
              <w:t xml:space="preserve"> the</w:t>
            </w:r>
            <w:r w:rsidRPr="003272C7">
              <w:rPr>
                <w:rFonts w:cs="Arial"/>
              </w:rPr>
              <w:t xml:space="preserve"> </w:t>
            </w:r>
            <w:r w:rsidR="00F923CF" w:rsidRPr="003272C7">
              <w:rPr>
                <w:rFonts w:cs="Arial"/>
              </w:rPr>
              <w:t>Resource Allocation Model (</w:t>
            </w:r>
            <w:r w:rsidRPr="003272C7">
              <w:rPr>
                <w:rFonts w:cs="Arial"/>
              </w:rPr>
              <w:t>REALM</w:t>
            </w:r>
            <w:r w:rsidR="00F923CF" w:rsidRPr="003272C7">
              <w:rPr>
                <w:rFonts w:cs="Arial"/>
              </w:rPr>
              <w:t>)</w:t>
            </w:r>
            <w:r w:rsidRPr="003272C7">
              <w:rPr>
                <w:rFonts w:cs="Arial"/>
              </w:rPr>
              <w:t xml:space="preserve"> to Source </w:t>
            </w:r>
            <w:r w:rsidR="003F799C" w:rsidRPr="003272C7">
              <w:rPr>
                <w:rFonts w:cs="Arial"/>
              </w:rPr>
              <w:t xml:space="preserve">next generation hydrological modelling </w:t>
            </w:r>
            <w:r w:rsidRPr="003272C7">
              <w:rPr>
                <w:rFonts w:cs="Arial"/>
              </w:rPr>
              <w:t>to deliver next generation models to underpin decision-making.</w:t>
            </w:r>
          </w:p>
          <w:p w14:paraId="1EE49DEA" w14:textId="2E8D096D" w:rsidR="00B242C3" w:rsidRPr="003272C7" w:rsidRDefault="00B242C3" w:rsidP="00A77584">
            <w:pPr>
              <w:pStyle w:val="TableBullet2"/>
              <w:rPr>
                <w:rFonts w:cs="Arial"/>
              </w:rPr>
            </w:pPr>
            <w:r w:rsidRPr="003272C7">
              <w:rPr>
                <w:rFonts w:cs="Arial"/>
              </w:rPr>
              <w:t>Model development, completion, integration, enhancement and maintenance</w:t>
            </w:r>
            <w:r w:rsidR="003F799C" w:rsidRPr="003272C7">
              <w:rPr>
                <w:rFonts w:cs="Arial"/>
              </w:rPr>
              <w:t>.</w:t>
            </w:r>
          </w:p>
          <w:p w14:paraId="438AEBC1" w14:textId="478C87F5" w:rsidR="00B242C3" w:rsidRPr="003272C7" w:rsidRDefault="00B242C3" w:rsidP="00A77584">
            <w:pPr>
              <w:pStyle w:val="TableBullet2"/>
              <w:rPr>
                <w:rFonts w:cs="Arial"/>
              </w:rPr>
            </w:pPr>
            <w:r w:rsidRPr="003272C7">
              <w:rPr>
                <w:rFonts w:cs="Arial"/>
              </w:rPr>
              <w:t>Enhancing and maintaining implementation systems and processes</w:t>
            </w:r>
            <w:r w:rsidR="003F799C" w:rsidRPr="003272C7">
              <w:rPr>
                <w:rFonts w:cs="Arial"/>
              </w:rPr>
              <w:t>.</w:t>
            </w:r>
          </w:p>
          <w:p w14:paraId="43832B79" w14:textId="1904F95A" w:rsidR="00B242C3" w:rsidRPr="003272C7" w:rsidRDefault="00B242C3" w:rsidP="00A77584">
            <w:pPr>
              <w:pStyle w:val="TableBullet2"/>
              <w:rPr>
                <w:rFonts w:cs="Arial"/>
              </w:rPr>
            </w:pPr>
            <w:r w:rsidRPr="003272C7">
              <w:rPr>
                <w:rFonts w:cs="Arial"/>
              </w:rPr>
              <w:t>Capability building and communication</w:t>
            </w:r>
            <w:r w:rsidR="003F799C" w:rsidRPr="003272C7">
              <w:rPr>
                <w:rFonts w:cs="Arial"/>
              </w:rPr>
              <w:t>.</w:t>
            </w:r>
          </w:p>
          <w:p w14:paraId="1A278B10" w14:textId="4A5783E6" w:rsidR="00B242C3" w:rsidRPr="003272C7" w:rsidRDefault="00B242C3" w:rsidP="00A77584">
            <w:pPr>
              <w:pStyle w:val="TableBullet"/>
              <w:rPr>
                <w:rFonts w:cs="Arial"/>
              </w:rPr>
            </w:pPr>
            <w:r w:rsidRPr="003272C7">
              <w:rPr>
                <w:rFonts w:cs="Arial"/>
              </w:rPr>
              <w:t>Modernising Victoria’s hydrological modelling capabilities to meet emerging needs</w:t>
            </w:r>
            <w:r w:rsidR="003F799C" w:rsidRPr="003272C7">
              <w:rPr>
                <w:rFonts w:cs="Arial"/>
              </w:rPr>
              <w:t>.</w:t>
            </w:r>
          </w:p>
          <w:p w14:paraId="7A0EB0F0" w14:textId="244FDE02" w:rsidR="00B242C3" w:rsidRPr="003272C7" w:rsidRDefault="00B242C3" w:rsidP="00A77584">
            <w:pPr>
              <w:pStyle w:val="TableBullet2"/>
              <w:rPr>
                <w:rFonts w:cs="Arial"/>
              </w:rPr>
            </w:pPr>
            <w:r w:rsidRPr="003272C7">
              <w:rPr>
                <w:rFonts w:cs="Arial"/>
              </w:rPr>
              <w:t xml:space="preserve">Automation and </w:t>
            </w:r>
            <w:r w:rsidR="0053366C" w:rsidRPr="003272C7">
              <w:rPr>
                <w:rFonts w:cs="Arial"/>
              </w:rPr>
              <w:t xml:space="preserve">forecasting </w:t>
            </w:r>
            <w:r w:rsidRPr="003272C7">
              <w:rPr>
                <w:rFonts w:cs="Arial"/>
              </w:rPr>
              <w:t>pilot</w:t>
            </w:r>
            <w:r w:rsidR="003F799C" w:rsidRPr="003272C7">
              <w:rPr>
                <w:rFonts w:cs="Arial"/>
              </w:rPr>
              <w:t>.</w:t>
            </w:r>
          </w:p>
          <w:p w14:paraId="20A6D602" w14:textId="3B025F93" w:rsidR="00B242C3" w:rsidRPr="003272C7" w:rsidRDefault="00B242C3" w:rsidP="00A77584">
            <w:pPr>
              <w:pStyle w:val="TableBullet2"/>
              <w:rPr>
                <w:rFonts w:cs="Arial"/>
              </w:rPr>
            </w:pPr>
            <w:r w:rsidRPr="003272C7">
              <w:rPr>
                <w:rFonts w:cs="Arial"/>
              </w:rPr>
              <w:t xml:space="preserve">Model </w:t>
            </w:r>
            <w:r w:rsidR="0053366C" w:rsidRPr="003272C7">
              <w:rPr>
                <w:rFonts w:cs="Arial"/>
              </w:rPr>
              <w:t>management</w:t>
            </w:r>
            <w:r w:rsidR="003F799C" w:rsidRPr="003272C7">
              <w:rPr>
                <w:rFonts w:cs="Arial"/>
              </w:rPr>
              <w:t>.</w:t>
            </w:r>
          </w:p>
          <w:p w14:paraId="3B6CD714" w14:textId="2200660D" w:rsidR="00B242C3" w:rsidRPr="003272C7" w:rsidRDefault="00B242C3" w:rsidP="00A77584">
            <w:pPr>
              <w:pStyle w:val="TableBullet"/>
              <w:rPr>
                <w:rFonts w:cs="Arial"/>
              </w:rPr>
            </w:pPr>
            <w:r w:rsidRPr="003272C7">
              <w:rPr>
                <w:rFonts w:cs="Arial"/>
              </w:rPr>
              <w:t xml:space="preserve">Compliance with Victoria’s water reporting obligations </w:t>
            </w:r>
            <w:r w:rsidR="0053366C" w:rsidRPr="003272C7">
              <w:rPr>
                <w:rFonts w:cs="Arial"/>
              </w:rPr>
              <w:t>–</w:t>
            </w:r>
            <w:r w:rsidRPr="003272C7">
              <w:rPr>
                <w:rFonts w:cs="Arial"/>
              </w:rPr>
              <w:t xml:space="preserve"> </w:t>
            </w:r>
            <w:r w:rsidR="0053366C" w:rsidRPr="003272C7">
              <w:rPr>
                <w:rFonts w:cs="Arial"/>
              </w:rPr>
              <w:t>Commonwealth</w:t>
            </w:r>
            <w:r w:rsidRPr="003272C7">
              <w:rPr>
                <w:rFonts w:cs="Arial"/>
              </w:rPr>
              <w:t xml:space="preserve"> </w:t>
            </w:r>
            <w:r w:rsidR="003F799C" w:rsidRPr="003272C7">
              <w:rPr>
                <w:rFonts w:cs="Arial"/>
              </w:rPr>
              <w:t>s</w:t>
            </w:r>
            <w:r w:rsidRPr="003272C7">
              <w:rPr>
                <w:rFonts w:cs="Arial"/>
              </w:rPr>
              <w:t>ection 71 reporting</w:t>
            </w:r>
          </w:p>
          <w:p w14:paraId="5983F7A0" w14:textId="41D8BB58" w:rsidR="00B242C3" w:rsidRPr="003272C7" w:rsidRDefault="00B242C3" w:rsidP="00A77584">
            <w:pPr>
              <w:pStyle w:val="TableBullet"/>
              <w:rPr>
                <w:rFonts w:cs="Arial"/>
              </w:rPr>
            </w:pPr>
            <w:r w:rsidRPr="003272C7">
              <w:rPr>
                <w:rFonts w:cs="Arial"/>
              </w:rPr>
              <w:t xml:space="preserve">Protecting Victoria’s interest in interjurisdictional negotiations including </w:t>
            </w:r>
            <w:r w:rsidR="003F799C" w:rsidRPr="003272C7">
              <w:rPr>
                <w:rFonts w:cs="Arial"/>
                <w:i/>
                <w:iCs/>
              </w:rPr>
              <w:t>Murray-Darling Basin Plan</w:t>
            </w:r>
            <w:r w:rsidR="003F799C" w:rsidRPr="003272C7">
              <w:rPr>
                <w:rFonts w:cs="Arial"/>
              </w:rPr>
              <w:t xml:space="preserve"> </w:t>
            </w:r>
            <w:r w:rsidR="00A64F7D" w:rsidRPr="003272C7">
              <w:rPr>
                <w:rFonts w:cs="Arial"/>
              </w:rPr>
              <w:t>i</w:t>
            </w:r>
            <w:r w:rsidRPr="003272C7">
              <w:rPr>
                <w:rFonts w:cs="Arial"/>
              </w:rPr>
              <w:t>mplementation/</w:t>
            </w:r>
            <w:r w:rsidR="00A64F7D" w:rsidRPr="003272C7">
              <w:rPr>
                <w:rFonts w:cs="Arial"/>
              </w:rPr>
              <w:t>a</w:t>
            </w:r>
            <w:r w:rsidRPr="003272C7">
              <w:rPr>
                <w:rFonts w:cs="Arial"/>
              </w:rPr>
              <w:t>dvice</w:t>
            </w:r>
            <w:r w:rsidR="003F799C" w:rsidRPr="003272C7">
              <w:rPr>
                <w:rFonts w:cs="Arial"/>
              </w:rPr>
              <w:t>.</w:t>
            </w:r>
          </w:p>
        </w:tc>
      </w:tr>
      <w:tr w:rsidR="00B242C3" w:rsidRPr="003272C7" w14:paraId="3DB9D1A8" w14:textId="77777777" w:rsidTr="00DD1CB2">
        <w:trPr>
          <w:trHeight w:val="259"/>
        </w:trPr>
        <w:tc>
          <w:tcPr>
            <w:tcW w:w="5000" w:type="pct"/>
            <w:gridSpan w:val="2"/>
            <w:shd w:val="clear" w:color="auto" w:fill="231EDC" w:themeFill="accent1"/>
          </w:tcPr>
          <w:p w14:paraId="6FB995EE" w14:textId="282E52A1" w:rsidR="00B242C3" w:rsidRPr="003272C7" w:rsidRDefault="00C51015" w:rsidP="00C06DED">
            <w:pPr>
              <w:pStyle w:val="TableText"/>
              <w:rPr>
                <w:rFonts w:cs="Arial"/>
                <w:b/>
                <w:bCs/>
                <w:szCs w:val="18"/>
              </w:rPr>
            </w:pPr>
            <w:r w:rsidRPr="003272C7">
              <w:rPr>
                <w:rFonts w:cs="Arial"/>
                <w:b/>
                <w:bCs/>
                <w:szCs w:val="18"/>
              </w:rPr>
              <w:t>Summary against evaluation domains</w:t>
            </w:r>
          </w:p>
        </w:tc>
      </w:tr>
      <w:tr w:rsidR="00B242C3" w:rsidRPr="003272C7" w14:paraId="63F2841D" w14:textId="77777777" w:rsidTr="00DD1CB2">
        <w:trPr>
          <w:trHeight w:val="259"/>
        </w:trPr>
        <w:tc>
          <w:tcPr>
            <w:tcW w:w="979" w:type="pct"/>
            <w:shd w:val="clear" w:color="auto" w:fill="231EDC" w:themeFill="accent1"/>
          </w:tcPr>
          <w:p w14:paraId="1CAD0029" w14:textId="77777777" w:rsidR="00B242C3" w:rsidRPr="003272C7" w:rsidRDefault="00B242C3" w:rsidP="00C06DED">
            <w:pPr>
              <w:pStyle w:val="TableText"/>
              <w:rPr>
                <w:rFonts w:cs="Arial"/>
                <w:b/>
                <w:bCs/>
                <w:szCs w:val="18"/>
              </w:rPr>
            </w:pPr>
            <w:r w:rsidRPr="003272C7">
              <w:rPr>
                <w:rFonts w:cs="Arial"/>
                <w:b/>
                <w:bCs/>
                <w:szCs w:val="18"/>
              </w:rPr>
              <w:t>Impact</w:t>
            </w:r>
          </w:p>
        </w:tc>
        <w:tc>
          <w:tcPr>
            <w:tcW w:w="4021" w:type="pct"/>
          </w:tcPr>
          <w:p w14:paraId="2F6A5DA4" w14:textId="77777777" w:rsidR="00142559" w:rsidRPr="003272C7" w:rsidRDefault="00B242C3" w:rsidP="00A77584">
            <w:pPr>
              <w:pStyle w:val="TableBullet"/>
              <w:rPr>
                <w:rFonts w:cs="Arial"/>
              </w:rPr>
            </w:pPr>
            <w:r w:rsidRPr="003272C7">
              <w:rPr>
                <w:rFonts w:cs="Arial"/>
              </w:rPr>
              <w:t>Source next generation models are being used to support policy, planning and management decisions across urban and rural systems. Stakeholders also anticipate that Source will support decisions relating to operations, compliance, accounting, markets and forecasting in the future as models are enhanced and functionality further improves.</w:t>
            </w:r>
          </w:p>
          <w:p w14:paraId="7D288007" w14:textId="4E3A58B8" w:rsidR="00B242C3" w:rsidRPr="003272C7" w:rsidRDefault="00B242C3" w:rsidP="00A77584">
            <w:pPr>
              <w:pStyle w:val="TableBullet"/>
              <w:rPr>
                <w:rFonts w:cs="Arial"/>
              </w:rPr>
            </w:pPr>
            <w:r w:rsidRPr="003272C7">
              <w:rPr>
                <w:rFonts w:cs="Arial"/>
              </w:rPr>
              <w:t>Since 2020, an increasing number of stakeholders are using Source models to support processes related to:</w:t>
            </w:r>
          </w:p>
          <w:p w14:paraId="15C49836" w14:textId="48FDF8A8" w:rsidR="00B242C3" w:rsidRPr="003272C7" w:rsidRDefault="00B242C3" w:rsidP="00A77584">
            <w:pPr>
              <w:pStyle w:val="TableBullet2"/>
              <w:rPr>
                <w:rFonts w:cs="Arial"/>
              </w:rPr>
            </w:pPr>
            <w:r w:rsidRPr="003272C7">
              <w:rPr>
                <w:rFonts w:cs="Arial"/>
              </w:rPr>
              <w:t>IWM forums</w:t>
            </w:r>
          </w:p>
          <w:p w14:paraId="32101946" w14:textId="2CED8535" w:rsidR="00B242C3" w:rsidRPr="003272C7" w:rsidRDefault="00B242C3" w:rsidP="00A77584">
            <w:pPr>
              <w:pStyle w:val="TableBullet2"/>
              <w:rPr>
                <w:rFonts w:cs="Arial"/>
              </w:rPr>
            </w:pPr>
            <w:r w:rsidRPr="003272C7">
              <w:rPr>
                <w:rFonts w:cs="Arial"/>
                <w:i/>
                <w:iCs/>
              </w:rPr>
              <w:t xml:space="preserve">Sustainable </w:t>
            </w:r>
            <w:r w:rsidR="003F799C" w:rsidRPr="003272C7">
              <w:rPr>
                <w:rFonts w:cs="Arial"/>
                <w:i/>
                <w:iCs/>
              </w:rPr>
              <w:t>W</w:t>
            </w:r>
            <w:r w:rsidRPr="003272C7">
              <w:rPr>
                <w:rFonts w:cs="Arial"/>
                <w:i/>
                <w:iCs/>
              </w:rPr>
              <w:t xml:space="preserve">ater </w:t>
            </w:r>
            <w:r w:rsidR="003F799C" w:rsidRPr="003272C7">
              <w:rPr>
                <w:rFonts w:cs="Arial"/>
                <w:i/>
                <w:iCs/>
              </w:rPr>
              <w:t>S</w:t>
            </w:r>
            <w:r w:rsidRPr="003272C7">
              <w:rPr>
                <w:rFonts w:cs="Arial"/>
                <w:i/>
                <w:iCs/>
              </w:rPr>
              <w:t>trategies</w:t>
            </w:r>
            <w:r w:rsidRPr="003272C7">
              <w:rPr>
                <w:rFonts w:cs="Arial"/>
              </w:rPr>
              <w:t xml:space="preserve">, including the recent </w:t>
            </w:r>
            <w:r w:rsidR="003F799C" w:rsidRPr="003272C7">
              <w:rPr>
                <w:rFonts w:cs="Arial"/>
              </w:rPr>
              <w:t>CGRSWS</w:t>
            </w:r>
          </w:p>
          <w:p w14:paraId="2EA65B1D" w14:textId="49FD052A" w:rsidR="00B242C3" w:rsidRPr="003272C7" w:rsidRDefault="003F799C" w:rsidP="00A77584">
            <w:pPr>
              <w:pStyle w:val="TableBullet2"/>
              <w:rPr>
                <w:rFonts w:cs="Arial"/>
              </w:rPr>
            </w:pPr>
            <w:r w:rsidRPr="003272C7">
              <w:rPr>
                <w:rFonts w:cs="Arial"/>
                <w:i/>
                <w:iCs/>
              </w:rPr>
              <w:lastRenderedPageBreak/>
              <w:t>L</w:t>
            </w:r>
            <w:r w:rsidR="00B242C3" w:rsidRPr="003272C7">
              <w:rPr>
                <w:rFonts w:cs="Arial"/>
                <w:i/>
                <w:iCs/>
              </w:rPr>
              <w:t>ong-</w:t>
            </w:r>
            <w:r w:rsidRPr="003272C7">
              <w:rPr>
                <w:rFonts w:cs="Arial"/>
                <w:i/>
                <w:iCs/>
              </w:rPr>
              <w:t>T</w:t>
            </w:r>
            <w:r w:rsidR="00B242C3" w:rsidRPr="003272C7">
              <w:rPr>
                <w:rFonts w:cs="Arial"/>
                <w:i/>
                <w:iCs/>
              </w:rPr>
              <w:t xml:space="preserve">erm </w:t>
            </w:r>
            <w:r w:rsidRPr="003272C7">
              <w:rPr>
                <w:rFonts w:cs="Arial"/>
                <w:i/>
                <w:iCs/>
              </w:rPr>
              <w:t>W</w:t>
            </w:r>
            <w:r w:rsidR="00B242C3" w:rsidRPr="003272C7">
              <w:rPr>
                <w:rFonts w:cs="Arial"/>
                <w:i/>
                <w:iCs/>
              </w:rPr>
              <w:t xml:space="preserve">ater </w:t>
            </w:r>
            <w:r w:rsidRPr="003272C7">
              <w:rPr>
                <w:rFonts w:cs="Arial"/>
                <w:i/>
                <w:iCs/>
              </w:rPr>
              <w:t>R</w:t>
            </w:r>
            <w:r w:rsidR="00B242C3" w:rsidRPr="003272C7">
              <w:rPr>
                <w:rFonts w:cs="Arial"/>
                <w:i/>
                <w:iCs/>
              </w:rPr>
              <w:t xml:space="preserve">esource </w:t>
            </w:r>
            <w:r w:rsidRPr="003272C7">
              <w:rPr>
                <w:rFonts w:cs="Arial"/>
                <w:i/>
                <w:iCs/>
              </w:rPr>
              <w:t>A</w:t>
            </w:r>
            <w:r w:rsidR="00B242C3" w:rsidRPr="003272C7">
              <w:rPr>
                <w:rFonts w:cs="Arial"/>
                <w:i/>
                <w:iCs/>
              </w:rPr>
              <w:t>ssessments</w:t>
            </w:r>
            <w:r w:rsidR="00B242C3" w:rsidRPr="003272C7">
              <w:rPr>
                <w:rFonts w:cs="Arial"/>
              </w:rPr>
              <w:t>, including an impact study on the Mitchell River system</w:t>
            </w:r>
          </w:p>
          <w:p w14:paraId="3F02225B" w14:textId="77777777" w:rsidR="00B242C3" w:rsidRPr="003272C7" w:rsidRDefault="00B242C3" w:rsidP="00A77584">
            <w:pPr>
              <w:pStyle w:val="TableBullet2"/>
              <w:rPr>
                <w:rFonts w:cs="Arial"/>
              </w:rPr>
            </w:pPr>
            <w:r w:rsidRPr="003272C7">
              <w:rPr>
                <w:rFonts w:cs="Arial"/>
              </w:rPr>
              <w:t>environmental watering plans</w:t>
            </w:r>
          </w:p>
          <w:p w14:paraId="4FECC716" w14:textId="51F3CE7C" w:rsidR="00B242C3" w:rsidRPr="003272C7" w:rsidRDefault="003F799C" w:rsidP="00A77584">
            <w:pPr>
              <w:pStyle w:val="TableBullet2"/>
              <w:rPr>
                <w:rFonts w:cs="Arial"/>
              </w:rPr>
            </w:pPr>
            <w:r w:rsidRPr="003272C7">
              <w:rPr>
                <w:rFonts w:cs="Arial"/>
                <w:i/>
                <w:iCs/>
              </w:rPr>
              <w:t>U</w:t>
            </w:r>
            <w:r w:rsidR="00B242C3" w:rsidRPr="003272C7">
              <w:rPr>
                <w:rFonts w:cs="Arial"/>
                <w:i/>
                <w:iCs/>
              </w:rPr>
              <w:t xml:space="preserve">rban </w:t>
            </w:r>
            <w:r w:rsidRPr="003272C7">
              <w:rPr>
                <w:rFonts w:cs="Arial"/>
                <w:i/>
                <w:iCs/>
              </w:rPr>
              <w:t>W</w:t>
            </w:r>
            <w:r w:rsidR="00B242C3" w:rsidRPr="003272C7">
              <w:rPr>
                <w:rFonts w:cs="Arial"/>
                <w:i/>
                <w:iCs/>
              </w:rPr>
              <w:t xml:space="preserve">ater </w:t>
            </w:r>
            <w:r w:rsidRPr="003272C7">
              <w:rPr>
                <w:rFonts w:cs="Arial"/>
                <w:i/>
                <w:iCs/>
              </w:rPr>
              <w:t>S</w:t>
            </w:r>
            <w:r w:rsidR="00B242C3" w:rsidRPr="003272C7">
              <w:rPr>
                <w:rFonts w:cs="Arial"/>
                <w:i/>
                <w:iCs/>
              </w:rPr>
              <w:t>trategies</w:t>
            </w:r>
            <w:r w:rsidR="00B242C3" w:rsidRPr="003272C7">
              <w:rPr>
                <w:rFonts w:cs="Arial"/>
              </w:rPr>
              <w:t xml:space="preserve">, including the 2022 </w:t>
            </w:r>
            <w:r w:rsidRPr="003272C7">
              <w:rPr>
                <w:rFonts w:cs="Arial"/>
              </w:rPr>
              <w:t xml:space="preserve">Urban Water Strategy </w:t>
            </w:r>
            <w:r w:rsidR="00B242C3" w:rsidRPr="003272C7">
              <w:rPr>
                <w:rFonts w:cs="Arial"/>
              </w:rPr>
              <w:t>renewals</w:t>
            </w:r>
          </w:p>
          <w:p w14:paraId="499E8284" w14:textId="108F5BFB" w:rsidR="00B242C3" w:rsidRPr="003272C7" w:rsidRDefault="003F799C" w:rsidP="00A77584">
            <w:pPr>
              <w:pStyle w:val="TableBullet2"/>
              <w:rPr>
                <w:rFonts w:cs="Arial"/>
                <w:i/>
                <w:iCs/>
              </w:rPr>
            </w:pPr>
            <w:r w:rsidRPr="003272C7">
              <w:rPr>
                <w:rFonts w:cs="Arial"/>
                <w:i/>
                <w:iCs/>
              </w:rPr>
              <w:t>W</w:t>
            </w:r>
            <w:r w:rsidR="00B242C3" w:rsidRPr="003272C7">
              <w:rPr>
                <w:rFonts w:cs="Arial"/>
                <w:i/>
                <w:iCs/>
              </w:rPr>
              <w:t xml:space="preserve">ater </w:t>
            </w:r>
            <w:r w:rsidRPr="003272C7">
              <w:rPr>
                <w:rFonts w:cs="Arial"/>
                <w:i/>
                <w:iCs/>
              </w:rPr>
              <w:t>R</w:t>
            </w:r>
            <w:r w:rsidR="00B242C3" w:rsidRPr="003272C7">
              <w:rPr>
                <w:rFonts w:cs="Arial"/>
                <w:i/>
                <w:iCs/>
              </w:rPr>
              <w:t xml:space="preserve">esource </w:t>
            </w:r>
            <w:r w:rsidRPr="003272C7">
              <w:rPr>
                <w:rFonts w:cs="Arial"/>
                <w:i/>
                <w:iCs/>
              </w:rPr>
              <w:t>P</w:t>
            </w:r>
            <w:r w:rsidR="00B242C3" w:rsidRPr="003272C7">
              <w:rPr>
                <w:rFonts w:cs="Arial"/>
                <w:i/>
                <w:iCs/>
              </w:rPr>
              <w:t>lans</w:t>
            </w:r>
          </w:p>
          <w:p w14:paraId="0B03D5E3" w14:textId="77777777" w:rsidR="00142559" w:rsidRPr="003272C7" w:rsidRDefault="003F799C" w:rsidP="00A77584">
            <w:pPr>
              <w:pStyle w:val="TableBullet2"/>
              <w:rPr>
                <w:rFonts w:cs="Arial"/>
              </w:rPr>
            </w:pPr>
            <w:r w:rsidRPr="003272C7">
              <w:rPr>
                <w:rFonts w:cs="Arial"/>
              </w:rPr>
              <w:t>A</w:t>
            </w:r>
            <w:r w:rsidR="00B242C3" w:rsidRPr="003272C7">
              <w:rPr>
                <w:rFonts w:cs="Arial"/>
              </w:rPr>
              <w:t>nnual operations plans.</w:t>
            </w:r>
          </w:p>
          <w:p w14:paraId="44A25D7D" w14:textId="77777777" w:rsidR="00142559" w:rsidRPr="003272C7" w:rsidRDefault="00B242C3" w:rsidP="00A77584">
            <w:pPr>
              <w:pStyle w:val="TableBullet"/>
              <w:rPr>
                <w:rFonts w:cs="Arial"/>
              </w:rPr>
            </w:pPr>
            <w:r w:rsidRPr="003272C7">
              <w:rPr>
                <w:rFonts w:cs="Arial"/>
              </w:rPr>
              <w:t>Source models support users to make more robust and defensible decisions. Stakeholders cited the daily timestep in Source as an important factor in increasing the granularity of model outputs, and therefore, providing a more detailed view of the system and a more useful evidence base for decision-making. They also highlighted the ability to use outputs from one model as inputs to another model with a shared boundary as an important benefit. Aligning inputs and outputs between models supports consistency between the models and results and creates efficiency in running the models. Stakeholders reported that the new climate change plugin has also helped to improve forecast modelling.</w:t>
            </w:r>
          </w:p>
          <w:p w14:paraId="1454C79E" w14:textId="617AF1FD" w:rsidR="00B242C3" w:rsidRPr="003272C7" w:rsidRDefault="003F799C" w:rsidP="00A77584">
            <w:pPr>
              <w:pStyle w:val="TableBullet"/>
              <w:rPr>
                <w:rFonts w:cs="Arial"/>
              </w:rPr>
            </w:pPr>
            <w:r w:rsidRPr="003272C7">
              <w:rPr>
                <w:rFonts w:cs="Arial"/>
              </w:rPr>
              <w:t>Policymakers</w:t>
            </w:r>
            <w:r w:rsidR="00B242C3" w:rsidRPr="003272C7">
              <w:rPr>
                <w:rFonts w:cs="Arial"/>
              </w:rPr>
              <w:t xml:space="preserve"> continue to use Source to support water management in the M</w:t>
            </w:r>
            <w:r w:rsidR="00A64F7D" w:rsidRPr="003272C7">
              <w:rPr>
                <w:rFonts w:cs="Arial"/>
              </w:rPr>
              <w:t>urray</w:t>
            </w:r>
            <w:r w:rsidRPr="003272C7">
              <w:rPr>
                <w:rFonts w:cs="Arial"/>
              </w:rPr>
              <w:t>-</w:t>
            </w:r>
            <w:r w:rsidR="00B242C3" w:rsidRPr="003272C7">
              <w:rPr>
                <w:rFonts w:cs="Arial"/>
              </w:rPr>
              <w:t>D</w:t>
            </w:r>
            <w:r w:rsidR="00150927" w:rsidRPr="003272C7">
              <w:rPr>
                <w:rFonts w:cs="Arial"/>
              </w:rPr>
              <w:t xml:space="preserve">arling </w:t>
            </w:r>
            <w:r w:rsidR="00B242C3" w:rsidRPr="003272C7">
              <w:rPr>
                <w:rFonts w:cs="Arial"/>
              </w:rPr>
              <w:t>B</w:t>
            </w:r>
            <w:r w:rsidR="00150927" w:rsidRPr="003272C7">
              <w:rPr>
                <w:rFonts w:cs="Arial"/>
              </w:rPr>
              <w:t>asin</w:t>
            </w:r>
            <w:r w:rsidR="00B242C3" w:rsidRPr="003272C7">
              <w:rPr>
                <w:rFonts w:cs="Arial"/>
              </w:rPr>
              <w:t xml:space="preserve">, including in relation to managing delivery constraints in the Lower Murray and as part of Victoria’s annual assessment and reporting of compliance with the cap and sustainable diversion limits under the </w:t>
            </w:r>
            <w:r w:rsidR="00B242C3" w:rsidRPr="003272C7">
              <w:rPr>
                <w:rFonts w:cs="Arial"/>
                <w:i/>
                <w:iCs/>
              </w:rPr>
              <w:t>Murray-Darling Basin Plan</w:t>
            </w:r>
            <w:r w:rsidR="00B242C3" w:rsidRPr="003272C7">
              <w:rPr>
                <w:rFonts w:cs="Arial"/>
              </w:rPr>
              <w:t>. Other examples of Source supporting decision-making include understanding channel capacity sharing and modelling inter-valley trade between the Goulburn and Murray catchments. The ability to link inputs and outputs between the Murray and Goulburn models is key to supporting this work.</w:t>
            </w:r>
          </w:p>
          <w:p w14:paraId="137AAAAE" w14:textId="0579F2F9" w:rsidR="00B242C3" w:rsidRPr="003272C7" w:rsidRDefault="00B242C3" w:rsidP="00A77584">
            <w:pPr>
              <w:pStyle w:val="TableBullet"/>
              <w:rPr>
                <w:rFonts w:eastAsia="Calibri" w:cs="Arial"/>
                <w:bCs/>
              </w:rPr>
            </w:pPr>
            <w:r w:rsidRPr="003272C7">
              <w:rPr>
                <w:rFonts w:cs="Arial"/>
              </w:rPr>
              <w:t xml:space="preserve">Compliance with statutory obligations were fully achieved with annual assessments of Victoria’s compliance with the cap on water diversions (schedule E of the </w:t>
            </w:r>
            <w:r w:rsidR="003F799C" w:rsidRPr="003272C7">
              <w:rPr>
                <w:rFonts w:cs="Arial"/>
                <w:i/>
                <w:iCs/>
              </w:rPr>
              <w:t xml:space="preserve">Murray-Darling Basin </w:t>
            </w:r>
            <w:r w:rsidRPr="003272C7">
              <w:rPr>
                <w:rFonts w:cs="Arial"/>
                <w:i/>
                <w:iCs/>
              </w:rPr>
              <w:t>Agreement</w:t>
            </w:r>
            <w:r w:rsidRPr="003272C7">
              <w:rPr>
                <w:rFonts w:cs="Arial"/>
              </w:rPr>
              <w:t>) and sustainable diversion limit (</w:t>
            </w:r>
            <w:r w:rsidR="003F799C" w:rsidRPr="003272C7">
              <w:rPr>
                <w:rFonts w:cs="Arial"/>
              </w:rPr>
              <w:t>s</w:t>
            </w:r>
            <w:r w:rsidRPr="003272C7">
              <w:rPr>
                <w:rFonts w:cs="Arial"/>
              </w:rPr>
              <w:t xml:space="preserve">ection 71 of </w:t>
            </w:r>
            <w:r w:rsidRPr="003272C7">
              <w:rPr>
                <w:rFonts w:cs="Arial"/>
                <w:i/>
                <w:iCs/>
              </w:rPr>
              <w:t>Water Act 2007</w:t>
            </w:r>
            <w:r w:rsidR="003F799C" w:rsidRPr="003272C7">
              <w:rPr>
                <w:rFonts w:cs="Arial"/>
                <w:i/>
                <w:iCs/>
              </w:rPr>
              <w:t xml:space="preserve"> </w:t>
            </w:r>
            <w:r w:rsidR="003F799C" w:rsidRPr="003272C7">
              <w:rPr>
                <w:rFonts w:cs="Arial"/>
              </w:rPr>
              <w:t>(Commonwealth)</w:t>
            </w:r>
            <w:r w:rsidRPr="003272C7">
              <w:rPr>
                <w:rFonts w:cs="Arial"/>
              </w:rPr>
              <w:t>) completed each year as required.</w:t>
            </w:r>
          </w:p>
        </w:tc>
      </w:tr>
      <w:tr w:rsidR="00B242C3" w:rsidRPr="003272C7" w14:paraId="7082104E" w14:textId="77777777" w:rsidTr="00DD1CB2">
        <w:trPr>
          <w:trHeight w:val="259"/>
        </w:trPr>
        <w:tc>
          <w:tcPr>
            <w:tcW w:w="979" w:type="pct"/>
            <w:shd w:val="clear" w:color="auto" w:fill="231EDC" w:themeFill="accent1"/>
          </w:tcPr>
          <w:p w14:paraId="69C3417F" w14:textId="77777777" w:rsidR="00B242C3" w:rsidRPr="003272C7" w:rsidRDefault="00B242C3" w:rsidP="00C06DED">
            <w:pPr>
              <w:pStyle w:val="TableText"/>
              <w:rPr>
                <w:rFonts w:cs="Arial"/>
                <w:b/>
                <w:bCs/>
                <w:szCs w:val="18"/>
              </w:rPr>
            </w:pPr>
            <w:r w:rsidRPr="003272C7">
              <w:rPr>
                <w:rFonts w:cs="Arial"/>
                <w:b/>
                <w:bCs/>
                <w:szCs w:val="18"/>
              </w:rPr>
              <w:lastRenderedPageBreak/>
              <w:t>Effectiveness</w:t>
            </w:r>
          </w:p>
        </w:tc>
        <w:tc>
          <w:tcPr>
            <w:tcW w:w="4021" w:type="pct"/>
          </w:tcPr>
          <w:p w14:paraId="64944AAB" w14:textId="7A616AB4" w:rsidR="00B242C3" w:rsidRPr="003272C7" w:rsidRDefault="00B242C3" w:rsidP="00A77584">
            <w:pPr>
              <w:pStyle w:val="TableBullet"/>
              <w:rPr>
                <w:rFonts w:cs="Arial"/>
              </w:rPr>
            </w:pPr>
            <w:r w:rsidRPr="003272C7">
              <w:rPr>
                <w:rFonts w:cs="Arial"/>
              </w:rPr>
              <w:t xml:space="preserve">Stakeholders </w:t>
            </w:r>
            <w:r w:rsidR="00150927" w:rsidRPr="003272C7">
              <w:rPr>
                <w:rFonts w:cs="Arial"/>
              </w:rPr>
              <w:t>within Victoria</w:t>
            </w:r>
            <w:r w:rsidRPr="003272C7">
              <w:rPr>
                <w:rFonts w:cs="Arial"/>
              </w:rPr>
              <w:t xml:space="preserve"> continued to experience benefits of collaboration including efficiencies from pooling resources for model development and maintenance, a reduction in duplication of work, development of a shared understanding of how the</w:t>
            </w:r>
            <w:r w:rsidR="00380C2F" w:rsidRPr="003272C7">
              <w:rPr>
                <w:rFonts w:cs="Arial"/>
              </w:rPr>
              <w:t>y do</w:t>
            </w:r>
            <w:r w:rsidRPr="003272C7">
              <w:rPr>
                <w:rFonts w:cs="Arial"/>
              </w:rPr>
              <w:t xml:space="preserve"> and should work, development of consistent model assumptions and sharing outputs to be used as inputs in other model</w:t>
            </w:r>
            <w:r w:rsidR="00125FAF" w:rsidRPr="003272C7">
              <w:rPr>
                <w:rFonts w:cs="Arial"/>
              </w:rPr>
              <w:t>s.</w:t>
            </w:r>
          </w:p>
          <w:p w14:paraId="280164E1" w14:textId="77777777" w:rsidR="00B242C3" w:rsidRPr="003272C7" w:rsidRDefault="00B242C3" w:rsidP="00A77584">
            <w:pPr>
              <w:pStyle w:val="TableBullet"/>
              <w:rPr>
                <w:rFonts w:cs="Arial"/>
              </w:rPr>
            </w:pPr>
            <w:r w:rsidRPr="003272C7">
              <w:rPr>
                <w:rFonts w:cs="Arial"/>
              </w:rPr>
              <w:t>This supported overcoming resource and capability constraints for some organisations, such as water corporations and CMAs, that do not currently have in-house Source capability.</w:t>
            </w:r>
          </w:p>
          <w:p w14:paraId="4E73FEC9" w14:textId="244053F6" w:rsidR="00B242C3" w:rsidRPr="003272C7" w:rsidRDefault="00B242C3" w:rsidP="00A77584">
            <w:pPr>
              <w:pStyle w:val="TableBullet"/>
              <w:rPr>
                <w:rFonts w:cs="Arial"/>
              </w:rPr>
            </w:pPr>
            <w:r w:rsidRPr="003272C7">
              <w:rPr>
                <w:rFonts w:cs="Arial"/>
              </w:rPr>
              <w:t xml:space="preserve">Effective delivery </w:t>
            </w:r>
            <w:r w:rsidR="00125FAF" w:rsidRPr="003272C7">
              <w:rPr>
                <w:rFonts w:cs="Arial"/>
              </w:rPr>
              <w:t>was supported by</w:t>
            </w:r>
            <w:r w:rsidRPr="003272C7">
              <w:rPr>
                <w:rFonts w:cs="Arial"/>
              </w:rPr>
              <w:t xml:space="preserve"> preparing and following a clear workplan to guide </w:t>
            </w:r>
            <w:r w:rsidR="003F799C" w:rsidRPr="003272C7">
              <w:rPr>
                <w:rFonts w:cs="Arial"/>
              </w:rPr>
              <w:t>s</w:t>
            </w:r>
            <w:r w:rsidRPr="003272C7">
              <w:rPr>
                <w:rFonts w:cs="Arial"/>
              </w:rPr>
              <w:t xml:space="preserve">trategy delivery; preparing and following a process for prioritising requests for support; progressing arrangements to enable model sharing and collaboration within Victoria and engaging in conversations on a </w:t>
            </w:r>
            <w:r w:rsidR="003F799C" w:rsidRPr="003272C7">
              <w:rPr>
                <w:rFonts w:cs="Arial"/>
              </w:rPr>
              <w:t xml:space="preserve">Murray-Darling </w:t>
            </w:r>
            <w:r w:rsidRPr="003272C7">
              <w:rPr>
                <w:rFonts w:cs="Arial"/>
              </w:rPr>
              <w:t>Basin-wide approach; and facilitated capability-building and knowledge sharing within Victoria.</w:t>
            </w:r>
          </w:p>
          <w:p w14:paraId="5887E5A7" w14:textId="23E9E43F" w:rsidR="00B242C3" w:rsidRPr="003272C7" w:rsidRDefault="00150927" w:rsidP="00A77584">
            <w:pPr>
              <w:pStyle w:val="TableBullet"/>
              <w:rPr>
                <w:rFonts w:cs="Arial"/>
              </w:rPr>
            </w:pPr>
            <w:r w:rsidRPr="003272C7">
              <w:rPr>
                <w:rFonts w:cs="Arial"/>
              </w:rPr>
              <w:t>Resourcing challenges, particularly attracting and retaining specialised skilled staff, have increased both within Victoria and nationally. Resourcing constraints have limited the speed at which model software can be improved</w:t>
            </w:r>
            <w:r w:rsidR="00017D8F" w:rsidRPr="003272C7">
              <w:rPr>
                <w:rFonts w:cs="Arial"/>
              </w:rPr>
              <w:t>.</w:t>
            </w:r>
          </w:p>
        </w:tc>
      </w:tr>
      <w:tr w:rsidR="00B242C3" w:rsidRPr="003272C7" w14:paraId="77CBDFA2" w14:textId="77777777" w:rsidTr="00DD1CB2">
        <w:trPr>
          <w:trHeight w:val="259"/>
        </w:trPr>
        <w:tc>
          <w:tcPr>
            <w:tcW w:w="979" w:type="pct"/>
            <w:shd w:val="clear" w:color="auto" w:fill="231EDC" w:themeFill="accent1"/>
          </w:tcPr>
          <w:p w14:paraId="48B87BF8" w14:textId="77777777" w:rsidR="00B242C3" w:rsidRPr="003272C7" w:rsidRDefault="00B242C3" w:rsidP="00C06DED">
            <w:pPr>
              <w:pStyle w:val="TableText"/>
              <w:rPr>
                <w:rFonts w:cs="Arial"/>
                <w:b/>
                <w:bCs/>
                <w:szCs w:val="18"/>
              </w:rPr>
            </w:pPr>
            <w:r w:rsidRPr="003272C7">
              <w:rPr>
                <w:rFonts w:cs="Arial"/>
                <w:b/>
                <w:bCs/>
                <w:szCs w:val="18"/>
              </w:rPr>
              <w:t>Appropriateness</w:t>
            </w:r>
          </w:p>
        </w:tc>
        <w:tc>
          <w:tcPr>
            <w:tcW w:w="4021" w:type="pct"/>
          </w:tcPr>
          <w:p w14:paraId="6878A7D7" w14:textId="6B93749F" w:rsidR="00B242C3" w:rsidRPr="003272C7" w:rsidRDefault="00B242C3" w:rsidP="00A77584">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investment was effectively targeted to ensure that Victoria met legislative obligations and delivered on strategic priorities.</w:t>
            </w:r>
          </w:p>
        </w:tc>
      </w:tr>
      <w:tr w:rsidR="00B242C3" w:rsidRPr="003272C7" w14:paraId="6342EA14" w14:textId="77777777" w:rsidTr="00DD1CB2">
        <w:trPr>
          <w:trHeight w:val="259"/>
        </w:trPr>
        <w:tc>
          <w:tcPr>
            <w:tcW w:w="979" w:type="pct"/>
            <w:shd w:val="clear" w:color="auto" w:fill="231EDC" w:themeFill="accent1"/>
          </w:tcPr>
          <w:p w14:paraId="634F45B5" w14:textId="77777777" w:rsidR="00B242C3" w:rsidRPr="003272C7" w:rsidRDefault="00B242C3" w:rsidP="00C06DED">
            <w:pPr>
              <w:pStyle w:val="TableText"/>
              <w:rPr>
                <w:rFonts w:cs="Arial"/>
                <w:b/>
                <w:bCs/>
                <w:szCs w:val="18"/>
              </w:rPr>
            </w:pPr>
            <w:r w:rsidRPr="003272C7">
              <w:rPr>
                <w:rFonts w:cs="Arial"/>
                <w:b/>
                <w:bCs/>
                <w:szCs w:val="18"/>
              </w:rPr>
              <w:t>Efficiency</w:t>
            </w:r>
          </w:p>
        </w:tc>
        <w:tc>
          <w:tcPr>
            <w:tcW w:w="4021" w:type="pct"/>
          </w:tcPr>
          <w:p w14:paraId="73321455" w14:textId="77777777" w:rsidR="00B242C3" w:rsidRPr="003272C7" w:rsidRDefault="00B242C3" w:rsidP="00A77584">
            <w:pPr>
              <w:pStyle w:val="TableBullet"/>
              <w:rPr>
                <w:rFonts w:cs="Arial"/>
              </w:rPr>
            </w:pPr>
            <w:r w:rsidRPr="003272C7">
              <w:rPr>
                <w:rFonts w:cs="Arial"/>
              </w:rPr>
              <w:t>Expenditure aligns with the budget.</w:t>
            </w:r>
          </w:p>
        </w:tc>
      </w:tr>
      <w:tr w:rsidR="00B242C3" w:rsidRPr="003272C7" w14:paraId="35D3252B" w14:textId="77777777" w:rsidTr="00DD1CB2">
        <w:trPr>
          <w:trHeight w:val="259"/>
        </w:trPr>
        <w:tc>
          <w:tcPr>
            <w:tcW w:w="979" w:type="pct"/>
            <w:shd w:val="clear" w:color="auto" w:fill="231EDC" w:themeFill="accent1"/>
          </w:tcPr>
          <w:p w14:paraId="191ADC02" w14:textId="77777777" w:rsidR="00B242C3" w:rsidRPr="003272C7" w:rsidRDefault="00B242C3" w:rsidP="00C06DED">
            <w:pPr>
              <w:pStyle w:val="TableText"/>
              <w:rPr>
                <w:rFonts w:cs="Arial"/>
                <w:b/>
                <w:bCs/>
                <w:szCs w:val="18"/>
              </w:rPr>
            </w:pPr>
            <w:r w:rsidRPr="003272C7">
              <w:rPr>
                <w:rFonts w:cs="Arial"/>
                <w:b/>
                <w:bCs/>
                <w:szCs w:val="18"/>
              </w:rPr>
              <w:t>Legacy</w:t>
            </w:r>
          </w:p>
        </w:tc>
        <w:tc>
          <w:tcPr>
            <w:tcW w:w="4021" w:type="pct"/>
          </w:tcPr>
          <w:p w14:paraId="3676EAEE" w14:textId="77777777" w:rsidR="00B242C3" w:rsidRPr="003272C7" w:rsidRDefault="00B242C3" w:rsidP="00A77584">
            <w:pPr>
              <w:pStyle w:val="TableBullet"/>
              <w:rPr>
                <w:rFonts w:cs="Arial"/>
              </w:rPr>
            </w:pPr>
            <w:r w:rsidRPr="003272C7">
              <w:rPr>
                <w:rFonts w:cs="Arial"/>
              </w:rPr>
              <w:t>EC5 investment has contributed to development of next generation tools and capability that will be used to inform decisions relating to water policy, planning, management, compliance, accounting, markets and forecasting over the coming years.</w:t>
            </w:r>
          </w:p>
          <w:p w14:paraId="0B1F7AC4" w14:textId="5602D155" w:rsidR="00B242C3" w:rsidRPr="003272C7" w:rsidRDefault="00B242C3" w:rsidP="00A77584">
            <w:pPr>
              <w:pStyle w:val="TableBullet"/>
              <w:rPr>
                <w:rFonts w:cs="Arial"/>
              </w:rPr>
            </w:pPr>
            <w:r w:rsidRPr="003272C7">
              <w:rPr>
                <w:rFonts w:cs="Arial"/>
              </w:rPr>
              <w:t xml:space="preserve">All major Victorian surface water resource systems models </w:t>
            </w:r>
            <w:r w:rsidR="00017D8F" w:rsidRPr="003272C7">
              <w:rPr>
                <w:rFonts w:cs="Arial"/>
              </w:rPr>
              <w:t xml:space="preserve">were </w:t>
            </w:r>
            <w:r w:rsidRPr="003272C7">
              <w:rPr>
                <w:rFonts w:cs="Arial"/>
              </w:rPr>
              <w:t>transitioned from REALM to Source platform with required collaboration and co-operation with portfolio agencies (</w:t>
            </w:r>
            <w:r w:rsidR="00017D8F" w:rsidRPr="003272C7">
              <w:rPr>
                <w:rFonts w:cs="Arial"/>
              </w:rPr>
              <w:t>w</w:t>
            </w:r>
            <w:r w:rsidRPr="003272C7">
              <w:rPr>
                <w:rFonts w:cs="Arial"/>
              </w:rPr>
              <w:t xml:space="preserve">ater and </w:t>
            </w:r>
            <w:r w:rsidR="0028560E" w:rsidRPr="003272C7">
              <w:rPr>
                <w:rFonts w:cs="Arial"/>
              </w:rPr>
              <w:t>c</w:t>
            </w:r>
            <w:r w:rsidRPr="003272C7">
              <w:rPr>
                <w:rFonts w:cs="Arial"/>
              </w:rPr>
              <w:t xml:space="preserve">atchment </w:t>
            </w:r>
            <w:r w:rsidR="0028560E" w:rsidRPr="003272C7">
              <w:rPr>
                <w:rFonts w:cs="Arial"/>
              </w:rPr>
              <w:t>m</w:t>
            </w:r>
            <w:r w:rsidRPr="003272C7">
              <w:rPr>
                <w:rFonts w:cs="Arial"/>
              </w:rPr>
              <w:t xml:space="preserve">anagement </w:t>
            </w:r>
            <w:r w:rsidR="0028560E" w:rsidRPr="003272C7">
              <w:rPr>
                <w:rFonts w:cs="Arial"/>
              </w:rPr>
              <w:t>a</w:t>
            </w:r>
            <w:r w:rsidRPr="003272C7">
              <w:rPr>
                <w:rFonts w:cs="Arial"/>
              </w:rPr>
              <w:t xml:space="preserve">uthorities). These models </w:t>
            </w:r>
            <w:r w:rsidRPr="003272C7">
              <w:rPr>
                <w:rFonts w:cs="Arial"/>
              </w:rPr>
              <w:lastRenderedPageBreak/>
              <w:t xml:space="preserve">will be used to support and provide advice for Government’s and stakeholder </w:t>
            </w:r>
            <w:r w:rsidR="00445736" w:rsidRPr="003272C7">
              <w:rPr>
                <w:rFonts w:cs="Arial"/>
              </w:rPr>
              <w:t>project</w:t>
            </w:r>
            <w:r w:rsidRPr="003272C7">
              <w:rPr>
                <w:rFonts w:cs="Arial"/>
              </w:rPr>
              <w:t>s and investments over the coming decades.</w:t>
            </w:r>
          </w:p>
          <w:p w14:paraId="51B55D8F" w14:textId="3207B44F" w:rsidR="00B242C3" w:rsidRPr="003272C7" w:rsidRDefault="00B242C3" w:rsidP="00A77584">
            <w:pPr>
              <w:pStyle w:val="TableBullet"/>
              <w:rPr>
                <w:rFonts w:cs="Arial"/>
              </w:rPr>
            </w:pPr>
            <w:r w:rsidRPr="003272C7">
              <w:rPr>
                <w:rFonts w:cs="Arial"/>
              </w:rPr>
              <w:t xml:space="preserve">The Victorian Hydrological Modelling Group </w:t>
            </w:r>
            <w:r w:rsidR="0028560E" w:rsidRPr="003272C7">
              <w:rPr>
                <w:rFonts w:cs="Arial"/>
              </w:rPr>
              <w:t xml:space="preserve">is </w:t>
            </w:r>
            <w:r w:rsidRPr="003272C7">
              <w:rPr>
                <w:rFonts w:cs="Arial"/>
              </w:rPr>
              <w:t>compris</w:t>
            </w:r>
            <w:r w:rsidR="0028560E" w:rsidRPr="003272C7">
              <w:rPr>
                <w:rFonts w:cs="Arial"/>
              </w:rPr>
              <w:t>ed</w:t>
            </w:r>
            <w:r w:rsidRPr="003272C7">
              <w:rPr>
                <w:rFonts w:cs="Arial"/>
              </w:rPr>
              <w:t xml:space="preserve"> of modelling practitioners and water resource managers from DEECA, water corporations, </w:t>
            </w:r>
            <w:r w:rsidR="00247AFD" w:rsidRPr="003272C7">
              <w:rPr>
                <w:rFonts w:cs="Arial"/>
              </w:rPr>
              <w:t>CMAs</w:t>
            </w:r>
            <w:r w:rsidRPr="003272C7">
              <w:rPr>
                <w:rFonts w:cs="Arial"/>
              </w:rPr>
              <w:t xml:space="preserve"> and consultants. The group meets regularly to share knowledge and build capability and develop networks. This has resulted in </w:t>
            </w:r>
            <w:r w:rsidR="0028560E" w:rsidRPr="003272C7">
              <w:rPr>
                <w:rFonts w:cs="Arial"/>
              </w:rPr>
              <w:t>the</w:t>
            </w:r>
            <w:r w:rsidRPr="003272C7">
              <w:rPr>
                <w:rFonts w:cs="Arial"/>
              </w:rPr>
              <w:t xml:space="preserve"> efficient development and maintenance of Source models with stakeholders contributing time to provide data and advice without cost to DEECA and allowed for the new Source models to be applied (over 15 projects supported to date) to deliver return on investment. This is expected to</w:t>
            </w:r>
            <w:r w:rsidR="00967C05" w:rsidRPr="003272C7">
              <w:rPr>
                <w:rFonts w:cs="Arial"/>
              </w:rPr>
              <w:t> </w:t>
            </w:r>
            <w:r w:rsidRPr="003272C7">
              <w:rPr>
                <w:rFonts w:cs="Arial"/>
              </w:rPr>
              <w:t>continue.</w:t>
            </w:r>
          </w:p>
        </w:tc>
      </w:tr>
      <w:tr w:rsidR="00B242C3" w:rsidRPr="003272C7" w14:paraId="7B4FC689" w14:textId="77777777" w:rsidTr="00DD1CB2">
        <w:trPr>
          <w:trHeight w:val="259"/>
        </w:trPr>
        <w:tc>
          <w:tcPr>
            <w:tcW w:w="979" w:type="pct"/>
            <w:shd w:val="clear" w:color="auto" w:fill="231EDC" w:themeFill="accent1"/>
          </w:tcPr>
          <w:p w14:paraId="0045C3E2" w14:textId="77777777" w:rsidR="00B242C3" w:rsidRPr="003272C7" w:rsidRDefault="00B242C3" w:rsidP="00C06DED">
            <w:pPr>
              <w:pStyle w:val="TableText"/>
              <w:rPr>
                <w:rFonts w:cs="Arial"/>
                <w:b/>
                <w:bCs/>
                <w:szCs w:val="18"/>
              </w:rPr>
            </w:pPr>
            <w:r w:rsidRPr="003272C7">
              <w:rPr>
                <w:rFonts w:cs="Arial"/>
                <w:b/>
                <w:bCs/>
                <w:szCs w:val="18"/>
              </w:rPr>
              <w:lastRenderedPageBreak/>
              <w:t>Future priorities</w:t>
            </w:r>
          </w:p>
        </w:tc>
        <w:tc>
          <w:tcPr>
            <w:tcW w:w="4021" w:type="pct"/>
          </w:tcPr>
          <w:p w14:paraId="0F785FBD" w14:textId="6AB60F77" w:rsidR="00B242C3" w:rsidRPr="003272C7" w:rsidRDefault="00B242C3" w:rsidP="007D69DB">
            <w:pPr>
              <w:pStyle w:val="TableText"/>
              <w:keepNext/>
              <w:keepLines/>
              <w:rPr>
                <w:rFonts w:cs="Arial"/>
              </w:rPr>
            </w:pPr>
            <w:r w:rsidRPr="003272C7">
              <w:rPr>
                <w:rFonts w:cs="Arial"/>
              </w:rPr>
              <w:t xml:space="preserve">The </w:t>
            </w:r>
            <w:r w:rsidR="00445736" w:rsidRPr="003272C7">
              <w:rPr>
                <w:rFonts w:cs="Arial"/>
              </w:rPr>
              <w:t>project</w:t>
            </w:r>
            <w:r w:rsidRPr="003272C7">
              <w:rPr>
                <w:rFonts w:cs="Arial"/>
              </w:rPr>
              <w:t xml:space="preserve"> provided a range of functions, which continue to be important for the ongoing management of water resources. The drivers that had informed the </w:t>
            </w:r>
            <w:r w:rsidR="00445736" w:rsidRPr="003272C7">
              <w:rPr>
                <w:rFonts w:cs="Arial"/>
              </w:rPr>
              <w:t>project</w:t>
            </w:r>
            <w:r w:rsidRPr="003272C7">
              <w:rPr>
                <w:rFonts w:cs="Arial"/>
              </w:rPr>
              <w:t xml:space="preserve"> remain today, and, if anything, have become even more pressing. </w:t>
            </w:r>
            <w:r w:rsidR="00CC622A" w:rsidRPr="003272C7">
              <w:rPr>
                <w:rFonts w:cs="Arial"/>
              </w:rPr>
              <w:t>The need to ensure best available knowledge to inform policy and management decisions continues, with</w:t>
            </w:r>
            <w:r w:rsidR="00247AFD" w:rsidRPr="003272C7">
              <w:rPr>
                <w:rFonts w:cs="Arial"/>
              </w:rPr>
              <w:t xml:space="preserve"> </w:t>
            </w:r>
            <w:r w:rsidRPr="003272C7">
              <w:rPr>
                <w:rFonts w:cs="Arial"/>
              </w:rPr>
              <w:t>drivers include:</w:t>
            </w:r>
          </w:p>
          <w:p w14:paraId="5624802D" w14:textId="77777777" w:rsidR="00142559" w:rsidRPr="003272C7" w:rsidRDefault="005A6B84" w:rsidP="00A77584">
            <w:pPr>
              <w:pStyle w:val="TableBullet"/>
              <w:rPr>
                <w:rFonts w:cs="Arial"/>
              </w:rPr>
            </w:pPr>
            <w:r w:rsidRPr="003272C7">
              <w:rPr>
                <w:rFonts w:cs="Arial"/>
              </w:rPr>
              <w:t>T</w:t>
            </w:r>
            <w:r w:rsidR="00B242C3" w:rsidRPr="003272C7">
              <w:rPr>
                <w:rFonts w:cs="Arial"/>
              </w:rPr>
              <w:t>he value of water is increasing as it is essential for our economy, communities and</w:t>
            </w:r>
            <w:r w:rsidR="00A77584" w:rsidRPr="003272C7">
              <w:rPr>
                <w:rFonts w:cs="Arial"/>
              </w:rPr>
              <w:t> </w:t>
            </w:r>
            <w:r w:rsidR="00B242C3" w:rsidRPr="003272C7">
              <w:rPr>
                <w:rFonts w:cs="Arial"/>
              </w:rPr>
              <w:t>environment.</w:t>
            </w:r>
          </w:p>
          <w:p w14:paraId="768B2C58" w14:textId="3B5C11D2" w:rsidR="00B242C3" w:rsidRPr="003272C7" w:rsidRDefault="005A6B84" w:rsidP="00A77584">
            <w:pPr>
              <w:pStyle w:val="TableBullet"/>
              <w:rPr>
                <w:rFonts w:cs="Arial"/>
              </w:rPr>
            </w:pPr>
            <w:r w:rsidRPr="003272C7">
              <w:rPr>
                <w:rFonts w:cs="Arial"/>
              </w:rPr>
              <w:t>T</w:t>
            </w:r>
            <w:r w:rsidR="00B242C3" w:rsidRPr="003272C7">
              <w:rPr>
                <w:rFonts w:cs="Arial"/>
              </w:rPr>
              <w:t>he demands on water resource management are evolving and increasing in complexity as climate change and population growth increase pressure on water</w:t>
            </w:r>
            <w:r w:rsidR="00A77584" w:rsidRPr="003272C7">
              <w:rPr>
                <w:rFonts w:cs="Arial"/>
              </w:rPr>
              <w:t> </w:t>
            </w:r>
            <w:r w:rsidR="00B242C3" w:rsidRPr="003272C7">
              <w:rPr>
                <w:rFonts w:cs="Arial"/>
              </w:rPr>
              <w:t>resources</w:t>
            </w:r>
            <w:r w:rsidRPr="003272C7">
              <w:rPr>
                <w:rFonts w:cs="Arial"/>
              </w:rPr>
              <w:t>.</w:t>
            </w:r>
          </w:p>
          <w:p w14:paraId="07C4A332" w14:textId="166F8023" w:rsidR="00B242C3" w:rsidRPr="003272C7" w:rsidRDefault="005A6B84" w:rsidP="00A77584">
            <w:pPr>
              <w:pStyle w:val="TableBullet"/>
              <w:rPr>
                <w:rFonts w:cs="Arial"/>
                <w:i/>
                <w:iCs/>
                <w:lang w:eastAsia="en-AU"/>
              </w:rPr>
            </w:pPr>
            <w:r w:rsidRPr="003272C7">
              <w:rPr>
                <w:rFonts w:cs="Arial"/>
              </w:rPr>
              <w:t>B</w:t>
            </w:r>
            <w:r w:rsidR="00B242C3" w:rsidRPr="003272C7">
              <w:rPr>
                <w:rFonts w:cs="Arial"/>
              </w:rPr>
              <w:t>est</w:t>
            </w:r>
            <w:r w:rsidR="00CC622A" w:rsidRPr="003272C7">
              <w:rPr>
                <w:rFonts w:cs="Arial"/>
              </w:rPr>
              <w:t>-</w:t>
            </w:r>
            <w:r w:rsidR="00B242C3" w:rsidRPr="003272C7">
              <w:rPr>
                <w:rFonts w:cs="Arial"/>
              </w:rPr>
              <w:t>practice water resource modelling and IT standards for software are evolving and modelling needs to be efficient and responsive to meet the growing needs of water and natural resource management.</w:t>
            </w:r>
          </w:p>
          <w:p w14:paraId="54311DC4" w14:textId="7834F355" w:rsidR="00B242C3" w:rsidRPr="003272C7" w:rsidRDefault="00422B1B" w:rsidP="003B1BEB">
            <w:pPr>
              <w:pStyle w:val="TableBullet"/>
              <w:rPr>
                <w:rFonts w:cs="Arial"/>
              </w:rPr>
            </w:pPr>
            <w:r w:rsidRPr="003272C7">
              <w:rPr>
                <w:rFonts w:cs="Arial"/>
              </w:rPr>
              <w:t>Continue to develop model-sharing arrangements for Victoria (through the model management system), and actively engage with the MDBA on their</w:t>
            </w:r>
            <w:r w:rsidR="005A6B84" w:rsidRPr="003272C7">
              <w:rPr>
                <w:rFonts w:cs="Arial"/>
              </w:rPr>
              <w:t xml:space="preserve"> Murray-Darling </w:t>
            </w:r>
            <w:r w:rsidRPr="003272C7">
              <w:rPr>
                <w:rFonts w:cs="Arial"/>
              </w:rPr>
              <w:t>Basin-wide model sharing approach (the Integrated River Modelling Uplift Program) to increase consistency and efficiency through easier sharing of models, assumptions and outputs. </w:t>
            </w:r>
          </w:p>
        </w:tc>
      </w:tr>
    </w:tbl>
    <w:p w14:paraId="3E8069E9" w14:textId="77777777" w:rsidR="00B242C3" w:rsidRPr="003272C7" w:rsidRDefault="00B242C3" w:rsidP="00B242C3">
      <w:pPr>
        <w:pStyle w:val="Heading2"/>
        <w:rPr>
          <w:rFonts w:cs="Arial"/>
        </w:rPr>
      </w:pPr>
      <w:bookmarkStart w:id="37" w:name="_Toc147410785"/>
      <w:bookmarkStart w:id="38" w:name="_Toc183777793"/>
      <w:bookmarkStart w:id="39" w:name="_Hlk148358712"/>
      <w:r w:rsidRPr="003272C7">
        <w:rPr>
          <w:rFonts w:cs="Arial"/>
        </w:rPr>
        <w:t xml:space="preserve">WRS12 Long-Term Water Resource Assessment </w:t>
      </w:r>
      <w:bookmarkStart w:id="40" w:name="_Hlk148356365"/>
      <w:r w:rsidRPr="003272C7">
        <w:rPr>
          <w:rFonts w:cs="Arial"/>
        </w:rPr>
        <w:t>and Addressing the impacts of mining and extractive industries</w:t>
      </w:r>
      <w:bookmarkEnd w:id="37"/>
      <w:bookmarkEnd w:id="38"/>
      <w:bookmarkEnd w:id="4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1CA3749A" w14:textId="77777777" w:rsidTr="00DD1CB2">
        <w:trPr>
          <w:trHeight w:val="395"/>
        </w:trPr>
        <w:tc>
          <w:tcPr>
            <w:tcW w:w="979" w:type="pct"/>
            <w:shd w:val="clear" w:color="auto" w:fill="231EDC" w:themeFill="accent1"/>
          </w:tcPr>
          <w:bookmarkEnd w:id="39"/>
          <w:p w14:paraId="5F6BD819" w14:textId="0457C549" w:rsidR="00B242C3" w:rsidRPr="003272C7" w:rsidRDefault="00C412A9" w:rsidP="003B1BEB">
            <w:pPr>
              <w:pStyle w:val="TableHeading"/>
              <w:rPr>
                <w:rFonts w:cs="Arial"/>
              </w:rPr>
            </w:pPr>
            <w:r w:rsidRPr="003272C7">
              <w:rPr>
                <w:rFonts w:cs="Arial"/>
              </w:rPr>
              <w:t>Initiative</w:t>
            </w:r>
          </w:p>
        </w:tc>
        <w:tc>
          <w:tcPr>
            <w:tcW w:w="4021" w:type="pct"/>
            <w:shd w:val="clear" w:color="auto" w:fill="231EDC" w:themeFill="accent1"/>
          </w:tcPr>
          <w:p w14:paraId="474E29B9" w14:textId="77777777" w:rsidR="00B242C3" w:rsidRPr="003272C7" w:rsidRDefault="00B242C3" w:rsidP="003B1BEB">
            <w:pPr>
              <w:pStyle w:val="TableHeading"/>
              <w:rPr>
                <w:rFonts w:cs="Arial"/>
              </w:rPr>
            </w:pPr>
            <w:r w:rsidRPr="003272C7">
              <w:rPr>
                <w:rFonts w:cs="Arial"/>
              </w:rPr>
              <w:t>4. The evidence base for Victorian water: availability and knowledge</w:t>
            </w:r>
          </w:p>
        </w:tc>
      </w:tr>
      <w:tr w:rsidR="00B242C3" w:rsidRPr="003272C7" w14:paraId="3DAF71AC" w14:textId="77777777" w:rsidTr="00DD1CB2">
        <w:trPr>
          <w:trHeight w:val="341"/>
        </w:trPr>
        <w:tc>
          <w:tcPr>
            <w:tcW w:w="979" w:type="pct"/>
            <w:shd w:val="clear" w:color="auto" w:fill="231EDC" w:themeFill="accent1"/>
          </w:tcPr>
          <w:p w14:paraId="45BCFBFB" w14:textId="77777777" w:rsidR="00B242C3" w:rsidRPr="003272C7" w:rsidRDefault="00B242C3" w:rsidP="003B1BEB">
            <w:pPr>
              <w:pStyle w:val="TableText"/>
              <w:rPr>
                <w:rFonts w:cs="Arial"/>
                <w:b/>
                <w:bCs/>
              </w:rPr>
            </w:pPr>
            <w:r w:rsidRPr="003272C7">
              <w:rPr>
                <w:rFonts w:cs="Arial"/>
                <w:b/>
                <w:bCs/>
              </w:rPr>
              <w:t>Project</w:t>
            </w:r>
          </w:p>
        </w:tc>
        <w:tc>
          <w:tcPr>
            <w:tcW w:w="4021" w:type="pct"/>
          </w:tcPr>
          <w:p w14:paraId="05558A83" w14:textId="74DC8151" w:rsidR="00B242C3" w:rsidRPr="003272C7" w:rsidRDefault="00B242C3" w:rsidP="003B1BEB">
            <w:pPr>
              <w:pStyle w:val="TableText"/>
              <w:rPr>
                <w:rFonts w:cs="Arial"/>
              </w:rPr>
            </w:pPr>
            <w:r w:rsidRPr="003272C7">
              <w:rPr>
                <w:rFonts w:cs="Arial"/>
              </w:rPr>
              <w:t xml:space="preserve">WRS12 Long-Term Water Resource Assessment and </w:t>
            </w:r>
            <w:r w:rsidR="00377323" w:rsidRPr="003272C7">
              <w:rPr>
                <w:rFonts w:cs="Arial"/>
              </w:rPr>
              <w:t>a</w:t>
            </w:r>
            <w:r w:rsidRPr="003272C7">
              <w:rPr>
                <w:rFonts w:cs="Arial"/>
              </w:rPr>
              <w:t>ddressing the impacts of mining and extractive industries</w:t>
            </w:r>
          </w:p>
        </w:tc>
      </w:tr>
      <w:tr w:rsidR="00B242C3" w:rsidRPr="003272C7" w14:paraId="3608DA7B" w14:textId="77777777" w:rsidTr="00DD1CB2">
        <w:trPr>
          <w:trHeight w:val="259"/>
        </w:trPr>
        <w:tc>
          <w:tcPr>
            <w:tcW w:w="979" w:type="pct"/>
            <w:shd w:val="clear" w:color="auto" w:fill="231EDC" w:themeFill="accent1"/>
          </w:tcPr>
          <w:p w14:paraId="0EA8A22A" w14:textId="77777777" w:rsidR="00B242C3" w:rsidRPr="003272C7" w:rsidRDefault="00B242C3" w:rsidP="003B1BEB">
            <w:pPr>
              <w:pStyle w:val="TableText"/>
              <w:rPr>
                <w:rFonts w:cs="Arial"/>
                <w:b/>
                <w:bCs/>
              </w:rPr>
            </w:pPr>
            <w:r w:rsidRPr="003272C7">
              <w:rPr>
                <w:rFonts w:cs="Arial"/>
                <w:b/>
                <w:bCs/>
              </w:rPr>
              <w:t>Description</w:t>
            </w:r>
          </w:p>
          <w:p w14:paraId="7661CE17" w14:textId="77777777" w:rsidR="00B242C3" w:rsidRPr="003272C7" w:rsidRDefault="00B242C3" w:rsidP="003B1BEB">
            <w:pPr>
              <w:pStyle w:val="TableText"/>
              <w:rPr>
                <w:rFonts w:cs="Arial"/>
                <w:b/>
                <w:bCs/>
              </w:rPr>
            </w:pPr>
          </w:p>
        </w:tc>
        <w:tc>
          <w:tcPr>
            <w:tcW w:w="4021" w:type="pct"/>
          </w:tcPr>
          <w:p w14:paraId="212C4856" w14:textId="493D6A06" w:rsidR="00B242C3" w:rsidRPr="003272C7" w:rsidRDefault="00B242C3" w:rsidP="003B1BEB">
            <w:pPr>
              <w:pStyle w:val="TableText"/>
              <w:rPr>
                <w:rFonts w:cs="Arial"/>
              </w:rPr>
            </w:pPr>
            <w:r w:rsidRPr="003272C7">
              <w:rPr>
                <w:rFonts w:cs="Arial"/>
                <w:b/>
                <w:bCs/>
              </w:rPr>
              <w:t>Long-Term Water Resource Assessment:</w:t>
            </w:r>
            <w:r w:rsidRPr="003272C7">
              <w:rPr>
                <w:rFonts w:cs="Arial"/>
              </w:rPr>
              <w:t xml:space="preserve"> A critical role of government is the security of water resources. Established under legislation in 2005, the Long-Term Water Resource Assessment </w:t>
            </w:r>
            <w:r w:rsidR="005A6B84" w:rsidRPr="003272C7">
              <w:rPr>
                <w:rFonts w:cs="Arial"/>
              </w:rPr>
              <w:t>(</w:t>
            </w:r>
            <w:r w:rsidRPr="003272C7">
              <w:rPr>
                <w:rFonts w:cs="Arial"/>
              </w:rPr>
              <w:t xml:space="preserve">LTWRA) is undertaken every </w:t>
            </w:r>
            <w:r w:rsidR="005A6B84" w:rsidRPr="003272C7">
              <w:rPr>
                <w:rFonts w:cs="Arial"/>
              </w:rPr>
              <w:t>15</w:t>
            </w:r>
            <w:r w:rsidRPr="003272C7">
              <w:rPr>
                <w:rFonts w:cs="Arial"/>
              </w:rPr>
              <w:t xml:space="preserve"> years. The first assessment for southern Victoria was completed in 2020 and found that long-term surface water availability had declined across the region by up to 21%. This reduction in water availability has been attributed to dryer conditions, with the interception of water by farm dams and plantations also being contributing factors.</w:t>
            </w:r>
          </w:p>
          <w:p w14:paraId="3ADFC802" w14:textId="02CEAE87" w:rsidR="00B242C3" w:rsidRPr="003272C7" w:rsidRDefault="00B242C3" w:rsidP="003B1BEB">
            <w:pPr>
              <w:pStyle w:val="TableText"/>
              <w:rPr>
                <w:rFonts w:cs="Arial"/>
              </w:rPr>
            </w:pPr>
            <w:r w:rsidRPr="003272C7">
              <w:rPr>
                <w:rFonts w:cs="Arial"/>
                <w:b/>
                <w:bCs/>
              </w:rPr>
              <w:t>Addressing the impacts of mining and extractive industries:</w:t>
            </w:r>
            <w:r w:rsidRPr="003272C7">
              <w:rPr>
                <w:rFonts w:cs="Arial"/>
              </w:rPr>
              <w:t xml:space="preserve"> This </w:t>
            </w:r>
            <w:r w:rsidR="00445736" w:rsidRPr="003272C7">
              <w:rPr>
                <w:rFonts w:cs="Arial"/>
              </w:rPr>
              <w:t>project</w:t>
            </w:r>
            <w:r w:rsidRPr="003272C7">
              <w:rPr>
                <w:rFonts w:cs="Arial"/>
              </w:rPr>
              <w:t xml:space="preserve"> has supported the team to assess progressive reviews of mine rehabilitation applications and has supported Water and Catchments Group contributions to the Hazelwood Environmental Effects Statement process with a representative sitting on the Technical Advisory Group. The </w:t>
            </w:r>
            <w:r w:rsidR="00445736" w:rsidRPr="003272C7">
              <w:rPr>
                <w:rFonts w:cs="Arial"/>
              </w:rPr>
              <w:t>project</w:t>
            </w:r>
            <w:r w:rsidRPr="003272C7">
              <w:rPr>
                <w:rFonts w:cs="Arial"/>
              </w:rPr>
              <w:t xml:space="preserve"> has also allowed the Water and Catchments Group to map out future requirements under the Commonwealth Environment Protection and Biodiversity Act 1999 environmental assessment process. This work is one part of the DEECA Water and Catchment’s Group broader work to ensure sustainable water management is considered in other sector’s activities and throughout the energy transition in Victoria.</w:t>
            </w:r>
          </w:p>
        </w:tc>
      </w:tr>
      <w:tr w:rsidR="00B242C3" w:rsidRPr="003272C7" w14:paraId="69BD5CF6" w14:textId="77777777" w:rsidTr="00DD1CB2">
        <w:trPr>
          <w:trHeight w:val="259"/>
        </w:trPr>
        <w:tc>
          <w:tcPr>
            <w:tcW w:w="979" w:type="pct"/>
            <w:shd w:val="clear" w:color="auto" w:fill="231EDC" w:themeFill="accent1"/>
          </w:tcPr>
          <w:p w14:paraId="0CB26DCA" w14:textId="77777777" w:rsidR="00B242C3" w:rsidRPr="003272C7" w:rsidRDefault="00B242C3" w:rsidP="003B1BEB">
            <w:pPr>
              <w:pStyle w:val="TableText"/>
              <w:rPr>
                <w:rFonts w:cs="Arial"/>
                <w:b/>
                <w:bCs/>
              </w:rPr>
            </w:pPr>
            <w:r w:rsidRPr="003272C7">
              <w:rPr>
                <w:rFonts w:cs="Arial"/>
                <w:b/>
                <w:bCs/>
              </w:rPr>
              <w:t>Outputs</w:t>
            </w:r>
          </w:p>
        </w:tc>
        <w:tc>
          <w:tcPr>
            <w:tcW w:w="4021" w:type="pct"/>
          </w:tcPr>
          <w:p w14:paraId="342A8E57" w14:textId="6C1289BC" w:rsidR="00B242C3" w:rsidRPr="003272C7" w:rsidRDefault="00B242C3" w:rsidP="003B1BEB">
            <w:pPr>
              <w:pStyle w:val="TableBullet"/>
              <w:rPr>
                <w:rFonts w:cs="Arial"/>
              </w:rPr>
            </w:pPr>
            <w:r w:rsidRPr="003272C7">
              <w:rPr>
                <w:rFonts w:cs="Arial"/>
              </w:rPr>
              <w:t xml:space="preserve">Developed </w:t>
            </w:r>
            <w:r w:rsidR="00377323" w:rsidRPr="003272C7">
              <w:rPr>
                <w:rFonts w:cs="Arial"/>
              </w:rPr>
              <w:t>the policy rationale and approach</w:t>
            </w:r>
            <w:r w:rsidRPr="003272C7">
              <w:rPr>
                <w:rFonts w:cs="Arial"/>
              </w:rPr>
              <w:t xml:space="preserve"> for the </w:t>
            </w:r>
            <w:r w:rsidR="00113FB5" w:rsidRPr="003272C7">
              <w:rPr>
                <w:rFonts w:cs="Arial"/>
              </w:rPr>
              <w:t>CGRSWS to provide the</w:t>
            </w:r>
            <w:r w:rsidRPr="003272C7">
              <w:rPr>
                <w:rFonts w:cs="Arial"/>
              </w:rPr>
              <w:t xml:space="preserve"> response to the LTWRA findings to support broader policy goals (Jun</w:t>
            </w:r>
            <w:r w:rsidR="005A6B84" w:rsidRPr="003272C7">
              <w:rPr>
                <w:rFonts w:cs="Arial"/>
              </w:rPr>
              <w:t>e</w:t>
            </w:r>
            <w:r w:rsidRPr="003272C7">
              <w:rPr>
                <w:rFonts w:cs="Arial"/>
              </w:rPr>
              <w:t xml:space="preserve"> 2021 for draft </w:t>
            </w:r>
            <w:r w:rsidR="005A6B84" w:rsidRPr="003272C7">
              <w:rPr>
                <w:rFonts w:cs="Arial"/>
              </w:rPr>
              <w:t>CGRSWS</w:t>
            </w:r>
            <w:r w:rsidRPr="003272C7">
              <w:rPr>
                <w:rFonts w:cs="Arial"/>
              </w:rPr>
              <w:t>).</w:t>
            </w:r>
          </w:p>
          <w:p w14:paraId="5FA35CAC" w14:textId="7F298DFD" w:rsidR="00B242C3" w:rsidRPr="003272C7" w:rsidRDefault="00B242C3" w:rsidP="003B1BEB">
            <w:pPr>
              <w:pStyle w:val="TableBullet"/>
              <w:rPr>
                <w:rFonts w:cs="Arial"/>
              </w:rPr>
            </w:pPr>
            <w:r w:rsidRPr="003272C7">
              <w:rPr>
                <w:rFonts w:cs="Arial"/>
              </w:rPr>
              <w:lastRenderedPageBreak/>
              <w:t>Preparation and publication of ‘Central and Gippsland Region Sustainable Water Strategy Discussion Draft Technical guide to figures’ (Oct</w:t>
            </w:r>
            <w:r w:rsidR="005A6B84" w:rsidRPr="003272C7">
              <w:rPr>
                <w:rFonts w:cs="Arial"/>
              </w:rPr>
              <w:t>ober</w:t>
            </w:r>
            <w:r w:rsidRPr="003272C7">
              <w:rPr>
                <w:rFonts w:cs="Arial"/>
              </w:rPr>
              <w:t xml:space="preserve"> 2021).</w:t>
            </w:r>
          </w:p>
          <w:p w14:paraId="19270DC0" w14:textId="1AF0D1AC" w:rsidR="00B242C3" w:rsidRPr="003272C7" w:rsidRDefault="00113FB5" w:rsidP="003B1BEB">
            <w:pPr>
              <w:pStyle w:val="TableBullet"/>
              <w:rPr>
                <w:rFonts w:cs="Arial"/>
              </w:rPr>
            </w:pPr>
            <w:r w:rsidRPr="003272C7">
              <w:rPr>
                <w:rFonts w:cs="Arial"/>
              </w:rPr>
              <w:t>Developed the technical evidence base and i</w:t>
            </w:r>
            <w:r w:rsidR="00B242C3" w:rsidRPr="003272C7">
              <w:rPr>
                <w:rFonts w:cs="Arial"/>
              </w:rPr>
              <w:t xml:space="preserve">nclusion of actions within the </w:t>
            </w:r>
            <w:r w:rsidR="005A6B84" w:rsidRPr="003272C7">
              <w:rPr>
                <w:rFonts w:cs="Arial"/>
              </w:rPr>
              <w:t xml:space="preserve">CGRSWS </w:t>
            </w:r>
            <w:r w:rsidR="00B242C3" w:rsidRPr="003272C7">
              <w:rPr>
                <w:rFonts w:cs="Arial"/>
              </w:rPr>
              <w:t>that address findings of LTWRA within broader policy context, including re-allocation of the Latrobe 3-4 Bench water entitlement.</w:t>
            </w:r>
          </w:p>
          <w:p w14:paraId="0CB226F5" w14:textId="77777777" w:rsidR="00142559" w:rsidRPr="003272C7" w:rsidRDefault="00B60E08" w:rsidP="003B1BEB">
            <w:pPr>
              <w:pStyle w:val="TableBullet"/>
              <w:rPr>
                <w:rFonts w:cs="Arial"/>
              </w:rPr>
            </w:pPr>
            <w:r w:rsidRPr="003272C7">
              <w:rPr>
                <w:rFonts w:cs="Arial"/>
              </w:rPr>
              <w:t>Proposed improvements to the methodology for the LTWRA in northern Victoria were identified through consultation with Water and Catchments Group stakeholders.</w:t>
            </w:r>
          </w:p>
          <w:p w14:paraId="6B91E4A1" w14:textId="0A94E216" w:rsidR="00B242C3" w:rsidRPr="003272C7" w:rsidRDefault="00B242C3" w:rsidP="003B1BEB">
            <w:pPr>
              <w:pStyle w:val="TableBullet"/>
              <w:rPr>
                <w:rFonts w:cs="Arial"/>
              </w:rPr>
            </w:pPr>
            <w:r w:rsidRPr="003272C7">
              <w:rPr>
                <w:rFonts w:cs="Arial"/>
              </w:rPr>
              <w:t>Preliminary method developed for the LTWRA in northern Victoria.</w:t>
            </w:r>
          </w:p>
          <w:p w14:paraId="7A11D015" w14:textId="77777777" w:rsidR="00142559" w:rsidRPr="003272C7" w:rsidRDefault="00B60E08" w:rsidP="003B1BEB">
            <w:pPr>
              <w:pStyle w:val="TableBullet"/>
              <w:rPr>
                <w:rFonts w:cs="Arial"/>
              </w:rPr>
            </w:pPr>
            <w:r w:rsidRPr="003272C7">
              <w:rPr>
                <w:rFonts w:cs="Arial"/>
              </w:rPr>
              <w:t>Supported Resources Victoria to review the Latrobe Valley Regional Rehabilitation Strategy and release the 2023 Latrobe Valley Regional Rehabilitation Strategy (LVRRS) Amendment.</w:t>
            </w:r>
          </w:p>
          <w:p w14:paraId="0A473B5F" w14:textId="291DDF72" w:rsidR="00B242C3" w:rsidRPr="003272C7" w:rsidRDefault="00B60E08" w:rsidP="003B1BEB">
            <w:pPr>
              <w:pStyle w:val="TableBullet"/>
              <w:rPr>
                <w:rFonts w:cs="Arial"/>
              </w:rPr>
            </w:pPr>
            <w:r w:rsidRPr="003272C7">
              <w:rPr>
                <w:rFonts w:cs="Arial"/>
              </w:rPr>
              <w:t xml:space="preserve">Release of technical reports and explanatory note to support the 2023 LVRRS Amendment (Explanatory note guidance to surface water access for Latrobe Valley mine rehabilitation, DEECA 2023) (Technical report Latrobe surface water access, DEECA 2023) </w:t>
            </w:r>
          </w:p>
        </w:tc>
      </w:tr>
      <w:tr w:rsidR="00B242C3" w:rsidRPr="003272C7" w14:paraId="58FABF78" w14:textId="77777777" w:rsidTr="00DD1CB2">
        <w:trPr>
          <w:trHeight w:val="259"/>
        </w:trPr>
        <w:tc>
          <w:tcPr>
            <w:tcW w:w="5000" w:type="pct"/>
            <w:gridSpan w:val="2"/>
            <w:shd w:val="clear" w:color="auto" w:fill="231EDC" w:themeFill="accent1"/>
          </w:tcPr>
          <w:p w14:paraId="20A44513" w14:textId="1424C23B" w:rsidR="00B242C3" w:rsidRPr="003272C7" w:rsidRDefault="00C51015" w:rsidP="003B1BEB">
            <w:pPr>
              <w:pStyle w:val="TableText"/>
              <w:rPr>
                <w:rFonts w:cs="Arial"/>
              </w:rPr>
            </w:pPr>
            <w:r w:rsidRPr="003272C7">
              <w:rPr>
                <w:rFonts w:cs="Arial"/>
                <w:b/>
                <w:bCs/>
                <w:szCs w:val="18"/>
              </w:rPr>
              <w:lastRenderedPageBreak/>
              <w:t>Summary against evaluation domains</w:t>
            </w:r>
          </w:p>
        </w:tc>
      </w:tr>
      <w:tr w:rsidR="00B242C3" w:rsidRPr="003272C7" w14:paraId="7BF93127" w14:textId="77777777" w:rsidTr="00DD1CB2">
        <w:trPr>
          <w:trHeight w:val="259"/>
        </w:trPr>
        <w:tc>
          <w:tcPr>
            <w:tcW w:w="979" w:type="pct"/>
            <w:shd w:val="clear" w:color="auto" w:fill="231EDC" w:themeFill="accent1"/>
          </w:tcPr>
          <w:p w14:paraId="26904912" w14:textId="77777777" w:rsidR="00B242C3" w:rsidRPr="003272C7" w:rsidRDefault="00B242C3" w:rsidP="003B1BEB">
            <w:pPr>
              <w:pStyle w:val="TableText"/>
              <w:rPr>
                <w:rFonts w:cs="Arial"/>
                <w:b/>
                <w:bCs/>
              </w:rPr>
            </w:pPr>
            <w:r w:rsidRPr="003272C7">
              <w:rPr>
                <w:rFonts w:cs="Arial"/>
                <w:b/>
                <w:bCs/>
              </w:rPr>
              <w:t>Impact</w:t>
            </w:r>
          </w:p>
        </w:tc>
        <w:tc>
          <w:tcPr>
            <w:tcW w:w="4021" w:type="pct"/>
          </w:tcPr>
          <w:p w14:paraId="10207049" w14:textId="77777777" w:rsidR="00142559" w:rsidRPr="003272C7" w:rsidRDefault="00B242C3" w:rsidP="003B1BEB">
            <w:pPr>
              <w:pStyle w:val="TableBullet"/>
              <w:rPr>
                <w:rFonts w:cs="Arial"/>
              </w:rPr>
            </w:pPr>
            <w:r w:rsidRPr="003272C7">
              <w:rPr>
                <w:rFonts w:cs="Arial"/>
              </w:rPr>
              <w:t>The CGRSWS incorporates a comprehensive set of actions aimed at addressing the findings of the LTWRA in southern Victoria. These actions were developed in response to the identified decline in long-term water availability, which had a disproportionate impact on the environmental water reserve.</w:t>
            </w:r>
          </w:p>
          <w:p w14:paraId="000423CE" w14:textId="77777777" w:rsidR="00142559" w:rsidRPr="003272C7" w:rsidRDefault="00B242C3" w:rsidP="003B1BEB">
            <w:pPr>
              <w:pStyle w:val="TableBullet"/>
              <w:rPr>
                <w:rFonts w:cs="Arial"/>
              </w:rPr>
            </w:pPr>
            <w:r w:rsidRPr="003272C7">
              <w:rPr>
                <w:rFonts w:cs="Arial"/>
              </w:rPr>
              <w:t>There is a high likelihood that the LTWRA response will promote sustainable management of water in Victoria. The effectiveness of the actions included in the CGRSWS to respond to the LTWRA hinges on successful implementation, stakeholder engagement, evidence-based decision-making, continuous monitoring, and a long-term perspective.</w:t>
            </w:r>
          </w:p>
          <w:p w14:paraId="56BF9AC8" w14:textId="4D8B9C9D" w:rsidR="00B242C3" w:rsidRPr="003272C7" w:rsidRDefault="00B242C3" w:rsidP="003B1BEB">
            <w:pPr>
              <w:pStyle w:val="TableBullet"/>
              <w:rPr>
                <w:rFonts w:cs="Arial"/>
              </w:rPr>
            </w:pPr>
            <w:r w:rsidRPr="003272C7">
              <w:rPr>
                <w:rFonts w:cs="Arial"/>
              </w:rPr>
              <w:t xml:space="preserve">To support the release of the </w:t>
            </w:r>
            <w:r w:rsidR="00A329EF" w:rsidRPr="003272C7">
              <w:rPr>
                <w:rFonts w:cs="Arial"/>
              </w:rPr>
              <w:t xml:space="preserve">LVRRS </w:t>
            </w:r>
            <w:r w:rsidRPr="003272C7">
              <w:rPr>
                <w:rFonts w:cs="Arial"/>
              </w:rPr>
              <w:t xml:space="preserve">Amendment in 2023 </w:t>
            </w:r>
            <w:r w:rsidR="00A329EF" w:rsidRPr="003272C7">
              <w:rPr>
                <w:rFonts w:cs="Arial"/>
              </w:rPr>
              <w:t>and provide guidance on access to surface water from the Latrobe River system</w:t>
            </w:r>
            <w:r w:rsidR="005A6B84" w:rsidRPr="003272C7">
              <w:rPr>
                <w:rFonts w:cs="Arial"/>
              </w:rPr>
              <w:t>,</w:t>
            </w:r>
            <w:r w:rsidR="00710BF9" w:rsidRPr="003272C7">
              <w:rPr>
                <w:rFonts w:cs="Arial"/>
              </w:rPr>
              <w:t xml:space="preserve"> DEECA</w:t>
            </w:r>
            <w:r w:rsidRPr="003272C7">
              <w:rPr>
                <w:rFonts w:cs="Arial"/>
              </w:rPr>
              <w:t xml:space="preserve"> has:</w:t>
            </w:r>
          </w:p>
          <w:p w14:paraId="0FA1CE64" w14:textId="77777777" w:rsidR="00B242C3" w:rsidRPr="003272C7" w:rsidRDefault="00B242C3" w:rsidP="003B1BEB">
            <w:pPr>
              <w:pStyle w:val="TableBullet2"/>
              <w:rPr>
                <w:rFonts w:cs="Arial"/>
              </w:rPr>
            </w:pPr>
            <w:r w:rsidRPr="003272C7">
              <w:rPr>
                <w:rFonts w:cs="Arial"/>
              </w:rPr>
              <w:t>developed an explanatory note providing guidance on the type of access arrangements that could apply to surface water from the Latrobe River system for the purpose of mine rehabilitation</w:t>
            </w:r>
          </w:p>
          <w:p w14:paraId="06526FE0" w14:textId="77777777" w:rsidR="00B242C3" w:rsidRPr="003272C7" w:rsidRDefault="00B242C3" w:rsidP="003B1BEB">
            <w:pPr>
              <w:pStyle w:val="TableBullet2"/>
              <w:rPr>
                <w:rFonts w:cs="Arial"/>
              </w:rPr>
            </w:pPr>
            <w:r w:rsidRPr="003272C7">
              <w:rPr>
                <w:rFonts w:cs="Arial"/>
              </w:rPr>
              <w:t>commissioned an independent technical assessment on the type of conditions that could apply to water access for Latrobe Valley mine rehabilitation and associated risks and benefits to environmental and Traditional Owners’ values.</w:t>
            </w:r>
          </w:p>
          <w:p w14:paraId="4D777CBD" w14:textId="21611687" w:rsidR="00B242C3" w:rsidRPr="003272C7" w:rsidRDefault="0049547D" w:rsidP="003B1BEB">
            <w:pPr>
              <w:pStyle w:val="TableBullet"/>
              <w:rPr>
                <w:rFonts w:cs="Arial"/>
              </w:rPr>
            </w:pPr>
            <w:r w:rsidRPr="003272C7">
              <w:rPr>
                <w:rFonts w:cs="Arial"/>
              </w:rPr>
              <w:t>The impact of the LVRRS Amendment and supplementary guidance has provided water policy to for earlier application by mine licensees for mine rehabilitation.</w:t>
            </w:r>
            <w:r w:rsidR="00142559" w:rsidRPr="003272C7">
              <w:rPr>
                <w:rFonts w:cs="Arial"/>
              </w:rPr>
              <w:t xml:space="preserve"> </w:t>
            </w:r>
            <w:r w:rsidRPr="003272C7">
              <w:rPr>
                <w:rFonts w:cs="Arial"/>
              </w:rPr>
              <w:t xml:space="preserve">The Minister for Water received an application from AGL Loy Yang for a new bulk entitlement to surface water from the </w:t>
            </w:r>
            <w:r w:rsidR="005A6B84" w:rsidRPr="003272C7">
              <w:rPr>
                <w:rFonts w:cs="Arial"/>
              </w:rPr>
              <w:t>Latrobe River</w:t>
            </w:r>
            <w:r w:rsidRPr="003272C7">
              <w:rPr>
                <w:rFonts w:cs="Arial"/>
              </w:rPr>
              <w:t xml:space="preserve"> system for water-based rehabilitation of the Loy Yang coal mine. At the time of writing, this application remains under consideration. </w:t>
            </w:r>
          </w:p>
        </w:tc>
      </w:tr>
      <w:tr w:rsidR="00B242C3" w:rsidRPr="003272C7" w14:paraId="4478A23B" w14:textId="77777777" w:rsidTr="00DD1CB2">
        <w:trPr>
          <w:trHeight w:val="259"/>
        </w:trPr>
        <w:tc>
          <w:tcPr>
            <w:tcW w:w="979" w:type="pct"/>
            <w:shd w:val="clear" w:color="auto" w:fill="231EDC" w:themeFill="accent1"/>
          </w:tcPr>
          <w:p w14:paraId="21DFA4D9" w14:textId="77777777" w:rsidR="00B242C3" w:rsidRPr="003272C7" w:rsidRDefault="00B242C3" w:rsidP="003B1BEB">
            <w:pPr>
              <w:pStyle w:val="TableText"/>
              <w:rPr>
                <w:rFonts w:cs="Arial"/>
                <w:b/>
                <w:bCs/>
              </w:rPr>
            </w:pPr>
            <w:r w:rsidRPr="003272C7">
              <w:rPr>
                <w:rFonts w:cs="Arial"/>
                <w:b/>
                <w:bCs/>
              </w:rPr>
              <w:t>Effectiveness</w:t>
            </w:r>
          </w:p>
        </w:tc>
        <w:tc>
          <w:tcPr>
            <w:tcW w:w="4021" w:type="pct"/>
          </w:tcPr>
          <w:p w14:paraId="3F262890" w14:textId="77777777" w:rsidR="00142559" w:rsidRPr="003272C7" w:rsidRDefault="008577BD" w:rsidP="003B1BEB">
            <w:pPr>
              <w:pStyle w:val="TableBullet"/>
              <w:rPr>
                <w:rFonts w:cs="Arial"/>
              </w:rPr>
            </w:pPr>
            <w:r w:rsidRPr="003272C7">
              <w:rPr>
                <w:rFonts w:cs="Arial"/>
              </w:rPr>
              <w:t>Stakeholders continued to experience benefits from strong co-ordination across the DEECA Water and Catchments Group to extend the evidence base from LTWRA for southern Victoria to inform the CGRSWS and to identify potential improvements to the LTWRA methodology for northern Victoria.</w:t>
            </w:r>
          </w:p>
          <w:p w14:paraId="1BC3E017" w14:textId="0E2867E3" w:rsidR="00B242C3" w:rsidRPr="003272C7" w:rsidRDefault="00B242C3" w:rsidP="003B1BEB">
            <w:pPr>
              <w:pStyle w:val="TableBullet"/>
              <w:rPr>
                <w:rFonts w:cs="Arial"/>
              </w:rPr>
            </w:pPr>
            <w:r w:rsidRPr="003272C7">
              <w:rPr>
                <w:rFonts w:cs="Arial"/>
              </w:rPr>
              <w:t xml:space="preserve">Stakeholders continued to experience benefits from Planning and Impact Assessments Team representatives representing DEECA Water on Whole of Government mine rehabilitation planning working groups. </w:t>
            </w:r>
          </w:p>
        </w:tc>
      </w:tr>
      <w:tr w:rsidR="00B242C3" w:rsidRPr="003272C7" w14:paraId="71D11D70" w14:textId="77777777" w:rsidTr="00DD1CB2">
        <w:trPr>
          <w:trHeight w:val="259"/>
        </w:trPr>
        <w:tc>
          <w:tcPr>
            <w:tcW w:w="979" w:type="pct"/>
            <w:shd w:val="clear" w:color="auto" w:fill="231EDC" w:themeFill="accent1"/>
          </w:tcPr>
          <w:p w14:paraId="62F47D09" w14:textId="77777777" w:rsidR="00B242C3" w:rsidRPr="003272C7" w:rsidRDefault="00B242C3" w:rsidP="003B1BEB">
            <w:pPr>
              <w:pStyle w:val="TableText"/>
              <w:rPr>
                <w:rFonts w:cs="Arial"/>
                <w:b/>
                <w:bCs/>
              </w:rPr>
            </w:pPr>
            <w:r w:rsidRPr="003272C7">
              <w:rPr>
                <w:rFonts w:cs="Arial"/>
                <w:b/>
                <w:bCs/>
              </w:rPr>
              <w:t>Appropriateness</w:t>
            </w:r>
          </w:p>
        </w:tc>
        <w:tc>
          <w:tcPr>
            <w:tcW w:w="4021" w:type="pct"/>
          </w:tcPr>
          <w:p w14:paraId="586DA6AC" w14:textId="323F6D52" w:rsidR="00B242C3" w:rsidRPr="003272C7" w:rsidRDefault="00B242C3" w:rsidP="003B1BEB">
            <w:pPr>
              <w:pStyle w:val="TableBullet"/>
              <w:rPr>
                <w:rFonts w:cs="Arial"/>
              </w:rPr>
            </w:pPr>
            <w:r w:rsidRPr="003272C7">
              <w:rPr>
                <w:rFonts w:cs="Arial"/>
              </w:rPr>
              <w:t>The investment addressed action 8.8 from Water for Victoria</w:t>
            </w:r>
            <w:r w:rsidR="0071677F" w:rsidRPr="003272C7">
              <w:rPr>
                <w:rFonts w:cs="Arial"/>
              </w:rPr>
              <w:t xml:space="preserve">: </w:t>
            </w:r>
            <w:r w:rsidRPr="003272C7">
              <w:rPr>
                <w:rFonts w:cs="Arial"/>
              </w:rPr>
              <w:t xml:space="preserve">Align the sustainable water strategy and long-term water resource assessment processes’ and has been successful in supporting decision-making to address the impact of past changes in water availability while also planning for future declines. By endorsing the new CGRSWS as the process to respond to the findings of the LTWRA technical assessment, the investment has demonstrated a cohesive and integrated approach to water resource management. This alignment ensures that </w:t>
            </w:r>
            <w:r w:rsidRPr="003272C7">
              <w:rPr>
                <w:rFonts w:cs="Arial"/>
              </w:rPr>
              <w:lastRenderedPageBreak/>
              <w:t>the strategy is well-informed by the assessment's evidence base, enabling effective planning and sustainable water management practices.</w:t>
            </w:r>
          </w:p>
          <w:p w14:paraId="520C3EB5" w14:textId="77777777" w:rsidR="003E3B71" w:rsidRPr="003272C7" w:rsidRDefault="00B242C3" w:rsidP="003B1BEB">
            <w:pPr>
              <w:pStyle w:val="TableBullet"/>
              <w:rPr>
                <w:rFonts w:cs="Arial"/>
              </w:rPr>
            </w:pPr>
            <w:r w:rsidRPr="003272C7">
              <w:rPr>
                <w:rFonts w:cs="Arial"/>
              </w:rPr>
              <w:t>The Mining and Extractives investment addressed DEECA’s commitment in the LVRRS to</w:t>
            </w:r>
            <w:r w:rsidR="003E3B71" w:rsidRPr="003272C7">
              <w:rPr>
                <w:rFonts w:cs="Arial"/>
              </w:rPr>
              <w:t>:</w:t>
            </w:r>
          </w:p>
          <w:p w14:paraId="75C2FA74" w14:textId="700120A8" w:rsidR="00B242C3" w:rsidRPr="003272C7" w:rsidRDefault="00B242C3" w:rsidP="003B1BEB">
            <w:pPr>
              <w:pStyle w:val="TableBullet2"/>
              <w:rPr>
                <w:rFonts w:cs="Arial"/>
              </w:rPr>
            </w:pPr>
            <w:r w:rsidRPr="003272C7">
              <w:rPr>
                <w:rFonts w:cs="Arial"/>
              </w:rPr>
              <w:t>deliver ‘Guidance on potential water sources and access arrangements for mine licensees to undertake rehabilitation’.</w:t>
            </w:r>
          </w:p>
          <w:p w14:paraId="1E0D808F" w14:textId="77777777" w:rsidR="001A57C5" w:rsidRPr="003272C7" w:rsidRDefault="005E4B67" w:rsidP="003B1BEB">
            <w:pPr>
              <w:pStyle w:val="TableBullet2"/>
              <w:rPr>
                <w:rFonts w:cs="Arial"/>
              </w:rPr>
            </w:pPr>
            <w:r w:rsidRPr="003272C7">
              <w:rPr>
                <w:rFonts w:cs="Arial"/>
              </w:rPr>
              <w:t>further assess the feasibility of manufactured water, and</w:t>
            </w:r>
          </w:p>
          <w:p w14:paraId="019FFD9D" w14:textId="27C3CFF4" w:rsidR="00B242C3" w:rsidRPr="003272C7" w:rsidRDefault="005E4B67" w:rsidP="003B1BEB">
            <w:pPr>
              <w:pStyle w:val="TableBullet2"/>
              <w:rPr>
                <w:rFonts w:cs="Arial"/>
              </w:rPr>
            </w:pPr>
            <w:r w:rsidRPr="003272C7">
              <w:rPr>
                <w:rFonts w:cs="Arial"/>
              </w:rPr>
              <w:t>provide guidance on the use of climate change scenarios for water resource planning for mine rehabilitation</w:t>
            </w:r>
          </w:p>
        </w:tc>
      </w:tr>
      <w:tr w:rsidR="00B242C3" w:rsidRPr="003272C7" w14:paraId="56FCD9AE" w14:textId="77777777" w:rsidTr="00DD1CB2">
        <w:trPr>
          <w:trHeight w:val="259"/>
        </w:trPr>
        <w:tc>
          <w:tcPr>
            <w:tcW w:w="979" w:type="pct"/>
            <w:shd w:val="clear" w:color="auto" w:fill="231EDC" w:themeFill="accent1"/>
          </w:tcPr>
          <w:p w14:paraId="7E6354BC" w14:textId="77777777" w:rsidR="00B242C3" w:rsidRPr="003272C7" w:rsidRDefault="00B242C3" w:rsidP="003B1BEB">
            <w:pPr>
              <w:pStyle w:val="TableText"/>
              <w:rPr>
                <w:rFonts w:cs="Arial"/>
                <w:b/>
                <w:bCs/>
              </w:rPr>
            </w:pPr>
            <w:r w:rsidRPr="003272C7">
              <w:rPr>
                <w:rFonts w:cs="Arial"/>
                <w:b/>
                <w:bCs/>
              </w:rPr>
              <w:lastRenderedPageBreak/>
              <w:t>Efficiency</w:t>
            </w:r>
          </w:p>
        </w:tc>
        <w:tc>
          <w:tcPr>
            <w:tcW w:w="4021" w:type="pct"/>
          </w:tcPr>
          <w:p w14:paraId="6644E520" w14:textId="77777777" w:rsidR="00142559" w:rsidRPr="003272C7" w:rsidRDefault="00B242C3" w:rsidP="003B1BEB">
            <w:pPr>
              <w:pStyle w:val="TableText"/>
              <w:rPr>
                <w:rFonts w:cs="Arial"/>
              </w:rPr>
            </w:pPr>
            <w:r w:rsidRPr="003272C7">
              <w:rPr>
                <w:rFonts w:cs="Arial"/>
              </w:rPr>
              <w:t xml:space="preserve">Both, the response to the LTWRA findings and Mining and Extractives </w:t>
            </w:r>
            <w:r w:rsidR="00445736" w:rsidRPr="003272C7">
              <w:rPr>
                <w:rFonts w:cs="Arial"/>
              </w:rPr>
              <w:t>project</w:t>
            </w:r>
            <w:r w:rsidRPr="003272C7">
              <w:rPr>
                <w:rFonts w:cs="Arial"/>
              </w:rPr>
              <w:t xml:space="preserve"> demonstrated effective application of inputs, including time, cost, and resources.</w:t>
            </w:r>
          </w:p>
          <w:p w14:paraId="529270C3" w14:textId="6D36B183" w:rsidR="00B242C3" w:rsidRPr="003272C7" w:rsidRDefault="00B242C3" w:rsidP="003B1BEB">
            <w:pPr>
              <w:pStyle w:val="TableText"/>
              <w:rPr>
                <w:rFonts w:cs="Arial"/>
              </w:rPr>
            </w:pPr>
            <w:r w:rsidRPr="003272C7">
              <w:rPr>
                <w:rFonts w:cs="Arial"/>
              </w:rPr>
              <w:t xml:space="preserve">The delivery of the </w:t>
            </w:r>
            <w:r w:rsidR="00445736" w:rsidRPr="003272C7">
              <w:rPr>
                <w:rFonts w:cs="Arial"/>
              </w:rPr>
              <w:t>project</w:t>
            </w:r>
            <w:r w:rsidRPr="003272C7">
              <w:rPr>
                <w:rFonts w:cs="Arial"/>
              </w:rPr>
              <w:t>s was accomplished within the budget specified in the EC5 funding, showcasing efficient financial management. Furthermore, projects were completed on time, indicating a well-organised and coordinated effort by all stakeholders involved in the project</w:t>
            </w:r>
          </w:p>
        </w:tc>
      </w:tr>
      <w:tr w:rsidR="00B242C3" w:rsidRPr="003272C7" w14:paraId="13232740" w14:textId="77777777" w:rsidTr="00DD1CB2">
        <w:trPr>
          <w:trHeight w:val="259"/>
        </w:trPr>
        <w:tc>
          <w:tcPr>
            <w:tcW w:w="979" w:type="pct"/>
            <w:shd w:val="clear" w:color="auto" w:fill="231EDC" w:themeFill="accent1"/>
          </w:tcPr>
          <w:p w14:paraId="3D37D72E" w14:textId="77777777" w:rsidR="00B242C3" w:rsidRPr="003272C7" w:rsidRDefault="00B242C3" w:rsidP="003B1BEB">
            <w:pPr>
              <w:pStyle w:val="TableText"/>
              <w:rPr>
                <w:rFonts w:cs="Arial"/>
                <w:b/>
                <w:bCs/>
              </w:rPr>
            </w:pPr>
            <w:r w:rsidRPr="003272C7">
              <w:rPr>
                <w:rFonts w:cs="Arial"/>
                <w:b/>
                <w:bCs/>
              </w:rPr>
              <w:t>Legacy</w:t>
            </w:r>
          </w:p>
        </w:tc>
        <w:tc>
          <w:tcPr>
            <w:tcW w:w="4021" w:type="pct"/>
          </w:tcPr>
          <w:p w14:paraId="5120C8F9" w14:textId="77777777" w:rsidR="00142559" w:rsidRPr="003272C7" w:rsidRDefault="00B242C3" w:rsidP="003B1BEB">
            <w:pPr>
              <w:pStyle w:val="TableBullet"/>
              <w:rPr>
                <w:rFonts w:cs="Arial"/>
              </w:rPr>
            </w:pPr>
            <w:r w:rsidRPr="003272C7">
              <w:rPr>
                <w:rFonts w:cs="Arial"/>
              </w:rPr>
              <w:t>The LTWRA methodology and groundwork provide valuable insights for informing future iterations of the assessment. Building on successful elements, the next assessment can be enhanced by refining methodology, assessment techniques, and data sources and collection methods to draw out insights to inform future action.</w:t>
            </w:r>
          </w:p>
          <w:p w14:paraId="2246D9ED" w14:textId="387DE757" w:rsidR="00B242C3" w:rsidRPr="003272C7" w:rsidRDefault="00AA06F5" w:rsidP="003B1BEB">
            <w:pPr>
              <w:pStyle w:val="TableBullet"/>
              <w:rPr>
                <w:rFonts w:cs="Arial"/>
              </w:rPr>
            </w:pPr>
            <w:r w:rsidRPr="003272C7">
              <w:rPr>
                <w:rFonts w:cs="Arial"/>
              </w:rPr>
              <w:t>The stakeholder engagement across the DEECA Water and Catchments Group has identified opportunities to consider long-term changes to water held by Traditional Owners across Victoria as part of the LTWRA, subject to further consideration by Traditional Owner Group, this could be an important way to document progress in water returns to, and outcomes for Traditional Owners – which is a priority area for Government. </w:t>
            </w:r>
          </w:p>
        </w:tc>
      </w:tr>
      <w:tr w:rsidR="00B242C3" w:rsidRPr="003272C7" w14:paraId="341D9230" w14:textId="77777777" w:rsidTr="00DD1CB2">
        <w:trPr>
          <w:trHeight w:val="259"/>
        </w:trPr>
        <w:tc>
          <w:tcPr>
            <w:tcW w:w="979" w:type="pct"/>
            <w:shd w:val="clear" w:color="auto" w:fill="231EDC" w:themeFill="accent1"/>
          </w:tcPr>
          <w:p w14:paraId="46A58709" w14:textId="77777777" w:rsidR="00B242C3" w:rsidRPr="003272C7" w:rsidRDefault="00B242C3" w:rsidP="003B1BEB">
            <w:pPr>
              <w:pStyle w:val="TableText"/>
              <w:rPr>
                <w:rFonts w:cs="Arial"/>
                <w:b/>
                <w:bCs/>
              </w:rPr>
            </w:pPr>
            <w:r w:rsidRPr="003272C7">
              <w:rPr>
                <w:rFonts w:cs="Arial"/>
                <w:b/>
                <w:bCs/>
              </w:rPr>
              <w:t>Future priorities</w:t>
            </w:r>
          </w:p>
        </w:tc>
        <w:tc>
          <w:tcPr>
            <w:tcW w:w="4021" w:type="pct"/>
          </w:tcPr>
          <w:p w14:paraId="573A345E" w14:textId="77777777" w:rsidR="00B242C3" w:rsidRPr="003272C7" w:rsidRDefault="00B242C3" w:rsidP="003B1BEB">
            <w:pPr>
              <w:pStyle w:val="TableTextBold"/>
              <w:rPr>
                <w:rFonts w:cs="Arial"/>
              </w:rPr>
            </w:pPr>
            <w:r w:rsidRPr="003272C7">
              <w:rPr>
                <w:rFonts w:cs="Arial"/>
              </w:rPr>
              <w:t>Long-Term Water Resource Assessment</w:t>
            </w:r>
          </w:p>
          <w:p w14:paraId="628F4DD4" w14:textId="77777777" w:rsidR="00142559" w:rsidRPr="003272C7" w:rsidRDefault="00B242C3" w:rsidP="003B1BEB">
            <w:pPr>
              <w:pStyle w:val="TableBullet"/>
              <w:rPr>
                <w:rFonts w:cs="Arial"/>
              </w:rPr>
            </w:pPr>
            <w:r w:rsidRPr="003272C7">
              <w:rPr>
                <w:rFonts w:cs="Arial"/>
              </w:rPr>
              <w:t xml:space="preserve">Upcoming legislative requirement </w:t>
            </w:r>
            <w:r w:rsidR="00AA06F5" w:rsidRPr="003272C7">
              <w:rPr>
                <w:rFonts w:cs="Arial"/>
              </w:rPr>
              <w:t>to commence</w:t>
            </w:r>
            <w:r w:rsidRPr="003272C7">
              <w:rPr>
                <w:rFonts w:cs="Arial"/>
              </w:rPr>
              <w:t xml:space="preserve"> the LTWRA for </w:t>
            </w:r>
            <w:r w:rsidR="00AA06F5" w:rsidRPr="003272C7">
              <w:rPr>
                <w:rFonts w:cs="Arial"/>
              </w:rPr>
              <w:t xml:space="preserve">northern </w:t>
            </w:r>
            <w:r w:rsidRPr="003272C7">
              <w:rPr>
                <w:rFonts w:cs="Arial"/>
              </w:rPr>
              <w:t>Victoria</w:t>
            </w:r>
          </w:p>
          <w:p w14:paraId="430142E1" w14:textId="77777777" w:rsidR="00142559" w:rsidRPr="003272C7" w:rsidRDefault="00B242C3" w:rsidP="003B1BEB">
            <w:pPr>
              <w:pStyle w:val="TableBullet"/>
              <w:rPr>
                <w:rFonts w:cs="Arial"/>
              </w:rPr>
            </w:pPr>
            <w:r w:rsidRPr="003272C7">
              <w:rPr>
                <w:rFonts w:cs="Arial"/>
              </w:rPr>
              <w:t>Technical support for future Sustainable Water Strategies implementation and development</w:t>
            </w:r>
          </w:p>
          <w:p w14:paraId="5F2997DC" w14:textId="34DDFB5F" w:rsidR="00B242C3" w:rsidRPr="003272C7" w:rsidRDefault="00B242C3" w:rsidP="003B1BEB">
            <w:pPr>
              <w:pStyle w:val="TableTextBold"/>
              <w:rPr>
                <w:rFonts w:cs="Arial"/>
              </w:rPr>
            </w:pPr>
            <w:r w:rsidRPr="003272C7">
              <w:rPr>
                <w:rFonts w:cs="Arial"/>
              </w:rPr>
              <w:t>Addressing the impacts of mining and extractive industries</w:t>
            </w:r>
          </w:p>
          <w:p w14:paraId="59B3C975" w14:textId="7030CF6D" w:rsidR="00B242C3" w:rsidRPr="003272C7" w:rsidRDefault="00B242C3" w:rsidP="003B1BEB">
            <w:pPr>
              <w:pStyle w:val="TableBullet"/>
              <w:rPr>
                <w:rFonts w:cs="Arial"/>
              </w:rPr>
            </w:pPr>
            <w:r w:rsidRPr="003272C7">
              <w:rPr>
                <w:rFonts w:cs="Arial"/>
              </w:rPr>
              <w:t xml:space="preserve">Communicating the findings from water-based implementation actions for </w:t>
            </w:r>
            <w:r w:rsidR="005A6B84" w:rsidRPr="003272C7">
              <w:rPr>
                <w:rFonts w:cs="Arial"/>
              </w:rPr>
              <w:t>LVRRS</w:t>
            </w:r>
            <w:r w:rsidRPr="003272C7">
              <w:rPr>
                <w:rFonts w:cs="Arial"/>
              </w:rPr>
              <w:t xml:space="preserve"> to stakeholders.</w:t>
            </w:r>
          </w:p>
          <w:p w14:paraId="614474FA" w14:textId="144BBB8C" w:rsidR="00B242C3" w:rsidRPr="003272C7" w:rsidRDefault="00B242C3" w:rsidP="003B1BEB">
            <w:pPr>
              <w:pStyle w:val="TableBullet"/>
              <w:rPr>
                <w:rFonts w:cs="Arial"/>
              </w:rPr>
            </w:pPr>
            <w:r w:rsidRPr="003272C7">
              <w:rPr>
                <w:rFonts w:cs="Arial"/>
              </w:rPr>
              <w:t xml:space="preserve">Leading the DEECA </w:t>
            </w:r>
            <w:r w:rsidR="00AA06F5" w:rsidRPr="003272C7">
              <w:rPr>
                <w:rFonts w:cs="Arial"/>
              </w:rPr>
              <w:t>Wa</w:t>
            </w:r>
            <w:r w:rsidR="001D5FF6" w:rsidRPr="003272C7">
              <w:rPr>
                <w:rFonts w:cs="Arial"/>
              </w:rPr>
              <w:t>ter and Catchments Group</w:t>
            </w:r>
            <w:r w:rsidRPr="003272C7">
              <w:rPr>
                <w:rFonts w:cs="Arial"/>
              </w:rPr>
              <w:t xml:space="preserve"> contribution to transition from coal fired power generation in Latrobe Valley</w:t>
            </w:r>
            <w:r w:rsidR="005A6B84" w:rsidRPr="003272C7">
              <w:rPr>
                <w:rFonts w:cs="Arial"/>
              </w:rPr>
              <w:t>.</w:t>
            </w:r>
          </w:p>
          <w:p w14:paraId="1A48951B" w14:textId="77777777" w:rsidR="00B242C3" w:rsidRPr="003272C7" w:rsidRDefault="00B242C3" w:rsidP="003B1BEB">
            <w:pPr>
              <w:pStyle w:val="TableBullet"/>
              <w:rPr>
                <w:rFonts w:cs="Arial"/>
              </w:rPr>
            </w:pPr>
            <w:r w:rsidRPr="003272C7">
              <w:rPr>
                <w:rFonts w:cs="Arial"/>
              </w:rPr>
              <w:t>Assessment of the water-related matters of the Latrobe Valley mine licensees rehabilitation plans.</w:t>
            </w:r>
          </w:p>
          <w:p w14:paraId="6D8CF111" w14:textId="77777777" w:rsidR="00B242C3" w:rsidRPr="003272C7" w:rsidRDefault="00B242C3" w:rsidP="003B1BEB">
            <w:pPr>
              <w:pStyle w:val="TableBullet"/>
              <w:rPr>
                <w:rFonts w:cs="Arial"/>
              </w:rPr>
            </w:pPr>
            <w:r w:rsidRPr="003272C7">
              <w:rPr>
                <w:rFonts w:cs="Arial"/>
              </w:rPr>
              <w:t>Finalisation of the Hazelwood Environmental Effects Statement process, and involvement in the Technical Reference Groups for the Environmental Effects Statement processes for Yallourn and Loy Yang, if needed.</w:t>
            </w:r>
          </w:p>
          <w:p w14:paraId="53090539" w14:textId="33C52507" w:rsidR="00B242C3" w:rsidRPr="003272C7" w:rsidRDefault="00B242C3" w:rsidP="003B1BEB">
            <w:pPr>
              <w:pStyle w:val="TableBullet"/>
              <w:rPr>
                <w:rFonts w:cs="Arial"/>
              </w:rPr>
            </w:pPr>
            <w:r w:rsidRPr="003272C7">
              <w:rPr>
                <w:rFonts w:cs="Arial"/>
              </w:rPr>
              <w:t xml:space="preserve">Support for broader Latrobe Valley transition activities </w:t>
            </w:r>
            <w:r w:rsidR="001D5FF6" w:rsidRPr="003272C7">
              <w:rPr>
                <w:rFonts w:cs="Arial"/>
              </w:rPr>
              <w:t xml:space="preserve">including actions in the </w:t>
            </w:r>
            <w:r w:rsidR="005A6B84" w:rsidRPr="003272C7">
              <w:rPr>
                <w:rFonts w:cs="Arial"/>
              </w:rPr>
              <w:t>CGRSWS.</w:t>
            </w:r>
          </w:p>
          <w:p w14:paraId="1C1A32DA" w14:textId="7C314C36" w:rsidR="00B242C3" w:rsidRPr="003272C7" w:rsidRDefault="00B242C3" w:rsidP="003B1BEB">
            <w:pPr>
              <w:pStyle w:val="TableBullet"/>
              <w:rPr>
                <w:rFonts w:cs="Arial"/>
              </w:rPr>
            </w:pPr>
            <w:r w:rsidRPr="003272C7">
              <w:rPr>
                <w:rFonts w:cs="Arial"/>
              </w:rPr>
              <w:t>Provide guidance on, and assessment of, any application for surface water, groundwater or manufactured water that may be sought for mine rehabilitation.</w:t>
            </w:r>
          </w:p>
        </w:tc>
      </w:tr>
    </w:tbl>
    <w:p w14:paraId="6D7E0FBB" w14:textId="2AC5EA8C" w:rsidR="00B242C3" w:rsidRPr="003272C7" w:rsidRDefault="00B242C3" w:rsidP="00B242C3">
      <w:pPr>
        <w:pStyle w:val="Heading2"/>
        <w:rPr>
          <w:rFonts w:cs="Arial"/>
        </w:rPr>
      </w:pPr>
      <w:bookmarkStart w:id="41" w:name="_Toc147410786"/>
      <w:bookmarkStart w:id="42" w:name="_Toc183777794"/>
      <w:r w:rsidRPr="003272C7">
        <w:rPr>
          <w:rFonts w:cs="Arial"/>
        </w:rPr>
        <w:t xml:space="preserve">WRS13: Groundwater </w:t>
      </w:r>
      <w:r w:rsidR="00271AE7" w:rsidRPr="003272C7">
        <w:rPr>
          <w:rFonts w:cs="Arial"/>
        </w:rPr>
        <w:t>A</w:t>
      </w:r>
      <w:r w:rsidRPr="003272C7">
        <w:rPr>
          <w:rFonts w:cs="Arial"/>
        </w:rPr>
        <w:t xml:space="preserve">ssessment and </w:t>
      </w:r>
      <w:r w:rsidR="00271AE7" w:rsidRPr="003272C7">
        <w:rPr>
          <w:rFonts w:cs="Arial"/>
        </w:rPr>
        <w:t>M</w:t>
      </w:r>
      <w:r w:rsidRPr="003272C7">
        <w:rPr>
          <w:rFonts w:cs="Arial"/>
        </w:rPr>
        <w:t>odelling</w:t>
      </w:r>
      <w:bookmarkEnd w:id="41"/>
      <w:bookmarkEnd w:id="4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63B8EEFB" w14:textId="77777777" w:rsidTr="00DD1CB2">
        <w:trPr>
          <w:trHeight w:val="395"/>
        </w:trPr>
        <w:tc>
          <w:tcPr>
            <w:tcW w:w="979" w:type="pct"/>
            <w:shd w:val="clear" w:color="auto" w:fill="231EDC" w:themeFill="accent1"/>
          </w:tcPr>
          <w:p w14:paraId="182E600A" w14:textId="36383CB7" w:rsidR="00B242C3" w:rsidRPr="003272C7" w:rsidRDefault="00C412A9" w:rsidP="003B1BEB">
            <w:pPr>
              <w:pStyle w:val="TableHeading"/>
              <w:rPr>
                <w:rFonts w:cs="Arial"/>
              </w:rPr>
            </w:pPr>
            <w:r w:rsidRPr="003272C7">
              <w:rPr>
                <w:rFonts w:cs="Arial"/>
              </w:rPr>
              <w:t>Initiative</w:t>
            </w:r>
          </w:p>
        </w:tc>
        <w:tc>
          <w:tcPr>
            <w:tcW w:w="4021" w:type="pct"/>
            <w:shd w:val="clear" w:color="auto" w:fill="231EDC" w:themeFill="accent1"/>
          </w:tcPr>
          <w:p w14:paraId="462710B6" w14:textId="77777777" w:rsidR="00B242C3" w:rsidRPr="003272C7" w:rsidRDefault="00B242C3" w:rsidP="003B1BEB">
            <w:pPr>
              <w:pStyle w:val="TableHeading"/>
              <w:rPr>
                <w:rFonts w:cs="Arial"/>
              </w:rPr>
            </w:pPr>
            <w:r w:rsidRPr="003272C7">
              <w:rPr>
                <w:rFonts w:cs="Arial"/>
              </w:rPr>
              <w:t>4. The evidence base for Victorian water: availability and knowledge</w:t>
            </w:r>
          </w:p>
        </w:tc>
      </w:tr>
      <w:tr w:rsidR="00B242C3" w:rsidRPr="003272C7" w14:paraId="5C5040BF" w14:textId="77777777" w:rsidTr="00DD1CB2">
        <w:trPr>
          <w:trHeight w:val="341"/>
        </w:trPr>
        <w:tc>
          <w:tcPr>
            <w:tcW w:w="979" w:type="pct"/>
            <w:shd w:val="clear" w:color="auto" w:fill="231EDC" w:themeFill="accent1"/>
          </w:tcPr>
          <w:p w14:paraId="48B4FD5B" w14:textId="77777777" w:rsidR="00B242C3" w:rsidRPr="003272C7" w:rsidRDefault="00B242C3" w:rsidP="003B1BEB">
            <w:pPr>
              <w:pStyle w:val="TableText"/>
              <w:rPr>
                <w:rFonts w:cs="Arial"/>
                <w:b/>
              </w:rPr>
            </w:pPr>
            <w:r w:rsidRPr="003272C7">
              <w:rPr>
                <w:rFonts w:cs="Arial"/>
                <w:b/>
              </w:rPr>
              <w:t>Project</w:t>
            </w:r>
          </w:p>
        </w:tc>
        <w:tc>
          <w:tcPr>
            <w:tcW w:w="4021" w:type="pct"/>
          </w:tcPr>
          <w:p w14:paraId="626874A8" w14:textId="77777777" w:rsidR="00B242C3" w:rsidRPr="003272C7" w:rsidRDefault="00B242C3" w:rsidP="003B1BEB">
            <w:pPr>
              <w:pStyle w:val="TableText"/>
              <w:rPr>
                <w:rFonts w:cs="Arial"/>
              </w:rPr>
            </w:pPr>
            <w:r w:rsidRPr="003272C7">
              <w:rPr>
                <w:rFonts w:cs="Arial"/>
              </w:rPr>
              <w:t>WRS13: Groundwater assessment and modelling</w:t>
            </w:r>
          </w:p>
        </w:tc>
      </w:tr>
      <w:tr w:rsidR="00B242C3" w:rsidRPr="003272C7" w14:paraId="01DCAF82" w14:textId="77777777" w:rsidTr="00DD1CB2">
        <w:trPr>
          <w:trHeight w:val="259"/>
        </w:trPr>
        <w:tc>
          <w:tcPr>
            <w:tcW w:w="979" w:type="pct"/>
            <w:shd w:val="clear" w:color="auto" w:fill="231EDC" w:themeFill="accent1"/>
          </w:tcPr>
          <w:p w14:paraId="0DD0D8EC" w14:textId="77777777" w:rsidR="00B242C3" w:rsidRPr="003272C7" w:rsidRDefault="00B242C3" w:rsidP="003B1BEB">
            <w:pPr>
              <w:pStyle w:val="TableText"/>
              <w:rPr>
                <w:rFonts w:cs="Arial"/>
                <w:b/>
              </w:rPr>
            </w:pPr>
            <w:r w:rsidRPr="003272C7">
              <w:rPr>
                <w:rFonts w:cs="Arial"/>
                <w:b/>
              </w:rPr>
              <w:t>Description</w:t>
            </w:r>
          </w:p>
          <w:p w14:paraId="201EA10A" w14:textId="77777777" w:rsidR="00B242C3" w:rsidRPr="003272C7" w:rsidRDefault="00B242C3" w:rsidP="003B1BEB">
            <w:pPr>
              <w:pStyle w:val="TableText"/>
              <w:rPr>
                <w:rFonts w:cs="Arial"/>
                <w:b/>
              </w:rPr>
            </w:pPr>
          </w:p>
        </w:tc>
        <w:tc>
          <w:tcPr>
            <w:tcW w:w="4021" w:type="pct"/>
          </w:tcPr>
          <w:p w14:paraId="5214C52A" w14:textId="77D90688" w:rsidR="00B242C3" w:rsidRPr="003272C7" w:rsidRDefault="00CD7497" w:rsidP="003B1BEB">
            <w:pPr>
              <w:pStyle w:val="TableText"/>
              <w:rPr>
                <w:rFonts w:cs="Arial"/>
              </w:rPr>
            </w:pPr>
            <w:r w:rsidRPr="003272C7">
              <w:rPr>
                <w:rFonts w:cs="Arial"/>
              </w:rPr>
              <w:t xml:space="preserve">To deliver water security government needs a clear view of the amount of water available now and in the future, and the factors that affect that availability. Groundwater availability is determined through robust monitoring of groundwater levels, metering of use and detailed modelling and assessment. It considers the patterns of use, including agriculture, domestic use and extractive industries such as </w:t>
            </w:r>
            <w:r w:rsidRPr="003272C7">
              <w:rPr>
                <w:rFonts w:cs="Arial"/>
              </w:rPr>
              <w:lastRenderedPageBreak/>
              <w:t>mining, and the needs of the environment. Climate change is making the assessment of water availability more complex and more important. </w:t>
            </w:r>
          </w:p>
        </w:tc>
      </w:tr>
      <w:tr w:rsidR="00B242C3" w:rsidRPr="003272C7" w14:paraId="653AB772" w14:textId="77777777" w:rsidTr="00DD1CB2">
        <w:trPr>
          <w:trHeight w:val="259"/>
        </w:trPr>
        <w:tc>
          <w:tcPr>
            <w:tcW w:w="979" w:type="pct"/>
            <w:shd w:val="clear" w:color="auto" w:fill="231EDC" w:themeFill="accent1"/>
          </w:tcPr>
          <w:p w14:paraId="0A45BA23" w14:textId="77777777" w:rsidR="00B242C3" w:rsidRPr="003272C7" w:rsidRDefault="00B242C3" w:rsidP="003B1BEB">
            <w:pPr>
              <w:pStyle w:val="TableText"/>
              <w:rPr>
                <w:rFonts w:cs="Arial"/>
                <w:b/>
              </w:rPr>
            </w:pPr>
            <w:r w:rsidRPr="003272C7">
              <w:rPr>
                <w:rFonts w:cs="Arial"/>
                <w:b/>
              </w:rPr>
              <w:lastRenderedPageBreak/>
              <w:t>Outputs</w:t>
            </w:r>
          </w:p>
        </w:tc>
        <w:tc>
          <w:tcPr>
            <w:tcW w:w="4021" w:type="pct"/>
          </w:tcPr>
          <w:p w14:paraId="44C95FFF" w14:textId="77777777" w:rsidR="00142559" w:rsidRPr="003272C7" w:rsidRDefault="00B242C3" w:rsidP="003B1BEB">
            <w:pPr>
              <w:pStyle w:val="TableText"/>
              <w:rPr>
                <w:rFonts w:cs="Arial"/>
              </w:rPr>
            </w:pPr>
            <w:r w:rsidRPr="003272C7">
              <w:rPr>
                <w:rFonts w:cs="Arial"/>
              </w:rPr>
              <w:t>During EC5</w:t>
            </w:r>
            <w:r w:rsidR="00A34EA0" w:rsidRPr="003272C7">
              <w:rPr>
                <w:rFonts w:cs="Arial"/>
              </w:rPr>
              <w:t>,</w:t>
            </w:r>
            <w:r w:rsidRPr="003272C7">
              <w:rPr>
                <w:rFonts w:cs="Arial"/>
              </w:rPr>
              <w:t xml:space="preserve"> the project has:</w:t>
            </w:r>
          </w:p>
          <w:p w14:paraId="6E1FD73C" w14:textId="1112CE65" w:rsidR="00B242C3" w:rsidRPr="003272C7" w:rsidRDefault="6A17243B" w:rsidP="003B1BEB">
            <w:pPr>
              <w:pStyle w:val="TableBullet"/>
              <w:rPr>
                <w:rFonts w:cs="Arial"/>
              </w:rPr>
            </w:pPr>
            <w:r w:rsidRPr="003272C7">
              <w:rPr>
                <w:rFonts w:cs="Arial"/>
              </w:rPr>
              <w:t xml:space="preserve">Completed a </w:t>
            </w:r>
            <w:r w:rsidR="789EF806" w:rsidRPr="003272C7">
              <w:rPr>
                <w:rFonts w:cs="Arial"/>
              </w:rPr>
              <w:t xml:space="preserve">statewide </w:t>
            </w:r>
            <w:r w:rsidR="00B737BC" w:rsidRPr="003272C7">
              <w:rPr>
                <w:rFonts w:cs="Arial"/>
              </w:rPr>
              <w:t xml:space="preserve">assessment of </w:t>
            </w:r>
            <w:r w:rsidR="00DA2D9B" w:rsidRPr="003272C7">
              <w:rPr>
                <w:rFonts w:cs="Arial"/>
              </w:rPr>
              <w:t>groundwater availability</w:t>
            </w:r>
            <w:r w:rsidR="00DA2D9B" w:rsidRPr="00623380">
              <w:rPr>
                <w:rFonts w:cs="Arial"/>
              </w:rPr>
              <w:t xml:space="preserve"> which will inform a review of limits of take</w:t>
            </w:r>
            <w:r w:rsidR="00B737BC" w:rsidRPr="003272C7">
              <w:rPr>
                <w:rFonts w:cs="Arial"/>
              </w:rPr>
              <w:t>.</w:t>
            </w:r>
          </w:p>
          <w:p w14:paraId="17EA71AE" w14:textId="7A5C3FC6" w:rsidR="00B242C3" w:rsidRPr="003272C7" w:rsidRDefault="00B242C3" w:rsidP="003B1BEB">
            <w:pPr>
              <w:pStyle w:val="TableBullet"/>
              <w:rPr>
                <w:rFonts w:cs="Arial"/>
              </w:rPr>
            </w:pPr>
            <w:r w:rsidRPr="003272C7">
              <w:rPr>
                <w:rFonts w:cs="Arial"/>
              </w:rPr>
              <w:t>Specialist advice - Provided advice on existing and emerging water related risks associated with the water entitlement framework, including South Australian-Victorian Border Groundwaters Agreement Review Committee, and the mining and extractive industries</w:t>
            </w:r>
            <w:r w:rsidR="00A34EA0" w:rsidRPr="003272C7">
              <w:rPr>
                <w:rFonts w:cs="Arial"/>
              </w:rPr>
              <w:t>.</w:t>
            </w:r>
          </w:p>
          <w:p w14:paraId="1817D45D" w14:textId="312837F4" w:rsidR="00B242C3" w:rsidRPr="003272C7" w:rsidRDefault="00B242C3" w:rsidP="003B1BEB">
            <w:pPr>
              <w:pStyle w:val="TableBullet"/>
              <w:rPr>
                <w:rFonts w:cs="Arial"/>
              </w:rPr>
            </w:pPr>
            <w:r w:rsidRPr="003272C7">
              <w:rPr>
                <w:rFonts w:cs="Arial"/>
              </w:rPr>
              <w:t xml:space="preserve">Improved the quality and accuracy of groundwater monitoring data, through refurbishment of </w:t>
            </w:r>
            <w:r w:rsidR="00775A8E" w:rsidRPr="003272C7">
              <w:rPr>
                <w:rFonts w:cs="Arial"/>
              </w:rPr>
              <w:t xml:space="preserve">23 </w:t>
            </w:r>
            <w:r w:rsidRPr="003272C7">
              <w:rPr>
                <w:rFonts w:cs="Arial"/>
              </w:rPr>
              <w:t xml:space="preserve">priority bores and construction of </w:t>
            </w:r>
            <w:r w:rsidR="00775A8E" w:rsidRPr="003272C7">
              <w:rPr>
                <w:rFonts w:cs="Arial"/>
              </w:rPr>
              <w:t xml:space="preserve">39 </w:t>
            </w:r>
            <w:r w:rsidRPr="003272C7">
              <w:rPr>
                <w:rFonts w:cs="Arial"/>
              </w:rPr>
              <w:t>new bores</w:t>
            </w:r>
            <w:r w:rsidR="00775A8E" w:rsidRPr="003272C7">
              <w:rPr>
                <w:rFonts w:cs="Arial"/>
              </w:rPr>
              <w:t>.</w:t>
            </w:r>
          </w:p>
        </w:tc>
      </w:tr>
      <w:tr w:rsidR="00B242C3" w:rsidRPr="003272C7" w14:paraId="43C4AFDD" w14:textId="77777777" w:rsidTr="00DD1CB2">
        <w:trPr>
          <w:trHeight w:val="259"/>
        </w:trPr>
        <w:tc>
          <w:tcPr>
            <w:tcW w:w="5000" w:type="pct"/>
            <w:gridSpan w:val="2"/>
            <w:shd w:val="clear" w:color="auto" w:fill="231EDC" w:themeFill="accent1"/>
          </w:tcPr>
          <w:p w14:paraId="189C6B14" w14:textId="613C1FCF" w:rsidR="00B242C3" w:rsidRPr="003272C7" w:rsidRDefault="00C51015" w:rsidP="003B1BEB">
            <w:pPr>
              <w:pStyle w:val="TableText"/>
              <w:rPr>
                <w:rFonts w:cs="Arial"/>
              </w:rPr>
            </w:pPr>
            <w:r w:rsidRPr="003272C7">
              <w:rPr>
                <w:rFonts w:cs="Arial"/>
                <w:b/>
                <w:bCs/>
                <w:szCs w:val="18"/>
              </w:rPr>
              <w:t>Summary against evaluation domains</w:t>
            </w:r>
          </w:p>
        </w:tc>
      </w:tr>
      <w:tr w:rsidR="00B242C3" w:rsidRPr="003272C7" w14:paraId="59C7CF05" w14:textId="77777777" w:rsidTr="00DD1CB2">
        <w:trPr>
          <w:trHeight w:val="259"/>
        </w:trPr>
        <w:tc>
          <w:tcPr>
            <w:tcW w:w="979" w:type="pct"/>
            <w:shd w:val="clear" w:color="auto" w:fill="231EDC" w:themeFill="accent1"/>
          </w:tcPr>
          <w:p w14:paraId="6B9B83B4" w14:textId="77777777" w:rsidR="00B242C3" w:rsidRPr="003272C7" w:rsidRDefault="00B242C3" w:rsidP="003B1BEB">
            <w:pPr>
              <w:pStyle w:val="TableText"/>
              <w:rPr>
                <w:rFonts w:cs="Arial"/>
                <w:b/>
                <w:bCs/>
              </w:rPr>
            </w:pPr>
            <w:r w:rsidRPr="003272C7">
              <w:rPr>
                <w:rFonts w:cs="Arial"/>
                <w:b/>
                <w:bCs/>
              </w:rPr>
              <w:t>Impact</w:t>
            </w:r>
          </w:p>
        </w:tc>
        <w:tc>
          <w:tcPr>
            <w:tcW w:w="4021" w:type="pct"/>
          </w:tcPr>
          <w:p w14:paraId="705075E5" w14:textId="14CA5CE5" w:rsidR="00B242C3" w:rsidRPr="003272C7" w:rsidRDefault="005F0695" w:rsidP="003B1BEB">
            <w:pPr>
              <w:pStyle w:val="TableText"/>
              <w:rPr>
                <w:rFonts w:cs="Arial"/>
              </w:rPr>
            </w:pPr>
            <w:r w:rsidRPr="003272C7">
              <w:rPr>
                <w:rFonts w:cs="Arial"/>
              </w:rPr>
              <w:t>The project provides an improved, shared understanding of groundwater and its uses for evidence-based management. The state-wide</w:t>
            </w:r>
            <w:r w:rsidR="00CA25F7" w:rsidRPr="003272C7">
              <w:rPr>
                <w:rFonts w:cs="Arial"/>
              </w:rPr>
              <w:t xml:space="preserve"> </w:t>
            </w:r>
            <w:r w:rsidR="00E36647" w:rsidRPr="003272C7">
              <w:rPr>
                <w:rFonts w:cs="Arial"/>
              </w:rPr>
              <w:t>a</w:t>
            </w:r>
            <w:r w:rsidR="00EC4164" w:rsidRPr="00623380">
              <w:rPr>
                <w:rFonts w:cs="Arial"/>
              </w:rPr>
              <w:t>ssessment of groundwater availability is</w:t>
            </w:r>
            <w:r w:rsidR="009201B8" w:rsidRPr="003272C7">
              <w:rPr>
                <w:rFonts w:cs="Arial"/>
              </w:rPr>
              <w:t xml:space="preserve"> a</w:t>
            </w:r>
            <w:r w:rsidR="00EC4164" w:rsidRPr="00623380" w:rsidDel="00114347">
              <w:rPr>
                <w:rFonts w:cs="Arial"/>
              </w:rPr>
              <w:t xml:space="preserve"> </w:t>
            </w:r>
            <w:r w:rsidR="00153C6C" w:rsidRPr="003272C7">
              <w:rPr>
                <w:rFonts w:cs="Arial"/>
              </w:rPr>
              <w:t>key part of</w:t>
            </w:r>
            <w:r w:rsidRPr="003272C7">
              <w:rPr>
                <w:rFonts w:cs="Arial"/>
              </w:rPr>
              <w:t xml:space="preserve"> the first priority action of a series of priority actions of DEECA and the rural water corporations over the next 7 years to improve groundwater management. The vision is to ensure the sustainable use of groundwater that supports existing and new uses, protects ecosystems and supports living cultural landscapes.</w:t>
            </w:r>
          </w:p>
        </w:tc>
      </w:tr>
      <w:tr w:rsidR="00B242C3" w:rsidRPr="003272C7" w14:paraId="20D4FA3B" w14:textId="77777777" w:rsidTr="00DD1CB2">
        <w:trPr>
          <w:trHeight w:val="259"/>
        </w:trPr>
        <w:tc>
          <w:tcPr>
            <w:tcW w:w="979" w:type="pct"/>
            <w:shd w:val="clear" w:color="auto" w:fill="231EDC" w:themeFill="accent1"/>
          </w:tcPr>
          <w:p w14:paraId="615DE455" w14:textId="77777777" w:rsidR="00B242C3" w:rsidRPr="003272C7" w:rsidRDefault="00B242C3" w:rsidP="003B1BEB">
            <w:pPr>
              <w:pStyle w:val="TableText"/>
              <w:rPr>
                <w:rFonts w:cs="Arial"/>
                <w:b/>
                <w:bCs/>
              </w:rPr>
            </w:pPr>
            <w:r w:rsidRPr="003272C7">
              <w:rPr>
                <w:rFonts w:cs="Arial"/>
                <w:b/>
                <w:bCs/>
              </w:rPr>
              <w:t>Effectiveness</w:t>
            </w:r>
          </w:p>
        </w:tc>
        <w:tc>
          <w:tcPr>
            <w:tcW w:w="4021" w:type="pct"/>
          </w:tcPr>
          <w:p w14:paraId="6A0D71D5" w14:textId="29AC3068" w:rsidR="00B242C3" w:rsidRPr="003272C7" w:rsidRDefault="005F0695" w:rsidP="003B1BEB">
            <w:pPr>
              <w:pStyle w:val="TableText"/>
              <w:rPr>
                <w:rFonts w:cs="Arial"/>
              </w:rPr>
            </w:pPr>
            <w:r w:rsidRPr="003272C7">
              <w:rPr>
                <w:rFonts w:cs="Arial"/>
              </w:rPr>
              <w:t>The project has achieved its objectives, within time and on budget.</w:t>
            </w:r>
            <w:r w:rsidR="00142559" w:rsidRPr="003272C7">
              <w:rPr>
                <w:rFonts w:cs="Arial"/>
              </w:rPr>
              <w:t xml:space="preserve"> </w:t>
            </w:r>
            <w:r w:rsidRPr="003272C7">
              <w:rPr>
                <w:rFonts w:cs="Arial"/>
              </w:rPr>
              <w:t>Engaging early with delivery partners and independent expert reviewers contributed to the effectiveness of the project. </w:t>
            </w:r>
          </w:p>
        </w:tc>
      </w:tr>
      <w:tr w:rsidR="00B242C3" w:rsidRPr="003272C7" w14:paraId="2C2342E4" w14:textId="77777777" w:rsidTr="00DD1CB2">
        <w:trPr>
          <w:trHeight w:val="259"/>
        </w:trPr>
        <w:tc>
          <w:tcPr>
            <w:tcW w:w="979" w:type="pct"/>
            <w:shd w:val="clear" w:color="auto" w:fill="231EDC" w:themeFill="accent1"/>
          </w:tcPr>
          <w:p w14:paraId="25907AF5" w14:textId="77777777" w:rsidR="00B242C3" w:rsidRPr="003272C7" w:rsidRDefault="00B242C3" w:rsidP="003B1BEB">
            <w:pPr>
              <w:pStyle w:val="TableText"/>
              <w:rPr>
                <w:rFonts w:cs="Arial"/>
                <w:b/>
                <w:bCs/>
              </w:rPr>
            </w:pPr>
            <w:r w:rsidRPr="003272C7">
              <w:rPr>
                <w:rFonts w:cs="Arial"/>
                <w:b/>
                <w:bCs/>
              </w:rPr>
              <w:t>Appropriateness</w:t>
            </w:r>
          </w:p>
        </w:tc>
        <w:tc>
          <w:tcPr>
            <w:tcW w:w="4021" w:type="pct"/>
          </w:tcPr>
          <w:p w14:paraId="02ABB2B4" w14:textId="77777777" w:rsidR="00142559" w:rsidRPr="003272C7" w:rsidRDefault="00770FC9" w:rsidP="003B1BEB">
            <w:pPr>
              <w:pStyle w:val="TableText"/>
              <w:rPr>
                <w:rFonts w:cs="Arial"/>
              </w:rPr>
            </w:pPr>
            <w:r w:rsidRPr="003272C7">
              <w:rPr>
                <w:rFonts w:cs="Arial"/>
              </w:rPr>
              <w:t>The project was highly aligned to the:</w:t>
            </w:r>
          </w:p>
          <w:p w14:paraId="5CD90869" w14:textId="77777777" w:rsidR="00142559" w:rsidRPr="003272C7" w:rsidRDefault="00770FC9" w:rsidP="003B1BEB">
            <w:pPr>
              <w:pStyle w:val="TableBullet"/>
              <w:rPr>
                <w:rFonts w:cs="Arial"/>
              </w:rPr>
            </w:pPr>
            <w:r w:rsidRPr="003272C7">
              <w:rPr>
                <w:rFonts w:cs="Arial"/>
              </w:rPr>
              <w:t>objectives the EC</w:t>
            </w:r>
          </w:p>
          <w:p w14:paraId="41049186" w14:textId="77777777" w:rsidR="00142559" w:rsidRPr="003272C7" w:rsidRDefault="00770FC9" w:rsidP="003B1BEB">
            <w:pPr>
              <w:pStyle w:val="TableBullet"/>
              <w:rPr>
                <w:rFonts w:cs="Arial"/>
              </w:rPr>
            </w:pPr>
            <w:r w:rsidRPr="003272C7">
              <w:rPr>
                <w:rFonts w:cs="Arial"/>
              </w:rPr>
              <w:t>actions within Water for Victoria, specifically item 1.3 and outcome 8.11.</w:t>
            </w:r>
          </w:p>
          <w:p w14:paraId="0529B577" w14:textId="038283BD" w:rsidR="00B242C3" w:rsidRPr="003272C7" w:rsidRDefault="00770FC9" w:rsidP="003B1BEB">
            <w:pPr>
              <w:pStyle w:val="TableBullet"/>
              <w:rPr>
                <w:rFonts w:cs="Arial"/>
              </w:rPr>
            </w:pPr>
            <w:r w:rsidRPr="003272C7">
              <w:rPr>
                <w:rFonts w:cs="Arial"/>
              </w:rPr>
              <w:t>several water monitoring and reporting obligations under the Water Act 1989 for the Minister for Water.</w:t>
            </w:r>
            <w:r w:rsidR="00142559" w:rsidRPr="003272C7">
              <w:rPr>
                <w:rFonts w:cs="Arial"/>
              </w:rPr>
              <w:t xml:space="preserve"> </w:t>
            </w:r>
          </w:p>
        </w:tc>
      </w:tr>
      <w:tr w:rsidR="00B242C3" w:rsidRPr="003272C7" w14:paraId="09BEBFE4" w14:textId="77777777" w:rsidTr="00DD1CB2">
        <w:trPr>
          <w:trHeight w:val="259"/>
        </w:trPr>
        <w:tc>
          <w:tcPr>
            <w:tcW w:w="979" w:type="pct"/>
            <w:shd w:val="clear" w:color="auto" w:fill="231EDC" w:themeFill="accent1"/>
          </w:tcPr>
          <w:p w14:paraId="5FC9E231" w14:textId="77777777" w:rsidR="00B242C3" w:rsidRPr="003272C7" w:rsidRDefault="00B242C3" w:rsidP="003B1BEB">
            <w:pPr>
              <w:pStyle w:val="TableText"/>
              <w:rPr>
                <w:rFonts w:cs="Arial"/>
                <w:b/>
                <w:bCs/>
              </w:rPr>
            </w:pPr>
            <w:r w:rsidRPr="003272C7">
              <w:rPr>
                <w:rFonts w:cs="Arial"/>
                <w:b/>
                <w:bCs/>
              </w:rPr>
              <w:t>Efficiency</w:t>
            </w:r>
          </w:p>
        </w:tc>
        <w:tc>
          <w:tcPr>
            <w:tcW w:w="4021" w:type="pct"/>
          </w:tcPr>
          <w:p w14:paraId="0ACF4728" w14:textId="77777777" w:rsidR="00142559" w:rsidRPr="003272C7" w:rsidRDefault="009337AF" w:rsidP="003B1BEB">
            <w:pPr>
              <w:pStyle w:val="TableBullet"/>
              <w:rPr>
                <w:rFonts w:cs="Arial"/>
              </w:rPr>
            </w:pPr>
            <w:r w:rsidRPr="003272C7">
              <w:rPr>
                <w:rFonts w:cs="Arial"/>
              </w:rPr>
              <w:t>The project achieved the targets ahead of schedule and below budget. This enabled works to be expanded to include 38 additional high priority sites/bores on top of the original target of refurbishment of 4 priority bores and construction of 20 new bores.</w:t>
            </w:r>
          </w:p>
          <w:p w14:paraId="5B13D424" w14:textId="77777777" w:rsidR="00142559" w:rsidRPr="003272C7" w:rsidRDefault="009337AF" w:rsidP="003B1BEB">
            <w:pPr>
              <w:pStyle w:val="TableBullet"/>
              <w:rPr>
                <w:rFonts w:cs="Arial"/>
              </w:rPr>
            </w:pPr>
            <w:r w:rsidRPr="003272C7">
              <w:rPr>
                <w:rFonts w:cs="Arial"/>
              </w:rPr>
              <w:t>The methodology of the Sustainable Yield project aimed to develop a generic method for assessing future changes in Victoria’s groundwater availability and evaluate whether such changes can cause broader adverse impacts. The methodology prioritised simplicity and cost-effectiveness, tailored to address uncertainties that affect decision-making.</w:t>
            </w:r>
          </w:p>
          <w:p w14:paraId="548191AF" w14:textId="591D7B66" w:rsidR="00B242C3" w:rsidRPr="003272C7" w:rsidRDefault="00B242C3" w:rsidP="003B1BEB">
            <w:pPr>
              <w:pStyle w:val="TableBullet"/>
              <w:rPr>
                <w:rFonts w:cs="Arial"/>
              </w:rPr>
            </w:pPr>
            <w:r w:rsidRPr="003272C7">
              <w:rPr>
                <w:rFonts w:cs="Arial"/>
              </w:rPr>
              <w:t>This indicates good value of return on investment and appropriate investment planning, design and delivery to support the desired outcome.</w:t>
            </w:r>
          </w:p>
        </w:tc>
      </w:tr>
      <w:tr w:rsidR="00B242C3" w:rsidRPr="003272C7" w14:paraId="29184BB0" w14:textId="77777777" w:rsidTr="00DD1CB2">
        <w:trPr>
          <w:trHeight w:val="259"/>
        </w:trPr>
        <w:tc>
          <w:tcPr>
            <w:tcW w:w="979" w:type="pct"/>
            <w:shd w:val="clear" w:color="auto" w:fill="231EDC" w:themeFill="accent1"/>
          </w:tcPr>
          <w:p w14:paraId="75D45515" w14:textId="77777777" w:rsidR="00B242C3" w:rsidRPr="003272C7" w:rsidRDefault="00B242C3" w:rsidP="003B1BEB">
            <w:pPr>
              <w:pStyle w:val="TableText"/>
              <w:rPr>
                <w:rFonts w:cs="Arial"/>
                <w:b/>
                <w:bCs/>
              </w:rPr>
            </w:pPr>
            <w:r w:rsidRPr="003272C7">
              <w:rPr>
                <w:rFonts w:cs="Arial"/>
                <w:b/>
                <w:bCs/>
              </w:rPr>
              <w:t>Legacy</w:t>
            </w:r>
          </w:p>
        </w:tc>
        <w:tc>
          <w:tcPr>
            <w:tcW w:w="4021" w:type="pct"/>
          </w:tcPr>
          <w:p w14:paraId="3616F095" w14:textId="0EB2BBD8" w:rsidR="00B242C3" w:rsidRPr="003272C7" w:rsidRDefault="0096587C" w:rsidP="003B1BEB">
            <w:pPr>
              <w:pStyle w:val="TableText"/>
              <w:rPr>
                <w:rFonts w:cs="Arial"/>
              </w:rPr>
            </w:pPr>
            <w:r w:rsidRPr="003272C7">
              <w:rPr>
                <w:rFonts w:cs="Arial"/>
              </w:rPr>
              <w:t>The broader benefits are reliable water availability information and rigorous water availability analysis provides confidence to water users and policy makers in considering the policy, regulatory and legislative reforms necessary to ensure the water entitlement and planning framework are robust and efficient.</w:t>
            </w:r>
          </w:p>
        </w:tc>
      </w:tr>
      <w:tr w:rsidR="00B242C3" w:rsidRPr="003272C7" w14:paraId="505416B9" w14:textId="77777777" w:rsidTr="00DD1CB2">
        <w:trPr>
          <w:trHeight w:val="259"/>
        </w:trPr>
        <w:tc>
          <w:tcPr>
            <w:tcW w:w="979" w:type="pct"/>
            <w:shd w:val="clear" w:color="auto" w:fill="231EDC" w:themeFill="accent1"/>
          </w:tcPr>
          <w:p w14:paraId="241C6453" w14:textId="77777777" w:rsidR="00B242C3" w:rsidRPr="003272C7" w:rsidRDefault="00B242C3" w:rsidP="003B1BEB">
            <w:pPr>
              <w:pStyle w:val="TableText"/>
              <w:rPr>
                <w:rFonts w:cs="Arial"/>
                <w:b/>
                <w:bCs/>
              </w:rPr>
            </w:pPr>
            <w:r w:rsidRPr="003272C7">
              <w:rPr>
                <w:rFonts w:cs="Arial"/>
                <w:b/>
                <w:bCs/>
              </w:rPr>
              <w:t>Future priorities</w:t>
            </w:r>
          </w:p>
        </w:tc>
        <w:tc>
          <w:tcPr>
            <w:tcW w:w="4021" w:type="pct"/>
          </w:tcPr>
          <w:p w14:paraId="62EF0ADF" w14:textId="77777777" w:rsidR="00142559" w:rsidRPr="003272C7" w:rsidRDefault="00B242C3" w:rsidP="003B1BEB">
            <w:pPr>
              <w:pStyle w:val="TableTextBold"/>
              <w:rPr>
                <w:rFonts w:cs="Arial"/>
              </w:rPr>
            </w:pPr>
            <w:r w:rsidRPr="003272C7">
              <w:rPr>
                <w:rFonts w:cs="Arial"/>
              </w:rPr>
              <w:t>Monitoring data – data collection and assets:</w:t>
            </w:r>
          </w:p>
          <w:p w14:paraId="0A5C9A1F" w14:textId="77777777" w:rsidR="00142559" w:rsidRPr="003272C7" w:rsidRDefault="00B242C3" w:rsidP="003B1BEB">
            <w:pPr>
              <w:pStyle w:val="TableBullet"/>
              <w:rPr>
                <w:rFonts w:cs="Arial"/>
              </w:rPr>
            </w:pPr>
            <w:r w:rsidRPr="003272C7">
              <w:rPr>
                <w:rFonts w:cs="Arial"/>
              </w:rPr>
              <w:t>Recondition 155 groundwater monitoring network bores and refurbish 35 bores in areas with insufficient observation bores to ensure access to sustainable groundwater volumes across Victoria.</w:t>
            </w:r>
          </w:p>
          <w:p w14:paraId="7E9CBB4C" w14:textId="77777777" w:rsidR="00142559" w:rsidRPr="003272C7" w:rsidRDefault="00B242C3" w:rsidP="003B1BEB">
            <w:pPr>
              <w:pStyle w:val="TableTextBold"/>
              <w:rPr>
                <w:rFonts w:cs="Arial"/>
              </w:rPr>
            </w:pPr>
            <w:r w:rsidRPr="003272C7">
              <w:rPr>
                <w:rFonts w:cs="Arial"/>
              </w:rPr>
              <w:t>Assessments and advice:</w:t>
            </w:r>
          </w:p>
          <w:p w14:paraId="61BED9FF" w14:textId="77777777" w:rsidR="00142559" w:rsidRPr="003272C7" w:rsidRDefault="00B242C3" w:rsidP="003B1BEB">
            <w:pPr>
              <w:pStyle w:val="TableBullet"/>
              <w:rPr>
                <w:rFonts w:cs="Arial"/>
              </w:rPr>
            </w:pPr>
            <w:r w:rsidRPr="003272C7">
              <w:rPr>
                <w:rFonts w:cs="Arial"/>
              </w:rPr>
              <w:t>Improved understanding of effects of groundwater use and climate change on Victoria’s groundwater resources.</w:t>
            </w:r>
          </w:p>
          <w:p w14:paraId="2D390CF5" w14:textId="77777777" w:rsidR="00142559" w:rsidRPr="003272C7" w:rsidRDefault="00B242C3" w:rsidP="003B1BEB">
            <w:pPr>
              <w:pStyle w:val="TableBullet"/>
              <w:rPr>
                <w:rFonts w:cs="Arial"/>
              </w:rPr>
            </w:pPr>
            <w:r w:rsidRPr="003272C7">
              <w:rPr>
                <w:rFonts w:cs="Arial"/>
              </w:rPr>
              <w:t>Automating groundwater condition reporting and development of tools for stakeholder engagement on sustainable use of all groundwater systems.</w:t>
            </w:r>
          </w:p>
          <w:p w14:paraId="4D679567" w14:textId="77777777" w:rsidR="00142559" w:rsidRPr="003272C7" w:rsidRDefault="00B242C3" w:rsidP="003B1BEB">
            <w:pPr>
              <w:pStyle w:val="TableBullet"/>
              <w:rPr>
                <w:rFonts w:cs="Arial"/>
              </w:rPr>
            </w:pPr>
            <w:r w:rsidRPr="003272C7">
              <w:rPr>
                <w:rFonts w:cs="Arial"/>
              </w:rPr>
              <w:t>Negotiations on interstate groundwater sharing arrangements with South Australia, and development of Sustainable Water Strategies.</w:t>
            </w:r>
          </w:p>
          <w:p w14:paraId="66FE9983" w14:textId="70AA395D" w:rsidR="00B242C3" w:rsidRPr="003272C7" w:rsidRDefault="00B242C3" w:rsidP="003B1BEB">
            <w:pPr>
              <w:pStyle w:val="TableBullet"/>
              <w:rPr>
                <w:rFonts w:cs="Arial"/>
              </w:rPr>
            </w:pPr>
            <w:r w:rsidRPr="003272C7">
              <w:rPr>
                <w:rFonts w:cs="Arial"/>
              </w:rPr>
              <w:lastRenderedPageBreak/>
              <w:t xml:space="preserve">Support the integrated planning and decision-making for the rehabilitation of the Latrobe Valley coal mines by providing guidance to the government, mine operators, and the community on groundwater related matters. </w:t>
            </w:r>
          </w:p>
        </w:tc>
      </w:tr>
    </w:tbl>
    <w:p w14:paraId="0F23680F" w14:textId="01A82443" w:rsidR="00B242C3" w:rsidRPr="003272C7" w:rsidRDefault="00B242C3" w:rsidP="00B242C3">
      <w:pPr>
        <w:pStyle w:val="Heading2"/>
        <w:rPr>
          <w:rFonts w:cs="Arial"/>
        </w:rPr>
      </w:pPr>
      <w:bookmarkStart w:id="43" w:name="_Toc147410787"/>
      <w:bookmarkStart w:id="44" w:name="_Toc183777795"/>
      <w:r w:rsidRPr="003272C7">
        <w:rPr>
          <w:rFonts w:cs="Arial"/>
        </w:rPr>
        <w:lastRenderedPageBreak/>
        <w:t xml:space="preserve">WRS14: Surface </w:t>
      </w:r>
      <w:r w:rsidR="00271AE7" w:rsidRPr="003272C7">
        <w:rPr>
          <w:rFonts w:cs="Arial"/>
        </w:rPr>
        <w:t>W</w:t>
      </w:r>
      <w:r w:rsidRPr="003272C7">
        <w:rPr>
          <w:rFonts w:cs="Arial"/>
        </w:rPr>
        <w:t xml:space="preserve">ater and </w:t>
      </w:r>
      <w:r w:rsidR="00271AE7" w:rsidRPr="003272C7">
        <w:rPr>
          <w:rFonts w:cs="Arial"/>
        </w:rPr>
        <w:t>G</w:t>
      </w:r>
      <w:r w:rsidRPr="003272C7">
        <w:rPr>
          <w:rFonts w:cs="Arial"/>
        </w:rPr>
        <w:t xml:space="preserve">roundwater </w:t>
      </w:r>
      <w:r w:rsidR="00271AE7" w:rsidRPr="003272C7">
        <w:rPr>
          <w:rFonts w:cs="Arial"/>
        </w:rPr>
        <w:t>M</w:t>
      </w:r>
      <w:r w:rsidRPr="003272C7">
        <w:rPr>
          <w:rFonts w:cs="Arial"/>
        </w:rPr>
        <w:t>onitoring</w:t>
      </w:r>
      <w:bookmarkEnd w:id="43"/>
      <w:bookmarkEnd w:id="4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5191E6FB" w14:textId="77777777" w:rsidTr="009B0F3E">
        <w:trPr>
          <w:trHeight w:val="395"/>
        </w:trPr>
        <w:tc>
          <w:tcPr>
            <w:tcW w:w="979" w:type="pct"/>
            <w:shd w:val="clear" w:color="auto" w:fill="231EDC" w:themeFill="accent1"/>
          </w:tcPr>
          <w:p w14:paraId="5C5BCEC8" w14:textId="267DFEFD" w:rsidR="00B242C3" w:rsidRPr="003272C7" w:rsidRDefault="00C412A9" w:rsidP="003B1BEB">
            <w:pPr>
              <w:pStyle w:val="TableHeading"/>
              <w:rPr>
                <w:rFonts w:cs="Arial"/>
              </w:rPr>
            </w:pPr>
            <w:r w:rsidRPr="003272C7">
              <w:rPr>
                <w:rFonts w:cs="Arial"/>
              </w:rPr>
              <w:t>Initiative</w:t>
            </w:r>
          </w:p>
        </w:tc>
        <w:tc>
          <w:tcPr>
            <w:tcW w:w="4021" w:type="pct"/>
            <w:shd w:val="clear" w:color="auto" w:fill="231EDC" w:themeFill="accent1"/>
          </w:tcPr>
          <w:p w14:paraId="4918A57F" w14:textId="77777777" w:rsidR="00B242C3" w:rsidRPr="003272C7" w:rsidRDefault="00B242C3" w:rsidP="003B1BEB">
            <w:pPr>
              <w:pStyle w:val="TableHeading"/>
              <w:rPr>
                <w:rFonts w:cs="Arial"/>
              </w:rPr>
            </w:pPr>
            <w:r w:rsidRPr="003272C7">
              <w:rPr>
                <w:rFonts w:cs="Arial"/>
              </w:rPr>
              <w:t>4. The evidence base for Victorian water: availability and knowledge</w:t>
            </w:r>
          </w:p>
        </w:tc>
      </w:tr>
      <w:tr w:rsidR="00B242C3" w:rsidRPr="003272C7" w14:paraId="677F509F" w14:textId="77777777" w:rsidTr="009B0F3E">
        <w:trPr>
          <w:trHeight w:val="341"/>
        </w:trPr>
        <w:tc>
          <w:tcPr>
            <w:tcW w:w="979" w:type="pct"/>
            <w:shd w:val="clear" w:color="auto" w:fill="231EDC" w:themeFill="accent1"/>
          </w:tcPr>
          <w:p w14:paraId="65570FF6" w14:textId="77777777" w:rsidR="00B242C3" w:rsidRPr="003272C7" w:rsidRDefault="00B242C3" w:rsidP="003B1BEB">
            <w:pPr>
              <w:pStyle w:val="TableText"/>
              <w:rPr>
                <w:rFonts w:cs="Arial"/>
                <w:b/>
                <w:bCs/>
              </w:rPr>
            </w:pPr>
            <w:r w:rsidRPr="003272C7">
              <w:rPr>
                <w:rFonts w:cs="Arial"/>
                <w:b/>
                <w:bCs/>
              </w:rPr>
              <w:t>Project</w:t>
            </w:r>
          </w:p>
        </w:tc>
        <w:tc>
          <w:tcPr>
            <w:tcW w:w="4021" w:type="pct"/>
          </w:tcPr>
          <w:p w14:paraId="580C35F8" w14:textId="77777777" w:rsidR="00B242C3" w:rsidRPr="003272C7" w:rsidRDefault="00B242C3" w:rsidP="003B1BEB">
            <w:pPr>
              <w:pStyle w:val="TableText"/>
              <w:rPr>
                <w:rFonts w:cs="Arial"/>
              </w:rPr>
            </w:pPr>
            <w:r w:rsidRPr="003272C7">
              <w:rPr>
                <w:rFonts w:cs="Arial"/>
              </w:rPr>
              <w:t>WRS14: Surface water and groundwater monitoring</w:t>
            </w:r>
          </w:p>
        </w:tc>
      </w:tr>
      <w:tr w:rsidR="00B242C3" w:rsidRPr="003272C7" w14:paraId="74130BAE" w14:textId="77777777" w:rsidTr="009B0F3E">
        <w:trPr>
          <w:trHeight w:val="259"/>
        </w:trPr>
        <w:tc>
          <w:tcPr>
            <w:tcW w:w="979" w:type="pct"/>
            <w:shd w:val="clear" w:color="auto" w:fill="231EDC" w:themeFill="accent1"/>
          </w:tcPr>
          <w:p w14:paraId="1A44C253" w14:textId="77777777" w:rsidR="00B242C3" w:rsidRPr="003272C7" w:rsidRDefault="00B242C3" w:rsidP="003B1BEB">
            <w:pPr>
              <w:pStyle w:val="TableText"/>
              <w:rPr>
                <w:rFonts w:cs="Arial"/>
                <w:b/>
                <w:bCs/>
              </w:rPr>
            </w:pPr>
            <w:r w:rsidRPr="003272C7">
              <w:rPr>
                <w:rFonts w:cs="Arial"/>
                <w:b/>
                <w:bCs/>
              </w:rPr>
              <w:t>Description</w:t>
            </w:r>
          </w:p>
          <w:p w14:paraId="5ADFA678" w14:textId="77777777" w:rsidR="00B242C3" w:rsidRPr="003272C7" w:rsidRDefault="00B242C3" w:rsidP="003B1BEB">
            <w:pPr>
              <w:pStyle w:val="TableText"/>
              <w:rPr>
                <w:rFonts w:cs="Arial"/>
                <w:b/>
                <w:bCs/>
              </w:rPr>
            </w:pPr>
          </w:p>
        </w:tc>
        <w:tc>
          <w:tcPr>
            <w:tcW w:w="4021" w:type="pct"/>
          </w:tcPr>
          <w:p w14:paraId="51022BE6" w14:textId="77777777" w:rsidR="00B242C3" w:rsidRPr="003272C7" w:rsidRDefault="00B242C3" w:rsidP="003B1BEB">
            <w:pPr>
              <w:pStyle w:val="TableBullet"/>
              <w:rPr>
                <w:rFonts w:cs="Arial"/>
              </w:rPr>
            </w:pPr>
            <w:r w:rsidRPr="003272C7">
              <w:rPr>
                <w:rFonts w:cs="Arial"/>
              </w:rPr>
              <w:t>A detailed knowledge base of continuous and comprehensive water monitoring underpins all water resource investment, allocation arrangements and water sharing across agriculture, urban and environmental uses.</w:t>
            </w:r>
          </w:p>
          <w:p w14:paraId="5B5AFC62" w14:textId="4A4EA60F" w:rsidR="00B242C3" w:rsidRPr="003272C7" w:rsidRDefault="00B242C3" w:rsidP="003B1BEB">
            <w:pPr>
              <w:pStyle w:val="TableBullet"/>
              <w:rPr>
                <w:rFonts w:cs="Arial"/>
              </w:rPr>
            </w:pPr>
            <w:r w:rsidRPr="003272C7">
              <w:rPr>
                <w:rFonts w:cs="Arial"/>
              </w:rPr>
              <w:t xml:space="preserve">The investment has funded the DEECA component of running and maintenance of 950 surface water and 1400 groundwater stations across the state. DEECA pays approximately 30% of the costs for the surface water sites and approximately 80% for the groundwater sites. The remaining costs are shared between </w:t>
            </w:r>
            <w:r w:rsidR="00AF3C80" w:rsidRPr="003272C7">
              <w:rPr>
                <w:rFonts w:cs="Arial"/>
              </w:rPr>
              <w:t xml:space="preserve">over </w:t>
            </w:r>
            <w:r w:rsidRPr="003272C7">
              <w:rPr>
                <w:rFonts w:cs="Arial"/>
              </w:rPr>
              <w:t>55 external partners (</w:t>
            </w:r>
            <w:r w:rsidR="00A34EA0" w:rsidRPr="003272C7">
              <w:rPr>
                <w:rFonts w:cs="Arial"/>
              </w:rPr>
              <w:t>Bureau of Meteorology</w:t>
            </w:r>
            <w:r w:rsidRPr="003272C7">
              <w:rPr>
                <w:rFonts w:cs="Arial"/>
              </w:rPr>
              <w:t xml:space="preserve">, MDBA, water authorities, and local councils) who come together to share the costs through the Regional Water Monitoring Partnership (RWMP). Through this arrangement, </w:t>
            </w:r>
            <w:r w:rsidR="00223E66" w:rsidRPr="003272C7">
              <w:rPr>
                <w:rFonts w:cs="Arial"/>
              </w:rPr>
              <w:t xml:space="preserve">DEECA </w:t>
            </w:r>
            <w:r w:rsidRPr="003272C7">
              <w:rPr>
                <w:rFonts w:cs="Arial"/>
              </w:rPr>
              <w:t>gains access to all the partner monitoring data, and curates and publishes this data via the Water Monitoring Information System (WMIS) and related back-end data systems.</w:t>
            </w:r>
          </w:p>
          <w:p w14:paraId="4C910FAC" w14:textId="77777777" w:rsidR="00B242C3" w:rsidRPr="003272C7" w:rsidRDefault="00B242C3" w:rsidP="003B1BEB">
            <w:pPr>
              <w:pStyle w:val="TableBullet"/>
              <w:rPr>
                <w:rFonts w:cs="Arial"/>
              </w:rPr>
            </w:pPr>
            <w:r w:rsidRPr="003272C7">
              <w:rPr>
                <w:rFonts w:cs="Arial"/>
              </w:rPr>
              <w:t xml:space="preserve">EC5 investment also was expected to deliver vastly improved service to allow users to search, display and download data by funding the redevelopment of the WMIS website. </w:t>
            </w:r>
          </w:p>
        </w:tc>
      </w:tr>
      <w:tr w:rsidR="00B242C3" w:rsidRPr="003272C7" w14:paraId="3682D089" w14:textId="77777777" w:rsidTr="009B0F3E">
        <w:trPr>
          <w:trHeight w:val="259"/>
        </w:trPr>
        <w:tc>
          <w:tcPr>
            <w:tcW w:w="979" w:type="pct"/>
            <w:shd w:val="clear" w:color="auto" w:fill="231EDC" w:themeFill="accent1"/>
          </w:tcPr>
          <w:p w14:paraId="19B3F605" w14:textId="77777777" w:rsidR="00B242C3" w:rsidRPr="003272C7" w:rsidRDefault="00B242C3" w:rsidP="003B1BEB">
            <w:pPr>
              <w:pStyle w:val="TableText"/>
              <w:rPr>
                <w:rFonts w:cs="Arial"/>
                <w:b/>
                <w:bCs/>
              </w:rPr>
            </w:pPr>
            <w:r w:rsidRPr="003272C7">
              <w:rPr>
                <w:rFonts w:cs="Arial"/>
                <w:b/>
                <w:bCs/>
              </w:rPr>
              <w:t>Outputs</w:t>
            </w:r>
          </w:p>
        </w:tc>
        <w:tc>
          <w:tcPr>
            <w:tcW w:w="4021" w:type="pct"/>
          </w:tcPr>
          <w:p w14:paraId="27F1CF32" w14:textId="14385913" w:rsidR="00B242C3" w:rsidRPr="003272C7" w:rsidRDefault="00B242C3" w:rsidP="003B1BEB">
            <w:pPr>
              <w:pStyle w:val="TableBullet"/>
              <w:rPr>
                <w:rFonts w:cs="Arial"/>
              </w:rPr>
            </w:pPr>
            <w:r w:rsidRPr="003272C7">
              <w:rPr>
                <w:rFonts w:cs="Arial"/>
              </w:rPr>
              <w:t>New groundwater contract (3+1 +1 year contract worth $5.7M)</w:t>
            </w:r>
            <w:r w:rsidR="00A34EA0" w:rsidRPr="003272C7">
              <w:rPr>
                <w:rFonts w:cs="Arial"/>
              </w:rPr>
              <w:t>.</w:t>
            </w:r>
          </w:p>
          <w:p w14:paraId="473092A1" w14:textId="717D05EB" w:rsidR="00223E66" w:rsidRPr="003272C7" w:rsidRDefault="00223E66" w:rsidP="003B1BEB">
            <w:pPr>
              <w:pStyle w:val="TableBullet"/>
              <w:rPr>
                <w:rFonts w:cs="Arial"/>
              </w:rPr>
            </w:pPr>
            <w:r w:rsidRPr="003272C7">
              <w:rPr>
                <w:rFonts w:cs="Arial"/>
              </w:rPr>
              <w:t>New laboratory services contract (3+1+1 year contract worth $2M)</w:t>
            </w:r>
            <w:r w:rsidR="00A34EA0" w:rsidRPr="003272C7">
              <w:rPr>
                <w:rFonts w:cs="Arial"/>
              </w:rPr>
              <w:t>.</w:t>
            </w:r>
          </w:p>
          <w:p w14:paraId="36ABC7A9" w14:textId="43AAAF38" w:rsidR="00223E66" w:rsidRPr="003272C7" w:rsidRDefault="00223E66" w:rsidP="003B1BEB">
            <w:pPr>
              <w:pStyle w:val="TableBullet"/>
              <w:rPr>
                <w:rFonts w:cs="Arial"/>
              </w:rPr>
            </w:pPr>
            <w:r w:rsidRPr="003272C7">
              <w:rPr>
                <w:rFonts w:cs="Arial"/>
              </w:rPr>
              <w:t>New surface water monitoring contract (4+1+1 year contract worth $68.2M)</w:t>
            </w:r>
            <w:r w:rsidR="00A34EA0" w:rsidRPr="003272C7">
              <w:rPr>
                <w:rFonts w:cs="Arial"/>
              </w:rPr>
              <w:t>.</w:t>
            </w:r>
          </w:p>
          <w:p w14:paraId="02A67F8B" w14:textId="2C31BA1B" w:rsidR="00B242C3" w:rsidRPr="003272C7" w:rsidRDefault="00B242C3" w:rsidP="003B1BEB">
            <w:pPr>
              <w:pStyle w:val="TableBullet"/>
              <w:rPr>
                <w:rFonts w:cs="Arial"/>
              </w:rPr>
            </w:pPr>
            <w:r w:rsidRPr="003272C7">
              <w:rPr>
                <w:rFonts w:cs="Arial"/>
              </w:rPr>
              <w:t>Annual data collection of surface water data at 950 surface water locations</w:t>
            </w:r>
            <w:r w:rsidR="00A34EA0" w:rsidRPr="003272C7">
              <w:rPr>
                <w:rFonts w:cs="Arial"/>
              </w:rPr>
              <w:t>.</w:t>
            </w:r>
          </w:p>
          <w:p w14:paraId="4877AAD2" w14:textId="589E282E" w:rsidR="00B242C3" w:rsidRPr="003272C7" w:rsidRDefault="00B242C3" w:rsidP="003B1BEB">
            <w:pPr>
              <w:pStyle w:val="TableBullet"/>
              <w:rPr>
                <w:rFonts w:cs="Arial"/>
              </w:rPr>
            </w:pPr>
            <w:r w:rsidRPr="003272C7">
              <w:rPr>
                <w:rFonts w:cs="Arial"/>
              </w:rPr>
              <w:t xml:space="preserve">1015 surface water and groundwater sites upgraded from 3G to 4G </w:t>
            </w:r>
            <w:r w:rsidR="00223E66" w:rsidRPr="003272C7">
              <w:rPr>
                <w:rFonts w:cs="Arial"/>
              </w:rPr>
              <w:t>telemetry</w:t>
            </w:r>
            <w:r w:rsidR="00A34EA0" w:rsidRPr="003272C7">
              <w:rPr>
                <w:rFonts w:cs="Arial"/>
              </w:rPr>
              <w:t>.</w:t>
            </w:r>
          </w:p>
          <w:p w14:paraId="31E12464" w14:textId="7E7991C2" w:rsidR="00B242C3" w:rsidRPr="003272C7" w:rsidRDefault="00B242C3" w:rsidP="003B1BEB">
            <w:pPr>
              <w:pStyle w:val="TableBullet"/>
              <w:rPr>
                <w:rFonts w:cs="Arial"/>
              </w:rPr>
            </w:pPr>
            <w:r w:rsidRPr="003272C7">
              <w:rPr>
                <w:rFonts w:cs="Arial"/>
              </w:rPr>
              <w:t>Annual collection of groundwater data at 1400 groundwater bores</w:t>
            </w:r>
            <w:r w:rsidR="00A34EA0" w:rsidRPr="003272C7">
              <w:rPr>
                <w:rFonts w:cs="Arial"/>
              </w:rPr>
              <w:t>.</w:t>
            </w:r>
          </w:p>
          <w:p w14:paraId="253DE29A" w14:textId="0AC8FDD3" w:rsidR="00B242C3" w:rsidRPr="003272C7" w:rsidRDefault="00B242C3" w:rsidP="003B1BEB">
            <w:pPr>
              <w:pStyle w:val="TableBullet"/>
              <w:rPr>
                <w:rFonts w:cs="Arial"/>
              </w:rPr>
            </w:pPr>
            <w:r w:rsidRPr="003272C7">
              <w:rPr>
                <w:rFonts w:cs="Arial"/>
              </w:rPr>
              <w:t>Monthly maintenance to all surface water sites and quarterly maintenance groundwater bore sites to keep sites in good working order so that there is minimal data loss</w:t>
            </w:r>
            <w:r w:rsidR="00A34EA0" w:rsidRPr="003272C7">
              <w:rPr>
                <w:rFonts w:cs="Arial"/>
              </w:rPr>
              <w:t>.</w:t>
            </w:r>
          </w:p>
          <w:p w14:paraId="522AF25B" w14:textId="58E3C385" w:rsidR="00B242C3" w:rsidRPr="003272C7" w:rsidRDefault="00B242C3" w:rsidP="003B1BEB">
            <w:pPr>
              <w:pStyle w:val="TableBullet"/>
              <w:rPr>
                <w:rFonts w:cs="Arial"/>
              </w:rPr>
            </w:pPr>
            <w:r w:rsidRPr="003272C7">
              <w:rPr>
                <w:rFonts w:cs="Arial"/>
              </w:rPr>
              <w:t xml:space="preserve">2,195 </w:t>
            </w:r>
            <w:r w:rsidR="00223E66" w:rsidRPr="003272C7">
              <w:rPr>
                <w:rFonts w:cs="Arial"/>
              </w:rPr>
              <w:t>maintenance works and upgrades</w:t>
            </w:r>
            <w:r w:rsidRPr="003272C7">
              <w:rPr>
                <w:rFonts w:cs="Arial"/>
              </w:rPr>
              <w:t xml:space="preserve"> of equipment at surface water sites</w:t>
            </w:r>
            <w:r w:rsidR="00A34EA0" w:rsidRPr="003272C7">
              <w:rPr>
                <w:rFonts w:cs="Arial"/>
              </w:rPr>
              <w:t>.</w:t>
            </w:r>
          </w:p>
          <w:p w14:paraId="54A060AD" w14:textId="00C49C5D" w:rsidR="00B242C3" w:rsidRPr="003272C7" w:rsidRDefault="00B242C3" w:rsidP="003B1BEB">
            <w:pPr>
              <w:pStyle w:val="TableBullet"/>
              <w:rPr>
                <w:rFonts w:cs="Arial"/>
              </w:rPr>
            </w:pPr>
            <w:r w:rsidRPr="003272C7">
              <w:rPr>
                <w:rFonts w:cs="Arial"/>
              </w:rPr>
              <w:t xml:space="preserve">Upgrade of </w:t>
            </w:r>
            <w:r w:rsidR="00BF4988" w:rsidRPr="003272C7">
              <w:rPr>
                <w:rFonts w:cs="Arial"/>
              </w:rPr>
              <w:t>RWMP support systems</w:t>
            </w:r>
            <w:r w:rsidR="00523A70" w:rsidRPr="003272C7">
              <w:rPr>
                <w:rFonts w:cs="Arial"/>
              </w:rPr>
              <w:t xml:space="preserve"> </w:t>
            </w:r>
            <w:r w:rsidRPr="003272C7">
              <w:rPr>
                <w:rFonts w:cs="Arial"/>
              </w:rPr>
              <w:t>for surface water, water quality and groundwater contracts to meet partner requirements</w:t>
            </w:r>
            <w:r w:rsidR="00A34EA0" w:rsidRPr="003272C7">
              <w:rPr>
                <w:rFonts w:cs="Arial"/>
              </w:rPr>
              <w:t>.</w:t>
            </w:r>
          </w:p>
          <w:p w14:paraId="7204E587" w14:textId="7EA3B869" w:rsidR="00B242C3" w:rsidRPr="003272C7" w:rsidRDefault="00B242C3" w:rsidP="003B1BEB">
            <w:pPr>
              <w:pStyle w:val="TableBullet"/>
              <w:rPr>
                <w:rFonts w:cs="Arial"/>
              </w:rPr>
            </w:pPr>
            <w:r w:rsidRPr="003272C7">
              <w:rPr>
                <w:rFonts w:cs="Arial"/>
              </w:rPr>
              <w:t xml:space="preserve">Major overhaul of WMIS to introduce a new data model and address user requirements </w:t>
            </w:r>
            <w:r w:rsidR="00523A70" w:rsidRPr="003272C7">
              <w:rPr>
                <w:rFonts w:cs="Arial"/>
              </w:rPr>
              <w:t>following</w:t>
            </w:r>
            <w:r w:rsidRPr="003272C7">
              <w:rPr>
                <w:rFonts w:cs="Arial"/>
              </w:rPr>
              <w:t xml:space="preserve"> the user needs analysis</w:t>
            </w:r>
            <w:r w:rsidR="00A34EA0" w:rsidRPr="003272C7">
              <w:rPr>
                <w:rFonts w:cs="Arial"/>
              </w:rPr>
              <w:t>.</w:t>
            </w:r>
          </w:p>
          <w:p w14:paraId="27A9C1F6" w14:textId="62BBD981" w:rsidR="00B242C3" w:rsidRPr="003272C7" w:rsidRDefault="00C05EE5" w:rsidP="003B1BEB">
            <w:pPr>
              <w:pStyle w:val="TableBullet"/>
              <w:rPr>
                <w:rFonts w:cs="Arial"/>
              </w:rPr>
            </w:pPr>
            <w:r w:rsidRPr="003272C7">
              <w:rPr>
                <w:rFonts w:cs="Arial"/>
              </w:rPr>
              <w:t>The delivery of the 5 yearly analysis of the quality of Victoria’s surface water as required under the Water Act 1989 (section 22) </w:t>
            </w:r>
          </w:p>
        </w:tc>
      </w:tr>
      <w:tr w:rsidR="00B242C3" w:rsidRPr="003272C7" w14:paraId="7A4906D7" w14:textId="77777777" w:rsidTr="009B0F3E">
        <w:trPr>
          <w:trHeight w:val="259"/>
        </w:trPr>
        <w:tc>
          <w:tcPr>
            <w:tcW w:w="5000" w:type="pct"/>
            <w:gridSpan w:val="2"/>
            <w:shd w:val="clear" w:color="auto" w:fill="231EDC" w:themeFill="accent1"/>
          </w:tcPr>
          <w:p w14:paraId="5386ED43" w14:textId="5A9D21E3" w:rsidR="00B242C3" w:rsidRPr="003272C7" w:rsidRDefault="00C51015" w:rsidP="003B1BEB">
            <w:pPr>
              <w:pStyle w:val="TableText"/>
              <w:rPr>
                <w:rFonts w:cs="Arial"/>
              </w:rPr>
            </w:pPr>
            <w:r w:rsidRPr="003272C7">
              <w:rPr>
                <w:rFonts w:cs="Arial"/>
                <w:b/>
                <w:bCs/>
                <w:szCs w:val="18"/>
              </w:rPr>
              <w:t>Summary against evaluation domains</w:t>
            </w:r>
          </w:p>
        </w:tc>
      </w:tr>
      <w:tr w:rsidR="00B242C3" w:rsidRPr="003272C7" w14:paraId="37AAA68E" w14:textId="77777777" w:rsidTr="009B0F3E">
        <w:trPr>
          <w:trHeight w:val="259"/>
        </w:trPr>
        <w:tc>
          <w:tcPr>
            <w:tcW w:w="979" w:type="pct"/>
            <w:shd w:val="clear" w:color="auto" w:fill="231EDC" w:themeFill="accent1"/>
          </w:tcPr>
          <w:p w14:paraId="5E986EB3" w14:textId="77777777" w:rsidR="00B242C3" w:rsidRPr="003272C7" w:rsidRDefault="00B242C3" w:rsidP="003B1BEB">
            <w:pPr>
              <w:pStyle w:val="TableText"/>
              <w:rPr>
                <w:rFonts w:cs="Arial"/>
                <w:b/>
                <w:bCs/>
              </w:rPr>
            </w:pPr>
            <w:r w:rsidRPr="003272C7">
              <w:rPr>
                <w:rFonts w:cs="Arial"/>
                <w:b/>
                <w:bCs/>
              </w:rPr>
              <w:t>Impact</w:t>
            </w:r>
          </w:p>
        </w:tc>
        <w:tc>
          <w:tcPr>
            <w:tcW w:w="4021" w:type="pct"/>
          </w:tcPr>
          <w:p w14:paraId="18DBA7F7" w14:textId="77777777" w:rsidR="00B242C3" w:rsidRPr="003272C7" w:rsidRDefault="00B242C3" w:rsidP="00BA73B0">
            <w:pPr>
              <w:pStyle w:val="TableTextBold"/>
              <w:rPr>
                <w:rFonts w:cs="Arial"/>
              </w:rPr>
            </w:pPr>
            <w:r w:rsidRPr="003272C7">
              <w:rPr>
                <w:rFonts w:cs="Arial"/>
              </w:rPr>
              <w:t>Improved quality and accuracy of monitoring data</w:t>
            </w:r>
          </w:p>
          <w:p w14:paraId="3DC76787" w14:textId="580825BF" w:rsidR="00B242C3" w:rsidRPr="003272C7" w:rsidRDefault="00B242C3" w:rsidP="003B1BEB">
            <w:pPr>
              <w:pStyle w:val="TableBullet"/>
              <w:rPr>
                <w:rFonts w:cs="Arial"/>
              </w:rPr>
            </w:pPr>
            <w:r w:rsidRPr="003272C7">
              <w:rPr>
                <w:rFonts w:cs="Arial"/>
              </w:rPr>
              <w:t>There has been significant investment in infrastructure to ensure that equipment is kept in full working order which results in minimal loss of data. DEECA has spent approximately $1</w:t>
            </w:r>
            <w:r w:rsidR="00A34EA0" w:rsidRPr="003272C7">
              <w:rPr>
                <w:rFonts w:cs="Arial"/>
              </w:rPr>
              <w:t xml:space="preserve"> million</w:t>
            </w:r>
            <w:r w:rsidRPr="003272C7">
              <w:rPr>
                <w:rFonts w:cs="Arial"/>
              </w:rPr>
              <w:t xml:space="preserve"> on instrument repairs and upgrades (excluding 4G upgrades). The impact of this investment was seen in the 2022 floods where the network only suffered minimal loss of data.</w:t>
            </w:r>
          </w:p>
          <w:p w14:paraId="25DB73BF" w14:textId="73B531CE" w:rsidR="00B242C3" w:rsidRPr="003272C7" w:rsidRDefault="00B242C3" w:rsidP="003B1BEB">
            <w:pPr>
              <w:pStyle w:val="TableBullet"/>
              <w:rPr>
                <w:rFonts w:cs="Arial"/>
              </w:rPr>
            </w:pPr>
            <w:r w:rsidRPr="003272C7">
              <w:rPr>
                <w:rFonts w:cs="Arial"/>
              </w:rPr>
              <w:t xml:space="preserve">The entire surface water and groundwater </w:t>
            </w:r>
            <w:r w:rsidR="00C05EE5" w:rsidRPr="003272C7">
              <w:rPr>
                <w:rFonts w:cs="Arial"/>
              </w:rPr>
              <w:t xml:space="preserve">real time data </w:t>
            </w:r>
            <w:r w:rsidRPr="003272C7">
              <w:rPr>
                <w:rFonts w:cs="Arial"/>
              </w:rPr>
              <w:t xml:space="preserve">network has been upgraded from 3G to 4G before Telstra turns off the 3G network in </w:t>
            </w:r>
            <w:r w:rsidR="00C05EE5" w:rsidRPr="003272C7">
              <w:rPr>
                <w:rFonts w:cs="Arial"/>
              </w:rPr>
              <w:t xml:space="preserve">late </w:t>
            </w:r>
            <w:r w:rsidRPr="003272C7">
              <w:rPr>
                <w:rFonts w:cs="Arial"/>
              </w:rPr>
              <w:t>2024</w:t>
            </w:r>
            <w:r w:rsidR="00A34EA0" w:rsidRPr="003272C7">
              <w:rPr>
                <w:rFonts w:cs="Arial"/>
              </w:rPr>
              <w:t>.</w:t>
            </w:r>
          </w:p>
          <w:p w14:paraId="7C111FB2" w14:textId="77777777" w:rsidR="00142559" w:rsidRPr="003272C7" w:rsidRDefault="00B242C3" w:rsidP="00BA73B0">
            <w:pPr>
              <w:pStyle w:val="TableTextBold"/>
              <w:rPr>
                <w:rFonts w:cs="Arial"/>
              </w:rPr>
            </w:pPr>
            <w:r w:rsidRPr="003272C7">
              <w:rPr>
                <w:rFonts w:cs="Arial"/>
              </w:rPr>
              <w:t>Improved data availability and information products:</w:t>
            </w:r>
          </w:p>
          <w:p w14:paraId="27A4CD09" w14:textId="6AE55C41" w:rsidR="00B242C3" w:rsidRPr="003272C7" w:rsidRDefault="00B242C3" w:rsidP="003B1BEB">
            <w:pPr>
              <w:pStyle w:val="TableBullet"/>
              <w:rPr>
                <w:rFonts w:cs="Arial"/>
              </w:rPr>
            </w:pPr>
            <w:r w:rsidRPr="003272C7">
              <w:rPr>
                <w:rFonts w:cs="Arial"/>
              </w:rPr>
              <w:t xml:space="preserve">A user needs analysis was undertaken to assess if the WMIS was meeting user expectations. This review recommended a wide range of improvements would be </w:t>
            </w:r>
            <w:r w:rsidRPr="003272C7">
              <w:rPr>
                <w:rFonts w:cs="Arial"/>
              </w:rPr>
              <w:lastRenderedPageBreak/>
              <w:t>required to fully meet user expectations. As a result of this review, WMIS has been redeveloped in collaboration with the software vendors</w:t>
            </w:r>
            <w:r w:rsidR="002C1741" w:rsidRPr="003272C7">
              <w:rPr>
                <w:rFonts w:cs="Arial"/>
              </w:rPr>
              <w:t>.</w:t>
            </w:r>
          </w:p>
          <w:p w14:paraId="0B5796A6" w14:textId="73ADF6FF" w:rsidR="007104C7" w:rsidRPr="003272C7" w:rsidRDefault="007104C7" w:rsidP="003B1BEB">
            <w:pPr>
              <w:pStyle w:val="TableBullet"/>
              <w:rPr>
                <w:rFonts w:cs="Arial"/>
              </w:rPr>
            </w:pPr>
            <w:r w:rsidRPr="003272C7">
              <w:rPr>
                <w:rFonts w:cs="Arial"/>
              </w:rPr>
              <w:t>DEECA delivered an upgraded WMIS website available through the existing online portal: data.water.vic.gov.au. WMIS publishes consistent statewide water quality information from the RWMP and has improving functionality like advanced search, data downloads and filtering capability with a GIS interface. Future enhancements planned for WMIS will further improve functionality and usability of the platform.</w:t>
            </w:r>
          </w:p>
          <w:p w14:paraId="785A8A3D" w14:textId="11410F39" w:rsidR="00B242C3" w:rsidRPr="003272C7" w:rsidRDefault="00B242C3" w:rsidP="003B1BEB">
            <w:pPr>
              <w:pStyle w:val="TableBullet"/>
              <w:rPr>
                <w:rFonts w:cs="Arial"/>
              </w:rPr>
            </w:pPr>
            <w:r w:rsidRPr="003272C7">
              <w:rPr>
                <w:rFonts w:cs="Arial"/>
              </w:rPr>
              <w:t xml:space="preserve">Prioritisation of </w:t>
            </w:r>
            <w:r w:rsidR="00A34EA0" w:rsidRPr="003272C7">
              <w:rPr>
                <w:rFonts w:cs="Arial"/>
              </w:rPr>
              <w:t>groundwater</w:t>
            </w:r>
            <w:r w:rsidRPr="003272C7">
              <w:rPr>
                <w:rFonts w:cs="Arial"/>
              </w:rPr>
              <w:t xml:space="preserve"> bores: The groundwater monitoring network has been reduced from 2,400 bores to 1,400 core bores.</w:t>
            </w:r>
          </w:p>
          <w:p w14:paraId="414A5238" w14:textId="0BC4BE11" w:rsidR="005D203F" w:rsidRPr="003272C7" w:rsidRDefault="005D203F" w:rsidP="003B1BEB">
            <w:pPr>
              <w:pStyle w:val="TableBullet"/>
              <w:rPr>
                <w:rFonts w:cs="Arial"/>
              </w:rPr>
            </w:pPr>
            <w:r w:rsidRPr="003272C7">
              <w:rPr>
                <w:rFonts w:cs="Arial"/>
              </w:rPr>
              <w:t xml:space="preserve">The production of the 5 yearly analysis of the quality of Victoria’s surface water addressed the key questions of how water quality varies across Victoria and why, how water quality has changed over time, how </w:t>
            </w:r>
            <w:r w:rsidR="00A34EA0" w:rsidRPr="003272C7">
              <w:rPr>
                <w:rFonts w:cs="Arial"/>
              </w:rPr>
              <w:t>long-term</w:t>
            </w:r>
            <w:r w:rsidRPr="003272C7">
              <w:rPr>
                <w:rFonts w:cs="Arial"/>
              </w:rPr>
              <w:t xml:space="preserve"> climate variability impacts water quality. In addition, the analysis gathered data to understand how bushfires affect water quality, how blue-green algal blooms are changing and understanding low dissolved oxygen events.</w:t>
            </w:r>
          </w:p>
          <w:p w14:paraId="7C3F6066" w14:textId="77777777" w:rsidR="00142559" w:rsidRPr="003272C7" w:rsidRDefault="00B242C3" w:rsidP="00BA73B0">
            <w:pPr>
              <w:pStyle w:val="TableTextBold"/>
              <w:rPr>
                <w:rFonts w:cs="Arial"/>
              </w:rPr>
            </w:pPr>
            <w:r w:rsidRPr="003272C7">
              <w:rPr>
                <w:rFonts w:cs="Arial"/>
              </w:rPr>
              <w:t>Management of the RWMP:</w:t>
            </w:r>
          </w:p>
          <w:p w14:paraId="06A7646F" w14:textId="3135E92E" w:rsidR="00B242C3" w:rsidRPr="003272C7" w:rsidRDefault="00B242C3" w:rsidP="003B1BEB">
            <w:pPr>
              <w:pStyle w:val="TableBullet"/>
              <w:rPr>
                <w:rFonts w:cs="Arial"/>
              </w:rPr>
            </w:pPr>
            <w:r w:rsidRPr="003272C7">
              <w:rPr>
                <w:rFonts w:cs="Arial"/>
              </w:rPr>
              <w:t>From the latest user survey 93% of respondents were satisfied/ very satisfied with the data they were receiving</w:t>
            </w:r>
            <w:r w:rsidR="00A34EA0" w:rsidRPr="003272C7">
              <w:rPr>
                <w:rFonts w:cs="Arial"/>
              </w:rPr>
              <w:t>.</w:t>
            </w:r>
          </w:p>
          <w:p w14:paraId="5EC49C3D" w14:textId="4CD8F7CE" w:rsidR="00B242C3" w:rsidRPr="003272C7" w:rsidRDefault="00B242C3" w:rsidP="003B1BEB">
            <w:pPr>
              <w:pStyle w:val="TableBullet"/>
              <w:rPr>
                <w:rFonts w:cs="Arial"/>
              </w:rPr>
            </w:pPr>
            <w:r w:rsidRPr="003272C7">
              <w:rPr>
                <w:rFonts w:cs="Arial"/>
              </w:rPr>
              <w:t>From the latest user survey 97% of respondents are satisfied/ very satisfied that the RWMP provides an efficient monitoring service, and that the data is consistent and reliable</w:t>
            </w:r>
            <w:r w:rsidR="00A34EA0" w:rsidRPr="003272C7">
              <w:rPr>
                <w:rFonts w:cs="Arial"/>
              </w:rPr>
              <w:t>.</w:t>
            </w:r>
          </w:p>
        </w:tc>
      </w:tr>
      <w:tr w:rsidR="00B242C3" w:rsidRPr="003272C7" w14:paraId="479C2446" w14:textId="77777777" w:rsidTr="009B0F3E">
        <w:trPr>
          <w:trHeight w:val="259"/>
        </w:trPr>
        <w:tc>
          <w:tcPr>
            <w:tcW w:w="979" w:type="pct"/>
            <w:shd w:val="clear" w:color="auto" w:fill="231EDC" w:themeFill="accent1"/>
          </w:tcPr>
          <w:p w14:paraId="28C4599F" w14:textId="77777777" w:rsidR="00B242C3" w:rsidRPr="003272C7" w:rsidRDefault="00B242C3" w:rsidP="003B1BEB">
            <w:pPr>
              <w:pStyle w:val="TableText"/>
              <w:rPr>
                <w:rFonts w:cs="Arial"/>
                <w:b/>
                <w:bCs/>
              </w:rPr>
            </w:pPr>
            <w:r w:rsidRPr="003272C7">
              <w:rPr>
                <w:rFonts w:cs="Arial"/>
                <w:b/>
                <w:bCs/>
              </w:rPr>
              <w:lastRenderedPageBreak/>
              <w:t>Effectiveness</w:t>
            </w:r>
          </w:p>
        </w:tc>
        <w:tc>
          <w:tcPr>
            <w:tcW w:w="4021" w:type="pct"/>
          </w:tcPr>
          <w:p w14:paraId="0FAEFFE8" w14:textId="77777777" w:rsidR="00B242C3" w:rsidRPr="003272C7" w:rsidRDefault="00B242C3" w:rsidP="00BA73B0">
            <w:pPr>
              <w:pStyle w:val="TableText"/>
              <w:rPr>
                <w:rFonts w:cs="Arial"/>
              </w:rPr>
            </w:pPr>
            <w:r w:rsidRPr="003272C7">
              <w:rPr>
                <w:rFonts w:cs="Arial"/>
              </w:rPr>
              <w:t>Effectiveness indicated through delivery in line with work plan</w:t>
            </w:r>
          </w:p>
        </w:tc>
      </w:tr>
      <w:tr w:rsidR="00B242C3" w:rsidRPr="003272C7" w14:paraId="79E31B23" w14:textId="77777777" w:rsidTr="009B0F3E">
        <w:trPr>
          <w:trHeight w:val="259"/>
        </w:trPr>
        <w:tc>
          <w:tcPr>
            <w:tcW w:w="979" w:type="pct"/>
            <w:shd w:val="clear" w:color="auto" w:fill="231EDC" w:themeFill="accent1"/>
          </w:tcPr>
          <w:p w14:paraId="4C2865B9" w14:textId="77777777" w:rsidR="00B242C3" w:rsidRPr="003272C7" w:rsidRDefault="00B242C3" w:rsidP="003B1BEB">
            <w:pPr>
              <w:pStyle w:val="TableText"/>
              <w:rPr>
                <w:rFonts w:cs="Arial"/>
                <w:b/>
                <w:bCs/>
              </w:rPr>
            </w:pPr>
            <w:r w:rsidRPr="003272C7">
              <w:rPr>
                <w:rFonts w:cs="Arial"/>
                <w:b/>
                <w:bCs/>
              </w:rPr>
              <w:t>Appropriateness</w:t>
            </w:r>
          </w:p>
        </w:tc>
        <w:tc>
          <w:tcPr>
            <w:tcW w:w="4021" w:type="pct"/>
          </w:tcPr>
          <w:p w14:paraId="44D3514F" w14:textId="7A0787D6" w:rsidR="00B242C3" w:rsidRPr="003272C7" w:rsidRDefault="00B242C3" w:rsidP="00BA73B0">
            <w:pPr>
              <w:pStyle w:val="TableText"/>
              <w:rPr>
                <w:rFonts w:cs="Arial"/>
              </w:rPr>
            </w:pPr>
            <w:r w:rsidRPr="003272C7">
              <w:rPr>
                <w:rFonts w:cs="Arial"/>
              </w:rPr>
              <w:t>From the latest user survey 97% of respondents were satisfied</w:t>
            </w:r>
            <w:r w:rsidR="00A34EA0" w:rsidRPr="003272C7">
              <w:rPr>
                <w:rFonts w:cs="Arial"/>
              </w:rPr>
              <w:t xml:space="preserve"> </w:t>
            </w:r>
            <w:r w:rsidRPr="003272C7">
              <w:rPr>
                <w:rFonts w:cs="Arial"/>
              </w:rPr>
              <w:t>/ very satisfied that the RWMP monitoring services delivered matched their needs and monitoring objectives</w:t>
            </w:r>
            <w:r w:rsidR="00A34EA0" w:rsidRPr="003272C7">
              <w:rPr>
                <w:rFonts w:cs="Arial"/>
              </w:rPr>
              <w:t>.</w:t>
            </w:r>
          </w:p>
        </w:tc>
      </w:tr>
      <w:tr w:rsidR="00B242C3" w:rsidRPr="003272C7" w14:paraId="7253DA55" w14:textId="77777777" w:rsidTr="009B0F3E">
        <w:trPr>
          <w:trHeight w:val="259"/>
        </w:trPr>
        <w:tc>
          <w:tcPr>
            <w:tcW w:w="979" w:type="pct"/>
            <w:shd w:val="clear" w:color="auto" w:fill="231EDC" w:themeFill="accent1"/>
          </w:tcPr>
          <w:p w14:paraId="18950CF2" w14:textId="77777777" w:rsidR="00B242C3" w:rsidRPr="003272C7" w:rsidRDefault="00B242C3" w:rsidP="003B1BEB">
            <w:pPr>
              <w:pStyle w:val="TableText"/>
              <w:rPr>
                <w:rFonts w:cs="Arial"/>
                <w:b/>
                <w:bCs/>
              </w:rPr>
            </w:pPr>
            <w:r w:rsidRPr="003272C7">
              <w:rPr>
                <w:rFonts w:cs="Arial"/>
                <w:b/>
                <w:bCs/>
              </w:rPr>
              <w:t>Efficiency</w:t>
            </w:r>
          </w:p>
        </w:tc>
        <w:tc>
          <w:tcPr>
            <w:tcW w:w="4021" w:type="pct"/>
          </w:tcPr>
          <w:p w14:paraId="6ADEFA50" w14:textId="77777777" w:rsidR="00142559" w:rsidRPr="003272C7" w:rsidRDefault="00B242C3" w:rsidP="003B1BEB">
            <w:pPr>
              <w:pStyle w:val="TableBullet"/>
              <w:rPr>
                <w:rFonts w:cs="Arial"/>
              </w:rPr>
            </w:pPr>
            <w:r w:rsidRPr="003272C7">
              <w:rPr>
                <w:rFonts w:cs="Arial"/>
              </w:rPr>
              <w:t xml:space="preserve">The </w:t>
            </w:r>
            <w:r w:rsidR="00A34EA0" w:rsidRPr="003272C7">
              <w:rPr>
                <w:rFonts w:cs="Arial"/>
              </w:rPr>
              <w:t>p</w:t>
            </w:r>
            <w:r w:rsidRPr="003272C7">
              <w:rPr>
                <w:rFonts w:cs="Arial"/>
              </w:rPr>
              <w:t>rogram has been delivered within budget</w:t>
            </w:r>
            <w:r w:rsidR="00A34EA0" w:rsidRPr="003272C7">
              <w:rPr>
                <w:rFonts w:cs="Arial"/>
              </w:rPr>
              <w:t>.</w:t>
            </w:r>
          </w:p>
          <w:p w14:paraId="0DEA588D" w14:textId="67E22CD6" w:rsidR="00B242C3" w:rsidRPr="003272C7" w:rsidRDefault="00B242C3" w:rsidP="003B1BEB">
            <w:pPr>
              <w:pStyle w:val="TableBullet"/>
              <w:rPr>
                <w:rFonts w:cs="Arial"/>
              </w:rPr>
            </w:pPr>
            <w:r w:rsidRPr="003272C7">
              <w:rPr>
                <w:rFonts w:cs="Arial"/>
              </w:rPr>
              <w:t xml:space="preserve">Cost sharing arrangements has significant benefits in that it allows all RWMP partners to access data and information that they have not contributed </w:t>
            </w:r>
            <w:r w:rsidR="00871185" w:rsidRPr="003272C7">
              <w:rPr>
                <w:rFonts w:cs="Arial"/>
              </w:rPr>
              <w:t>to</w:t>
            </w:r>
            <w:r w:rsidRPr="003272C7">
              <w:rPr>
                <w:rFonts w:cs="Arial"/>
              </w:rPr>
              <w:t xml:space="preserve">. </w:t>
            </w:r>
            <w:r w:rsidR="00871185" w:rsidRPr="003272C7">
              <w:rPr>
                <w:rFonts w:cs="Arial"/>
              </w:rPr>
              <w:t>For example,</w:t>
            </w:r>
            <w:r w:rsidRPr="003272C7">
              <w:rPr>
                <w:rFonts w:cs="Arial"/>
              </w:rPr>
              <w:t xml:space="preserve"> DEECA contributes approx</w:t>
            </w:r>
            <w:r w:rsidR="000D537D" w:rsidRPr="003272C7">
              <w:rPr>
                <w:rFonts w:cs="Arial"/>
              </w:rPr>
              <w:t>imately</w:t>
            </w:r>
            <w:r w:rsidRPr="003272C7">
              <w:rPr>
                <w:rFonts w:cs="Arial"/>
              </w:rPr>
              <w:t xml:space="preserve"> 30% of the </w:t>
            </w:r>
            <w:r w:rsidR="000D537D" w:rsidRPr="003272C7">
              <w:rPr>
                <w:rFonts w:cs="Arial"/>
              </w:rPr>
              <w:t xml:space="preserve">total </w:t>
            </w:r>
            <w:r w:rsidRPr="003272C7">
              <w:rPr>
                <w:rFonts w:cs="Arial"/>
              </w:rPr>
              <w:t xml:space="preserve">monitoring cost </w:t>
            </w:r>
            <w:r w:rsidR="000D537D" w:rsidRPr="003272C7">
              <w:rPr>
                <w:rFonts w:cs="Arial"/>
              </w:rPr>
              <w:t>and</w:t>
            </w:r>
            <w:r w:rsidR="00132D63" w:rsidRPr="003272C7">
              <w:rPr>
                <w:rFonts w:cs="Arial"/>
              </w:rPr>
              <w:t xml:space="preserve"> has</w:t>
            </w:r>
            <w:r w:rsidRPr="003272C7">
              <w:rPr>
                <w:rFonts w:cs="Arial"/>
              </w:rPr>
              <w:t xml:space="preserve"> access to 100% of the data</w:t>
            </w:r>
            <w:r w:rsidR="00132D63" w:rsidRPr="003272C7">
              <w:rPr>
                <w:rFonts w:cs="Arial"/>
              </w:rPr>
              <w:t xml:space="preserve"> collected across the state</w:t>
            </w:r>
            <w:r w:rsidRPr="003272C7">
              <w:rPr>
                <w:rFonts w:cs="Arial"/>
              </w:rPr>
              <w:t>.</w:t>
            </w:r>
          </w:p>
        </w:tc>
      </w:tr>
      <w:tr w:rsidR="00B242C3" w:rsidRPr="003272C7" w14:paraId="7D8617FF" w14:textId="77777777" w:rsidTr="009B0F3E">
        <w:trPr>
          <w:trHeight w:val="259"/>
        </w:trPr>
        <w:tc>
          <w:tcPr>
            <w:tcW w:w="979" w:type="pct"/>
            <w:shd w:val="clear" w:color="auto" w:fill="231EDC" w:themeFill="accent1"/>
          </w:tcPr>
          <w:p w14:paraId="15EBE92A" w14:textId="77777777" w:rsidR="00B242C3" w:rsidRPr="003272C7" w:rsidRDefault="00B242C3" w:rsidP="003B1BEB">
            <w:pPr>
              <w:pStyle w:val="TableText"/>
              <w:rPr>
                <w:rFonts w:cs="Arial"/>
                <w:b/>
                <w:bCs/>
              </w:rPr>
            </w:pPr>
            <w:r w:rsidRPr="003272C7">
              <w:rPr>
                <w:rFonts w:cs="Arial"/>
                <w:b/>
                <w:bCs/>
              </w:rPr>
              <w:t>Legacy</w:t>
            </w:r>
          </w:p>
        </w:tc>
        <w:tc>
          <w:tcPr>
            <w:tcW w:w="4021" w:type="pct"/>
          </w:tcPr>
          <w:p w14:paraId="3DAEA497" w14:textId="77777777" w:rsidR="00142559" w:rsidRPr="003272C7" w:rsidRDefault="00C31929" w:rsidP="003B1BEB">
            <w:pPr>
              <w:pStyle w:val="TableBullet"/>
              <w:rPr>
                <w:rFonts w:cs="Arial"/>
              </w:rPr>
            </w:pPr>
            <w:r w:rsidRPr="003272C7">
              <w:rPr>
                <w:rFonts w:cs="Arial"/>
              </w:rPr>
              <w:t xml:space="preserve">Continuation of monitoring at long-term sites over the EC5 period under this </w:t>
            </w:r>
            <w:r w:rsidR="00445736" w:rsidRPr="003272C7">
              <w:rPr>
                <w:rFonts w:cs="Arial"/>
              </w:rPr>
              <w:t>project</w:t>
            </w:r>
            <w:r w:rsidRPr="003272C7">
              <w:rPr>
                <w:rFonts w:cs="Arial"/>
              </w:rPr>
              <w:t xml:space="preserve"> provides Victoria with an unbroken long-term record of water resource conditions that will underpin long-term modelling and planning for the sector for many years.</w:t>
            </w:r>
          </w:p>
          <w:p w14:paraId="165CB485" w14:textId="25C97C34" w:rsidR="00B242C3" w:rsidRPr="003272C7" w:rsidRDefault="00C31929" w:rsidP="003B1BEB">
            <w:pPr>
              <w:pStyle w:val="TableBullet"/>
              <w:rPr>
                <w:rFonts w:cs="Arial"/>
              </w:rPr>
            </w:pPr>
            <w:r w:rsidRPr="003272C7">
              <w:rPr>
                <w:rFonts w:cs="Arial"/>
              </w:rPr>
              <w:t xml:space="preserve">Continuation </w:t>
            </w:r>
            <w:r w:rsidR="00B07332" w:rsidRPr="003272C7">
              <w:rPr>
                <w:rFonts w:cs="Arial"/>
              </w:rPr>
              <w:t xml:space="preserve">sharing </w:t>
            </w:r>
            <w:r w:rsidRPr="003272C7">
              <w:rPr>
                <w:rFonts w:cs="Arial"/>
              </w:rPr>
              <w:t xml:space="preserve">information via the website over the long term is a key focus of the program. Improvements made to the website delivered by this </w:t>
            </w:r>
            <w:r w:rsidR="00445736" w:rsidRPr="003272C7">
              <w:rPr>
                <w:rFonts w:cs="Arial"/>
              </w:rPr>
              <w:t>project</w:t>
            </w:r>
            <w:r w:rsidRPr="003272C7">
              <w:rPr>
                <w:rFonts w:cs="Arial"/>
              </w:rPr>
              <w:t xml:space="preserve"> will help ensure RWMP partners, the sector more broadly, and the Victorian public can access this data over the longer term. </w:t>
            </w:r>
          </w:p>
        </w:tc>
      </w:tr>
      <w:tr w:rsidR="00B242C3" w:rsidRPr="003272C7" w14:paraId="66E68EFC" w14:textId="77777777" w:rsidTr="009B0F3E">
        <w:trPr>
          <w:trHeight w:val="259"/>
        </w:trPr>
        <w:tc>
          <w:tcPr>
            <w:tcW w:w="979" w:type="pct"/>
            <w:shd w:val="clear" w:color="auto" w:fill="231EDC" w:themeFill="accent1"/>
          </w:tcPr>
          <w:p w14:paraId="1C538EFF" w14:textId="77777777" w:rsidR="00B242C3" w:rsidRPr="003272C7" w:rsidRDefault="00B242C3" w:rsidP="003B1BEB">
            <w:pPr>
              <w:pStyle w:val="TableText"/>
              <w:rPr>
                <w:rFonts w:cs="Arial"/>
                <w:b/>
                <w:bCs/>
              </w:rPr>
            </w:pPr>
            <w:r w:rsidRPr="003272C7">
              <w:rPr>
                <w:rFonts w:cs="Arial"/>
                <w:b/>
                <w:bCs/>
              </w:rPr>
              <w:t>Future priorities</w:t>
            </w:r>
          </w:p>
        </w:tc>
        <w:tc>
          <w:tcPr>
            <w:tcW w:w="4021" w:type="pct"/>
          </w:tcPr>
          <w:p w14:paraId="4CA17BC4" w14:textId="77777777" w:rsidR="00B242C3" w:rsidRPr="003272C7" w:rsidRDefault="00B242C3" w:rsidP="003B1BEB">
            <w:pPr>
              <w:pStyle w:val="TableBullet"/>
              <w:rPr>
                <w:rFonts w:cs="Arial"/>
              </w:rPr>
            </w:pPr>
            <w:r w:rsidRPr="003272C7">
              <w:rPr>
                <w:rFonts w:cs="Arial"/>
              </w:rPr>
              <w:t>Funding needs to be kept at current levels in real terms, otherwise the number of monitoring sites and the amount of maintenance will need to be decreased. This will result in a network that is not reliable or as comprehensive. This would have implications for reporting, compliance, and modelling and assessments.</w:t>
            </w:r>
          </w:p>
          <w:p w14:paraId="6A15F1B5" w14:textId="77777777" w:rsidR="00B242C3" w:rsidRPr="003272C7" w:rsidRDefault="00B242C3" w:rsidP="003B1BEB">
            <w:pPr>
              <w:pStyle w:val="TableBullet"/>
              <w:rPr>
                <w:rFonts w:cs="Arial"/>
              </w:rPr>
            </w:pPr>
            <w:r w:rsidRPr="003272C7">
              <w:rPr>
                <w:rFonts w:cs="Arial"/>
              </w:rPr>
              <w:t>There will need to be a major one-off investment in asset renewal during the next EC tranche.</w:t>
            </w:r>
          </w:p>
        </w:tc>
      </w:tr>
    </w:tbl>
    <w:p w14:paraId="7468C5F8" w14:textId="77777777" w:rsidR="00B242C3" w:rsidRPr="003272C7" w:rsidRDefault="00B242C3" w:rsidP="00B242C3">
      <w:pPr>
        <w:pStyle w:val="Heading2"/>
        <w:rPr>
          <w:rFonts w:cs="Arial"/>
        </w:rPr>
      </w:pPr>
      <w:bookmarkStart w:id="45" w:name="_Toc147410788"/>
      <w:bookmarkStart w:id="46" w:name="_Toc183777796"/>
      <w:r w:rsidRPr="003272C7">
        <w:rPr>
          <w:rFonts w:cs="Arial"/>
        </w:rPr>
        <w:t>WRS15: Water Accounting and Reporting</w:t>
      </w:r>
      <w:bookmarkEnd w:id="45"/>
      <w:bookmarkEnd w:id="4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BAB7552" w14:textId="77777777" w:rsidTr="002D31D0">
        <w:trPr>
          <w:trHeight w:val="395"/>
        </w:trPr>
        <w:tc>
          <w:tcPr>
            <w:tcW w:w="979" w:type="pct"/>
            <w:shd w:val="clear" w:color="auto" w:fill="231EDC" w:themeFill="accent1"/>
          </w:tcPr>
          <w:p w14:paraId="727FB347" w14:textId="4AAC06D4" w:rsidR="00B242C3" w:rsidRPr="003272C7" w:rsidRDefault="00C412A9" w:rsidP="00BA73B0">
            <w:pPr>
              <w:pStyle w:val="TableHeading"/>
              <w:rPr>
                <w:rFonts w:cs="Arial"/>
              </w:rPr>
            </w:pPr>
            <w:r w:rsidRPr="003272C7">
              <w:rPr>
                <w:rFonts w:cs="Arial"/>
              </w:rPr>
              <w:t>Initiative</w:t>
            </w:r>
          </w:p>
        </w:tc>
        <w:tc>
          <w:tcPr>
            <w:tcW w:w="4021" w:type="pct"/>
            <w:shd w:val="clear" w:color="auto" w:fill="231EDC" w:themeFill="accent1"/>
          </w:tcPr>
          <w:p w14:paraId="280D921F" w14:textId="77777777" w:rsidR="00B242C3" w:rsidRPr="003272C7" w:rsidRDefault="00B242C3" w:rsidP="00BA73B0">
            <w:pPr>
              <w:pStyle w:val="TableHeading"/>
              <w:rPr>
                <w:rFonts w:cs="Arial"/>
              </w:rPr>
            </w:pPr>
            <w:r w:rsidRPr="003272C7">
              <w:rPr>
                <w:rFonts w:cs="Arial"/>
              </w:rPr>
              <w:t>4. The evidence base for Victorian water: availability and knowledge</w:t>
            </w:r>
          </w:p>
        </w:tc>
      </w:tr>
      <w:tr w:rsidR="00B242C3" w:rsidRPr="003272C7" w14:paraId="055E83A8" w14:textId="77777777" w:rsidTr="002D31D0">
        <w:trPr>
          <w:trHeight w:val="341"/>
        </w:trPr>
        <w:tc>
          <w:tcPr>
            <w:tcW w:w="979" w:type="pct"/>
            <w:shd w:val="clear" w:color="auto" w:fill="231EDC" w:themeFill="accent1"/>
          </w:tcPr>
          <w:p w14:paraId="6BC09E42" w14:textId="77777777" w:rsidR="00B242C3" w:rsidRPr="003272C7" w:rsidRDefault="00B242C3" w:rsidP="00BA73B0">
            <w:pPr>
              <w:pStyle w:val="TableText"/>
              <w:rPr>
                <w:rFonts w:cs="Arial"/>
                <w:b/>
                <w:bCs/>
              </w:rPr>
            </w:pPr>
            <w:r w:rsidRPr="003272C7">
              <w:rPr>
                <w:rFonts w:cs="Arial"/>
                <w:b/>
                <w:bCs/>
              </w:rPr>
              <w:t>Project</w:t>
            </w:r>
          </w:p>
        </w:tc>
        <w:tc>
          <w:tcPr>
            <w:tcW w:w="4021" w:type="pct"/>
          </w:tcPr>
          <w:p w14:paraId="57843127" w14:textId="77777777" w:rsidR="00B242C3" w:rsidRPr="003272C7" w:rsidRDefault="00B242C3" w:rsidP="00BA73B0">
            <w:pPr>
              <w:pStyle w:val="TableText"/>
              <w:rPr>
                <w:rFonts w:cs="Arial"/>
              </w:rPr>
            </w:pPr>
            <w:r w:rsidRPr="003272C7">
              <w:rPr>
                <w:rFonts w:cs="Arial"/>
              </w:rPr>
              <w:t>WRS15: Water Accounting and Reporting</w:t>
            </w:r>
          </w:p>
        </w:tc>
      </w:tr>
      <w:tr w:rsidR="00B242C3" w:rsidRPr="003272C7" w14:paraId="1896B6E9" w14:textId="77777777" w:rsidTr="002D31D0">
        <w:trPr>
          <w:trHeight w:val="259"/>
        </w:trPr>
        <w:tc>
          <w:tcPr>
            <w:tcW w:w="979" w:type="pct"/>
            <w:shd w:val="clear" w:color="auto" w:fill="231EDC" w:themeFill="accent1"/>
          </w:tcPr>
          <w:p w14:paraId="15ED7962" w14:textId="77777777" w:rsidR="00B242C3" w:rsidRPr="003272C7" w:rsidRDefault="00B242C3" w:rsidP="00BA73B0">
            <w:pPr>
              <w:pStyle w:val="TableText"/>
              <w:rPr>
                <w:rFonts w:cs="Arial"/>
                <w:b/>
                <w:bCs/>
              </w:rPr>
            </w:pPr>
            <w:r w:rsidRPr="003272C7">
              <w:rPr>
                <w:rFonts w:cs="Arial"/>
                <w:b/>
                <w:bCs/>
              </w:rPr>
              <w:t>Description</w:t>
            </w:r>
          </w:p>
          <w:p w14:paraId="525664AA" w14:textId="77777777" w:rsidR="00B242C3" w:rsidRPr="003272C7" w:rsidRDefault="00B242C3" w:rsidP="00BA73B0">
            <w:pPr>
              <w:pStyle w:val="TableText"/>
              <w:rPr>
                <w:rFonts w:cs="Arial"/>
                <w:b/>
                <w:bCs/>
              </w:rPr>
            </w:pPr>
          </w:p>
        </w:tc>
        <w:tc>
          <w:tcPr>
            <w:tcW w:w="4021" w:type="pct"/>
          </w:tcPr>
          <w:p w14:paraId="5760B336" w14:textId="4D206642" w:rsidR="00B242C3" w:rsidRPr="003272C7" w:rsidRDefault="00B242C3" w:rsidP="00BA73B0">
            <w:pPr>
              <w:pStyle w:val="TableText"/>
              <w:rPr>
                <w:rFonts w:cs="Arial"/>
              </w:rPr>
            </w:pPr>
            <w:r w:rsidRPr="003272C7">
              <w:rPr>
                <w:rFonts w:cs="Arial"/>
              </w:rPr>
              <w:t>The investment proposed to continue to deliver critical business-as-usual functions</w:t>
            </w:r>
            <w:r w:rsidR="007D69DB" w:rsidRPr="003272C7">
              <w:rPr>
                <w:rFonts w:cs="Arial"/>
              </w:rPr>
              <w:t> </w:t>
            </w:r>
            <w:r w:rsidRPr="003272C7">
              <w:rPr>
                <w:rFonts w:cs="Arial"/>
              </w:rPr>
              <w:t>including:</w:t>
            </w:r>
          </w:p>
          <w:p w14:paraId="33C7F636" w14:textId="660A04CB" w:rsidR="00B242C3" w:rsidRPr="003272C7" w:rsidRDefault="00B242C3" w:rsidP="00BA73B0">
            <w:pPr>
              <w:pStyle w:val="TableBullet"/>
              <w:rPr>
                <w:rFonts w:cs="Arial"/>
              </w:rPr>
            </w:pPr>
            <w:r w:rsidRPr="003272C7">
              <w:rPr>
                <w:rFonts w:cs="Arial"/>
              </w:rPr>
              <w:t xml:space="preserve">Accounting functions for operation of the </w:t>
            </w:r>
            <w:r w:rsidR="00A34EA0" w:rsidRPr="003272C7">
              <w:rPr>
                <w:rFonts w:cs="Arial"/>
              </w:rPr>
              <w:t>VWR</w:t>
            </w:r>
            <w:r w:rsidRPr="003272C7">
              <w:rPr>
                <w:rFonts w:cs="Arial"/>
              </w:rPr>
              <w:t>, and support for users of the</w:t>
            </w:r>
            <w:r w:rsidR="007D69DB" w:rsidRPr="003272C7">
              <w:rPr>
                <w:rFonts w:cs="Arial"/>
              </w:rPr>
              <w:t> </w:t>
            </w:r>
            <w:r w:rsidRPr="003272C7">
              <w:rPr>
                <w:rFonts w:cs="Arial"/>
              </w:rPr>
              <w:t>register</w:t>
            </w:r>
          </w:p>
          <w:p w14:paraId="193D360F" w14:textId="709D10AF" w:rsidR="00B242C3" w:rsidRPr="003272C7" w:rsidRDefault="00B242C3" w:rsidP="00BA73B0">
            <w:pPr>
              <w:pStyle w:val="TableBullet"/>
              <w:rPr>
                <w:rFonts w:cs="Arial"/>
              </w:rPr>
            </w:pPr>
            <w:r w:rsidRPr="003272C7">
              <w:rPr>
                <w:rFonts w:cs="Arial"/>
              </w:rPr>
              <w:lastRenderedPageBreak/>
              <w:t>compiling and publishing the annual Victorian Water Accounts which provide a transparent assessment of water availability and use by river basin, groundwater catchment/groundwater management unit and state-wide</w:t>
            </w:r>
            <w:r w:rsidR="00A34EA0" w:rsidRPr="003272C7">
              <w:rPr>
                <w:rFonts w:cs="Arial"/>
              </w:rPr>
              <w:t>.</w:t>
            </w:r>
          </w:p>
          <w:p w14:paraId="5C4F9904" w14:textId="124E899E" w:rsidR="00B242C3" w:rsidRPr="003272C7" w:rsidRDefault="00B242C3" w:rsidP="00BA73B0">
            <w:pPr>
              <w:pStyle w:val="TableBullet"/>
              <w:rPr>
                <w:rFonts w:cs="Arial"/>
              </w:rPr>
            </w:pPr>
            <w:r w:rsidRPr="003272C7">
              <w:rPr>
                <w:rFonts w:cs="Arial"/>
              </w:rPr>
              <w:t>Regular reporting on the status of water resource condition to the Minister, executives and other decision-makers within DEECA</w:t>
            </w:r>
            <w:r w:rsidR="00A34EA0" w:rsidRPr="003272C7">
              <w:rPr>
                <w:rFonts w:cs="Arial"/>
              </w:rPr>
              <w:t>.</w:t>
            </w:r>
          </w:p>
          <w:p w14:paraId="74AE17CD" w14:textId="02B3FE35" w:rsidR="00B242C3" w:rsidRPr="003272C7" w:rsidRDefault="00B242C3" w:rsidP="00BA73B0">
            <w:pPr>
              <w:pStyle w:val="TableBullet"/>
              <w:rPr>
                <w:rFonts w:cs="Arial"/>
              </w:rPr>
            </w:pPr>
            <w:r w:rsidRPr="003272C7">
              <w:rPr>
                <w:rFonts w:cs="Arial"/>
              </w:rPr>
              <w:t>Regular reporting on water resource condition to the public via the Current Water Snapshot website</w:t>
            </w:r>
            <w:r w:rsidR="00A34EA0" w:rsidRPr="003272C7">
              <w:rPr>
                <w:rFonts w:cs="Arial"/>
              </w:rPr>
              <w:t>.</w:t>
            </w:r>
          </w:p>
          <w:p w14:paraId="55D3FC25" w14:textId="05C2B825" w:rsidR="00B242C3" w:rsidRPr="003272C7" w:rsidRDefault="00B242C3" w:rsidP="00BA73B0">
            <w:pPr>
              <w:pStyle w:val="TableBullet"/>
              <w:rPr>
                <w:rFonts w:cs="Arial"/>
              </w:rPr>
            </w:pPr>
            <w:r w:rsidRPr="003272C7">
              <w:rPr>
                <w:rFonts w:cs="Arial"/>
              </w:rPr>
              <w:t>providing accurate water quantity data for a wide range of other annual and ad-hoc uses, for the Bureau of Meteorology, MDBA, policy and decision-makers</w:t>
            </w:r>
            <w:r w:rsidR="00A34EA0" w:rsidRPr="003272C7">
              <w:rPr>
                <w:rFonts w:cs="Arial"/>
              </w:rPr>
              <w:t>.</w:t>
            </w:r>
          </w:p>
          <w:p w14:paraId="407D0E34" w14:textId="77777777" w:rsidR="00B242C3" w:rsidRPr="003272C7" w:rsidRDefault="00B242C3" w:rsidP="00BA73B0">
            <w:pPr>
              <w:pStyle w:val="TableText"/>
              <w:rPr>
                <w:rFonts w:cs="Arial"/>
              </w:rPr>
            </w:pPr>
            <w:r w:rsidRPr="003272C7">
              <w:rPr>
                <w:rFonts w:cs="Arial"/>
              </w:rPr>
              <w:t xml:space="preserve">Furthermore, the investment funded a one-off upgrade of the Victorian Water Accounts platform, building a new interactive website to improve the ability of users to engage with the water accounts and download the data for use. </w:t>
            </w:r>
          </w:p>
        </w:tc>
      </w:tr>
      <w:tr w:rsidR="00B242C3" w:rsidRPr="003272C7" w14:paraId="4E860BDC" w14:textId="77777777" w:rsidTr="002D31D0">
        <w:trPr>
          <w:trHeight w:val="259"/>
        </w:trPr>
        <w:tc>
          <w:tcPr>
            <w:tcW w:w="979" w:type="pct"/>
            <w:shd w:val="clear" w:color="auto" w:fill="231EDC" w:themeFill="accent1"/>
          </w:tcPr>
          <w:p w14:paraId="68F3D033" w14:textId="77777777" w:rsidR="00B242C3" w:rsidRPr="003272C7" w:rsidRDefault="00B242C3" w:rsidP="00BA73B0">
            <w:pPr>
              <w:pStyle w:val="TableText"/>
              <w:rPr>
                <w:rFonts w:cs="Arial"/>
                <w:b/>
                <w:bCs/>
              </w:rPr>
            </w:pPr>
            <w:r w:rsidRPr="003272C7">
              <w:rPr>
                <w:rFonts w:cs="Arial"/>
                <w:b/>
                <w:bCs/>
              </w:rPr>
              <w:lastRenderedPageBreak/>
              <w:t>Outputs</w:t>
            </w:r>
          </w:p>
        </w:tc>
        <w:tc>
          <w:tcPr>
            <w:tcW w:w="4021" w:type="pct"/>
          </w:tcPr>
          <w:p w14:paraId="6C872046" w14:textId="04A62A61" w:rsidR="00B242C3" w:rsidRPr="003272C7" w:rsidRDefault="00B242C3" w:rsidP="00BA73B0">
            <w:pPr>
              <w:pStyle w:val="TableBullet"/>
              <w:rPr>
                <w:rFonts w:cs="Arial"/>
              </w:rPr>
            </w:pPr>
            <w:r w:rsidRPr="003272C7">
              <w:rPr>
                <w:rFonts w:cs="Arial"/>
              </w:rPr>
              <w:t>Published Victorian Water accounts in PDF and on websites</w:t>
            </w:r>
            <w:r w:rsidR="00A34EA0" w:rsidRPr="003272C7">
              <w:rPr>
                <w:rFonts w:cs="Arial"/>
              </w:rPr>
              <w:t>.</w:t>
            </w:r>
          </w:p>
          <w:p w14:paraId="16EDFEEA" w14:textId="5F4FDD99" w:rsidR="00B242C3" w:rsidRPr="003272C7" w:rsidRDefault="00B242C3" w:rsidP="00BA73B0">
            <w:pPr>
              <w:pStyle w:val="TableBullet"/>
              <w:rPr>
                <w:rFonts w:cs="Arial"/>
              </w:rPr>
            </w:pPr>
            <w:r w:rsidRPr="003272C7">
              <w:rPr>
                <w:rFonts w:cs="Arial"/>
              </w:rPr>
              <w:t>Daily (when required) and weekly water resource condition reports for the Minister’s Office and water executives</w:t>
            </w:r>
            <w:r w:rsidR="00A34EA0" w:rsidRPr="003272C7">
              <w:rPr>
                <w:rFonts w:cs="Arial"/>
              </w:rPr>
              <w:t>.</w:t>
            </w:r>
          </w:p>
          <w:p w14:paraId="4359169F" w14:textId="03C5658C" w:rsidR="00B242C3" w:rsidRPr="003272C7" w:rsidRDefault="00B242C3" w:rsidP="00BA73B0">
            <w:pPr>
              <w:pStyle w:val="TableBullet"/>
              <w:rPr>
                <w:rFonts w:cs="Arial"/>
              </w:rPr>
            </w:pPr>
            <w:r w:rsidRPr="003272C7">
              <w:rPr>
                <w:rFonts w:cs="Arial"/>
              </w:rPr>
              <w:t>Weekly Current Water Snapshot website report to provide a public summary of water resource condition Water register accounting transactions to maintain correct retail register account balances for 116,000 customer accounts and 148,000 water entitlements</w:t>
            </w:r>
            <w:r w:rsidR="00A34EA0" w:rsidRPr="003272C7">
              <w:rPr>
                <w:rFonts w:cs="Arial"/>
              </w:rPr>
              <w:t>.</w:t>
            </w:r>
          </w:p>
          <w:p w14:paraId="4BC5B3C4" w14:textId="484DE32D" w:rsidR="00B242C3" w:rsidRPr="003272C7" w:rsidRDefault="00B242C3" w:rsidP="00BA73B0">
            <w:pPr>
              <w:pStyle w:val="TableBullet"/>
              <w:rPr>
                <w:rFonts w:cs="Arial"/>
              </w:rPr>
            </w:pPr>
            <w:r w:rsidRPr="003272C7">
              <w:rPr>
                <w:rFonts w:cs="Arial"/>
              </w:rPr>
              <w:t>Reconciliation spreadsheets and reports to provide transparency of process</w:t>
            </w:r>
            <w:r w:rsidR="00A34EA0" w:rsidRPr="003272C7">
              <w:rPr>
                <w:rFonts w:cs="Arial"/>
              </w:rPr>
              <w:t>.</w:t>
            </w:r>
          </w:p>
          <w:p w14:paraId="7A8E5684" w14:textId="467AC6DA" w:rsidR="00B242C3" w:rsidRPr="003272C7" w:rsidRDefault="00B242C3" w:rsidP="00BA73B0">
            <w:pPr>
              <w:pStyle w:val="TableBullet"/>
              <w:rPr>
                <w:rFonts w:cs="Arial"/>
              </w:rPr>
            </w:pPr>
            <w:r w:rsidRPr="003272C7">
              <w:rPr>
                <w:rFonts w:cs="Arial"/>
              </w:rPr>
              <w:t>Advice and support to users requiring assistance with VWR functions</w:t>
            </w:r>
            <w:r w:rsidR="00A34EA0" w:rsidRPr="003272C7">
              <w:rPr>
                <w:rFonts w:cs="Arial"/>
              </w:rPr>
              <w:t>.</w:t>
            </w:r>
          </w:p>
          <w:p w14:paraId="419A10DF" w14:textId="71C7755D" w:rsidR="00B242C3" w:rsidRPr="003272C7" w:rsidRDefault="00B242C3" w:rsidP="00BA73B0">
            <w:pPr>
              <w:pStyle w:val="TableBullet"/>
              <w:rPr>
                <w:rFonts w:cs="Arial"/>
              </w:rPr>
            </w:pPr>
            <w:r w:rsidRPr="003272C7">
              <w:rPr>
                <w:rFonts w:cs="Arial"/>
              </w:rPr>
              <w:t>Data files to meet internal and external users’ data needs</w:t>
            </w:r>
            <w:r w:rsidR="00A34EA0" w:rsidRPr="003272C7">
              <w:rPr>
                <w:rFonts w:cs="Arial"/>
              </w:rPr>
              <w:t>.</w:t>
            </w:r>
          </w:p>
        </w:tc>
      </w:tr>
      <w:tr w:rsidR="00B242C3" w:rsidRPr="003272C7" w14:paraId="1A243B29" w14:textId="77777777" w:rsidTr="002D31D0">
        <w:trPr>
          <w:trHeight w:val="259"/>
        </w:trPr>
        <w:tc>
          <w:tcPr>
            <w:tcW w:w="5000" w:type="pct"/>
            <w:gridSpan w:val="2"/>
            <w:shd w:val="clear" w:color="auto" w:fill="231EDC" w:themeFill="accent1"/>
          </w:tcPr>
          <w:p w14:paraId="0781D064" w14:textId="5929EB90" w:rsidR="00B242C3" w:rsidRPr="003272C7" w:rsidRDefault="00C51015" w:rsidP="00BA73B0">
            <w:pPr>
              <w:pStyle w:val="TableText"/>
              <w:rPr>
                <w:rFonts w:cs="Arial"/>
                <w:b/>
                <w:bCs/>
              </w:rPr>
            </w:pPr>
            <w:r w:rsidRPr="003272C7">
              <w:rPr>
                <w:rFonts w:cs="Arial"/>
                <w:b/>
                <w:bCs/>
                <w:szCs w:val="18"/>
              </w:rPr>
              <w:t>Summary against evaluation domains</w:t>
            </w:r>
          </w:p>
        </w:tc>
      </w:tr>
      <w:tr w:rsidR="00B242C3" w:rsidRPr="003272C7" w14:paraId="217E9399" w14:textId="77777777" w:rsidTr="002D31D0">
        <w:trPr>
          <w:trHeight w:val="259"/>
        </w:trPr>
        <w:tc>
          <w:tcPr>
            <w:tcW w:w="979" w:type="pct"/>
            <w:shd w:val="clear" w:color="auto" w:fill="231EDC" w:themeFill="accent1"/>
          </w:tcPr>
          <w:p w14:paraId="7AFE5B86" w14:textId="77777777" w:rsidR="00B242C3" w:rsidRPr="003272C7" w:rsidRDefault="00B242C3" w:rsidP="00BA73B0">
            <w:pPr>
              <w:pStyle w:val="TableText"/>
              <w:rPr>
                <w:rFonts w:cs="Arial"/>
                <w:b/>
                <w:bCs/>
              </w:rPr>
            </w:pPr>
            <w:r w:rsidRPr="003272C7">
              <w:rPr>
                <w:rFonts w:cs="Arial"/>
                <w:b/>
                <w:bCs/>
              </w:rPr>
              <w:t>Impact</w:t>
            </w:r>
          </w:p>
        </w:tc>
        <w:tc>
          <w:tcPr>
            <w:tcW w:w="4021" w:type="pct"/>
          </w:tcPr>
          <w:p w14:paraId="10286A8A" w14:textId="77777777" w:rsidR="00142559" w:rsidRPr="003272C7" w:rsidRDefault="00B242C3" w:rsidP="00BA73B0">
            <w:pPr>
              <w:pStyle w:val="TableTextBold"/>
              <w:rPr>
                <w:rFonts w:cs="Arial"/>
              </w:rPr>
            </w:pPr>
            <w:r w:rsidRPr="003272C7">
              <w:rPr>
                <w:rFonts w:cs="Arial"/>
              </w:rPr>
              <w:t>Improved level of service and information availability to Vic water users:</w:t>
            </w:r>
          </w:p>
          <w:p w14:paraId="1D09FE21" w14:textId="5C7F067A" w:rsidR="00B242C3" w:rsidRPr="003272C7" w:rsidRDefault="00B242C3" w:rsidP="00BA73B0">
            <w:pPr>
              <w:pStyle w:val="TableBullet"/>
              <w:rPr>
                <w:rFonts w:cs="Arial"/>
              </w:rPr>
            </w:pPr>
            <w:r w:rsidRPr="003272C7">
              <w:rPr>
                <w:rFonts w:cs="Arial"/>
              </w:rPr>
              <w:t>Legislative requirements to publicly report on water availability and use are met.</w:t>
            </w:r>
          </w:p>
          <w:p w14:paraId="2366FEDF" w14:textId="77777777" w:rsidR="00B242C3" w:rsidRPr="003272C7" w:rsidRDefault="00B242C3" w:rsidP="00BA73B0">
            <w:pPr>
              <w:pStyle w:val="TableBullet"/>
              <w:rPr>
                <w:rFonts w:cs="Arial"/>
              </w:rPr>
            </w:pPr>
            <w:r w:rsidRPr="003272C7">
              <w:rPr>
                <w:rFonts w:cs="Arial"/>
              </w:rPr>
              <w:t>Over the four years of EC5, the Water Register team has consistently improved the turn-around time for end of financial year roll-over, including the application of carryover and the opening of trade opportunities for customers.</w:t>
            </w:r>
          </w:p>
          <w:p w14:paraId="184940EE" w14:textId="77777777" w:rsidR="00142559" w:rsidRPr="003272C7" w:rsidRDefault="00B242C3" w:rsidP="00BA73B0">
            <w:pPr>
              <w:pStyle w:val="TableBullet"/>
              <w:rPr>
                <w:rFonts w:cs="Arial"/>
              </w:rPr>
            </w:pPr>
            <w:r w:rsidRPr="003272C7">
              <w:rPr>
                <w:rFonts w:cs="Arial"/>
              </w:rPr>
              <w:t>Relevant components of the data from the Victorian Water Accounts were regularly made available earlier to meet specific needs. On many occasions, these data requests were quite time consuming and contributed towards delays of the overall accounts release. The team considers that meeting these (often time-critical) information needs of internal and external customers is an important function of the team.</w:t>
            </w:r>
          </w:p>
          <w:p w14:paraId="2F8069FE" w14:textId="47690049" w:rsidR="00B242C3" w:rsidRPr="003272C7" w:rsidRDefault="00B242C3" w:rsidP="00BA73B0">
            <w:pPr>
              <w:pStyle w:val="TableBullet"/>
              <w:rPr>
                <w:rFonts w:cs="Arial"/>
              </w:rPr>
            </w:pPr>
            <w:r w:rsidRPr="003272C7">
              <w:rPr>
                <w:rFonts w:cs="Arial"/>
              </w:rPr>
              <w:t>In 2021, planning commenced for a comprehensive new website to replace the</w:t>
            </w:r>
            <w:r w:rsidR="007D69DB" w:rsidRPr="003272C7">
              <w:rPr>
                <w:rFonts w:cs="Arial"/>
              </w:rPr>
              <w:t> </w:t>
            </w:r>
            <w:r w:rsidRPr="003272C7">
              <w:rPr>
                <w:rFonts w:cs="Arial"/>
              </w:rPr>
              <w:t xml:space="preserve">online water accounts formats, which would be more interactive and user friendly. This website will be complete by the end of EC5. The team has received significant positive feedback from users about the value of the </w:t>
            </w:r>
            <w:r w:rsidR="00A34EA0" w:rsidRPr="003272C7">
              <w:rPr>
                <w:rFonts w:cs="Arial"/>
              </w:rPr>
              <w:t>Victorian Water Accounts</w:t>
            </w:r>
            <w:r w:rsidRPr="003272C7">
              <w:rPr>
                <w:rFonts w:cs="Arial"/>
              </w:rPr>
              <w:t>, as well as input into how the new website would increase its value,</w:t>
            </w:r>
            <w:r w:rsidR="007D69DB" w:rsidRPr="003272C7">
              <w:rPr>
                <w:rFonts w:cs="Arial"/>
              </w:rPr>
              <w:t> </w:t>
            </w:r>
            <w:r w:rsidRPr="003272C7">
              <w:rPr>
                <w:rFonts w:cs="Arial"/>
              </w:rPr>
              <w:t>including:</w:t>
            </w:r>
          </w:p>
          <w:p w14:paraId="6C6EF170" w14:textId="479D4F68" w:rsidR="00B242C3" w:rsidRPr="003272C7" w:rsidRDefault="00B242C3" w:rsidP="00BA73B0">
            <w:pPr>
              <w:pStyle w:val="TableNumber2"/>
              <w:rPr>
                <w:rFonts w:cs="Arial"/>
              </w:rPr>
            </w:pPr>
            <w:r w:rsidRPr="003272C7">
              <w:rPr>
                <w:rFonts w:cs="Arial"/>
              </w:rPr>
              <w:t xml:space="preserve">The Victorian Auditor-General’s Office, in its final public audit report for a 2021 audit of recycled water use in Victoria, stated that ‘DELWP </w:t>
            </w:r>
            <w:r w:rsidR="00A34EA0" w:rsidRPr="003272C7">
              <w:rPr>
                <w:rFonts w:cs="Arial"/>
              </w:rPr>
              <w:t xml:space="preserve">(then Department of Environment, Land, Water and Planning, now Department of Energy, Environment and Climate Action (DEECA)) </w:t>
            </w:r>
            <w:r w:rsidRPr="003272C7">
              <w:rPr>
                <w:rFonts w:cs="Arial"/>
              </w:rPr>
              <w:t>is also working to improve publicly available water data. For example, DELWP</w:t>
            </w:r>
            <w:r w:rsidR="00A34EA0" w:rsidRPr="003272C7">
              <w:rPr>
                <w:rFonts w:cs="Arial"/>
              </w:rPr>
              <w:t xml:space="preserve"> (DEECA)</w:t>
            </w:r>
            <w:r w:rsidRPr="003272C7">
              <w:rPr>
                <w:rFonts w:cs="Arial"/>
              </w:rPr>
              <w:t xml:space="preserve"> developed the Victorian Water Accounts, which is an online, user-friendly and engaging overview of water use and availability across the state’.</w:t>
            </w:r>
          </w:p>
          <w:p w14:paraId="7731506B" w14:textId="14B6107E" w:rsidR="00B242C3" w:rsidRPr="003272C7" w:rsidRDefault="00B242C3" w:rsidP="00BA73B0">
            <w:pPr>
              <w:pStyle w:val="TableNumber2"/>
              <w:rPr>
                <w:rFonts w:cs="Arial"/>
              </w:rPr>
            </w:pPr>
            <w:r w:rsidRPr="003272C7">
              <w:rPr>
                <w:rFonts w:cs="Arial"/>
              </w:rPr>
              <w:t xml:space="preserve">Learning materials based on the </w:t>
            </w:r>
            <w:r w:rsidR="00A34EA0" w:rsidRPr="003272C7">
              <w:rPr>
                <w:rFonts w:cs="Arial"/>
              </w:rPr>
              <w:t xml:space="preserve">Victorian Water Accounts </w:t>
            </w:r>
            <w:r w:rsidRPr="003272C7">
              <w:rPr>
                <w:rFonts w:cs="Arial"/>
              </w:rPr>
              <w:t>have been created for the Geography Teachers’ Association of Victoria, and these have been well received and used, due to their ability to tie in well with the curriculum.</w:t>
            </w:r>
          </w:p>
          <w:p w14:paraId="386B01F4" w14:textId="77777777" w:rsidR="00142559" w:rsidRPr="003272C7" w:rsidRDefault="00F50641" w:rsidP="00BA73B0">
            <w:pPr>
              <w:pStyle w:val="TableBullet"/>
              <w:rPr>
                <w:rFonts w:cs="Arial"/>
              </w:rPr>
            </w:pPr>
            <w:r w:rsidRPr="003272C7">
              <w:rPr>
                <w:rFonts w:cs="Arial"/>
              </w:rPr>
              <w:t>User</w:t>
            </w:r>
            <w:r w:rsidR="00B242C3" w:rsidRPr="003272C7">
              <w:rPr>
                <w:rFonts w:cs="Arial"/>
              </w:rPr>
              <w:t xml:space="preserve"> research into the expected value of the new website was conducted, with users asked what they liked about the current sites and how we can make it better. These insights informed the design of the new site. Some quotes from users include:</w:t>
            </w:r>
          </w:p>
          <w:p w14:paraId="6F07DEAF" w14:textId="7FAA0411" w:rsidR="00B242C3" w:rsidRPr="003272C7" w:rsidRDefault="00B242C3" w:rsidP="00BA73B0">
            <w:pPr>
              <w:pStyle w:val="TableNumber2"/>
              <w:numPr>
                <w:ilvl w:val="1"/>
                <w:numId w:val="170"/>
              </w:numPr>
              <w:rPr>
                <w:rFonts w:cs="Arial"/>
              </w:rPr>
            </w:pPr>
            <w:r w:rsidRPr="003272C7">
              <w:rPr>
                <w:rFonts w:cs="Arial"/>
              </w:rPr>
              <w:lastRenderedPageBreak/>
              <w:t>‘With so much data, it'd be great to have more flexibility in how it's presented. But as a pdf, I think it does a good job’.</w:t>
            </w:r>
          </w:p>
          <w:p w14:paraId="1BF6DDE8" w14:textId="77777777" w:rsidR="00B242C3" w:rsidRPr="003272C7" w:rsidRDefault="00B242C3" w:rsidP="00BA73B0">
            <w:pPr>
              <w:pStyle w:val="TableNumber2"/>
              <w:rPr>
                <w:rFonts w:cs="Arial"/>
              </w:rPr>
            </w:pPr>
            <w:r w:rsidRPr="003272C7">
              <w:rPr>
                <w:rFonts w:cs="Arial"/>
              </w:rPr>
              <w:t>‘It’s the raw point of truth as it should be, without too much inference. But there is an opportunity to show more patterns in the data for people to draw their own inferences and read context’.</w:t>
            </w:r>
          </w:p>
          <w:p w14:paraId="0EEB1737" w14:textId="77777777" w:rsidR="00115967" w:rsidRPr="003272C7" w:rsidRDefault="00B242C3" w:rsidP="00BA73B0">
            <w:pPr>
              <w:pStyle w:val="TableNumber2"/>
              <w:rPr>
                <w:rFonts w:cs="Arial"/>
              </w:rPr>
            </w:pPr>
            <w:r w:rsidRPr="003272C7">
              <w:rPr>
                <w:rFonts w:cs="Arial"/>
              </w:rPr>
              <w:t>‘(It would) Be good to be able to turn off and on the layers so you don't have to have all the info if you don't want it’.</w:t>
            </w:r>
          </w:p>
          <w:p w14:paraId="68ABCA58" w14:textId="2DA28FD4" w:rsidR="00B242C3" w:rsidRPr="003272C7" w:rsidRDefault="00115967" w:rsidP="00BA73B0">
            <w:pPr>
              <w:pStyle w:val="TableBullet"/>
              <w:rPr>
                <w:rFonts w:cs="Arial"/>
              </w:rPr>
            </w:pPr>
            <w:r w:rsidRPr="003272C7">
              <w:rPr>
                <w:rFonts w:cs="Arial"/>
              </w:rPr>
              <w:t>Minor improvements to the website based on user feedback have been actioned for the 2022-23 accounts, and the water accounting team will make further improvements in future releases</w:t>
            </w:r>
            <w:r w:rsidR="00142559" w:rsidRPr="003272C7">
              <w:rPr>
                <w:rFonts w:cs="Arial"/>
              </w:rPr>
              <w:t xml:space="preserve"> </w:t>
            </w:r>
          </w:p>
        </w:tc>
      </w:tr>
      <w:tr w:rsidR="00B242C3" w:rsidRPr="003272C7" w14:paraId="5C97948E" w14:textId="77777777" w:rsidTr="002D31D0">
        <w:trPr>
          <w:trHeight w:val="259"/>
        </w:trPr>
        <w:tc>
          <w:tcPr>
            <w:tcW w:w="979" w:type="pct"/>
            <w:shd w:val="clear" w:color="auto" w:fill="231EDC" w:themeFill="accent1"/>
          </w:tcPr>
          <w:p w14:paraId="0FF11134" w14:textId="77777777" w:rsidR="00B242C3" w:rsidRPr="003272C7" w:rsidRDefault="00B242C3" w:rsidP="00BA73B0">
            <w:pPr>
              <w:pStyle w:val="TableText"/>
              <w:rPr>
                <w:rFonts w:cs="Arial"/>
                <w:b/>
                <w:bCs/>
              </w:rPr>
            </w:pPr>
            <w:r w:rsidRPr="003272C7">
              <w:rPr>
                <w:rFonts w:cs="Arial"/>
                <w:b/>
                <w:bCs/>
              </w:rPr>
              <w:lastRenderedPageBreak/>
              <w:t>Effectiveness</w:t>
            </w:r>
          </w:p>
        </w:tc>
        <w:tc>
          <w:tcPr>
            <w:tcW w:w="4021" w:type="pct"/>
          </w:tcPr>
          <w:p w14:paraId="2E2DA958" w14:textId="004DE1A5" w:rsidR="00B242C3" w:rsidRPr="003272C7" w:rsidRDefault="00B242C3" w:rsidP="00BA73B0">
            <w:pPr>
              <w:pStyle w:val="TableText"/>
              <w:rPr>
                <w:rFonts w:cs="Arial"/>
              </w:rPr>
            </w:pPr>
            <w:r w:rsidRPr="003272C7">
              <w:rPr>
                <w:rFonts w:cs="Arial"/>
              </w:rPr>
              <w:t>Through the period of EC5, the data and information in the Victorian Water Accounts</w:t>
            </w:r>
            <w:r w:rsidR="007D69DB" w:rsidRPr="003272C7">
              <w:rPr>
                <w:rFonts w:cs="Arial"/>
              </w:rPr>
              <w:t> </w:t>
            </w:r>
            <w:r w:rsidRPr="003272C7">
              <w:rPr>
                <w:rFonts w:cs="Arial"/>
              </w:rPr>
              <w:t xml:space="preserve">has </w:t>
            </w:r>
            <w:r w:rsidR="00115967" w:rsidRPr="003272C7">
              <w:rPr>
                <w:rFonts w:cs="Arial"/>
              </w:rPr>
              <w:t xml:space="preserve">generally </w:t>
            </w:r>
            <w:r w:rsidRPr="003272C7">
              <w:rPr>
                <w:rFonts w:cs="Arial"/>
              </w:rPr>
              <w:t>been available to key users within nine months of the end of</w:t>
            </w:r>
            <w:r w:rsidR="007D69DB" w:rsidRPr="003272C7">
              <w:rPr>
                <w:rFonts w:cs="Arial"/>
              </w:rPr>
              <w:t> </w:t>
            </w:r>
            <w:r w:rsidRPr="003272C7">
              <w:rPr>
                <w:rFonts w:cs="Arial"/>
              </w:rPr>
              <w:t xml:space="preserve">the water year. The </w:t>
            </w:r>
            <w:r w:rsidR="0006255E" w:rsidRPr="003272C7">
              <w:rPr>
                <w:rFonts w:cs="Arial"/>
              </w:rPr>
              <w:t xml:space="preserve">exception was the </w:t>
            </w:r>
            <w:r w:rsidRPr="003272C7">
              <w:rPr>
                <w:rFonts w:cs="Arial"/>
              </w:rPr>
              <w:t xml:space="preserve">publication of the </w:t>
            </w:r>
            <w:r w:rsidR="0006255E" w:rsidRPr="003272C7">
              <w:rPr>
                <w:rFonts w:cs="Arial"/>
              </w:rPr>
              <w:t>2020-21</w:t>
            </w:r>
            <w:r w:rsidRPr="003272C7">
              <w:rPr>
                <w:rFonts w:cs="Arial"/>
              </w:rPr>
              <w:t xml:space="preserve"> Accounts </w:t>
            </w:r>
            <w:r w:rsidR="00392EB9" w:rsidRPr="003272C7">
              <w:rPr>
                <w:rFonts w:cs="Arial"/>
              </w:rPr>
              <w:t xml:space="preserve">which was published with a longer lag after the end of the 2020-21 water year, </w:t>
            </w:r>
            <w:r w:rsidRPr="003272C7">
              <w:rPr>
                <w:rFonts w:cs="Arial"/>
              </w:rPr>
              <w:t xml:space="preserve">for </w:t>
            </w:r>
            <w:r w:rsidR="00392EB9" w:rsidRPr="003272C7">
              <w:rPr>
                <w:rFonts w:cs="Arial"/>
              </w:rPr>
              <w:t>several</w:t>
            </w:r>
            <w:r w:rsidR="007D69DB" w:rsidRPr="003272C7">
              <w:rPr>
                <w:rFonts w:cs="Arial"/>
              </w:rPr>
              <w:t> </w:t>
            </w:r>
            <w:r w:rsidRPr="003272C7">
              <w:rPr>
                <w:rFonts w:cs="Arial"/>
              </w:rPr>
              <w:t>reasons:</w:t>
            </w:r>
          </w:p>
          <w:p w14:paraId="5EE954A1" w14:textId="0D33FDE5" w:rsidR="00B242C3" w:rsidRPr="003272C7" w:rsidRDefault="00B242C3" w:rsidP="00BA73B0">
            <w:pPr>
              <w:pStyle w:val="TableBullet"/>
              <w:rPr>
                <w:rFonts w:cs="Arial"/>
              </w:rPr>
            </w:pPr>
            <w:r w:rsidRPr="003272C7">
              <w:rPr>
                <w:rFonts w:cs="Arial"/>
              </w:rPr>
              <w:t xml:space="preserve">Resourcing challenges in the team – 5 skilled technical staff either left the team or moved roles within the team during this period, resulting in significant on-boarding and up-skilling work to enable new personnel to learn and undertake their roles. In some </w:t>
            </w:r>
            <w:r w:rsidR="00A34EA0" w:rsidRPr="003272C7">
              <w:rPr>
                <w:rFonts w:cs="Arial"/>
              </w:rPr>
              <w:t>cases,</w:t>
            </w:r>
            <w:r w:rsidRPr="003272C7">
              <w:rPr>
                <w:rFonts w:cs="Arial"/>
              </w:rPr>
              <w:t xml:space="preserve"> roles were left empty for several months during extended recruitment processes, which impacted team productivity.</w:t>
            </w:r>
          </w:p>
          <w:p w14:paraId="38608EF6" w14:textId="55B04737" w:rsidR="00B242C3" w:rsidRPr="003272C7" w:rsidRDefault="00B242C3" w:rsidP="00BA73B0">
            <w:pPr>
              <w:pStyle w:val="TableBullet"/>
              <w:rPr>
                <w:rFonts w:cs="Arial"/>
              </w:rPr>
            </w:pPr>
            <w:r w:rsidRPr="003272C7">
              <w:rPr>
                <w:rFonts w:cs="Arial"/>
              </w:rPr>
              <w:t xml:space="preserve">The design and development of a new website for the Victorian Water Accounts using an Agile project management approach was very time-consuming and significantly impacted the delivery of the 2021-22 accounts. Following this, the team needed to re-design the structure, format and language style of the </w:t>
            </w:r>
            <w:r w:rsidR="00A34EA0" w:rsidRPr="003272C7">
              <w:rPr>
                <w:rFonts w:cs="Arial"/>
              </w:rPr>
              <w:t>Victorian Water Accounts</w:t>
            </w:r>
            <w:r w:rsidR="00E505C4" w:rsidRPr="003272C7">
              <w:rPr>
                <w:rFonts w:cs="Arial"/>
              </w:rPr>
              <w:t>, and re-write all of the content sections,</w:t>
            </w:r>
            <w:r w:rsidRPr="003272C7">
              <w:rPr>
                <w:rFonts w:cs="Arial"/>
              </w:rPr>
              <w:t xml:space="preserve"> to make </w:t>
            </w:r>
            <w:r w:rsidR="00E505C4" w:rsidRPr="003272C7">
              <w:rPr>
                <w:rFonts w:cs="Arial"/>
              </w:rPr>
              <w:t>the accounts</w:t>
            </w:r>
            <w:r w:rsidRPr="003272C7">
              <w:rPr>
                <w:rFonts w:cs="Arial"/>
              </w:rPr>
              <w:t xml:space="preserve"> suitable for a website display rather than a </w:t>
            </w:r>
            <w:r w:rsidR="0071677F" w:rsidRPr="003272C7">
              <w:rPr>
                <w:rFonts w:cs="Arial"/>
              </w:rPr>
              <w:t>Portable Document Format (PDF)</w:t>
            </w:r>
            <w:r w:rsidRPr="003272C7">
              <w:rPr>
                <w:rFonts w:cs="Arial"/>
              </w:rPr>
              <w:t xml:space="preserve"> report.</w:t>
            </w:r>
          </w:p>
          <w:p w14:paraId="6B59517A" w14:textId="66CF3466" w:rsidR="00B242C3" w:rsidRPr="003272C7" w:rsidRDefault="00B242C3" w:rsidP="00BA73B0">
            <w:pPr>
              <w:pStyle w:val="TableBullet"/>
              <w:rPr>
                <w:rFonts w:cs="Arial"/>
              </w:rPr>
            </w:pPr>
            <w:r w:rsidRPr="003272C7">
              <w:rPr>
                <w:rFonts w:cs="Arial"/>
              </w:rPr>
              <w:t xml:space="preserve">The Victorian Water Accounts product, while important and valued, is </w:t>
            </w:r>
            <w:r w:rsidR="00E505C4" w:rsidRPr="003272C7">
              <w:rPr>
                <w:rFonts w:cs="Arial"/>
              </w:rPr>
              <w:t xml:space="preserve">less </w:t>
            </w:r>
            <w:r w:rsidRPr="003272C7">
              <w:rPr>
                <w:rFonts w:cs="Arial"/>
              </w:rPr>
              <w:t>time critical in its release time</w:t>
            </w:r>
            <w:r w:rsidR="00404828" w:rsidRPr="003272C7">
              <w:rPr>
                <w:rFonts w:cs="Arial"/>
              </w:rPr>
              <w:t xml:space="preserve"> than some other deliverables, meaning that the team could choose to delay release of the 2020-21</w:t>
            </w:r>
            <w:r w:rsidR="00FF6E6D" w:rsidRPr="003272C7">
              <w:rPr>
                <w:rFonts w:cs="Arial"/>
              </w:rPr>
              <w:t xml:space="preserve"> accounts in order to ensure delivery of other priority EC5 </w:t>
            </w:r>
            <w:r w:rsidR="00445736" w:rsidRPr="003272C7">
              <w:rPr>
                <w:rFonts w:cs="Arial"/>
              </w:rPr>
              <w:t>project</w:t>
            </w:r>
            <w:r w:rsidR="00FF6E6D" w:rsidRPr="003272C7">
              <w:rPr>
                <w:rFonts w:cs="Arial"/>
              </w:rPr>
              <w:t>s.</w:t>
            </w:r>
          </w:p>
        </w:tc>
      </w:tr>
      <w:tr w:rsidR="00B242C3" w:rsidRPr="003272C7" w14:paraId="64D290F0" w14:textId="77777777" w:rsidTr="002D31D0">
        <w:trPr>
          <w:trHeight w:val="259"/>
        </w:trPr>
        <w:tc>
          <w:tcPr>
            <w:tcW w:w="979" w:type="pct"/>
            <w:shd w:val="clear" w:color="auto" w:fill="231EDC" w:themeFill="accent1"/>
          </w:tcPr>
          <w:p w14:paraId="3E2AE055" w14:textId="77777777" w:rsidR="00B242C3" w:rsidRPr="003272C7" w:rsidRDefault="00B242C3" w:rsidP="00BA73B0">
            <w:pPr>
              <w:pStyle w:val="TableText"/>
              <w:rPr>
                <w:rFonts w:cs="Arial"/>
                <w:b/>
                <w:bCs/>
              </w:rPr>
            </w:pPr>
            <w:r w:rsidRPr="003272C7">
              <w:rPr>
                <w:rFonts w:cs="Arial"/>
                <w:b/>
                <w:bCs/>
              </w:rPr>
              <w:t>Appropriateness</w:t>
            </w:r>
          </w:p>
        </w:tc>
        <w:tc>
          <w:tcPr>
            <w:tcW w:w="4021" w:type="pct"/>
          </w:tcPr>
          <w:p w14:paraId="1CAE0F62" w14:textId="77777777" w:rsidR="00142559" w:rsidRPr="003272C7" w:rsidRDefault="00B242C3" w:rsidP="00BA73B0">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primarily aimed to deliver Action 8.10 of Water for Victoria: To provide clear information about water resources to the community, along with contribution to a range of other actions.</w:t>
            </w:r>
          </w:p>
          <w:p w14:paraId="538307E4" w14:textId="29C599E8" w:rsidR="00B242C3" w:rsidRPr="003272C7" w:rsidRDefault="00B242C3" w:rsidP="00BA73B0">
            <w:pPr>
              <w:pStyle w:val="TableBullet"/>
              <w:rPr>
                <w:rFonts w:cs="Arial"/>
              </w:rPr>
            </w:pPr>
            <w:r w:rsidRPr="003272C7">
              <w:rPr>
                <w:rFonts w:cs="Arial"/>
              </w:rPr>
              <w:t>There have been no material changes to the strategic context</w:t>
            </w:r>
            <w:r w:rsidR="00D90BA9" w:rsidRPr="003272C7">
              <w:rPr>
                <w:rFonts w:cs="Arial"/>
              </w:rPr>
              <w:t>, and the Victorian Government continues to broadly have a ‘digital first’ approach to government service delivery.</w:t>
            </w:r>
            <w:r w:rsidRPr="003272C7">
              <w:rPr>
                <w:rFonts w:cs="Arial"/>
              </w:rPr>
              <w:t xml:space="preserve"> The requirement to provide accurate and up to date water resource information for Government and the community to support informed decision-making in a drying climate remains critical, and the Program logic remains valid.</w:t>
            </w:r>
          </w:p>
        </w:tc>
      </w:tr>
      <w:tr w:rsidR="00B242C3" w:rsidRPr="003272C7" w14:paraId="6B9D7351" w14:textId="77777777" w:rsidTr="002D31D0">
        <w:trPr>
          <w:trHeight w:val="259"/>
        </w:trPr>
        <w:tc>
          <w:tcPr>
            <w:tcW w:w="979" w:type="pct"/>
            <w:shd w:val="clear" w:color="auto" w:fill="231EDC" w:themeFill="accent1"/>
          </w:tcPr>
          <w:p w14:paraId="7D0F4297" w14:textId="77777777" w:rsidR="00B242C3" w:rsidRPr="003272C7" w:rsidRDefault="00B242C3" w:rsidP="00BA73B0">
            <w:pPr>
              <w:pStyle w:val="TableText"/>
              <w:rPr>
                <w:rFonts w:cs="Arial"/>
                <w:b/>
                <w:bCs/>
              </w:rPr>
            </w:pPr>
            <w:r w:rsidRPr="003272C7">
              <w:rPr>
                <w:rFonts w:cs="Arial"/>
                <w:b/>
                <w:bCs/>
              </w:rPr>
              <w:t>Efficiency</w:t>
            </w:r>
          </w:p>
        </w:tc>
        <w:tc>
          <w:tcPr>
            <w:tcW w:w="4021" w:type="pct"/>
          </w:tcPr>
          <w:p w14:paraId="4D7AA147" w14:textId="002AD7A1" w:rsidR="00B242C3" w:rsidRPr="003272C7" w:rsidRDefault="00B242C3" w:rsidP="00BA73B0">
            <w:pPr>
              <w:pStyle w:val="TableBullet"/>
              <w:rPr>
                <w:rFonts w:cs="Arial"/>
              </w:rPr>
            </w:pPr>
            <w:r w:rsidRPr="003272C7">
              <w:rPr>
                <w:rFonts w:cs="Arial"/>
              </w:rPr>
              <w:t xml:space="preserve">The design and build of the beta </w:t>
            </w:r>
            <w:r w:rsidR="0071677F" w:rsidRPr="003272C7">
              <w:rPr>
                <w:rFonts w:cs="Arial"/>
              </w:rPr>
              <w:t xml:space="preserve">Victorian Water Accounts </w:t>
            </w:r>
            <w:r w:rsidRPr="003272C7">
              <w:rPr>
                <w:rFonts w:cs="Arial"/>
              </w:rPr>
              <w:t>website</w:t>
            </w:r>
            <w:r w:rsidR="00DE35B1" w:rsidRPr="003272C7">
              <w:rPr>
                <w:rFonts w:cs="Arial"/>
              </w:rPr>
              <w:t xml:space="preserve"> is the key project against which efficiency is assessed</w:t>
            </w:r>
            <w:r w:rsidRPr="003272C7">
              <w:rPr>
                <w:rFonts w:cs="Arial"/>
              </w:rPr>
              <w:t>. The majority of other expenditure was for staffing.</w:t>
            </w:r>
          </w:p>
          <w:p w14:paraId="7489F589" w14:textId="79722C56" w:rsidR="00B242C3" w:rsidRPr="003272C7" w:rsidRDefault="00B242C3" w:rsidP="00BA73B0">
            <w:pPr>
              <w:pStyle w:val="TableBullet"/>
              <w:rPr>
                <w:rFonts w:cs="Arial"/>
              </w:rPr>
            </w:pPr>
            <w:r w:rsidRPr="003272C7">
              <w:rPr>
                <w:rFonts w:cs="Arial"/>
              </w:rPr>
              <w:t xml:space="preserve">The new beta </w:t>
            </w:r>
            <w:r w:rsidR="0071677F" w:rsidRPr="003272C7">
              <w:rPr>
                <w:rFonts w:cs="Arial"/>
              </w:rPr>
              <w:t xml:space="preserve">Victorian Water Accounts </w:t>
            </w:r>
            <w:r w:rsidRPr="003272C7">
              <w:rPr>
                <w:rFonts w:cs="Arial"/>
              </w:rPr>
              <w:t xml:space="preserve">website was delivered on time and within the agreed budget. The budget of the contract at the start of the project was $537,470, and this full amount was spent by the </w:t>
            </w:r>
            <w:r w:rsidR="0071677F" w:rsidRPr="003272C7">
              <w:rPr>
                <w:rFonts w:cs="Arial"/>
              </w:rPr>
              <w:t>DEECA</w:t>
            </w:r>
            <w:r w:rsidRPr="003272C7">
              <w:rPr>
                <w:rFonts w:cs="Arial"/>
              </w:rPr>
              <w:t>. This was considered excellent value for money given that the developed product is of very high quality and meets all of the essential requirements set by the team, as well as many of the ‘nice to have’ features</w:t>
            </w:r>
            <w:r w:rsidR="00953213" w:rsidRPr="003272C7">
              <w:rPr>
                <w:rFonts w:cs="Arial"/>
              </w:rPr>
              <w:t>.</w:t>
            </w:r>
            <w:r w:rsidRPr="003272C7">
              <w:rPr>
                <w:rFonts w:cs="Arial"/>
              </w:rPr>
              <w:t xml:space="preserve"> </w:t>
            </w:r>
          </w:p>
        </w:tc>
      </w:tr>
      <w:tr w:rsidR="00B242C3" w:rsidRPr="003272C7" w14:paraId="67DD291B" w14:textId="77777777" w:rsidTr="002D31D0">
        <w:trPr>
          <w:trHeight w:val="259"/>
        </w:trPr>
        <w:tc>
          <w:tcPr>
            <w:tcW w:w="979" w:type="pct"/>
            <w:shd w:val="clear" w:color="auto" w:fill="231EDC" w:themeFill="accent1"/>
          </w:tcPr>
          <w:p w14:paraId="125DCFA8" w14:textId="77777777" w:rsidR="00B242C3" w:rsidRPr="003272C7" w:rsidRDefault="00B242C3" w:rsidP="00BA73B0">
            <w:pPr>
              <w:pStyle w:val="TableText"/>
              <w:rPr>
                <w:rFonts w:cs="Arial"/>
                <w:b/>
                <w:bCs/>
              </w:rPr>
            </w:pPr>
            <w:r w:rsidRPr="003272C7">
              <w:rPr>
                <w:rFonts w:cs="Arial"/>
                <w:b/>
                <w:bCs/>
              </w:rPr>
              <w:t>Legacy</w:t>
            </w:r>
          </w:p>
        </w:tc>
        <w:tc>
          <w:tcPr>
            <w:tcW w:w="4021" w:type="pct"/>
          </w:tcPr>
          <w:p w14:paraId="22CC38FF" w14:textId="77777777" w:rsidR="00142559" w:rsidRPr="003272C7" w:rsidRDefault="00B242C3" w:rsidP="00BA73B0">
            <w:pPr>
              <w:pStyle w:val="TableBullet"/>
              <w:rPr>
                <w:rFonts w:cs="Arial"/>
              </w:rPr>
            </w:pPr>
            <w:r w:rsidRPr="003272C7">
              <w:rPr>
                <w:rFonts w:cs="Arial"/>
              </w:rPr>
              <w:t xml:space="preserve">Most of the work in this </w:t>
            </w:r>
            <w:r w:rsidR="00445736" w:rsidRPr="003272C7">
              <w:rPr>
                <w:rFonts w:cs="Arial"/>
              </w:rPr>
              <w:t>project</w:t>
            </w:r>
            <w:r w:rsidRPr="003272C7">
              <w:rPr>
                <w:rFonts w:cs="Arial"/>
              </w:rPr>
              <w:t xml:space="preserve"> is business-as-usual imperative, which means that the impacts of individual activities/outputs will not necessarily persist over time, but rather the activities/outputs themselves will be repeated weekly, monthly or yearly as appropriate.</w:t>
            </w:r>
          </w:p>
          <w:p w14:paraId="37E79984" w14:textId="6EE0027C" w:rsidR="00B242C3" w:rsidRPr="003272C7" w:rsidRDefault="00B242C3" w:rsidP="00BA73B0">
            <w:pPr>
              <w:pStyle w:val="TableBullet"/>
              <w:rPr>
                <w:rFonts w:cs="Arial"/>
              </w:rPr>
            </w:pPr>
            <w:r w:rsidRPr="003272C7">
              <w:rPr>
                <w:rFonts w:cs="Arial"/>
              </w:rPr>
              <w:t xml:space="preserve">However, there have been some activities and outputs which will have ongoing legacy. One key example is improvements to the </w:t>
            </w:r>
            <w:r w:rsidR="0071677F" w:rsidRPr="003272C7">
              <w:rPr>
                <w:rFonts w:cs="Arial"/>
              </w:rPr>
              <w:t>Victorian Water Accounts</w:t>
            </w:r>
            <w:r w:rsidRPr="003272C7">
              <w:rPr>
                <w:rFonts w:cs="Arial"/>
              </w:rPr>
              <w:t xml:space="preserve">, including the development of an interactive new user-friendly website to present </w:t>
            </w:r>
            <w:r w:rsidRPr="003272C7">
              <w:rPr>
                <w:rFonts w:cs="Arial"/>
              </w:rPr>
              <w:lastRenderedPageBreak/>
              <w:t xml:space="preserve">the data in a way that will be much more engaging and easy to use. This website will be improved over time beyond the beta version, and will be used for many years. </w:t>
            </w:r>
            <w:r w:rsidR="00C73AE3" w:rsidRPr="003272C7">
              <w:rPr>
                <w:rFonts w:cs="Arial"/>
              </w:rPr>
              <w:t xml:space="preserve">The user needs research conducted for the </w:t>
            </w:r>
            <w:r w:rsidR="0071677F" w:rsidRPr="003272C7">
              <w:rPr>
                <w:rFonts w:cs="Arial"/>
              </w:rPr>
              <w:t xml:space="preserve">Victorian Water Accounts </w:t>
            </w:r>
            <w:r w:rsidR="00C73AE3" w:rsidRPr="003272C7">
              <w:rPr>
                <w:rFonts w:cs="Arial"/>
              </w:rPr>
              <w:t xml:space="preserve">project has also delivered an uplift in </w:t>
            </w:r>
            <w:r w:rsidR="0071677F" w:rsidRPr="003272C7">
              <w:rPr>
                <w:rFonts w:cs="Arial"/>
              </w:rPr>
              <w:t>DEECA’s</w:t>
            </w:r>
            <w:r w:rsidR="00C73AE3" w:rsidRPr="003272C7">
              <w:rPr>
                <w:rFonts w:cs="Arial"/>
              </w:rPr>
              <w:t xml:space="preserve"> team capability in this area, which has delivered value for other website-based </w:t>
            </w:r>
            <w:r w:rsidR="00445736" w:rsidRPr="003272C7">
              <w:rPr>
                <w:rFonts w:cs="Arial"/>
              </w:rPr>
              <w:t>project</w:t>
            </w:r>
            <w:r w:rsidR="00C73AE3" w:rsidRPr="003272C7">
              <w:rPr>
                <w:rFonts w:cs="Arial"/>
              </w:rPr>
              <w:t>s.</w:t>
            </w:r>
          </w:p>
          <w:p w14:paraId="1B0285D7" w14:textId="77777777" w:rsidR="00142559" w:rsidRPr="003272C7" w:rsidRDefault="00B242C3" w:rsidP="00BA73B0">
            <w:pPr>
              <w:pStyle w:val="TableBullet"/>
              <w:rPr>
                <w:rFonts w:cs="Arial"/>
              </w:rPr>
            </w:pPr>
            <w:r w:rsidRPr="003272C7">
              <w:rPr>
                <w:rFonts w:cs="Arial"/>
              </w:rPr>
              <w:t xml:space="preserve">The education profession is already engaging with DEECA to use the </w:t>
            </w:r>
            <w:r w:rsidR="0071677F" w:rsidRPr="003272C7">
              <w:rPr>
                <w:rFonts w:cs="Arial"/>
              </w:rPr>
              <w:t xml:space="preserve">Victorian Water Accounts </w:t>
            </w:r>
            <w:r w:rsidRPr="003272C7">
              <w:rPr>
                <w:rFonts w:cs="Arial"/>
              </w:rPr>
              <w:t>to help with their curricula, so the investment’s impacts would be expected to occur over time by producing a young population that is more informed about water management.</w:t>
            </w:r>
          </w:p>
          <w:p w14:paraId="56251681" w14:textId="1F93AEA7" w:rsidR="00B242C3" w:rsidRPr="003272C7" w:rsidRDefault="00B242C3" w:rsidP="00BA73B0">
            <w:pPr>
              <w:pStyle w:val="TableBullet"/>
              <w:rPr>
                <w:rFonts w:cs="Arial"/>
              </w:rPr>
            </w:pPr>
            <w:r w:rsidRPr="003272C7">
              <w:rPr>
                <w:rFonts w:cs="Arial"/>
              </w:rPr>
              <w:t>The water data provided to many interested water users has informed a wide range of policy and strategy documents both inside and external to government, and the benefit of these strategies being well-informed will also be felt into the</w:t>
            </w:r>
            <w:r w:rsidR="007D69DB" w:rsidRPr="003272C7">
              <w:rPr>
                <w:rFonts w:cs="Arial"/>
              </w:rPr>
              <w:t> </w:t>
            </w:r>
            <w:r w:rsidRPr="003272C7">
              <w:rPr>
                <w:rFonts w:cs="Arial"/>
              </w:rPr>
              <w:t>future.</w:t>
            </w:r>
          </w:p>
        </w:tc>
      </w:tr>
      <w:tr w:rsidR="00B242C3" w:rsidRPr="003272C7" w14:paraId="751DFC22" w14:textId="77777777" w:rsidTr="002D31D0">
        <w:trPr>
          <w:trHeight w:val="259"/>
        </w:trPr>
        <w:tc>
          <w:tcPr>
            <w:tcW w:w="979" w:type="pct"/>
            <w:shd w:val="clear" w:color="auto" w:fill="231EDC" w:themeFill="accent1"/>
          </w:tcPr>
          <w:p w14:paraId="2A7ECD46" w14:textId="77777777" w:rsidR="00B242C3" w:rsidRPr="003272C7" w:rsidRDefault="00B242C3" w:rsidP="00BA73B0">
            <w:pPr>
              <w:pStyle w:val="TableText"/>
              <w:rPr>
                <w:rFonts w:cs="Arial"/>
                <w:b/>
                <w:bCs/>
              </w:rPr>
            </w:pPr>
            <w:r w:rsidRPr="003272C7">
              <w:rPr>
                <w:rFonts w:cs="Arial"/>
                <w:b/>
                <w:bCs/>
              </w:rPr>
              <w:lastRenderedPageBreak/>
              <w:t>Future priorities</w:t>
            </w:r>
          </w:p>
        </w:tc>
        <w:tc>
          <w:tcPr>
            <w:tcW w:w="4021" w:type="pct"/>
          </w:tcPr>
          <w:p w14:paraId="5D95AF73" w14:textId="6DDD4607" w:rsidR="00B242C3" w:rsidRPr="003272C7" w:rsidRDefault="00B242C3" w:rsidP="00BA73B0">
            <w:pPr>
              <w:pStyle w:val="TableBullet"/>
              <w:rPr>
                <w:rFonts w:cs="Arial"/>
              </w:rPr>
            </w:pPr>
            <w:r w:rsidRPr="003272C7">
              <w:rPr>
                <w:rFonts w:cs="Arial"/>
              </w:rPr>
              <w:t xml:space="preserve">Adaptation to </w:t>
            </w:r>
            <w:r w:rsidR="00C73AE3" w:rsidRPr="003272C7">
              <w:rPr>
                <w:rFonts w:cs="Arial"/>
              </w:rPr>
              <w:t xml:space="preserve">the uplifted </w:t>
            </w:r>
            <w:r w:rsidRPr="003272C7">
              <w:rPr>
                <w:rFonts w:cs="Arial"/>
              </w:rPr>
              <w:t>VWR, including rebuilding systems and processes as appropriate, bug-testing and correction, undertaking training and developing/delivering it to other users</w:t>
            </w:r>
            <w:r w:rsidR="0071677F" w:rsidRPr="003272C7">
              <w:rPr>
                <w:rFonts w:cs="Arial"/>
              </w:rPr>
              <w:t>.</w:t>
            </w:r>
          </w:p>
          <w:p w14:paraId="5278B162" w14:textId="3DB64208" w:rsidR="00B242C3" w:rsidRPr="003272C7" w:rsidRDefault="00B242C3" w:rsidP="00BA73B0">
            <w:pPr>
              <w:pStyle w:val="TableBullet"/>
              <w:rPr>
                <w:rFonts w:cs="Arial"/>
              </w:rPr>
            </w:pPr>
            <w:r w:rsidRPr="003272C7">
              <w:rPr>
                <w:rFonts w:cs="Arial"/>
              </w:rPr>
              <w:t>Ongoing hosting, support and maintenance costs for the new website</w:t>
            </w:r>
            <w:r w:rsidR="0071677F" w:rsidRPr="003272C7">
              <w:rPr>
                <w:rFonts w:cs="Arial"/>
              </w:rPr>
              <w:t>.</w:t>
            </w:r>
          </w:p>
          <w:p w14:paraId="7B39D7F0" w14:textId="23A67263" w:rsidR="00B242C3" w:rsidRPr="003272C7" w:rsidRDefault="00B242C3" w:rsidP="00BA73B0">
            <w:pPr>
              <w:pStyle w:val="TableBullet"/>
              <w:rPr>
                <w:rFonts w:cs="Arial"/>
              </w:rPr>
            </w:pPr>
            <w:r w:rsidRPr="003272C7">
              <w:rPr>
                <w:rFonts w:cs="Arial"/>
              </w:rPr>
              <w:t>Adapting and improving VWA development processes based on new VWR and new VWA website</w:t>
            </w:r>
            <w:r w:rsidR="0071677F" w:rsidRPr="003272C7">
              <w:rPr>
                <w:rFonts w:cs="Arial"/>
              </w:rPr>
              <w:t>.</w:t>
            </w:r>
          </w:p>
        </w:tc>
      </w:tr>
    </w:tbl>
    <w:p w14:paraId="3AF5B7AE" w14:textId="5DCC0D03" w:rsidR="00B242C3" w:rsidRPr="003272C7" w:rsidRDefault="00B242C3" w:rsidP="00B242C3">
      <w:pPr>
        <w:pStyle w:val="Heading2"/>
        <w:rPr>
          <w:rFonts w:cs="Arial"/>
        </w:rPr>
      </w:pPr>
      <w:bookmarkStart w:id="47" w:name="_Toc147410789"/>
      <w:bookmarkStart w:id="48" w:name="_Toc183777797"/>
      <w:r w:rsidRPr="003272C7">
        <w:rPr>
          <w:rFonts w:cs="Arial"/>
        </w:rPr>
        <w:t xml:space="preserve">WRS16: Knowledge and </w:t>
      </w:r>
      <w:r w:rsidR="00271AE7" w:rsidRPr="003272C7">
        <w:rPr>
          <w:rFonts w:cs="Arial"/>
        </w:rPr>
        <w:t>I</w:t>
      </w:r>
      <w:r w:rsidRPr="003272C7">
        <w:rPr>
          <w:rFonts w:cs="Arial"/>
        </w:rPr>
        <w:t>nsights</w:t>
      </w:r>
      <w:bookmarkEnd w:id="47"/>
      <w:bookmarkEnd w:id="4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5596CB62" w14:textId="77777777" w:rsidTr="00A67898">
        <w:trPr>
          <w:trHeight w:val="395"/>
        </w:trPr>
        <w:tc>
          <w:tcPr>
            <w:tcW w:w="979" w:type="pct"/>
            <w:shd w:val="clear" w:color="auto" w:fill="231EDC" w:themeFill="accent1"/>
          </w:tcPr>
          <w:p w14:paraId="7F945EFB" w14:textId="448EC177" w:rsidR="00B242C3" w:rsidRPr="003272C7" w:rsidRDefault="00C412A9" w:rsidP="00BA73B0">
            <w:pPr>
              <w:pStyle w:val="TableHeading"/>
              <w:rPr>
                <w:rFonts w:cs="Arial"/>
              </w:rPr>
            </w:pPr>
            <w:r w:rsidRPr="003272C7">
              <w:rPr>
                <w:rFonts w:cs="Arial"/>
              </w:rPr>
              <w:t>Initiative</w:t>
            </w:r>
          </w:p>
        </w:tc>
        <w:tc>
          <w:tcPr>
            <w:tcW w:w="4021" w:type="pct"/>
            <w:shd w:val="clear" w:color="auto" w:fill="231EDC" w:themeFill="accent1"/>
          </w:tcPr>
          <w:p w14:paraId="7A0CBC0A" w14:textId="77777777" w:rsidR="00B242C3" w:rsidRPr="003272C7" w:rsidRDefault="00B242C3" w:rsidP="00BA73B0">
            <w:pPr>
              <w:pStyle w:val="TableHeading"/>
              <w:rPr>
                <w:rFonts w:cs="Arial"/>
              </w:rPr>
            </w:pPr>
            <w:r w:rsidRPr="003272C7">
              <w:rPr>
                <w:rFonts w:cs="Arial"/>
              </w:rPr>
              <w:t>4. The evidence base for Victorian water: availability and knowledge</w:t>
            </w:r>
          </w:p>
        </w:tc>
      </w:tr>
      <w:tr w:rsidR="00B242C3" w:rsidRPr="003272C7" w14:paraId="353CEF74" w14:textId="77777777" w:rsidTr="00A67898">
        <w:trPr>
          <w:trHeight w:val="341"/>
        </w:trPr>
        <w:tc>
          <w:tcPr>
            <w:tcW w:w="979" w:type="pct"/>
            <w:shd w:val="clear" w:color="auto" w:fill="231EDC" w:themeFill="accent1"/>
          </w:tcPr>
          <w:p w14:paraId="15056345" w14:textId="77777777" w:rsidR="00B242C3" w:rsidRPr="003272C7" w:rsidRDefault="00B242C3" w:rsidP="00BA73B0">
            <w:pPr>
              <w:pStyle w:val="TableText"/>
              <w:rPr>
                <w:rFonts w:cs="Arial"/>
                <w:b/>
                <w:bCs/>
              </w:rPr>
            </w:pPr>
            <w:r w:rsidRPr="003272C7">
              <w:rPr>
                <w:rFonts w:cs="Arial"/>
                <w:b/>
                <w:bCs/>
              </w:rPr>
              <w:t>Project</w:t>
            </w:r>
          </w:p>
        </w:tc>
        <w:tc>
          <w:tcPr>
            <w:tcW w:w="4021" w:type="pct"/>
          </w:tcPr>
          <w:p w14:paraId="0ABDFA6D" w14:textId="77777777" w:rsidR="00B242C3" w:rsidRPr="003272C7" w:rsidRDefault="00B242C3" w:rsidP="00BA73B0">
            <w:pPr>
              <w:pStyle w:val="TableText"/>
              <w:rPr>
                <w:rFonts w:cs="Arial"/>
              </w:rPr>
            </w:pPr>
            <w:r w:rsidRPr="003272C7">
              <w:rPr>
                <w:rFonts w:cs="Arial"/>
              </w:rPr>
              <w:t>WRS16: Knowledge and insights</w:t>
            </w:r>
          </w:p>
        </w:tc>
      </w:tr>
      <w:tr w:rsidR="00B242C3" w:rsidRPr="003272C7" w14:paraId="5B519591" w14:textId="77777777" w:rsidTr="00A67898">
        <w:trPr>
          <w:trHeight w:val="259"/>
        </w:trPr>
        <w:tc>
          <w:tcPr>
            <w:tcW w:w="979" w:type="pct"/>
            <w:shd w:val="clear" w:color="auto" w:fill="231EDC" w:themeFill="accent1"/>
          </w:tcPr>
          <w:p w14:paraId="7DBB1665" w14:textId="77777777" w:rsidR="00B242C3" w:rsidRPr="003272C7" w:rsidRDefault="00B242C3" w:rsidP="00BA73B0">
            <w:pPr>
              <w:pStyle w:val="TableText"/>
              <w:rPr>
                <w:rFonts w:cs="Arial"/>
                <w:b/>
                <w:bCs/>
              </w:rPr>
            </w:pPr>
            <w:r w:rsidRPr="003272C7">
              <w:rPr>
                <w:rFonts w:cs="Arial"/>
                <w:b/>
                <w:bCs/>
              </w:rPr>
              <w:t>Description</w:t>
            </w:r>
          </w:p>
        </w:tc>
        <w:tc>
          <w:tcPr>
            <w:tcW w:w="4021" w:type="pct"/>
          </w:tcPr>
          <w:p w14:paraId="0D57180E" w14:textId="7B0218AC" w:rsidR="00B242C3" w:rsidRPr="003272C7" w:rsidRDefault="00B242C3" w:rsidP="00BA73B0">
            <w:pPr>
              <w:pStyle w:val="TableText"/>
              <w:rPr>
                <w:rFonts w:cs="Arial"/>
              </w:rPr>
            </w:pPr>
            <w:r w:rsidRPr="003272C7">
              <w:rPr>
                <w:rFonts w:cs="Arial"/>
              </w:rPr>
              <w:t xml:space="preserve">The goal of the Water Knowledge and Insights (WKI) EC5 Program was to improve the community’s access to water resource information. This included information where water is located, how it is shared and accessed, resource condition and risks amid broader concepts found within the Water and Catchments Group’s workplan. The </w:t>
            </w:r>
            <w:r w:rsidR="00445736" w:rsidRPr="003272C7">
              <w:rPr>
                <w:rFonts w:cs="Arial"/>
              </w:rPr>
              <w:t>project</w:t>
            </w:r>
            <w:r w:rsidRPr="003272C7">
              <w:rPr>
                <w:rFonts w:cs="Arial"/>
              </w:rPr>
              <w:t xml:space="preserve"> sought to address engagement and awareness among water users with</w:t>
            </w:r>
            <w:r w:rsidR="007D69DB" w:rsidRPr="003272C7">
              <w:rPr>
                <w:rFonts w:cs="Arial"/>
              </w:rPr>
              <w:t> </w:t>
            </w:r>
            <w:r w:rsidRPr="003272C7">
              <w:rPr>
                <w:rFonts w:cs="Arial"/>
              </w:rPr>
              <w:t>a particular focus on future water stewards. These goals were to be achieved by</w:t>
            </w:r>
            <w:r w:rsidR="007D69DB" w:rsidRPr="003272C7">
              <w:rPr>
                <w:rFonts w:cs="Arial"/>
              </w:rPr>
              <w:t> </w:t>
            </w:r>
            <w:r w:rsidRPr="003272C7">
              <w:rPr>
                <w:rFonts w:cs="Arial"/>
              </w:rPr>
              <w:t>taking water data, information and reports created by DELWP</w:t>
            </w:r>
            <w:r w:rsidR="0071677F" w:rsidRPr="003272C7">
              <w:rPr>
                <w:rFonts w:cs="Arial"/>
              </w:rPr>
              <w:t xml:space="preserve"> </w:t>
            </w:r>
            <w:r w:rsidRPr="003272C7">
              <w:rPr>
                <w:rFonts w:cs="Arial"/>
              </w:rPr>
              <w:t>/</w:t>
            </w:r>
            <w:r w:rsidR="0071677F" w:rsidRPr="003272C7">
              <w:rPr>
                <w:rFonts w:cs="Arial"/>
              </w:rPr>
              <w:t xml:space="preserve"> </w:t>
            </w:r>
            <w:r w:rsidRPr="003272C7">
              <w:rPr>
                <w:rFonts w:cs="Arial"/>
              </w:rPr>
              <w:t>DEECA and</w:t>
            </w:r>
            <w:r w:rsidR="007D69DB" w:rsidRPr="003272C7">
              <w:rPr>
                <w:rFonts w:cs="Arial"/>
              </w:rPr>
              <w:t> </w:t>
            </w:r>
            <w:r w:rsidRPr="003272C7">
              <w:rPr>
                <w:rFonts w:cs="Arial"/>
              </w:rPr>
              <w:t>promoting them to the public through the development of user platforms, social</w:t>
            </w:r>
            <w:r w:rsidR="007D69DB" w:rsidRPr="003272C7">
              <w:rPr>
                <w:rFonts w:cs="Arial"/>
              </w:rPr>
              <w:t> </w:t>
            </w:r>
            <w:r w:rsidRPr="003272C7">
              <w:rPr>
                <w:rFonts w:cs="Arial"/>
              </w:rPr>
              <w:t>media and improved online resources, based around an initial four significant</w:t>
            </w:r>
            <w:r w:rsidR="007D69DB" w:rsidRPr="003272C7">
              <w:rPr>
                <w:rFonts w:cs="Arial"/>
              </w:rPr>
              <w:t> </w:t>
            </w:r>
            <w:r w:rsidRPr="003272C7">
              <w:rPr>
                <w:rFonts w:cs="Arial"/>
              </w:rPr>
              <w:t>concepts:</w:t>
            </w:r>
          </w:p>
          <w:p w14:paraId="61429232" w14:textId="77777777" w:rsidR="00B242C3" w:rsidRPr="003272C7" w:rsidRDefault="00B242C3" w:rsidP="00BA73B0">
            <w:pPr>
              <w:pStyle w:val="TableBullet"/>
              <w:rPr>
                <w:rFonts w:cs="Arial"/>
              </w:rPr>
            </w:pPr>
            <w:r w:rsidRPr="003272C7">
              <w:rPr>
                <w:rFonts w:cs="Arial"/>
              </w:rPr>
              <w:t>Creating curriculum-aligned resources for teachers to encourage use of DELWP’s water resource information.</w:t>
            </w:r>
          </w:p>
          <w:p w14:paraId="51EF8272" w14:textId="7565EB97" w:rsidR="00B242C3" w:rsidRPr="003272C7" w:rsidRDefault="00B242C3" w:rsidP="00BA73B0">
            <w:pPr>
              <w:pStyle w:val="TableBullet"/>
              <w:rPr>
                <w:rFonts w:cs="Arial"/>
              </w:rPr>
            </w:pPr>
            <w:r w:rsidRPr="003272C7">
              <w:rPr>
                <w:rFonts w:cs="Arial"/>
              </w:rPr>
              <w:t>Defining data cataloguing and reporting requirements for the Water Insights Library in a user requirements document to go to market (cancelled in 2021)</w:t>
            </w:r>
            <w:r w:rsidR="0071677F" w:rsidRPr="003272C7">
              <w:rPr>
                <w:rFonts w:cs="Arial"/>
              </w:rPr>
              <w:t>.</w:t>
            </w:r>
          </w:p>
          <w:p w14:paraId="6C6C3A09" w14:textId="77777777" w:rsidR="00B242C3" w:rsidRPr="003272C7" w:rsidRDefault="00B242C3" w:rsidP="00BA73B0">
            <w:pPr>
              <w:pStyle w:val="TableBullet"/>
              <w:rPr>
                <w:rFonts w:cs="Arial"/>
              </w:rPr>
            </w:pPr>
            <w:r w:rsidRPr="003272C7">
              <w:rPr>
                <w:rFonts w:cs="Arial"/>
              </w:rPr>
              <w:t>Enhancing water reporting webpages.</w:t>
            </w:r>
          </w:p>
          <w:p w14:paraId="0EFB5752" w14:textId="77777777" w:rsidR="00B242C3" w:rsidRPr="003272C7" w:rsidRDefault="00B242C3" w:rsidP="00BA73B0">
            <w:pPr>
              <w:pStyle w:val="TableBullet"/>
              <w:rPr>
                <w:rFonts w:cs="Arial"/>
              </w:rPr>
            </w:pPr>
            <w:r w:rsidRPr="003272C7">
              <w:rPr>
                <w:rFonts w:cs="Arial"/>
              </w:rPr>
              <w:t>Creating social media posts about Victorian water resource information.</w:t>
            </w:r>
          </w:p>
        </w:tc>
      </w:tr>
      <w:tr w:rsidR="00B242C3" w:rsidRPr="003272C7" w14:paraId="5B56DD29" w14:textId="77777777" w:rsidTr="00A67898">
        <w:trPr>
          <w:trHeight w:val="259"/>
        </w:trPr>
        <w:tc>
          <w:tcPr>
            <w:tcW w:w="979" w:type="pct"/>
            <w:shd w:val="clear" w:color="auto" w:fill="231EDC" w:themeFill="accent1"/>
          </w:tcPr>
          <w:p w14:paraId="63E3BF07" w14:textId="77777777" w:rsidR="00B242C3" w:rsidRPr="003272C7" w:rsidRDefault="00B242C3" w:rsidP="00BA73B0">
            <w:pPr>
              <w:pStyle w:val="TableText"/>
              <w:rPr>
                <w:rFonts w:cs="Arial"/>
                <w:b/>
                <w:bCs/>
              </w:rPr>
            </w:pPr>
            <w:r w:rsidRPr="003272C7">
              <w:rPr>
                <w:rFonts w:cs="Arial"/>
                <w:b/>
                <w:bCs/>
              </w:rPr>
              <w:t>Outputs</w:t>
            </w:r>
          </w:p>
        </w:tc>
        <w:tc>
          <w:tcPr>
            <w:tcW w:w="4021" w:type="pct"/>
          </w:tcPr>
          <w:p w14:paraId="33246A34" w14:textId="2F055591" w:rsidR="00B242C3" w:rsidRPr="003272C7" w:rsidRDefault="00B242C3" w:rsidP="00BA73B0">
            <w:pPr>
              <w:pStyle w:val="TableBullet"/>
              <w:rPr>
                <w:rFonts w:cs="Arial"/>
              </w:rPr>
            </w:pPr>
            <w:r w:rsidRPr="003272C7">
              <w:rPr>
                <w:rFonts w:cs="Arial"/>
              </w:rPr>
              <w:t>Water Market Watch app (2019–21)</w:t>
            </w:r>
            <w:r w:rsidR="0071677F" w:rsidRPr="003272C7">
              <w:rPr>
                <w:rFonts w:cs="Arial"/>
              </w:rPr>
              <w:t>.</w:t>
            </w:r>
          </w:p>
          <w:p w14:paraId="170B0DA2" w14:textId="65DAA977" w:rsidR="00B242C3" w:rsidRPr="003272C7" w:rsidRDefault="00B242C3" w:rsidP="00BA73B0">
            <w:pPr>
              <w:pStyle w:val="TableBullet"/>
              <w:rPr>
                <w:rFonts w:cs="Arial"/>
              </w:rPr>
            </w:pPr>
            <w:r w:rsidRPr="003272C7">
              <w:rPr>
                <w:rFonts w:cs="Arial"/>
              </w:rPr>
              <w:t>Water Market Watch app video (2020)</w:t>
            </w:r>
            <w:r w:rsidR="0071677F" w:rsidRPr="003272C7">
              <w:rPr>
                <w:rFonts w:cs="Arial"/>
              </w:rPr>
              <w:t>.</w:t>
            </w:r>
          </w:p>
          <w:p w14:paraId="1E16B0EF" w14:textId="7F8E32A7" w:rsidR="00B242C3" w:rsidRPr="003272C7" w:rsidRDefault="00B242C3" w:rsidP="00BA73B0">
            <w:pPr>
              <w:pStyle w:val="TableBullet"/>
              <w:rPr>
                <w:rFonts w:cs="Arial"/>
              </w:rPr>
            </w:pPr>
            <w:r w:rsidRPr="003272C7">
              <w:rPr>
                <w:rFonts w:cs="Arial"/>
              </w:rPr>
              <w:t>Surface water modelling video—'How surface water monitoring works’ (2020)</w:t>
            </w:r>
            <w:r w:rsidR="0071677F" w:rsidRPr="003272C7">
              <w:rPr>
                <w:rFonts w:cs="Arial"/>
              </w:rPr>
              <w:t>.</w:t>
            </w:r>
          </w:p>
          <w:p w14:paraId="678E7353" w14:textId="4CD07B41" w:rsidR="00B242C3" w:rsidRPr="003272C7" w:rsidRDefault="00B242C3" w:rsidP="00BA73B0">
            <w:pPr>
              <w:pStyle w:val="TableBullet"/>
              <w:rPr>
                <w:rFonts w:cs="Arial"/>
              </w:rPr>
            </w:pPr>
            <w:r w:rsidRPr="003272C7">
              <w:rPr>
                <w:rFonts w:cs="Arial"/>
              </w:rPr>
              <w:t>Social media strategy document—'Water information for the community’ (2020)</w:t>
            </w:r>
            <w:r w:rsidR="0071677F" w:rsidRPr="003272C7">
              <w:rPr>
                <w:rFonts w:cs="Arial"/>
              </w:rPr>
              <w:t>.</w:t>
            </w:r>
          </w:p>
          <w:p w14:paraId="5EEB2153" w14:textId="22670EE5" w:rsidR="00B242C3" w:rsidRPr="003272C7" w:rsidRDefault="00B242C3" w:rsidP="00BA73B0">
            <w:pPr>
              <w:pStyle w:val="TableBullet"/>
              <w:rPr>
                <w:rFonts w:cs="Arial"/>
              </w:rPr>
            </w:pPr>
            <w:r w:rsidRPr="003272C7">
              <w:rPr>
                <w:rFonts w:cs="Arial"/>
              </w:rPr>
              <w:t>Water website heatmapping analytics (2020)</w:t>
            </w:r>
            <w:r w:rsidR="0071677F" w:rsidRPr="003272C7">
              <w:rPr>
                <w:rFonts w:cs="Arial"/>
              </w:rPr>
              <w:t>.</w:t>
            </w:r>
          </w:p>
          <w:p w14:paraId="7D6A55C0" w14:textId="2597B589" w:rsidR="00B242C3" w:rsidRPr="003272C7" w:rsidRDefault="00B242C3" w:rsidP="00BA73B0">
            <w:pPr>
              <w:pStyle w:val="TableBullet"/>
              <w:rPr>
                <w:rFonts w:cs="Arial"/>
              </w:rPr>
            </w:pPr>
            <w:r w:rsidRPr="003272C7">
              <w:rPr>
                <w:rFonts w:cs="Arial"/>
              </w:rPr>
              <w:t>Registered Aboriginal Party boundary geospatial layer (2021)</w:t>
            </w:r>
            <w:r w:rsidR="0071677F" w:rsidRPr="003272C7">
              <w:rPr>
                <w:rFonts w:cs="Arial"/>
              </w:rPr>
              <w:t>.</w:t>
            </w:r>
          </w:p>
          <w:p w14:paraId="73689677" w14:textId="32AC26CB" w:rsidR="00B242C3" w:rsidRPr="003272C7" w:rsidRDefault="00B242C3" w:rsidP="00BA73B0">
            <w:pPr>
              <w:pStyle w:val="TableBullet"/>
              <w:rPr>
                <w:rFonts w:cs="Arial"/>
              </w:rPr>
            </w:pPr>
            <w:r w:rsidRPr="003272C7">
              <w:rPr>
                <w:rFonts w:cs="Arial"/>
              </w:rPr>
              <w:t>Water market information dashboard videos (2021)</w:t>
            </w:r>
            <w:r w:rsidR="0071677F" w:rsidRPr="003272C7">
              <w:rPr>
                <w:rFonts w:cs="Arial"/>
              </w:rPr>
              <w:t>.</w:t>
            </w:r>
          </w:p>
          <w:p w14:paraId="0E614CD8" w14:textId="668EC992" w:rsidR="00B242C3" w:rsidRPr="003272C7" w:rsidRDefault="00B242C3" w:rsidP="00BA73B0">
            <w:pPr>
              <w:pStyle w:val="TableBullet"/>
              <w:rPr>
                <w:rFonts w:cs="Arial"/>
              </w:rPr>
            </w:pPr>
            <w:r w:rsidRPr="003272C7">
              <w:rPr>
                <w:rFonts w:cs="Arial"/>
              </w:rPr>
              <w:t>PowerBI training for Water Resource Strategy staff (2021)</w:t>
            </w:r>
            <w:r w:rsidR="0071677F" w:rsidRPr="003272C7">
              <w:rPr>
                <w:rFonts w:cs="Arial"/>
              </w:rPr>
              <w:t>.</w:t>
            </w:r>
          </w:p>
          <w:p w14:paraId="45CDA674" w14:textId="56F89C56" w:rsidR="00B242C3" w:rsidRPr="003272C7" w:rsidRDefault="00B242C3" w:rsidP="00BA73B0">
            <w:pPr>
              <w:pStyle w:val="TableBullet"/>
              <w:rPr>
                <w:rFonts w:cs="Arial"/>
              </w:rPr>
            </w:pPr>
            <w:r w:rsidRPr="003272C7">
              <w:rPr>
                <w:rFonts w:cs="Arial"/>
              </w:rPr>
              <w:t>Visualising Our Communications (Compliance Project 2A) (2022)</w:t>
            </w:r>
            <w:r w:rsidR="0071677F" w:rsidRPr="003272C7">
              <w:rPr>
                <w:rFonts w:cs="Arial"/>
              </w:rPr>
              <w:t>.</w:t>
            </w:r>
          </w:p>
          <w:p w14:paraId="7D777B84" w14:textId="7850A009" w:rsidR="00B242C3" w:rsidRPr="003272C7" w:rsidRDefault="00B242C3" w:rsidP="00BA73B0">
            <w:pPr>
              <w:pStyle w:val="TableBullet"/>
              <w:rPr>
                <w:rFonts w:cs="Arial"/>
              </w:rPr>
            </w:pPr>
            <w:r w:rsidRPr="003272C7">
              <w:rPr>
                <w:rFonts w:cs="Arial"/>
              </w:rPr>
              <w:t>Victorian Water Accounts video (2022)</w:t>
            </w:r>
            <w:r w:rsidR="0071677F" w:rsidRPr="003272C7">
              <w:rPr>
                <w:rFonts w:cs="Arial"/>
              </w:rPr>
              <w:t>.</w:t>
            </w:r>
          </w:p>
          <w:p w14:paraId="6BCA6CD0" w14:textId="1A01B68A" w:rsidR="00B242C3" w:rsidRPr="003272C7" w:rsidRDefault="0043188F" w:rsidP="00BA73B0">
            <w:pPr>
              <w:pStyle w:val="TableBullet"/>
              <w:rPr>
                <w:rFonts w:cs="Arial"/>
              </w:rPr>
            </w:pPr>
            <w:r w:rsidRPr="003272C7">
              <w:rPr>
                <w:rFonts w:cs="Arial"/>
              </w:rPr>
              <w:t xml:space="preserve">DEECA and Geography Teachers Association Victoria student </w:t>
            </w:r>
            <w:r w:rsidR="00B242C3" w:rsidRPr="003272C7">
              <w:rPr>
                <w:rFonts w:cs="Arial"/>
              </w:rPr>
              <w:t>and teacher water lesson plan resources (2022)</w:t>
            </w:r>
            <w:r w:rsidR="0071677F" w:rsidRPr="003272C7">
              <w:rPr>
                <w:rFonts w:cs="Arial"/>
              </w:rPr>
              <w:t>.</w:t>
            </w:r>
          </w:p>
          <w:p w14:paraId="4FBD5D20" w14:textId="3438A2D4" w:rsidR="00B242C3" w:rsidRPr="003272C7" w:rsidRDefault="00B242C3" w:rsidP="00BA73B0">
            <w:pPr>
              <w:pStyle w:val="TableBullet"/>
              <w:rPr>
                <w:rFonts w:cs="Arial"/>
              </w:rPr>
            </w:pPr>
            <w:r w:rsidRPr="003272C7">
              <w:rPr>
                <w:rFonts w:cs="Arial"/>
              </w:rPr>
              <w:lastRenderedPageBreak/>
              <w:t xml:space="preserve">DEECA and </w:t>
            </w:r>
            <w:r w:rsidR="0071677F" w:rsidRPr="003272C7">
              <w:rPr>
                <w:rFonts w:cs="Arial"/>
              </w:rPr>
              <w:t xml:space="preserve">Geography Teachers Association Victoria </w:t>
            </w:r>
            <w:r w:rsidRPr="003272C7">
              <w:rPr>
                <w:rFonts w:cs="Arial"/>
              </w:rPr>
              <w:t>Water Education Portal (2023–24)</w:t>
            </w:r>
            <w:r w:rsidR="0071677F" w:rsidRPr="003272C7">
              <w:rPr>
                <w:rFonts w:cs="Arial"/>
              </w:rPr>
              <w:t>.</w:t>
            </w:r>
          </w:p>
          <w:p w14:paraId="374D3759" w14:textId="6C4CB3A3" w:rsidR="00B242C3" w:rsidRPr="003272C7" w:rsidRDefault="00B242C3" w:rsidP="00BA73B0">
            <w:pPr>
              <w:pStyle w:val="TableBullet"/>
              <w:rPr>
                <w:rFonts w:cs="Arial"/>
              </w:rPr>
            </w:pPr>
            <w:r w:rsidRPr="003272C7">
              <w:rPr>
                <w:rFonts w:cs="Arial"/>
              </w:rPr>
              <w:t>Building a Better Victorian Water Register Website (2023–24)</w:t>
            </w:r>
            <w:r w:rsidR="0071677F" w:rsidRPr="003272C7">
              <w:rPr>
                <w:rFonts w:cs="Arial"/>
              </w:rPr>
              <w:t>.</w:t>
            </w:r>
          </w:p>
          <w:p w14:paraId="235801E7" w14:textId="1FD04666" w:rsidR="008F66CE" w:rsidRPr="003272C7" w:rsidRDefault="008F66CE" w:rsidP="00BA73B0">
            <w:pPr>
              <w:pStyle w:val="TableBullet"/>
              <w:rPr>
                <w:rFonts w:cs="Arial"/>
              </w:rPr>
            </w:pPr>
            <w:r w:rsidRPr="003272C7">
              <w:rPr>
                <w:rFonts w:cs="Arial"/>
              </w:rPr>
              <w:t>Enhanced Victorian trade communications to water market participants including delivery of Barmah Choke Trade Protocol with WaterNSW (2022–present)</w:t>
            </w:r>
            <w:r w:rsidR="0071677F" w:rsidRPr="003272C7">
              <w:rPr>
                <w:rFonts w:cs="Arial"/>
              </w:rPr>
              <w:t>.</w:t>
            </w:r>
          </w:p>
          <w:p w14:paraId="2EAA6E51" w14:textId="2B940C23" w:rsidR="00B242C3" w:rsidRPr="003272C7" w:rsidRDefault="008F66CE" w:rsidP="00BA73B0">
            <w:pPr>
              <w:pStyle w:val="TableBullet"/>
              <w:rPr>
                <w:rFonts w:cs="Arial"/>
              </w:rPr>
            </w:pPr>
            <w:r w:rsidRPr="003272C7">
              <w:rPr>
                <w:rFonts w:cs="Arial"/>
              </w:rPr>
              <w:t xml:space="preserve">Visualising Our Communications 2 (Gippsland) (2024) </w:t>
            </w:r>
            <w:r w:rsidR="0071677F" w:rsidRPr="003272C7">
              <w:rPr>
                <w:rFonts w:cs="Arial"/>
              </w:rPr>
              <w:t>.</w:t>
            </w:r>
          </w:p>
        </w:tc>
      </w:tr>
      <w:tr w:rsidR="00B242C3" w:rsidRPr="003272C7" w14:paraId="7F4ABB84" w14:textId="77777777" w:rsidTr="00A67898">
        <w:trPr>
          <w:trHeight w:val="259"/>
        </w:trPr>
        <w:tc>
          <w:tcPr>
            <w:tcW w:w="5000" w:type="pct"/>
            <w:gridSpan w:val="2"/>
            <w:shd w:val="clear" w:color="auto" w:fill="231EDC" w:themeFill="accent1"/>
          </w:tcPr>
          <w:p w14:paraId="2E6F4F87" w14:textId="383ED4F2" w:rsidR="00B242C3" w:rsidRPr="003272C7" w:rsidRDefault="00C51015" w:rsidP="00BA73B0">
            <w:pPr>
              <w:pStyle w:val="TableText"/>
              <w:rPr>
                <w:rFonts w:cs="Arial"/>
                <w:b/>
                <w:bCs/>
              </w:rPr>
            </w:pPr>
            <w:r w:rsidRPr="003272C7">
              <w:rPr>
                <w:rFonts w:cs="Arial"/>
                <w:b/>
                <w:bCs/>
                <w:szCs w:val="18"/>
              </w:rPr>
              <w:lastRenderedPageBreak/>
              <w:t>Summary against evaluation domains</w:t>
            </w:r>
          </w:p>
        </w:tc>
      </w:tr>
      <w:tr w:rsidR="00B242C3" w:rsidRPr="003272C7" w14:paraId="09D337A0" w14:textId="77777777" w:rsidTr="00A67898">
        <w:trPr>
          <w:trHeight w:val="259"/>
        </w:trPr>
        <w:tc>
          <w:tcPr>
            <w:tcW w:w="979" w:type="pct"/>
            <w:shd w:val="clear" w:color="auto" w:fill="231EDC" w:themeFill="accent1"/>
          </w:tcPr>
          <w:p w14:paraId="7108B01C" w14:textId="77777777" w:rsidR="00B242C3" w:rsidRPr="003272C7" w:rsidRDefault="00B242C3" w:rsidP="00BA73B0">
            <w:pPr>
              <w:pStyle w:val="TableText"/>
              <w:rPr>
                <w:rFonts w:cs="Arial"/>
                <w:b/>
                <w:bCs/>
              </w:rPr>
            </w:pPr>
            <w:r w:rsidRPr="003272C7">
              <w:rPr>
                <w:rFonts w:cs="Arial"/>
                <w:b/>
                <w:bCs/>
              </w:rPr>
              <w:t>Impact</w:t>
            </w:r>
          </w:p>
        </w:tc>
        <w:tc>
          <w:tcPr>
            <w:tcW w:w="4021" w:type="pct"/>
          </w:tcPr>
          <w:p w14:paraId="5CEC8336" w14:textId="436DE721" w:rsidR="00142559" w:rsidRPr="003272C7" w:rsidRDefault="00B242C3" w:rsidP="00BA73B0">
            <w:pPr>
              <w:pStyle w:val="TableBullet"/>
              <w:rPr>
                <w:rFonts w:cs="Arial"/>
              </w:rPr>
            </w:pPr>
            <w:r w:rsidRPr="003272C7">
              <w:rPr>
                <w:rFonts w:cs="Arial"/>
              </w:rPr>
              <w:t xml:space="preserve">WKI’s work with the </w:t>
            </w:r>
            <w:r w:rsidR="0071677F" w:rsidRPr="003272C7">
              <w:rPr>
                <w:rFonts w:cs="Arial"/>
              </w:rPr>
              <w:t xml:space="preserve">Geography Teachers Association Victoria </w:t>
            </w:r>
            <w:r w:rsidRPr="003272C7">
              <w:rPr>
                <w:rFonts w:cs="Arial"/>
              </w:rPr>
              <w:t>has significantly improved access of Victorian water management information to our future water stewards (and to families) by offering students and teachers easy to use and accessible platforms and resources. Student and teacher resources offered young people the chance to roleplay and run exercises to gain greater understanding of Victoria’s water resources. While the Water Education Portal will be a valuable asset into the future that leverages video content and other educational resources to portray a rounder vision of Victoria’s water resource management while also offering career advice that gives teachers the opportunity to promote the water sector to high school students with clearer and more logical</w:t>
            </w:r>
            <w:r w:rsidR="007D69DB" w:rsidRPr="003272C7">
              <w:rPr>
                <w:rFonts w:cs="Arial"/>
              </w:rPr>
              <w:t> </w:t>
            </w:r>
            <w:r w:rsidRPr="003272C7">
              <w:rPr>
                <w:rFonts w:cs="Arial"/>
              </w:rPr>
              <w:t>directions.</w:t>
            </w:r>
          </w:p>
          <w:p w14:paraId="75E4E180" w14:textId="73B409E5" w:rsidR="00B242C3" w:rsidRPr="003272C7" w:rsidRDefault="00B242C3" w:rsidP="00BA73B0">
            <w:pPr>
              <w:pStyle w:val="TableBullet"/>
              <w:rPr>
                <w:rFonts w:cs="Arial"/>
              </w:rPr>
            </w:pPr>
            <w:r w:rsidRPr="003272C7">
              <w:rPr>
                <w:rFonts w:cs="Arial"/>
              </w:rPr>
              <w:t>Water Market Watch iOS app was developed and adopted by stakeholders, providing real-time water market information. This change enhances stakeholders' access to water-related data and aligns with the desired end-of-Program outcome of improving community access to water resource information.</w:t>
            </w:r>
          </w:p>
          <w:p w14:paraId="07986BA4" w14:textId="77777777" w:rsidR="00142559" w:rsidRPr="003272C7" w:rsidRDefault="00B242C3" w:rsidP="00BA73B0">
            <w:pPr>
              <w:pStyle w:val="TableBullet"/>
              <w:rPr>
                <w:rFonts w:cs="Arial"/>
              </w:rPr>
            </w:pPr>
            <w:r w:rsidRPr="003272C7">
              <w:rPr>
                <w:rFonts w:cs="Arial"/>
              </w:rPr>
              <w:t>The feedback on the iOS App Store helps in evaluating the app's acceptance by stakeholders by offering insights into users' experiences, highlighting both positive aspects and areas that may need attention. This feedback can inform future updates and enhancements to the app, ensuring that stakeholders' needs and preferences are addressed. Overall, the adoption of the Water Market Watch iOS app by stakeholders and the feedback received on the iOS App Store indicate that the app is serving its purpose of providing real-time water market information. The app has an average user score of 3.5 stars on the iOS platform.</w:t>
            </w:r>
          </w:p>
          <w:p w14:paraId="70C8C529" w14:textId="4F8049B4" w:rsidR="00B242C3" w:rsidRPr="003272C7" w:rsidRDefault="0071677F" w:rsidP="00BA73B0">
            <w:pPr>
              <w:pStyle w:val="TableBullet"/>
              <w:rPr>
                <w:rFonts w:cs="Arial"/>
              </w:rPr>
            </w:pPr>
            <w:r w:rsidRPr="003272C7">
              <w:rPr>
                <w:rFonts w:cs="Arial"/>
              </w:rPr>
              <w:t>WKI w</w:t>
            </w:r>
            <w:r w:rsidR="00B242C3" w:rsidRPr="003272C7">
              <w:rPr>
                <w:rFonts w:cs="Arial"/>
              </w:rPr>
              <w:t>orked closely with three water corporations (Goulburn</w:t>
            </w:r>
            <w:r w:rsidRPr="003272C7">
              <w:rPr>
                <w:rFonts w:cs="Arial"/>
              </w:rPr>
              <w:t>-</w:t>
            </w:r>
            <w:r w:rsidR="00B242C3" w:rsidRPr="003272C7">
              <w:rPr>
                <w:rFonts w:cs="Arial"/>
              </w:rPr>
              <w:t xml:space="preserve">Murray Water, Lower Murray Water, and Southern Rural Water) to develop the Visualising Our Communications project. </w:t>
            </w:r>
            <w:r w:rsidR="00BC32C3" w:rsidRPr="003272C7">
              <w:rPr>
                <w:rFonts w:cs="Arial"/>
              </w:rPr>
              <w:t>The first of these covered the north (from Shepparton to Mildura) and south (Ballarat, Bacchus Marsh) of Victoria, while the second covered the east (Gippsland). The photographic and video deliverables of this project have been utilised across DEECA, GM</w:t>
            </w:r>
            <w:r w:rsidR="00363D43" w:rsidRPr="003272C7">
              <w:rPr>
                <w:rFonts w:cs="Arial"/>
              </w:rPr>
              <w:t>W</w:t>
            </w:r>
            <w:r w:rsidRPr="003272C7">
              <w:rPr>
                <w:rFonts w:cs="Arial"/>
              </w:rPr>
              <w:t xml:space="preserve"> Lower Murray Water, and Southern Rural Water </w:t>
            </w:r>
            <w:r w:rsidR="00BC32C3" w:rsidRPr="003272C7">
              <w:rPr>
                <w:rFonts w:cs="Arial"/>
              </w:rPr>
              <w:t xml:space="preserve">including in policy documents, research and annual reports, online web content, customer information presentation, social media, fact sheets and other important water communications. The deliverables are also available for use by the broader department and will be of particular use for Agriculture Victoria, Resources Victoria and </w:t>
            </w:r>
            <w:r w:rsidRPr="003272C7">
              <w:rPr>
                <w:rFonts w:cs="Arial"/>
              </w:rPr>
              <w:t>DEECA</w:t>
            </w:r>
            <w:r w:rsidR="00BC32C3" w:rsidRPr="003272C7">
              <w:rPr>
                <w:rFonts w:cs="Arial"/>
              </w:rPr>
              <w:t xml:space="preserve"> communications division. These uses including the DEECA Annual Report 2022–23</w:t>
            </w:r>
            <w:r w:rsidR="00B242C3" w:rsidRPr="003272C7">
              <w:rPr>
                <w:rFonts w:cs="Arial"/>
              </w:rPr>
              <w:t xml:space="preserve"> and the anecdotal acclaim from staff and executives proves their value for money</w:t>
            </w:r>
            <w:r w:rsidR="00B74351" w:rsidRPr="003272C7">
              <w:rPr>
                <w:rFonts w:cs="Arial"/>
              </w:rPr>
              <w:t xml:space="preserve"> and highlight the benefit of such collaborations</w:t>
            </w:r>
            <w:r w:rsidR="00B242C3" w:rsidRPr="003272C7">
              <w:rPr>
                <w:rFonts w:cs="Arial"/>
              </w:rPr>
              <w:t>.</w:t>
            </w:r>
          </w:p>
          <w:p w14:paraId="12BDAAEC" w14:textId="77777777" w:rsidR="00B242C3" w:rsidRPr="003272C7" w:rsidRDefault="00B242C3" w:rsidP="00BA73B0">
            <w:pPr>
              <w:pStyle w:val="TableBullet"/>
              <w:rPr>
                <w:rFonts w:cs="Arial"/>
              </w:rPr>
            </w:pPr>
            <w:r w:rsidRPr="003272C7">
              <w:rPr>
                <w:rFonts w:cs="Arial"/>
              </w:rPr>
              <w:t>The production of videos for use across social media and online website platforms has allowed for greater understanding of complex ideas such as those found in water monitoring as well as offering water users easy-to-follow instructions for how to work with the data we publicly release.</w:t>
            </w:r>
          </w:p>
          <w:p w14:paraId="6140B100" w14:textId="380C5D34" w:rsidR="00B242C3" w:rsidRPr="003272C7" w:rsidRDefault="009B21F0" w:rsidP="00BA73B0">
            <w:pPr>
              <w:pStyle w:val="TableBullet"/>
              <w:rPr>
                <w:rFonts w:cs="Arial"/>
              </w:rPr>
            </w:pPr>
            <w:r w:rsidRPr="003272C7">
              <w:rPr>
                <w:rFonts w:cs="Arial"/>
              </w:rPr>
              <w:t xml:space="preserve">This </w:t>
            </w:r>
            <w:r w:rsidR="00445736" w:rsidRPr="003272C7">
              <w:rPr>
                <w:rFonts w:cs="Arial"/>
              </w:rPr>
              <w:t>project</w:t>
            </w:r>
            <w:r w:rsidRPr="003272C7">
              <w:rPr>
                <w:rFonts w:cs="Arial"/>
              </w:rPr>
              <w:t xml:space="preserve"> allowed DEECA to meet several of its actions as detailed in </w:t>
            </w:r>
            <w:r w:rsidR="0071677F" w:rsidRPr="003272C7">
              <w:rPr>
                <w:rFonts w:cs="Arial"/>
              </w:rPr>
              <w:t xml:space="preserve">the </w:t>
            </w:r>
            <w:r w:rsidRPr="003272C7">
              <w:rPr>
                <w:rFonts w:cs="Arial"/>
              </w:rPr>
              <w:t>CGRSWS, particularly those around community education and improved access to information. </w:t>
            </w:r>
          </w:p>
        </w:tc>
      </w:tr>
      <w:tr w:rsidR="00B242C3" w:rsidRPr="003272C7" w14:paraId="5573F7E1" w14:textId="77777777" w:rsidTr="00A67898">
        <w:trPr>
          <w:trHeight w:val="259"/>
        </w:trPr>
        <w:tc>
          <w:tcPr>
            <w:tcW w:w="979" w:type="pct"/>
            <w:shd w:val="clear" w:color="auto" w:fill="231EDC" w:themeFill="accent1"/>
          </w:tcPr>
          <w:p w14:paraId="0709BAD0" w14:textId="77777777" w:rsidR="00B242C3" w:rsidRPr="003272C7" w:rsidRDefault="00B242C3" w:rsidP="00BA73B0">
            <w:pPr>
              <w:pStyle w:val="TableText"/>
              <w:rPr>
                <w:rFonts w:cs="Arial"/>
                <w:b/>
                <w:bCs/>
              </w:rPr>
            </w:pPr>
            <w:r w:rsidRPr="003272C7">
              <w:rPr>
                <w:rFonts w:cs="Arial"/>
                <w:b/>
                <w:bCs/>
              </w:rPr>
              <w:t>Effectiveness</w:t>
            </w:r>
          </w:p>
        </w:tc>
        <w:tc>
          <w:tcPr>
            <w:tcW w:w="4021" w:type="pct"/>
          </w:tcPr>
          <w:p w14:paraId="00CDF871" w14:textId="77777777" w:rsidR="00142559" w:rsidRPr="003272C7" w:rsidRDefault="00B242C3" w:rsidP="00BA73B0">
            <w:pPr>
              <w:pStyle w:val="TableText"/>
              <w:rPr>
                <w:rFonts w:cs="Arial"/>
              </w:rPr>
            </w:pPr>
            <w:r w:rsidRPr="003272C7">
              <w:rPr>
                <w:rFonts w:cs="Arial"/>
              </w:rPr>
              <w:t xml:space="preserve">Several changes have happened to the WKI team since commencement of </w:t>
            </w:r>
            <w:r w:rsidR="0071677F" w:rsidRPr="003272C7">
              <w:rPr>
                <w:rFonts w:cs="Arial"/>
              </w:rPr>
              <w:t>EC</w:t>
            </w:r>
            <w:r w:rsidRPr="003272C7">
              <w:rPr>
                <w:rFonts w:cs="Arial"/>
              </w:rPr>
              <w:t xml:space="preserve">5. Changes to team </w:t>
            </w:r>
            <w:r w:rsidR="0071677F" w:rsidRPr="003272C7">
              <w:rPr>
                <w:rFonts w:cs="Arial"/>
              </w:rPr>
              <w:t>full-time equivalent</w:t>
            </w:r>
            <w:r w:rsidRPr="003272C7">
              <w:rPr>
                <w:rFonts w:cs="Arial"/>
              </w:rPr>
              <w:t xml:space="preserve"> make-up, divisional and reporting changes, budget, plus the realities of the department’s social media protocols and communications strategies have meant that some changes were made to the operation of WKI. However, despite this, the core Program logic of WKI remained the same and continued to add value to the Water Resource Strategy Division and the </w:t>
            </w:r>
            <w:r w:rsidRPr="003272C7">
              <w:rPr>
                <w:rFonts w:cs="Arial"/>
              </w:rPr>
              <w:lastRenderedPageBreak/>
              <w:t xml:space="preserve">broader community, particularly for areas whose work </w:t>
            </w:r>
            <w:r w:rsidR="009B21F0" w:rsidRPr="003272C7">
              <w:rPr>
                <w:rFonts w:cs="Arial"/>
              </w:rPr>
              <w:t xml:space="preserve">programs </w:t>
            </w:r>
            <w:r w:rsidRPr="003272C7">
              <w:rPr>
                <w:rFonts w:cs="Arial"/>
              </w:rPr>
              <w:t>were strongly related to the WKI team’s. With a strong focus on outputs that fit into Water and Catchments Group’s broader goals, WKI has delivered on the underlying role it was created to fill.</w:t>
            </w:r>
          </w:p>
          <w:p w14:paraId="38863341" w14:textId="0504B8E3" w:rsidR="00142559" w:rsidRPr="003272C7" w:rsidRDefault="00B242C3" w:rsidP="00BA73B0">
            <w:pPr>
              <w:pStyle w:val="TableText"/>
              <w:rPr>
                <w:rFonts w:cs="Arial"/>
              </w:rPr>
            </w:pPr>
            <w:r w:rsidRPr="003272C7">
              <w:rPr>
                <w:rFonts w:cs="Arial"/>
              </w:rPr>
              <w:t>Most significantly, one of the key projects as laid out in Stream 2 of ​​the EC5 bid (‘The evidence base for Victorian water: availability and knowledge’​) was removed from the WKI workplan and its budget (of $1</w:t>
            </w:r>
            <w:r w:rsidR="0071677F" w:rsidRPr="003272C7">
              <w:rPr>
                <w:rFonts w:cs="Arial"/>
              </w:rPr>
              <w:t xml:space="preserve"> </w:t>
            </w:r>
            <w:r w:rsidRPr="003272C7">
              <w:rPr>
                <w:rFonts w:cs="Arial"/>
              </w:rPr>
              <w:t>million) was reallocated. This deliverable, to build ‘a new component includes delivery of a Water Insights Library that will integrate existing water information sources to improve co-ordination and access to water information’, was cancelled in 2022. Further budget was excised from WKI with</w:t>
            </w:r>
            <w:r w:rsidR="007D69DB" w:rsidRPr="003272C7">
              <w:rPr>
                <w:rFonts w:cs="Arial"/>
              </w:rPr>
              <w:t> </w:t>
            </w:r>
            <w:r w:rsidRPr="003272C7">
              <w:rPr>
                <w:rFonts w:cs="Arial"/>
              </w:rPr>
              <w:t xml:space="preserve">works developed through alternative means including through the team’s integration with the Market Operations and Insights team of the </w:t>
            </w:r>
            <w:r w:rsidR="0071677F" w:rsidRPr="003272C7">
              <w:rPr>
                <w:rFonts w:cs="Arial"/>
              </w:rPr>
              <w:t>Water Resource Strategy Division</w:t>
            </w:r>
            <w:r w:rsidRPr="003272C7">
              <w:rPr>
                <w:rFonts w:cs="Arial"/>
              </w:rPr>
              <w:t>.</w:t>
            </w:r>
          </w:p>
          <w:p w14:paraId="77A02337" w14:textId="7E059DDD" w:rsidR="00B242C3" w:rsidRPr="003272C7" w:rsidRDefault="00131F1A" w:rsidP="00BA73B0">
            <w:pPr>
              <w:pStyle w:val="TableText"/>
              <w:rPr>
                <w:rFonts w:cs="Arial"/>
              </w:rPr>
            </w:pPr>
            <w:r w:rsidRPr="003272C7">
              <w:rPr>
                <w:rFonts w:cs="Arial"/>
              </w:rPr>
              <w:t>Water Knowledge and Insights team provided key support including expertise, knowledge and guidance on strategic direction as inputs into the development of social media assets created by other WCG teams. Water Knowledge and Insights also delivered important work for the Market Operations and Insights team, improving the accessibility and quality of information for recurring trade openings across the EC5 period. </w:t>
            </w:r>
          </w:p>
        </w:tc>
      </w:tr>
      <w:tr w:rsidR="00B242C3" w:rsidRPr="003272C7" w14:paraId="22EFFC8F" w14:textId="77777777" w:rsidTr="00A67898">
        <w:trPr>
          <w:trHeight w:val="259"/>
        </w:trPr>
        <w:tc>
          <w:tcPr>
            <w:tcW w:w="979" w:type="pct"/>
            <w:shd w:val="clear" w:color="auto" w:fill="231EDC" w:themeFill="accent1"/>
          </w:tcPr>
          <w:p w14:paraId="5CF9592A" w14:textId="77777777" w:rsidR="00B242C3" w:rsidRPr="003272C7" w:rsidRDefault="00B242C3" w:rsidP="00BA73B0">
            <w:pPr>
              <w:pStyle w:val="TableText"/>
              <w:rPr>
                <w:rFonts w:cs="Arial"/>
                <w:b/>
                <w:bCs/>
              </w:rPr>
            </w:pPr>
            <w:r w:rsidRPr="003272C7">
              <w:rPr>
                <w:rFonts w:cs="Arial"/>
                <w:b/>
                <w:bCs/>
              </w:rPr>
              <w:lastRenderedPageBreak/>
              <w:t>Appropriateness</w:t>
            </w:r>
          </w:p>
        </w:tc>
        <w:tc>
          <w:tcPr>
            <w:tcW w:w="4021" w:type="pct"/>
          </w:tcPr>
          <w:p w14:paraId="64DE85B5" w14:textId="3FB38C71" w:rsidR="00B242C3" w:rsidRPr="003272C7" w:rsidRDefault="00B242C3" w:rsidP="00BA73B0">
            <w:pPr>
              <w:pStyle w:val="TableText"/>
              <w:rPr>
                <w:rFonts w:cs="Arial"/>
              </w:rPr>
            </w:pPr>
            <w:r w:rsidRPr="003272C7">
              <w:rPr>
                <w:rFonts w:cs="Arial"/>
              </w:rPr>
              <w:t>The initial work Program plan was designed in a way that allowed for flexibility in some of its deliverables, and which was appropriate for the needs of the community and for Water and Catchments Group. This allowed the team to be intuitive in developing ideas that respond to immediate needs as well as evolving long-term aspirations for water resource management</w:t>
            </w:r>
            <w:r w:rsidR="00131F1A" w:rsidRPr="003272C7">
              <w:rPr>
                <w:rFonts w:cs="Arial"/>
              </w:rPr>
              <w:t xml:space="preserve"> including some </w:t>
            </w:r>
            <w:r w:rsidR="00445736" w:rsidRPr="003272C7">
              <w:rPr>
                <w:rFonts w:cs="Arial"/>
              </w:rPr>
              <w:t>project</w:t>
            </w:r>
            <w:r w:rsidR="00131F1A" w:rsidRPr="003272C7">
              <w:rPr>
                <w:rFonts w:cs="Arial"/>
              </w:rPr>
              <w:t xml:space="preserve">s that arose out of the completed delivery of the CGRSWS and other works undertaken by </w:t>
            </w:r>
            <w:r w:rsidR="0071677F" w:rsidRPr="003272C7">
              <w:rPr>
                <w:rFonts w:cs="Arial"/>
              </w:rPr>
              <w:t>Water and Catchments Group</w:t>
            </w:r>
            <w:r w:rsidRPr="003272C7">
              <w:rPr>
                <w:rFonts w:cs="Arial"/>
              </w:rPr>
              <w:t xml:space="preserve">. The flexibility meant that we could work alongside stakeholders both inside and outside of the department and better understand their needs, working together to produce products that have genuine </w:t>
            </w:r>
            <w:r w:rsidR="00131F1A" w:rsidRPr="003272C7">
              <w:rPr>
                <w:rFonts w:cs="Arial"/>
              </w:rPr>
              <w:t xml:space="preserve">value </w:t>
            </w:r>
            <w:r w:rsidRPr="003272C7">
              <w:rPr>
                <w:rFonts w:cs="Arial"/>
              </w:rPr>
              <w:t xml:space="preserve">and </w:t>
            </w:r>
            <w:r w:rsidR="009B337C" w:rsidRPr="003272C7">
              <w:rPr>
                <w:rFonts w:cs="Arial"/>
              </w:rPr>
              <w:t>which have</w:t>
            </w:r>
            <w:r w:rsidRPr="003272C7">
              <w:rPr>
                <w:rFonts w:cs="Arial"/>
              </w:rPr>
              <w:t xml:space="preserve"> been properly scoped, defined and resourced. As a result, the delivered projects yielded strong results. For example, the WKI EC5 Program plan’s wording to deliver enhanced water resource information did not </w:t>
            </w:r>
            <w:r w:rsidR="009B337C" w:rsidRPr="003272C7">
              <w:rPr>
                <w:rFonts w:cs="Arial"/>
              </w:rPr>
              <w:t xml:space="preserve">encompass </w:t>
            </w:r>
            <w:r w:rsidRPr="003272C7">
              <w:rPr>
                <w:rFonts w:cs="Arial"/>
              </w:rPr>
              <w:t xml:space="preserve">the Building a Better Victorian Water Register Website project when it was </w:t>
            </w:r>
            <w:r w:rsidR="009B337C" w:rsidRPr="003272C7">
              <w:rPr>
                <w:rFonts w:cs="Arial"/>
              </w:rPr>
              <w:t>first conceived.</w:t>
            </w:r>
            <w:r w:rsidRPr="003272C7">
              <w:rPr>
                <w:rFonts w:cs="Arial"/>
              </w:rPr>
              <w:t xml:space="preserve"> But the </w:t>
            </w:r>
            <w:r w:rsidR="00C33644" w:rsidRPr="003272C7">
              <w:rPr>
                <w:rFonts w:cs="Arial"/>
              </w:rPr>
              <w:t>administration</w:t>
            </w:r>
            <w:r w:rsidRPr="003272C7">
              <w:rPr>
                <w:rFonts w:cs="Arial"/>
              </w:rPr>
              <w:t xml:space="preserve"> of this particular project will be one of the team’s major works. Meanwhile, the Insights Library project was considered relevant in the EC5 drafting process, but ultimately wasn’t strong enough and its funding was </w:t>
            </w:r>
            <w:r w:rsidR="00C33644" w:rsidRPr="003272C7">
              <w:rPr>
                <w:rFonts w:cs="Arial"/>
              </w:rPr>
              <w:t>reallocated.</w:t>
            </w:r>
          </w:p>
          <w:p w14:paraId="47BC6EB5" w14:textId="675AC0F1" w:rsidR="00B242C3" w:rsidRPr="003272C7" w:rsidRDefault="00C33644" w:rsidP="00BA73B0">
            <w:pPr>
              <w:pStyle w:val="TableText"/>
              <w:rPr>
                <w:rFonts w:cs="Arial"/>
              </w:rPr>
            </w:pPr>
            <w:r w:rsidRPr="003272C7">
              <w:rPr>
                <w:rFonts w:cs="Arial"/>
              </w:rPr>
              <w:t>B</w:t>
            </w:r>
            <w:r w:rsidR="00B242C3" w:rsidRPr="003272C7">
              <w:rPr>
                <w:rFonts w:cs="Arial"/>
              </w:rPr>
              <w:t xml:space="preserve">ecause much of the work undertaken by Water Knowledge and Insights depended on the work of other teams across the Water Resource Strategy Division (and Water and Catchments Group more broadly), we were able to more appropriately focus on how our investment concepts worked with the other work being done by colleagues. This allowed for work to be delivered that was not only value for money but will have a longer </w:t>
            </w:r>
            <w:r w:rsidR="00554164" w:rsidRPr="003272C7">
              <w:rPr>
                <w:rFonts w:cs="Arial"/>
              </w:rPr>
              <w:t>legacy</w:t>
            </w:r>
            <w:r w:rsidR="00B242C3" w:rsidRPr="003272C7">
              <w:rPr>
                <w:rFonts w:cs="Arial"/>
              </w:rPr>
              <w:t xml:space="preserve"> because they were borne out of collaboration and necessity.</w:t>
            </w:r>
          </w:p>
        </w:tc>
      </w:tr>
      <w:tr w:rsidR="00B242C3" w:rsidRPr="003272C7" w14:paraId="4CE5DCCC" w14:textId="77777777" w:rsidTr="00A67898">
        <w:trPr>
          <w:trHeight w:val="259"/>
        </w:trPr>
        <w:tc>
          <w:tcPr>
            <w:tcW w:w="979" w:type="pct"/>
            <w:shd w:val="clear" w:color="auto" w:fill="231EDC" w:themeFill="accent1"/>
          </w:tcPr>
          <w:p w14:paraId="6BB8B584" w14:textId="77777777" w:rsidR="00B242C3" w:rsidRPr="003272C7" w:rsidRDefault="00B242C3" w:rsidP="00BA73B0">
            <w:pPr>
              <w:pStyle w:val="TableText"/>
              <w:rPr>
                <w:rFonts w:cs="Arial"/>
                <w:b/>
                <w:bCs/>
              </w:rPr>
            </w:pPr>
            <w:r w:rsidRPr="003272C7">
              <w:rPr>
                <w:rFonts w:cs="Arial"/>
                <w:b/>
                <w:bCs/>
              </w:rPr>
              <w:t>Efficiency</w:t>
            </w:r>
          </w:p>
        </w:tc>
        <w:tc>
          <w:tcPr>
            <w:tcW w:w="4021" w:type="pct"/>
          </w:tcPr>
          <w:p w14:paraId="2818724E" w14:textId="38A8C63D" w:rsidR="00B242C3" w:rsidRPr="003272C7" w:rsidRDefault="00B242C3" w:rsidP="00BA73B0">
            <w:pPr>
              <w:pStyle w:val="TableBullet"/>
              <w:rPr>
                <w:rFonts w:cs="Arial"/>
              </w:rPr>
            </w:pPr>
            <w:r w:rsidRPr="003272C7">
              <w:rPr>
                <w:rFonts w:cs="Arial"/>
              </w:rPr>
              <w:t xml:space="preserve">During the period of EC5, staffing costs and budget lines were adjusted to align with the available resources. The reconfiguration allowed WKI to achieve its objectives within the given constraints. However, it is important to highlight that due to budget and staffing limitations, the Insights Library project could not be pursued alongside the other work </w:t>
            </w:r>
            <w:r w:rsidR="0071677F" w:rsidRPr="003272C7">
              <w:rPr>
                <w:rFonts w:cs="Arial"/>
              </w:rPr>
              <w:t>p</w:t>
            </w:r>
            <w:r w:rsidRPr="003272C7">
              <w:rPr>
                <w:rFonts w:cs="Arial"/>
              </w:rPr>
              <w:t xml:space="preserve">rograms being delivered by WKI. If the Insights Library project had been included, it would have required additional </w:t>
            </w:r>
            <w:r w:rsidR="0071677F" w:rsidRPr="003272C7">
              <w:rPr>
                <w:rFonts w:cs="Arial"/>
              </w:rPr>
              <w:t>full-time equivalent</w:t>
            </w:r>
            <w:r w:rsidRPr="003272C7">
              <w:rPr>
                <w:rFonts w:cs="Arial"/>
              </w:rPr>
              <w:t xml:space="preserve"> resources.</w:t>
            </w:r>
          </w:p>
        </w:tc>
      </w:tr>
      <w:tr w:rsidR="00B242C3" w:rsidRPr="003272C7" w14:paraId="3AC34073" w14:textId="77777777" w:rsidTr="00A67898">
        <w:trPr>
          <w:trHeight w:val="259"/>
        </w:trPr>
        <w:tc>
          <w:tcPr>
            <w:tcW w:w="979" w:type="pct"/>
            <w:shd w:val="clear" w:color="auto" w:fill="231EDC" w:themeFill="accent1"/>
          </w:tcPr>
          <w:p w14:paraId="29545C5F" w14:textId="77777777" w:rsidR="00B242C3" w:rsidRPr="003272C7" w:rsidRDefault="00B242C3" w:rsidP="00BA73B0">
            <w:pPr>
              <w:pStyle w:val="TableText"/>
              <w:rPr>
                <w:rFonts w:cs="Arial"/>
                <w:b/>
                <w:bCs/>
              </w:rPr>
            </w:pPr>
            <w:r w:rsidRPr="003272C7">
              <w:rPr>
                <w:rFonts w:cs="Arial"/>
                <w:b/>
                <w:bCs/>
              </w:rPr>
              <w:t>Legacy</w:t>
            </w:r>
          </w:p>
        </w:tc>
        <w:tc>
          <w:tcPr>
            <w:tcW w:w="4021" w:type="pct"/>
          </w:tcPr>
          <w:p w14:paraId="24686F52" w14:textId="77777777" w:rsidR="00B242C3" w:rsidRPr="003272C7" w:rsidRDefault="00B242C3" w:rsidP="00BA73B0">
            <w:pPr>
              <w:pStyle w:val="TableBullet"/>
              <w:rPr>
                <w:rFonts w:cs="Arial"/>
              </w:rPr>
            </w:pPr>
            <w:r w:rsidRPr="003272C7">
              <w:rPr>
                <w:rFonts w:cs="Arial"/>
              </w:rPr>
              <w:t>Team skills allow for future improved to be made to the VWR website while requiring less external resources. This ensures that the website will be able to continue to operate according to its guiding principles and require less large-scale redevelopments.</w:t>
            </w:r>
          </w:p>
          <w:p w14:paraId="55836937" w14:textId="213B6E1A" w:rsidR="00B242C3" w:rsidRPr="003272C7" w:rsidRDefault="00B242C3" w:rsidP="00BA73B0">
            <w:pPr>
              <w:pStyle w:val="TableBullet"/>
              <w:rPr>
                <w:rFonts w:cs="Arial"/>
              </w:rPr>
            </w:pPr>
            <w:r w:rsidRPr="003272C7">
              <w:rPr>
                <w:rFonts w:cs="Arial"/>
              </w:rPr>
              <w:t>By producing works that integrate water and its management into high school geography classes, young people are being directly delivered information that they wouldn’t otherwise have access to, and potentially fosters interest in the water sector that would be almost impossible to achieve otherwise</w:t>
            </w:r>
            <w:r w:rsidR="0071677F" w:rsidRPr="003272C7">
              <w:rPr>
                <w:rFonts w:cs="Arial"/>
              </w:rPr>
              <w:t>.</w:t>
            </w:r>
          </w:p>
          <w:p w14:paraId="2D684750" w14:textId="77777777" w:rsidR="00B242C3" w:rsidRPr="003272C7" w:rsidRDefault="00B242C3" w:rsidP="00BA73B0">
            <w:pPr>
              <w:pStyle w:val="TableBullet"/>
              <w:rPr>
                <w:rFonts w:cs="Arial"/>
              </w:rPr>
            </w:pPr>
            <w:r w:rsidRPr="003272C7">
              <w:rPr>
                <w:rFonts w:cs="Arial"/>
              </w:rPr>
              <w:lastRenderedPageBreak/>
              <w:t>Video work remains online, allowing anybody the option to learn about and better understand water resource information across a range of subjects.</w:t>
            </w:r>
          </w:p>
          <w:p w14:paraId="0E8D54E3" w14:textId="33A0D2E4" w:rsidR="00B242C3" w:rsidRPr="003272C7" w:rsidRDefault="00B242C3" w:rsidP="00BA73B0">
            <w:pPr>
              <w:pStyle w:val="TableBullet"/>
              <w:rPr>
                <w:rFonts w:cs="Arial"/>
              </w:rPr>
            </w:pPr>
            <w:r w:rsidRPr="003272C7">
              <w:rPr>
                <w:rFonts w:cs="Arial"/>
              </w:rPr>
              <w:t xml:space="preserve">Visualising our Communications products continue to provide benefit to the department as a resource of imagery and video for use in reports, web content, video and social media, which aid in our ability to communicate messages to the public as well as </w:t>
            </w:r>
            <w:r w:rsidR="0071677F" w:rsidRPr="003272C7">
              <w:rPr>
                <w:rFonts w:cs="Arial"/>
              </w:rPr>
              <w:t>within DEECA</w:t>
            </w:r>
            <w:r w:rsidRPr="003272C7">
              <w:rPr>
                <w:rFonts w:cs="Arial"/>
              </w:rPr>
              <w:t>.</w:t>
            </w:r>
          </w:p>
          <w:p w14:paraId="148483DC" w14:textId="0EEB1829" w:rsidR="00B242C3" w:rsidRPr="003272C7" w:rsidRDefault="00554164" w:rsidP="00BA73B0">
            <w:pPr>
              <w:pStyle w:val="TableBullet"/>
              <w:rPr>
                <w:rFonts w:cs="Arial"/>
              </w:rPr>
            </w:pPr>
            <w:r w:rsidRPr="003272C7">
              <w:rPr>
                <w:rFonts w:cs="Arial"/>
              </w:rPr>
              <w:t>Upon its release, the Water Education Portal will create a centralised location for</w:t>
            </w:r>
            <w:r w:rsidR="007D69DB" w:rsidRPr="003272C7">
              <w:rPr>
                <w:rFonts w:cs="Arial"/>
              </w:rPr>
              <w:t> </w:t>
            </w:r>
            <w:r w:rsidRPr="003272C7">
              <w:rPr>
                <w:rFonts w:cs="Arial"/>
              </w:rPr>
              <w:t>water information that is appropriate for schools and families with minimal</w:t>
            </w:r>
            <w:r w:rsidR="007D69DB" w:rsidRPr="003272C7">
              <w:rPr>
                <w:rFonts w:cs="Arial"/>
              </w:rPr>
              <w:t> </w:t>
            </w:r>
            <w:r w:rsidRPr="003272C7">
              <w:rPr>
                <w:rFonts w:cs="Arial"/>
              </w:rPr>
              <w:t>upkeep.</w:t>
            </w:r>
          </w:p>
        </w:tc>
      </w:tr>
      <w:tr w:rsidR="00B242C3" w:rsidRPr="003272C7" w14:paraId="0CE18E54" w14:textId="77777777" w:rsidTr="00A67898">
        <w:trPr>
          <w:trHeight w:val="259"/>
        </w:trPr>
        <w:tc>
          <w:tcPr>
            <w:tcW w:w="979" w:type="pct"/>
            <w:shd w:val="clear" w:color="auto" w:fill="231EDC" w:themeFill="accent1"/>
          </w:tcPr>
          <w:p w14:paraId="6F8C5816" w14:textId="77777777" w:rsidR="00B242C3" w:rsidRPr="003272C7" w:rsidRDefault="00B242C3" w:rsidP="00BA73B0">
            <w:pPr>
              <w:pStyle w:val="TableText"/>
              <w:rPr>
                <w:rFonts w:cs="Arial"/>
                <w:b/>
                <w:bCs/>
              </w:rPr>
            </w:pPr>
            <w:r w:rsidRPr="003272C7">
              <w:rPr>
                <w:rFonts w:cs="Arial"/>
                <w:b/>
                <w:bCs/>
              </w:rPr>
              <w:lastRenderedPageBreak/>
              <w:t>Future priorities</w:t>
            </w:r>
          </w:p>
        </w:tc>
        <w:tc>
          <w:tcPr>
            <w:tcW w:w="4021" w:type="pct"/>
          </w:tcPr>
          <w:p w14:paraId="761C3BCD" w14:textId="77777777" w:rsidR="00B242C3" w:rsidRPr="003272C7" w:rsidRDefault="00B242C3" w:rsidP="00BA73B0">
            <w:pPr>
              <w:pStyle w:val="TableBullet"/>
              <w:rPr>
                <w:rFonts w:cs="Arial"/>
              </w:rPr>
            </w:pPr>
            <w:r w:rsidRPr="003272C7">
              <w:rPr>
                <w:rFonts w:cs="Arial"/>
              </w:rPr>
              <w:t>Education resources will be maintained by both DEECA and the Geography Teachers’ Association of Victoria until 2026 to ensure content is up to date and all hyperlinks and videos are working, as well as language remains aligned with education standards as well as remain accurate to Victorian Government policy positions across areas such as climate change and recycled water.</w:t>
            </w:r>
          </w:p>
          <w:p w14:paraId="342F1265" w14:textId="5E53D21D" w:rsidR="00B242C3" w:rsidRPr="003272C7" w:rsidRDefault="00B242C3" w:rsidP="00BA73B0">
            <w:pPr>
              <w:pStyle w:val="TableBullet"/>
              <w:rPr>
                <w:rFonts w:cs="Arial"/>
              </w:rPr>
            </w:pPr>
            <w:r w:rsidRPr="003272C7">
              <w:rPr>
                <w:rFonts w:cs="Arial"/>
              </w:rPr>
              <w:t>Future work is required to further improve the Victorian Water Register website and other water resource webpages</w:t>
            </w:r>
            <w:r w:rsidR="0071677F" w:rsidRPr="003272C7">
              <w:rPr>
                <w:rFonts w:cs="Arial"/>
              </w:rPr>
              <w:t xml:space="preserve"> </w:t>
            </w:r>
            <w:r w:rsidRPr="003272C7">
              <w:rPr>
                <w:rFonts w:cs="Arial"/>
              </w:rPr>
              <w:t>/</w:t>
            </w:r>
            <w:r w:rsidR="0071677F" w:rsidRPr="003272C7">
              <w:rPr>
                <w:rFonts w:cs="Arial"/>
              </w:rPr>
              <w:t xml:space="preserve"> </w:t>
            </w:r>
            <w:r w:rsidRPr="003272C7">
              <w:rPr>
                <w:rFonts w:cs="Arial"/>
              </w:rPr>
              <w:t xml:space="preserve">content. These websites should continue to evolve with innovative design and improved access so that we can remain ahead and an example to others. </w:t>
            </w:r>
            <w:r w:rsidR="0071677F" w:rsidRPr="003272C7">
              <w:rPr>
                <w:rFonts w:cs="Arial"/>
              </w:rPr>
              <w:t>W</w:t>
            </w:r>
            <w:r w:rsidRPr="003272C7">
              <w:rPr>
                <w:rFonts w:cs="Arial"/>
              </w:rPr>
              <w:t>ork in future must also consider the needs of Traditional Owners and their ability to have information that can help their goals towards water ownership and management. Further work in partnership with Traditional owners is required in EC6.</w:t>
            </w:r>
          </w:p>
        </w:tc>
      </w:tr>
    </w:tbl>
    <w:p w14:paraId="474C9A49" w14:textId="77777777" w:rsidR="00B242C3" w:rsidRPr="003272C7" w:rsidRDefault="00B242C3" w:rsidP="00B242C3">
      <w:pPr>
        <w:pStyle w:val="Heading2"/>
        <w:rPr>
          <w:rFonts w:cs="Arial"/>
        </w:rPr>
      </w:pPr>
      <w:bookmarkStart w:id="49" w:name="_Toc147410790"/>
      <w:bookmarkStart w:id="50" w:name="_Toc183777798"/>
      <w:r w:rsidRPr="003272C7">
        <w:rPr>
          <w:rFonts w:cs="Arial"/>
        </w:rPr>
        <w:t>CWCT05: Water Efficiency Program</w:t>
      </w:r>
      <w:bookmarkEnd w:id="49"/>
      <w:bookmarkEnd w:id="5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4AEC8F2E" w14:textId="77777777" w:rsidTr="000452FB">
        <w:trPr>
          <w:trHeight w:val="395"/>
        </w:trPr>
        <w:tc>
          <w:tcPr>
            <w:tcW w:w="979" w:type="pct"/>
            <w:shd w:val="clear" w:color="auto" w:fill="231EDC" w:themeFill="accent1"/>
          </w:tcPr>
          <w:p w14:paraId="60C7B158" w14:textId="3BC73471" w:rsidR="00B242C3" w:rsidRPr="003272C7" w:rsidRDefault="00C412A9" w:rsidP="00BA73B0">
            <w:pPr>
              <w:pStyle w:val="TableHeading"/>
              <w:rPr>
                <w:rFonts w:cs="Arial"/>
              </w:rPr>
            </w:pPr>
            <w:r w:rsidRPr="003272C7">
              <w:rPr>
                <w:rFonts w:cs="Arial"/>
              </w:rPr>
              <w:t>Initiative</w:t>
            </w:r>
          </w:p>
        </w:tc>
        <w:tc>
          <w:tcPr>
            <w:tcW w:w="4021" w:type="pct"/>
            <w:shd w:val="clear" w:color="auto" w:fill="231EDC" w:themeFill="accent1"/>
          </w:tcPr>
          <w:p w14:paraId="67EB5A1A" w14:textId="77777777" w:rsidR="00B242C3" w:rsidRPr="003272C7" w:rsidRDefault="00B242C3" w:rsidP="00BA73B0">
            <w:pPr>
              <w:pStyle w:val="TableHeading"/>
              <w:rPr>
                <w:rFonts w:cs="Arial"/>
              </w:rPr>
            </w:pPr>
            <w:r w:rsidRPr="003272C7">
              <w:rPr>
                <w:rFonts w:cs="Arial"/>
              </w:rPr>
              <w:t>5. Making Victorians Water Wise</w:t>
            </w:r>
          </w:p>
        </w:tc>
      </w:tr>
      <w:tr w:rsidR="00B242C3" w:rsidRPr="003272C7" w14:paraId="74687AED" w14:textId="77777777" w:rsidTr="000452FB">
        <w:trPr>
          <w:trHeight w:val="341"/>
        </w:trPr>
        <w:tc>
          <w:tcPr>
            <w:tcW w:w="979" w:type="pct"/>
            <w:shd w:val="clear" w:color="auto" w:fill="231EDC" w:themeFill="accent1"/>
          </w:tcPr>
          <w:p w14:paraId="703DBB96" w14:textId="77777777" w:rsidR="00B242C3" w:rsidRPr="003272C7" w:rsidRDefault="00B242C3" w:rsidP="00BA73B0">
            <w:pPr>
              <w:pStyle w:val="TableText"/>
              <w:rPr>
                <w:rFonts w:cs="Arial"/>
                <w:b/>
                <w:bCs/>
              </w:rPr>
            </w:pPr>
            <w:r w:rsidRPr="003272C7">
              <w:rPr>
                <w:rFonts w:cs="Arial"/>
                <w:b/>
                <w:bCs/>
              </w:rPr>
              <w:t>Project</w:t>
            </w:r>
          </w:p>
        </w:tc>
        <w:tc>
          <w:tcPr>
            <w:tcW w:w="4021" w:type="pct"/>
          </w:tcPr>
          <w:p w14:paraId="0B526E92" w14:textId="77777777" w:rsidR="00B242C3" w:rsidRPr="003272C7" w:rsidRDefault="00B242C3" w:rsidP="00BA73B0">
            <w:pPr>
              <w:pStyle w:val="TableText"/>
              <w:rPr>
                <w:rFonts w:cs="Arial"/>
              </w:rPr>
            </w:pPr>
            <w:r w:rsidRPr="003272C7">
              <w:rPr>
                <w:rFonts w:cs="Arial"/>
              </w:rPr>
              <w:t>CWCT05: Water Efficiency Program</w:t>
            </w:r>
          </w:p>
        </w:tc>
      </w:tr>
      <w:tr w:rsidR="00B242C3" w:rsidRPr="003272C7" w14:paraId="45176526" w14:textId="77777777" w:rsidTr="000452FB">
        <w:trPr>
          <w:trHeight w:val="259"/>
        </w:trPr>
        <w:tc>
          <w:tcPr>
            <w:tcW w:w="979" w:type="pct"/>
            <w:shd w:val="clear" w:color="auto" w:fill="231EDC" w:themeFill="accent1"/>
          </w:tcPr>
          <w:p w14:paraId="6740D686" w14:textId="77777777" w:rsidR="00B242C3" w:rsidRPr="003272C7" w:rsidRDefault="00B242C3" w:rsidP="00BA73B0">
            <w:pPr>
              <w:pStyle w:val="TableText"/>
              <w:rPr>
                <w:rFonts w:cs="Arial"/>
                <w:b/>
                <w:bCs/>
              </w:rPr>
            </w:pPr>
            <w:r w:rsidRPr="003272C7">
              <w:rPr>
                <w:rFonts w:cs="Arial"/>
                <w:b/>
                <w:bCs/>
              </w:rPr>
              <w:t>Description</w:t>
            </w:r>
          </w:p>
          <w:p w14:paraId="3D72B968" w14:textId="77777777" w:rsidR="00B242C3" w:rsidRPr="003272C7" w:rsidRDefault="00B242C3" w:rsidP="00BA73B0">
            <w:pPr>
              <w:pStyle w:val="TableText"/>
              <w:rPr>
                <w:rFonts w:cs="Arial"/>
                <w:b/>
                <w:bCs/>
              </w:rPr>
            </w:pPr>
          </w:p>
        </w:tc>
        <w:tc>
          <w:tcPr>
            <w:tcW w:w="4021" w:type="pct"/>
          </w:tcPr>
          <w:p w14:paraId="3681EBAF" w14:textId="77777777" w:rsidR="00142559" w:rsidRPr="003272C7" w:rsidRDefault="00B242C3" w:rsidP="00BA73B0">
            <w:pPr>
              <w:pStyle w:val="TableText"/>
              <w:rPr>
                <w:rFonts w:cs="Arial"/>
              </w:rPr>
            </w:pPr>
            <w:r w:rsidRPr="003272C7">
              <w:rPr>
                <w:rFonts w:cs="Arial"/>
              </w:rPr>
              <w:t>Victoria is growing at a rapid rate, with population growth increasing demand for water while climate change is reducing the reliability of supply. This is driving the need to use the water we have more efficiently and continue to build the capacity of Victorians to be water wise.</w:t>
            </w:r>
          </w:p>
          <w:p w14:paraId="25C6577F" w14:textId="2D79D8E1" w:rsidR="00B242C3" w:rsidRPr="003272C7" w:rsidRDefault="00B242C3" w:rsidP="00BA73B0">
            <w:pPr>
              <w:pStyle w:val="TableText"/>
              <w:rPr>
                <w:rFonts w:cs="Arial"/>
              </w:rPr>
            </w:pPr>
            <w:r w:rsidRPr="003272C7">
              <w:rPr>
                <w:rFonts w:cs="Arial"/>
              </w:rPr>
              <w:t xml:space="preserve">Reduced water use alleviates pressure on water delivery for both critical human needs and economic growth. To reduce water use, communities need to know how and why to take action and how they are currently using water, through education on waterwise behaviours and water use data. The investment also aims to ensure vulnerable and hardship sectors are supported to take action to save water and relieve affordability pressures. </w:t>
            </w:r>
          </w:p>
        </w:tc>
      </w:tr>
      <w:tr w:rsidR="00B242C3" w:rsidRPr="003272C7" w14:paraId="10C72434" w14:textId="77777777" w:rsidTr="000452FB">
        <w:trPr>
          <w:trHeight w:val="259"/>
        </w:trPr>
        <w:tc>
          <w:tcPr>
            <w:tcW w:w="979" w:type="pct"/>
            <w:shd w:val="clear" w:color="auto" w:fill="231EDC" w:themeFill="accent1"/>
          </w:tcPr>
          <w:p w14:paraId="2D903D9F" w14:textId="77777777" w:rsidR="00B242C3" w:rsidRPr="003272C7" w:rsidRDefault="00B242C3" w:rsidP="00BA73B0">
            <w:pPr>
              <w:pStyle w:val="TableText"/>
              <w:rPr>
                <w:rFonts w:cs="Arial"/>
                <w:b/>
                <w:bCs/>
              </w:rPr>
            </w:pPr>
            <w:r w:rsidRPr="003272C7">
              <w:rPr>
                <w:rFonts w:cs="Arial"/>
                <w:b/>
                <w:bCs/>
              </w:rPr>
              <w:t>Outputs</w:t>
            </w:r>
          </w:p>
        </w:tc>
        <w:tc>
          <w:tcPr>
            <w:tcW w:w="4021" w:type="pct"/>
          </w:tcPr>
          <w:p w14:paraId="7A29004B" w14:textId="77777777" w:rsidR="00142559" w:rsidRPr="003272C7" w:rsidRDefault="00B242C3" w:rsidP="00BA73B0">
            <w:pPr>
              <w:pStyle w:val="TableBullet"/>
              <w:rPr>
                <w:rFonts w:cs="Arial"/>
              </w:rPr>
            </w:pPr>
            <w:r w:rsidRPr="003272C7">
              <w:rPr>
                <w:rFonts w:cs="Arial"/>
              </w:rPr>
              <w:t>At the end of June 202</w:t>
            </w:r>
            <w:r w:rsidR="00D61A02" w:rsidRPr="003272C7">
              <w:rPr>
                <w:rFonts w:cs="Arial"/>
              </w:rPr>
              <w:t>4</w:t>
            </w:r>
            <w:r w:rsidRPr="003272C7">
              <w:rPr>
                <w:rFonts w:cs="Arial"/>
              </w:rPr>
              <w:t xml:space="preserve">, the Schools Water Efficiency Program (SWEP) delivered water use monitoring, leak alert service, data visualisation through the SWEP online portal and provided dedicated science and maths curriculum materials to </w:t>
            </w:r>
            <w:r w:rsidR="00532481" w:rsidRPr="003272C7">
              <w:rPr>
                <w:rFonts w:cs="Arial"/>
              </w:rPr>
              <w:t>1,452</w:t>
            </w:r>
            <w:r w:rsidR="002631D7" w:rsidRPr="003272C7">
              <w:rPr>
                <w:rFonts w:cs="Arial"/>
              </w:rPr>
              <w:footnoteReference w:id="3"/>
            </w:r>
            <w:r w:rsidR="00CB108B" w:rsidRPr="003272C7">
              <w:rPr>
                <w:rFonts w:cs="Arial"/>
              </w:rPr>
              <w:t xml:space="preserve"> </w:t>
            </w:r>
            <w:r w:rsidR="00F30AC4" w:rsidRPr="003272C7">
              <w:rPr>
                <w:rFonts w:cs="Arial"/>
              </w:rPr>
              <w:t>schools with 212</w:t>
            </w:r>
            <w:r w:rsidRPr="003272C7">
              <w:rPr>
                <w:rFonts w:cs="Arial"/>
              </w:rPr>
              <w:t xml:space="preserve"> of these registered during EC5. </w:t>
            </w:r>
            <w:r w:rsidR="00707631" w:rsidRPr="003272C7">
              <w:rPr>
                <w:rFonts w:cs="Arial"/>
              </w:rPr>
              <w:t>A total of $5 million was invested in SWE</w:t>
            </w:r>
            <w:r w:rsidR="009F0459" w:rsidRPr="003272C7">
              <w:rPr>
                <w:rFonts w:cs="Arial"/>
              </w:rPr>
              <w:t>P</w:t>
            </w:r>
            <w:r w:rsidR="00707631" w:rsidRPr="003272C7">
              <w:rPr>
                <w:rFonts w:cs="Arial"/>
              </w:rPr>
              <w:t xml:space="preserve"> over 4 years.</w:t>
            </w:r>
          </w:p>
          <w:p w14:paraId="23D7EB10" w14:textId="77777777" w:rsidR="00142559" w:rsidRPr="003272C7" w:rsidRDefault="00B242C3" w:rsidP="00BA73B0">
            <w:pPr>
              <w:pStyle w:val="TableBullet"/>
              <w:rPr>
                <w:rFonts w:cs="Arial"/>
              </w:rPr>
            </w:pPr>
            <w:r w:rsidRPr="003272C7">
              <w:rPr>
                <w:rFonts w:cs="Arial"/>
              </w:rPr>
              <w:t xml:space="preserve">The total (including co-funding) $4.894 million for the </w:t>
            </w:r>
            <w:r w:rsidR="00504EC0" w:rsidRPr="003272C7">
              <w:rPr>
                <w:rFonts w:cs="Arial"/>
              </w:rPr>
              <w:t>Community Rebate Program (</w:t>
            </w:r>
            <w:r w:rsidRPr="003272C7">
              <w:rPr>
                <w:rFonts w:cs="Arial"/>
              </w:rPr>
              <w:t>CRP</w:t>
            </w:r>
            <w:r w:rsidR="00504EC0" w:rsidRPr="003272C7">
              <w:rPr>
                <w:rFonts w:cs="Arial"/>
              </w:rPr>
              <w:t>)</w:t>
            </w:r>
            <w:r w:rsidRPr="003272C7">
              <w:rPr>
                <w:rFonts w:cs="Arial"/>
              </w:rPr>
              <w:t xml:space="preserve"> and </w:t>
            </w:r>
            <w:r w:rsidR="002D28A1" w:rsidRPr="003272C7">
              <w:rPr>
                <w:rFonts w:cs="Arial"/>
              </w:rPr>
              <w:t>Community Housing Retrofit Program (</w:t>
            </w:r>
            <w:r w:rsidRPr="003272C7">
              <w:rPr>
                <w:rFonts w:cs="Arial"/>
              </w:rPr>
              <w:t>CHRP</w:t>
            </w:r>
            <w:r w:rsidR="002D28A1" w:rsidRPr="003272C7">
              <w:rPr>
                <w:rFonts w:cs="Arial"/>
              </w:rPr>
              <w:t>)</w:t>
            </w:r>
            <w:r w:rsidRPr="003272C7">
              <w:rPr>
                <w:rFonts w:cs="Arial"/>
              </w:rPr>
              <w:t xml:space="preserve"> has helped low income and vulnerable customers and not-for-profit emergency housing organisations improve the water efficiency of their properties, leading to lower water bills and increased well-being. At 30 June </w:t>
            </w:r>
            <w:r w:rsidR="00CD7B07" w:rsidRPr="003272C7">
              <w:rPr>
                <w:rFonts w:cs="Arial"/>
              </w:rPr>
              <w:t>2024</w:t>
            </w:r>
            <w:r w:rsidRPr="003272C7">
              <w:rPr>
                <w:rFonts w:cs="Arial"/>
              </w:rPr>
              <w:t xml:space="preserve">, a total of </w:t>
            </w:r>
            <w:r w:rsidR="00234A61" w:rsidRPr="003272C7">
              <w:rPr>
                <w:rFonts w:cs="Arial"/>
              </w:rPr>
              <w:t>6,035</w:t>
            </w:r>
            <w:r w:rsidRPr="003272C7">
              <w:rPr>
                <w:rFonts w:cs="Arial"/>
              </w:rPr>
              <w:t xml:space="preserve"> rebates </w:t>
            </w:r>
            <w:r w:rsidR="00234A61" w:rsidRPr="003272C7">
              <w:rPr>
                <w:rFonts w:cs="Arial"/>
              </w:rPr>
              <w:t>were</w:t>
            </w:r>
            <w:r w:rsidRPr="003272C7">
              <w:rPr>
                <w:rFonts w:cs="Arial"/>
              </w:rPr>
              <w:t xml:space="preserve"> delivered, made up of </w:t>
            </w:r>
            <w:r w:rsidR="00FB6B68" w:rsidRPr="003272C7">
              <w:rPr>
                <w:rFonts w:cs="Arial"/>
              </w:rPr>
              <w:t>5,2</w:t>
            </w:r>
            <w:r w:rsidR="005B6269" w:rsidRPr="003272C7">
              <w:rPr>
                <w:rFonts w:cs="Arial"/>
              </w:rPr>
              <w:t>95</w:t>
            </w:r>
            <w:r w:rsidRPr="003272C7">
              <w:rPr>
                <w:rFonts w:cs="Arial"/>
              </w:rPr>
              <w:t xml:space="preserve"> individual customer rebates and </w:t>
            </w:r>
            <w:r w:rsidR="00F76BC1" w:rsidRPr="003272C7">
              <w:rPr>
                <w:rFonts w:cs="Arial"/>
              </w:rPr>
              <w:t xml:space="preserve">810 </w:t>
            </w:r>
            <w:r w:rsidRPr="003272C7">
              <w:rPr>
                <w:rFonts w:cs="Arial"/>
              </w:rPr>
              <w:t>emergency not-for-profit housing properties.</w:t>
            </w:r>
          </w:p>
          <w:p w14:paraId="4C3E6575" w14:textId="7423FE19" w:rsidR="00B242C3" w:rsidRPr="003272C7" w:rsidRDefault="00B242C3" w:rsidP="00BA73B0">
            <w:pPr>
              <w:pStyle w:val="TableBullet"/>
              <w:rPr>
                <w:rFonts w:cs="Arial"/>
              </w:rPr>
            </w:pPr>
            <w:r w:rsidRPr="003272C7">
              <w:rPr>
                <w:rFonts w:cs="Arial"/>
              </w:rPr>
              <w:t xml:space="preserve">The $0.29m investment in residential behaviour change </w:t>
            </w:r>
            <w:r w:rsidR="00445736" w:rsidRPr="003272C7">
              <w:rPr>
                <w:rFonts w:cs="Arial"/>
              </w:rPr>
              <w:t>project</w:t>
            </w:r>
            <w:r w:rsidRPr="003272C7">
              <w:rPr>
                <w:rFonts w:cs="Arial"/>
              </w:rPr>
              <w:t xml:space="preserve">s contributed to the Smart Water Advice portal, providing water saving tips to households and businesses, reinvigoration of Target 155 </w:t>
            </w:r>
            <w:r w:rsidR="001D39E6" w:rsidRPr="003272C7">
              <w:rPr>
                <w:rFonts w:cs="Arial"/>
              </w:rPr>
              <w:t xml:space="preserve">(updating it </w:t>
            </w:r>
            <w:r w:rsidRPr="003272C7">
              <w:rPr>
                <w:rFonts w:cs="Arial"/>
              </w:rPr>
              <w:t>to Target 150</w:t>
            </w:r>
            <w:r w:rsidR="001D39E6" w:rsidRPr="003272C7">
              <w:rPr>
                <w:rFonts w:cs="Arial"/>
              </w:rPr>
              <w:t>)</w:t>
            </w:r>
            <w:r w:rsidRPr="003272C7">
              <w:rPr>
                <w:rFonts w:cs="Arial"/>
              </w:rPr>
              <w:t xml:space="preserve">, continuing </w:t>
            </w:r>
            <w:r w:rsidR="001D39E6" w:rsidRPr="003272C7">
              <w:rPr>
                <w:rFonts w:cs="Arial"/>
              </w:rPr>
              <w:t xml:space="preserve">regional Victoria’s </w:t>
            </w:r>
            <w:r w:rsidR="00461F62" w:rsidRPr="003272C7">
              <w:rPr>
                <w:rFonts w:cs="Arial"/>
              </w:rPr>
              <w:t>Target Your Water Use (</w:t>
            </w:r>
            <w:r w:rsidRPr="003272C7">
              <w:rPr>
                <w:rFonts w:cs="Arial"/>
              </w:rPr>
              <w:t>TYWU</w:t>
            </w:r>
            <w:r w:rsidR="00461F62" w:rsidRPr="003272C7">
              <w:rPr>
                <w:rFonts w:cs="Arial"/>
              </w:rPr>
              <w:t>)</w:t>
            </w:r>
            <w:r w:rsidRPr="003272C7">
              <w:rPr>
                <w:rFonts w:cs="Arial"/>
              </w:rPr>
              <w:t xml:space="preserve"> </w:t>
            </w:r>
            <w:r w:rsidR="00445736" w:rsidRPr="003272C7">
              <w:rPr>
                <w:rFonts w:cs="Arial"/>
              </w:rPr>
              <w:t>project</w:t>
            </w:r>
            <w:r w:rsidRPr="003272C7">
              <w:rPr>
                <w:rFonts w:cs="Arial"/>
              </w:rPr>
              <w:t xml:space="preserve">s and Victoria’s contribution to the Australian Government’s </w:t>
            </w:r>
            <w:r w:rsidR="0079212B" w:rsidRPr="003272C7">
              <w:rPr>
                <w:rFonts w:cs="Arial"/>
              </w:rPr>
              <w:t xml:space="preserve">Water Efficiency Labelling and </w:t>
            </w:r>
            <w:r w:rsidR="0079212B" w:rsidRPr="003272C7">
              <w:rPr>
                <w:rFonts w:cs="Arial"/>
              </w:rPr>
              <w:lastRenderedPageBreak/>
              <w:t>Standards (</w:t>
            </w:r>
            <w:r w:rsidRPr="003272C7">
              <w:rPr>
                <w:rFonts w:cs="Arial"/>
              </w:rPr>
              <w:t>WELS</w:t>
            </w:r>
            <w:r w:rsidR="0079212B" w:rsidRPr="003272C7">
              <w:rPr>
                <w:rFonts w:cs="Arial"/>
              </w:rPr>
              <w:t>)</w:t>
            </w:r>
            <w:r w:rsidRPr="003272C7">
              <w:rPr>
                <w:rFonts w:cs="Arial"/>
              </w:rPr>
              <w:t xml:space="preserve"> scheme, which regulates and provides consumer advice on water using products at the point of sale.</w:t>
            </w:r>
          </w:p>
        </w:tc>
      </w:tr>
      <w:tr w:rsidR="00B242C3" w:rsidRPr="003272C7" w14:paraId="0DF5C65F" w14:textId="77777777" w:rsidTr="00F73F41">
        <w:trPr>
          <w:trHeight w:val="259"/>
        </w:trPr>
        <w:tc>
          <w:tcPr>
            <w:tcW w:w="5000" w:type="pct"/>
            <w:gridSpan w:val="2"/>
            <w:shd w:val="clear" w:color="auto" w:fill="231EDC" w:themeFill="accent1"/>
          </w:tcPr>
          <w:p w14:paraId="42C4AB8B" w14:textId="77777777" w:rsidR="00B242C3" w:rsidRPr="003272C7" w:rsidRDefault="00B242C3" w:rsidP="007D69DB">
            <w:pPr>
              <w:pStyle w:val="TableText"/>
              <w:keepNext/>
              <w:keepLines/>
              <w:rPr>
                <w:rFonts w:cs="Arial"/>
                <w:b/>
                <w:bCs/>
              </w:rPr>
            </w:pPr>
            <w:r w:rsidRPr="003272C7">
              <w:rPr>
                <w:rFonts w:cs="Arial"/>
                <w:b/>
                <w:bCs/>
              </w:rPr>
              <w:lastRenderedPageBreak/>
              <w:t>Summary against evaluation domains</w:t>
            </w:r>
          </w:p>
        </w:tc>
      </w:tr>
      <w:tr w:rsidR="00B242C3" w:rsidRPr="003272C7" w14:paraId="63675F74" w14:textId="77777777" w:rsidTr="000452FB">
        <w:trPr>
          <w:trHeight w:val="259"/>
        </w:trPr>
        <w:tc>
          <w:tcPr>
            <w:tcW w:w="979" w:type="pct"/>
            <w:shd w:val="clear" w:color="auto" w:fill="231EDC" w:themeFill="accent1"/>
          </w:tcPr>
          <w:p w14:paraId="28C7D9F1" w14:textId="77777777" w:rsidR="00B242C3" w:rsidRPr="003272C7" w:rsidRDefault="00B242C3" w:rsidP="00BA73B0">
            <w:pPr>
              <w:pStyle w:val="TableText"/>
              <w:rPr>
                <w:rFonts w:cs="Arial"/>
                <w:b/>
                <w:bCs/>
              </w:rPr>
            </w:pPr>
            <w:r w:rsidRPr="003272C7">
              <w:rPr>
                <w:rFonts w:cs="Arial"/>
                <w:b/>
                <w:bCs/>
              </w:rPr>
              <w:t>Impact</w:t>
            </w:r>
          </w:p>
        </w:tc>
        <w:tc>
          <w:tcPr>
            <w:tcW w:w="4021" w:type="pct"/>
          </w:tcPr>
          <w:p w14:paraId="1600CB92" w14:textId="6EEE729A" w:rsidR="00B242C3" w:rsidRPr="003272C7" w:rsidRDefault="00B242C3" w:rsidP="007D69DB">
            <w:pPr>
              <w:pStyle w:val="TableBullet"/>
              <w:keepNext/>
              <w:keepLines/>
              <w:ind w:left="288" w:hanging="288"/>
              <w:rPr>
                <w:rFonts w:cs="Arial"/>
              </w:rPr>
            </w:pPr>
            <w:r w:rsidRPr="003272C7">
              <w:rPr>
                <w:rFonts w:cs="Arial"/>
              </w:rPr>
              <w:t xml:space="preserve">Between 2020-21 to </w:t>
            </w:r>
            <w:r w:rsidR="00BB4711" w:rsidRPr="003272C7">
              <w:rPr>
                <w:rFonts w:cs="Arial"/>
              </w:rPr>
              <w:t>2023-24</w:t>
            </w:r>
            <w:r w:rsidRPr="003272C7">
              <w:rPr>
                <w:rFonts w:cs="Arial"/>
              </w:rPr>
              <w:t xml:space="preserve">, the CRP and CHRP Programs undertook water audits, fixed leaks and upgraded water using appliances for </w:t>
            </w:r>
            <w:r w:rsidR="00E63BAC" w:rsidRPr="003272C7">
              <w:rPr>
                <w:rFonts w:cs="Arial"/>
              </w:rPr>
              <w:t>6,035</w:t>
            </w:r>
            <w:r w:rsidRPr="003272C7">
              <w:rPr>
                <w:rFonts w:cs="Arial"/>
              </w:rPr>
              <w:t xml:space="preserve"> households and emergency community housing properties. This exceeded the EC5 Making Victorians Waterwise target of </w:t>
            </w:r>
            <w:r w:rsidR="00E63BAC" w:rsidRPr="00623380">
              <w:rPr>
                <w:rFonts w:cs="Arial"/>
              </w:rPr>
              <w:t>5,275</w:t>
            </w:r>
            <w:r w:rsidR="00824F3C" w:rsidRPr="003272C7">
              <w:rPr>
                <w:rFonts w:cs="Arial"/>
              </w:rPr>
              <w:footnoteReference w:id="4"/>
            </w:r>
            <w:r w:rsidR="00E63BAC" w:rsidRPr="00623380">
              <w:rPr>
                <w:rFonts w:cs="Arial"/>
              </w:rPr>
              <w:t xml:space="preserve"> rebates by 15%; the accumulated water savings has resulted in 298 megalitres of water saved over EC5 and equates to $0.75 million</w:t>
            </w:r>
            <w:r w:rsidR="00650285" w:rsidRPr="003272C7">
              <w:rPr>
                <w:rFonts w:cs="Arial"/>
              </w:rPr>
              <w:footnoteReference w:id="5"/>
            </w:r>
            <w:r w:rsidR="00E63BAC" w:rsidRPr="00623380">
              <w:rPr>
                <w:rFonts w:cs="Arial"/>
              </w:rPr>
              <w:t xml:space="preserve"> in total bill savings from reduced water and wastewater charges or $124 average saving per customer assisted per year. Once water efficient products are installed, the water savings continue for the life of the product</w:t>
            </w:r>
            <w:r w:rsidR="006253A9" w:rsidRPr="00623380">
              <w:rPr>
                <w:rFonts w:cs="Arial"/>
              </w:rPr>
              <w:t>.</w:t>
            </w:r>
          </w:p>
          <w:p w14:paraId="378E4B6C" w14:textId="114F1B9D" w:rsidR="00B242C3" w:rsidRPr="003272C7" w:rsidRDefault="00B242C3" w:rsidP="00BA73B0">
            <w:pPr>
              <w:pStyle w:val="TableBullet"/>
              <w:rPr>
                <w:rFonts w:cs="Arial"/>
              </w:rPr>
            </w:pPr>
            <w:r w:rsidRPr="003272C7">
              <w:rPr>
                <w:rFonts w:cs="Arial"/>
              </w:rPr>
              <w:t xml:space="preserve">The 2023 independent review of CRP and CHRP found that </w:t>
            </w:r>
            <w:r w:rsidR="00587B66" w:rsidRPr="003272C7">
              <w:rPr>
                <w:rFonts w:cs="Arial"/>
              </w:rPr>
              <w:t xml:space="preserve">almost </w:t>
            </w:r>
            <w:r w:rsidRPr="003272C7">
              <w:rPr>
                <w:rFonts w:cs="Arial"/>
              </w:rPr>
              <w:t xml:space="preserve">80% of </w:t>
            </w:r>
            <w:r w:rsidR="00587B66" w:rsidRPr="003272C7">
              <w:rPr>
                <w:rFonts w:cs="Arial"/>
              </w:rPr>
              <w:t>survey participants</w:t>
            </w:r>
            <w:r w:rsidRPr="003272C7">
              <w:rPr>
                <w:rFonts w:cs="Arial"/>
              </w:rPr>
              <w:t xml:space="preserve"> assisted </w:t>
            </w:r>
            <w:r w:rsidR="00E36FBB" w:rsidRPr="003272C7">
              <w:rPr>
                <w:rFonts w:cs="Arial"/>
              </w:rPr>
              <w:t xml:space="preserve">by </w:t>
            </w:r>
            <w:r w:rsidR="00AC202B" w:rsidRPr="003272C7">
              <w:rPr>
                <w:rFonts w:cs="Arial"/>
              </w:rPr>
              <w:t xml:space="preserve">CRP </w:t>
            </w:r>
            <w:r w:rsidRPr="003272C7">
              <w:rPr>
                <w:rFonts w:cs="Arial"/>
              </w:rPr>
              <w:t xml:space="preserve">would have not upgraded </w:t>
            </w:r>
            <w:r w:rsidR="00AC202B" w:rsidRPr="003272C7">
              <w:rPr>
                <w:rFonts w:cs="Arial"/>
              </w:rPr>
              <w:t xml:space="preserve">(40%) </w:t>
            </w:r>
            <w:r w:rsidRPr="003272C7">
              <w:rPr>
                <w:rFonts w:cs="Arial"/>
              </w:rPr>
              <w:t xml:space="preserve">or would have delayed their upgrade by up to 5 years </w:t>
            </w:r>
            <w:r w:rsidR="00AC202B" w:rsidRPr="003272C7">
              <w:rPr>
                <w:rFonts w:cs="Arial"/>
              </w:rPr>
              <w:t xml:space="preserve">(37%) </w:t>
            </w:r>
            <w:r w:rsidRPr="003272C7">
              <w:rPr>
                <w:rFonts w:cs="Arial"/>
              </w:rPr>
              <w:t xml:space="preserve">without help from the Programs, and </w:t>
            </w:r>
            <w:r w:rsidR="00AC202B" w:rsidRPr="003272C7">
              <w:rPr>
                <w:rFonts w:cs="Arial"/>
              </w:rPr>
              <w:t>around 50%</w:t>
            </w:r>
            <w:r w:rsidRPr="003272C7">
              <w:rPr>
                <w:rFonts w:cs="Arial"/>
              </w:rPr>
              <w:t xml:space="preserve"> of respondents stated they had changed their behaviour to save water after participating in the Programs. </w:t>
            </w:r>
            <w:r w:rsidRPr="003272C7">
              <w:rPr>
                <w:rFonts w:cs="Arial"/>
              </w:rPr>
              <w:footnoteReference w:id="6"/>
            </w:r>
          </w:p>
          <w:p w14:paraId="68F04E97" w14:textId="28842404" w:rsidR="00B242C3" w:rsidRPr="003272C7" w:rsidRDefault="00B242C3" w:rsidP="00BA73B0">
            <w:pPr>
              <w:pStyle w:val="TableBullet"/>
              <w:rPr>
                <w:rFonts w:cs="Arial"/>
              </w:rPr>
            </w:pPr>
            <w:r w:rsidRPr="003272C7">
              <w:rPr>
                <w:rFonts w:cs="Arial"/>
              </w:rPr>
              <w:t xml:space="preserve">An evaluation of the CPR and CHRP found that the Programs were effective in reaching customers that are generally vulnerable or in hardship situations; for CRP 81% were concession card holders and 29% had a disability; for CHRP </w:t>
            </w:r>
            <w:r w:rsidR="000C4B3A" w:rsidRPr="003272C7">
              <w:rPr>
                <w:rFonts w:cs="Arial"/>
              </w:rPr>
              <w:t>survey responses indicate that from the houses tenants</w:t>
            </w:r>
            <w:r w:rsidR="00F619F3" w:rsidRPr="003272C7">
              <w:rPr>
                <w:rFonts w:cs="Arial"/>
              </w:rPr>
              <w:t>34%</w:t>
            </w:r>
            <w:r w:rsidRPr="003272C7">
              <w:rPr>
                <w:rFonts w:cs="Arial"/>
              </w:rPr>
              <w:t xml:space="preserve"> identified as having a disability, </w:t>
            </w:r>
            <w:r w:rsidR="00F619F3" w:rsidRPr="003272C7">
              <w:rPr>
                <w:rFonts w:cs="Arial"/>
              </w:rPr>
              <w:t xml:space="preserve">31% </w:t>
            </w:r>
            <w:r w:rsidRPr="003272C7">
              <w:rPr>
                <w:rFonts w:cs="Arial"/>
              </w:rPr>
              <w:t xml:space="preserve">spoke a language other than English, and </w:t>
            </w:r>
            <w:r w:rsidR="00F619F3" w:rsidRPr="003272C7">
              <w:rPr>
                <w:rFonts w:cs="Arial"/>
              </w:rPr>
              <w:t>31%</w:t>
            </w:r>
            <w:r w:rsidRPr="003272C7">
              <w:rPr>
                <w:rFonts w:cs="Arial"/>
              </w:rPr>
              <w:t xml:space="preserve"> identified as Aboriginal or Torres Strait Islander.</w:t>
            </w:r>
            <w:r w:rsidR="003B1DCA" w:rsidRPr="003272C7">
              <w:rPr>
                <w:rFonts w:cs="Arial"/>
              </w:rPr>
              <w:t>6</w:t>
            </w:r>
          </w:p>
          <w:p w14:paraId="66D6DB59" w14:textId="77777777" w:rsidR="00142559" w:rsidRPr="003272C7" w:rsidRDefault="00B242C3" w:rsidP="00BA73B0">
            <w:pPr>
              <w:pStyle w:val="TableBullet"/>
              <w:rPr>
                <w:rFonts w:cs="Arial"/>
              </w:rPr>
            </w:pPr>
            <w:r w:rsidRPr="003272C7">
              <w:rPr>
                <w:rFonts w:cs="Arial"/>
              </w:rPr>
              <w:t xml:space="preserve">SWEP </w:t>
            </w:r>
            <w:r w:rsidR="002F5C06" w:rsidRPr="003272C7">
              <w:rPr>
                <w:rFonts w:cs="Arial"/>
              </w:rPr>
              <w:t>increased its reach to monitor and provide</w:t>
            </w:r>
            <w:r w:rsidRPr="003272C7">
              <w:rPr>
                <w:rFonts w:cs="Arial"/>
              </w:rPr>
              <w:t xml:space="preserve"> leak alerts to 1,</w:t>
            </w:r>
            <w:r w:rsidR="002F5C06" w:rsidRPr="003272C7">
              <w:rPr>
                <w:rFonts w:cs="Arial"/>
              </w:rPr>
              <w:t>452</w:t>
            </w:r>
            <w:r w:rsidRPr="003272C7">
              <w:rPr>
                <w:rFonts w:cs="Arial"/>
              </w:rPr>
              <w:t xml:space="preserve"> schools across Victoria. Over the investment period, SWEP data monitoring identified a total of </w:t>
            </w:r>
            <w:r w:rsidR="00986CE5" w:rsidRPr="003272C7">
              <w:rPr>
                <w:rFonts w:cs="Arial"/>
              </w:rPr>
              <w:t>3,010 leak events</w:t>
            </w:r>
            <w:r w:rsidR="000131F6" w:rsidRPr="003272C7">
              <w:rPr>
                <w:rFonts w:cs="Arial"/>
              </w:rPr>
              <w:footnoteReference w:id="7"/>
            </w:r>
            <w:r w:rsidR="00986CE5" w:rsidRPr="003272C7">
              <w:rPr>
                <w:rFonts w:cs="Arial"/>
              </w:rPr>
              <w:t xml:space="preserve"> in 905 schools (60% of registered schools) and saved 1.9 giga</w:t>
            </w:r>
            <w:r w:rsidR="000131F6" w:rsidRPr="003272C7">
              <w:rPr>
                <w:rFonts w:cs="Arial"/>
              </w:rPr>
              <w:t>litres</w:t>
            </w:r>
            <w:r w:rsidR="00986CE5" w:rsidRPr="003272C7">
              <w:rPr>
                <w:rFonts w:cs="Arial"/>
              </w:rPr>
              <w:t xml:space="preserve"> of potable water equating to $8.46</w:t>
            </w:r>
            <w:r w:rsidRPr="003272C7">
              <w:rPr>
                <w:rFonts w:cs="Arial"/>
              </w:rPr>
              <w:t xml:space="preserve"> million in avoided water and wastewater costs to schools. </w:t>
            </w:r>
            <w:r w:rsidR="004F4D5D" w:rsidRPr="003272C7">
              <w:rPr>
                <w:rFonts w:cs="Arial"/>
              </w:rPr>
              <w:t>This represents a payback period of 2.3 years.</w:t>
            </w:r>
          </w:p>
          <w:p w14:paraId="4EDF784A" w14:textId="77777777" w:rsidR="00142559" w:rsidRPr="003272C7" w:rsidRDefault="004F4D5D" w:rsidP="00BA73B0">
            <w:pPr>
              <w:pStyle w:val="TableBullet"/>
              <w:rPr>
                <w:rFonts w:cs="Arial"/>
              </w:rPr>
            </w:pPr>
            <w:r w:rsidRPr="00623380">
              <w:rPr>
                <w:rFonts w:cs="Arial"/>
              </w:rPr>
              <w:t>VicFacilities; a modified version of SWEP for non-residential sites; monitored and provided leak alerts to 291 high-water using government and business customers. Early detection of leak alerts helped participating organisations to identify and save 110 megalitres of water wastage, equating to $388,748 in avoided water bill costs. Sites monitored through VicFacilities include aged care, hospitals and sports grounds.</w:t>
            </w:r>
          </w:p>
          <w:p w14:paraId="3ECE2748" w14:textId="272844AD" w:rsidR="00B242C3" w:rsidRPr="003272C7" w:rsidRDefault="00B242C3" w:rsidP="00BA73B0">
            <w:pPr>
              <w:pStyle w:val="TableBullet"/>
              <w:rPr>
                <w:rFonts w:cs="Arial"/>
              </w:rPr>
            </w:pPr>
            <w:r w:rsidRPr="003272C7">
              <w:rPr>
                <w:rFonts w:cs="Arial"/>
              </w:rPr>
              <w:t>Victoria’s contribution to the Australian Government’s WELS scheme, which regulates and provides consumer advice on water using products at the point of sale, resulted in 4 GL of water savings and national economic return of $587,416.</w:t>
            </w:r>
            <w:r w:rsidRPr="003272C7">
              <w:rPr>
                <w:rFonts w:cs="Arial"/>
              </w:rPr>
              <w:footnoteReference w:id="8"/>
            </w:r>
            <w:r w:rsidRPr="003272C7">
              <w:rPr>
                <w:rFonts w:cs="Arial"/>
              </w:rPr>
              <w:t xml:space="preserve"> </w:t>
            </w:r>
            <w:r w:rsidR="00B6333B" w:rsidRPr="003272C7">
              <w:rPr>
                <w:rFonts w:cs="Arial"/>
              </w:rPr>
              <w:t>The benefit cost ratio of the WELS scheme is 8.8.</w:t>
            </w:r>
            <w:r w:rsidR="00B6333B" w:rsidRPr="003272C7">
              <w:rPr>
                <w:rFonts w:cs="Arial"/>
              </w:rPr>
              <w:footnoteReference w:id="9"/>
            </w:r>
          </w:p>
          <w:p w14:paraId="2651E31A" w14:textId="61446219" w:rsidR="008D0D86" w:rsidRPr="003272C7" w:rsidRDefault="008D0D86" w:rsidP="00BA73B0">
            <w:pPr>
              <w:pStyle w:val="TableBullet"/>
              <w:rPr>
                <w:rFonts w:cs="Arial"/>
              </w:rPr>
            </w:pPr>
            <w:r w:rsidRPr="00623380">
              <w:rPr>
                <w:rFonts w:cs="Arial"/>
              </w:rPr>
              <w:t>As part of the review, it became apparent that the forms to apply for exemptions to permanent water-saving rules, a stage of water restrictions or to apply for a Water Use Plan were inconsistent across the urban water corporations, with some having no forms available on their websites. DEECA therefore led a project which resulted in all urban water corporations hosting 17 consistent online forms on their websites.</w:t>
            </w:r>
          </w:p>
          <w:p w14:paraId="490C3C86" w14:textId="77777777" w:rsidR="00142559" w:rsidRPr="003272C7" w:rsidRDefault="00B242C3" w:rsidP="00BA73B0">
            <w:pPr>
              <w:pStyle w:val="TableBullet"/>
              <w:rPr>
                <w:rFonts w:cs="Arial"/>
              </w:rPr>
            </w:pPr>
            <w:r w:rsidRPr="003272C7">
              <w:rPr>
                <w:rFonts w:cs="Arial"/>
              </w:rPr>
              <w:t>Permanent Water Savings Rules and Water Restriction By-laws were reviewed and updated to ensure continued effectiveness and efficiency, in consultation with water corporations, industry stakeholders and community.</w:t>
            </w:r>
          </w:p>
          <w:p w14:paraId="0E07FC51" w14:textId="6DEA1A9F" w:rsidR="00B242C3" w:rsidRPr="003272C7" w:rsidRDefault="00B242C3" w:rsidP="00BA73B0">
            <w:pPr>
              <w:pStyle w:val="TableBullet"/>
              <w:rPr>
                <w:rFonts w:cs="Arial"/>
              </w:rPr>
            </w:pPr>
            <w:r w:rsidRPr="003272C7">
              <w:rPr>
                <w:rFonts w:cs="Arial"/>
              </w:rPr>
              <w:lastRenderedPageBreak/>
              <w:t xml:space="preserve">During the EC5 period, Melbourne’s per capita water use increased by four litres; from </w:t>
            </w:r>
            <w:r w:rsidR="00B41F13" w:rsidRPr="003272C7">
              <w:rPr>
                <w:rFonts w:cs="Arial"/>
              </w:rPr>
              <w:t xml:space="preserve">163 </w:t>
            </w:r>
            <w:r w:rsidRPr="003272C7">
              <w:rPr>
                <w:rFonts w:cs="Arial"/>
              </w:rPr>
              <w:t>litres per person per day in 21</w:t>
            </w:r>
            <w:r w:rsidR="00B41F13" w:rsidRPr="003272C7">
              <w:rPr>
                <w:rFonts w:cs="Arial"/>
              </w:rPr>
              <w:t>-22</w:t>
            </w:r>
            <w:r w:rsidR="00D75B65" w:rsidRPr="003272C7">
              <w:rPr>
                <w:rFonts w:cs="Arial"/>
              </w:rPr>
              <w:t>, reducing</w:t>
            </w:r>
            <w:r w:rsidRPr="003272C7">
              <w:rPr>
                <w:rFonts w:cs="Arial"/>
              </w:rPr>
              <w:t xml:space="preserve"> to 16</w:t>
            </w:r>
            <w:r w:rsidR="00D75B65" w:rsidRPr="003272C7">
              <w:rPr>
                <w:rFonts w:cs="Arial"/>
              </w:rPr>
              <w:t>1</w:t>
            </w:r>
            <w:r w:rsidRPr="003272C7">
              <w:rPr>
                <w:rFonts w:cs="Arial"/>
              </w:rPr>
              <w:t xml:space="preserve"> litres per person per day in 2021-2</w:t>
            </w:r>
            <w:r w:rsidR="00D75B65" w:rsidRPr="003272C7">
              <w:rPr>
                <w:rFonts w:cs="Arial"/>
              </w:rPr>
              <w:t>3</w:t>
            </w:r>
            <w:r w:rsidRPr="003272C7">
              <w:rPr>
                <w:rFonts w:cs="Arial"/>
              </w:rPr>
              <w:t>.</w:t>
            </w:r>
            <w:r w:rsidRPr="003272C7">
              <w:rPr>
                <w:rFonts w:cs="Arial"/>
              </w:rPr>
              <w:footnoteReference w:id="10"/>
            </w:r>
            <w:r w:rsidRPr="003272C7">
              <w:rPr>
                <w:rFonts w:cs="Arial"/>
              </w:rPr>
              <w:t xml:space="preserve"> </w:t>
            </w:r>
            <w:r w:rsidR="00C908CB" w:rsidRPr="00623380">
              <w:rPr>
                <w:rFonts w:cs="Arial"/>
              </w:rPr>
              <w:t>Since August 2021, Melbourne storages remained above 80% full and water restrictions were not required.</w:t>
            </w:r>
            <w:r w:rsidR="0051470C" w:rsidRPr="003272C7">
              <w:rPr>
                <w:rFonts w:cs="Arial"/>
              </w:rPr>
              <w:footnoteReference w:id="11"/>
            </w:r>
            <w:r w:rsidR="00C908CB" w:rsidRPr="00623380">
              <w:rPr>
                <w:rFonts w:cs="Arial"/>
              </w:rPr>
              <w:t xml:space="preserve"> The Melbourne 2022-23 per capita water use needs to reduce by 11 litres to meet the current voluntary target of 150 L/P/D</w:t>
            </w:r>
            <w:r w:rsidR="004C4C63" w:rsidRPr="003272C7">
              <w:rPr>
                <w:rFonts w:cs="Arial"/>
              </w:rPr>
              <w:t>.</w:t>
            </w:r>
          </w:p>
        </w:tc>
      </w:tr>
      <w:tr w:rsidR="00B242C3" w:rsidRPr="003272C7" w14:paraId="28004B51" w14:textId="77777777" w:rsidTr="000452FB">
        <w:trPr>
          <w:trHeight w:val="259"/>
        </w:trPr>
        <w:tc>
          <w:tcPr>
            <w:tcW w:w="979" w:type="pct"/>
            <w:shd w:val="clear" w:color="auto" w:fill="231EDC" w:themeFill="accent1"/>
          </w:tcPr>
          <w:p w14:paraId="0FC5CF8B" w14:textId="77777777" w:rsidR="00B242C3" w:rsidRPr="003272C7" w:rsidRDefault="00B242C3" w:rsidP="00A6017F">
            <w:pPr>
              <w:pStyle w:val="TableText"/>
              <w:rPr>
                <w:rFonts w:cs="Arial"/>
                <w:b/>
                <w:bCs/>
              </w:rPr>
            </w:pPr>
            <w:r w:rsidRPr="003272C7">
              <w:rPr>
                <w:rFonts w:cs="Arial"/>
                <w:b/>
                <w:bCs/>
              </w:rPr>
              <w:lastRenderedPageBreak/>
              <w:t>Effectiveness</w:t>
            </w:r>
          </w:p>
        </w:tc>
        <w:tc>
          <w:tcPr>
            <w:tcW w:w="4021" w:type="pct"/>
          </w:tcPr>
          <w:p w14:paraId="56021E22" w14:textId="77777777" w:rsidR="00142559" w:rsidRPr="003272C7" w:rsidRDefault="00E319A1" w:rsidP="00BA73B0">
            <w:pPr>
              <w:pStyle w:val="TableText"/>
              <w:rPr>
                <w:rFonts w:cs="Arial"/>
              </w:rPr>
            </w:pPr>
            <w:r w:rsidRPr="003272C7">
              <w:rPr>
                <w:rFonts w:cs="Arial"/>
              </w:rPr>
              <w:t>COVID-19 and wetter than average rainfall conditions from 2020-21 onwards (after three exceptionally warm and dry years through to 2019-20) limited the opportunities for water saving messaging, including Target 150 and TYWU promotions over the EC5 period.</w:t>
            </w:r>
          </w:p>
          <w:p w14:paraId="49A19688" w14:textId="77777777" w:rsidR="00142559" w:rsidRPr="003272C7" w:rsidRDefault="00E319A1" w:rsidP="00BA73B0">
            <w:pPr>
              <w:pStyle w:val="TableText"/>
              <w:rPr>
                <w:rFonts w:cs="Arial"/>
              </w:rPr>
            </w:pPr>
            <w:r w:rsidRPr="003272C7">
              <w:rPr>
                <w:rFonts w:cs="Arial"/>
              </w:rPr>
              <w:t>Target 155 (now Target 150), TYWU and the Make Every Drop Count campaign from EC4 focussed on free promotions, mostly via water corporation social media channels.</w:t>
            </w:r>
          </w:p>
          <w:p w14:paraId="4D2538C9" w14:textId="38B317B7" w:rsidR="00B242C3" w:rsidRPr="003272C7" w:rsidRDefault="00E319A1" w:rsidP="00BA73B0">
            <w:pPr>
              <w:pStyle w:val="TableText"/>
              <w:rPr>
                <w:rFonts w:cs="Arial"/>
              </w:rPr>
            </w:pPr>
            <w:r w:rsidRPr="003272C7">
              <w:rPr>
                <w:rFonts w:cs="Arial"/>
              </w:rPr>
              <w:t>For SWEP, most schools were offline during COVID-19 and active outreach was not possible. Low registration and engagement continued into subsequent wet years. Feedback received from schools indicates that the key barrier to registering is that water efficiency is a lower priority within schools compared to energy, waste and other day-to-day operations. There is also a perceived time burden to act on SWEP data and integrate SWEP into the classroom. As a result, SWEP registrations were 20% below the end-EC5 target (1452 versus 1800 schools registered). From an education perspective, school closures also limited onsite education outreach and instead the SWEP team focused on updating the curriculum materials for maths and science. These resources were available for download within the SWEP portal, however without active promotion, uptake was low both due to low awareness and lack of teacher time.</w:t>
            </w:r>
            <w:r w:rsidR="0079212B" w:rsidRPr="003272C7">
              <w:rPr>
                <w:rFonts w:cs="Arial"/>
              </w:rPr>
              <w:t xml:space="preserve"> </w:t>
            </w:r>
            <w:r w:rsidR="00B242C3" w:rsidRPr="003272C7">
              <w:rPr>
                <w:rFonts w:cs="Arial"/>
              </w:rPr>
              <w:t xml:space="preserve">For CHRP, stronger collaboration with relevant housing organisations/departments is required to streamline and centralise delivery. </w:t>
            </w:r>
            <w:r w:rsidRPr="003272C7">
              <w:rPr>
                <w:rFonts w:cs="Arial"/>
              </w:rPr>
              <w:t>The EC5 delivery</w:t>
            </w:r>
            <w:r w:rsidR="00B242C3" w:rsidRPr="003272C7">
              <w:rPr>
                <w:rFonts w:cs="Arial"/>
              </w:rPr>
              <w:t xml:space="preserve"> model </w:t>
            </w:r>
            <w:r w:rsidRPr="003272C7">
              <w:rPr>
                <w:rFonts w:cs="Arial"/>
              </w:rPr>
              <w:t>resulted in</w:t>
            </w:r>
            <w:r w:rsidR="00B242C3" w:rsidRPr="003272C7">
              <w:rPr>
                <w:rFonts w:cs="Arial"/>
              </w:rPr>
              <w:t xml:space="preserve"> CHRP water corporations contacting individual housing </w:t>
            </w:r>
            <w:r w:rsidRPr="003272C7">
              <w:rPr>
                <w:rFonts w:cs="Arial"/>
              </w:rPr>
              <w:t>managers</w:t>
            </w:r>
            <w:r w:rsidR="00B242C3" w:rsidRPr="003272C7">
              <w:rPr>
                <w:rFonts w:cs="Arial"/>
              </w:rPr>
              <w:t xml:space="preserve"> </w:t>
            </w:r>
            <w:r w:rsidR="00E12025" w:rsidRPr="003272C7">
              <w:rPr>
                <w:rFonts w:cs="Arial"/>
              </w:rPr>
              <w:t>rather than coordinating assistance through</w:t>
            </w:r>
            <w:r w:rsidR="00B242C3" w:rsidRPr="003272C7">
              <w:rPr>
                <w:rFonts w:cs="Arial"/>
              </w:rPr>
              <w:t xml:space="preserve"> central organisation</w:t>
            </w:r>
            <w:r w:rsidR="00E12025" w:rsidRPr="003272C7">
              <w:rPr>
                <w:rFonts w:cs="Arial"/>
              </w:rPr>
              <w:t>s</w:t>
            </w:r>
            <w:r w:rsidR="00B242C3" w:rsidRPr="003272C7">
              <w:rPr>
                <w:rFonts w:cs="Arial"/>
              </w:rPr>
              <w:t>,</w:t>
            </w:r>
            <w:r w:rsidR="00E12025" w:rsidRPr="003272C7">
              <w:rPr>
                <w:rFonts w:cs="Arial"/>
              </w:rPr>
              <w:t xml:space="preserve"> which</w:t>
            </w:r>
            <w:r w:rsidR="00B242C3" w:rsidRPr="003272C7">
              <w:rPr>
                <w:rFonts w:cs="Arial"/>
              </w:rPr>
              <w:t xml:space="preserve"> create</w:t>
            </w:r>
            <w:r w:rsidR="00E12025" w:rsidRPr="003272C7">
              <w:rPr>
                <w:rFonts w:cs="Arial"/>
              </w:rPr>
              <w:t>d</w:t>
            </w:r>
            <w:r w:rsidR="00B242C3" w:rsidRPr="003272C7">
              <w:rPr>
                <w:rFonts w:cs="Arial"/>
              </w:rPr>
              <w:t xml:space="preserve"> delays and inconsistency in approvals. </w:t>
            </w:r>
            <w:r w:rsidR="00E12025" w:rsidRPr="003272C7">
              <w:rPr>
                <w:rFonts w:cs="Arial"/>
              </w:rPr>
              <w:t>CHRP</w:t>
            </w:r>
            <w:r w:rsidR="00B242C3" w:rsidRPr="003272C7">
              <w:rPr>
                <w:rFonts w:cs="Arial"/>
              </w:rPr>
              <w:t xml:space="preserve"> use</w:t>
            </w:r>
            <w:r w:rsidR="00E12025" w:rsidRPr="003272C7">
              <w:rPr>
                <w:rFonts w:cs="Arial"/>
              </w:rPr>
              <w:t>d</w:t>
            </w:r>
            <w:r w:rsidR="00B242C3" w:rsidRPr="003272C7">
              <w:rPr>
                <w:rFonts w:cs="Arial"/>
              </w:rPr>
              <w:t xml:space="preserve"> 25% of funding to cover the</w:t>
            </w:r>
            <w:r w:rsidR="009430AF" w:rsidRPr="003272C7">
              <w:rPr>
                <w:rFonts w:cs="Arial"/>
              </w:rPr>
              <w:t>se</w:t>
            </w:r>
            <w:r w:rsidR="00B242C3" w:rsidRPr="003272C7">
              <w:rPr>
                <w:rFonts w:cs="Arial"/>
              </w:rPr>
              <w:t xml:space="preserve"> administration costs, however </w:t>
            </w:r>
            <w:r w:rsidR="009430AF" w:rsidRPr="003272C7">
              <w:rPr>
                <w:rFonts w:cs="Arial"/>
              </w:rPr>
              <w:t>a centralised approach targeting statewide housing organisations with more support from DEECA provides opportunity to remove or reduce the cost</w:t>
            </w:r>
            <w:r w:rsidR="00B242C3" w:rsidRPr="003272C7">
              <w:rPr>
                <w:rFonts w:cs="Arial"/>
              </w:rPr>
              <w:t xml:space="preserve">. This would reduce costs used for administration, but places administrative burden internally on </w:t>
            </w:r>
            <w:r w:rsidR="009D6A20" w:rsidRPr="003272C7">
              <w:rPr>
                <w:rFonts w:cs="Arial"/>
              </w:rPr>
              <w:t xml:space="preserve">the water efficiency </w:t>
            </w:r>
            <w:r w:rsidR="00B242C3" w:rsidRPr="003272C7">
              <w:rPr>
                <w:rFonts w:cs="Arial"/>
              </w:rPr>
              <w:t>team</w:t>
            </w:r>
            <w:r w:rsidR="009D6A20" w:rsidRPr="003272C7">
              <w:rPr>
                <w:rFonts w:cs="Arial"/>
              </w:rPr>
              <w:t>.</w:t>
            </w:r>
          </w:p>
        </w:tc>
      </w:tr>
      <w:tr w:rsidR="00B242C3" w:rsidRPr="003272C7" w14:paraId="3262B725" w14:textId="77777777" w:rsidTr="000452FB">
        <w:trPr>
          <w:trHeight w:val="259"/>
        </w:trPr>
        <w:tc>
          <w:tcPr>
            <w:tcW w:w="979" w:type="pct"/>
            <w:shd w:val="clear" w:color="auto" w:fill="231EDC" w:themeFill="accent1"/>
          </w:tcPr>
          <w:p w14:paraId="2E56232A" w14:textId="77777777" w:rsidR="00B242C3" w:rsidRPr="003272C7" w:rsidRDefault="00B242C3" w:rsidP="00A6017F">
            <w:pPr>
              <w:pStyle w:val="TableText"/>
              <w:rPr>
                <w:rFonts w:cs="Arial"/>
                <w:b/>
                <w:bCs/>
              </w:rPr>
            </w:pPr>
            <w:r w:rsidRPr="003272C7">
              <w:rPr>
                <w:rFonts w:cs="Arial"/>
                <w:b/>
                <w:bCs/>
              </w:rPr>
              <w:t>Appropriateness</w:t>
            </w:r>
          </w:p>
        </w:tc>
        <w:tc>
          <w:tcPr>
            <w:tcW w:w="4021" w:type="pct"/>
          </w:tcPr>
          <w:p w14:paraId="398FD9B3" w14:textId="333563B9" w:rsidR="00B242C3" w:rsidRPr="003272C7" w:rsidRDefault="00B242C3" w:rsidP="00BA73B0">
            <w:pPr>
              <w:pStyle w:val="TableBullet"/>
              <w:rPr>
                <w:rFonts w:cs="Arial"/>
              </w:rPr>
            </w:pPr>
            <w:r w:rsidRPr="003272C7">
              <w:rPr>
                <w:rFonts w:cs="Arial"/>
              </w:rPr>
              <w:t>Government, through Water for Victoria, committed to focus on urban water efficiency to ensure that water efficiency measures are developed and supported by water corporations and their communities. Making Victorians Water Wise complemented this focus and aimed to build on past actions taken by government, water corporations and by individuals to ensure Victoria has secure water supplies and to defer any new and more expensive water supply options as long as possible. Water efficiency is the least cost measure and contributes significant volumes of water savings.</w:t>
            </w:r>
          </w:p>
          <w:p w14:paraId="5E9F80E4" w14:textId="77777777" w:rsidR="00B242C3" w:rsidRPr="003272C7" w:rsidRDefault="00B242C3" w:rsidP="00BA73B0">
            <w:pPr>
              <w:pStyle w:val="TableBullet"/>
              <w:rPr>
                <w:rFonts w:cs="Arial"/>
              </w:rPr>
            </w:pPr>
            <w:r w:rsidRPr="003272C7">
              <w:rPr>
                <w:rFonts w:cs="Arial"/>
              </w:rPr>
              <w:t>The Victorian Government continues to be committed to water efficiency and the need to build community capacity to use water wisely. The underlying Program logic remains relevant.</w:t>
            </w:r>
          </w:p>
          <w:p w14:paraId="0DF7DB83" w14:textId="77777777" w:rsidR="00142559" w:rsidRPr="003272C7" w:rsidRDefault="00B242C3" w:rsidP="00BA73B0">
            <w:pPr>
              <w:pStyle w:val="TableBullet"/>
              <w:rPr>
                <w:rFonts w:cs="Arial"/>
              </w:rPr>
            </w:pPr>
            <w:r w:rsidRPr="003272C7">
              <w:rPr>
                <w:rFonts w:cs="Arial"/>
              </w:rPr>
              <w:t xml:space="preserve">Release of the CGRSWS in 2022 further reinforced the need for investment in water efficiency Programs, including commitment to ongoing investment in the </w:t>
            </w:r>
            <w:r w:rsidR="0079212B" w:rsidRPr="003272C7">
              <w:rPr>
                <w:rFonts w:cs="Arial"/>
              </w:rPr>
              <w:t>CRP and CHRP</w:t>
            </w:r>
            <w:r w:rsidRPr="003272C7">
              <w:rPr>
                <w:rFonts w:cs="Arial"/>
              </w:rPr>
              <w:t>,</w:t>
            </w:r>
            <w:r w:rsidR="0079212B" w:rsidRPr="003272C7">
              <w:rPr>
                <w:rFonts w:cs="Arial"/>
              </w:rPr>
              <w:t xml:space="preserve"> SWEP</w:t>
            </w:r>
            <w:r w:rsidRPr="003272C7">
              <w:rPr>
                <w:rFonts w:cs="Arial"/>
              </w:rPr>
              <w:t xml:space="preserve"> and behaviour change through campaigns, technology and digital innovation.</w:t>
            </w:r>
          </w:p>
          <w:p w14:paraId="0501099B" w14:textId="00065502" w:rsidR="00B242C3" w:rsidRPr="003272C7" w:rsidRDefault="00105CBE" w:rsidP="00BA73B0">
            <w:pPr>
              <w:pStyle w:val="TableBullet"/>
              <w:rPr>
                <w:rFonts w:cs="Arial"/>
              </w:rPr>
            </w:pPr>
            <w:r w:rsidRPr="003272C7">
              <w:rPr>
                <w:rFonts w:cs="Arial"/>
              </w:rPr>
              <w:t>T</w:t>
            </w:r>
            <w:r w:rsidR="00B242C3" w:rsidRPr="003272C7">
              <w:rPr>
                <w:rFonts w:cs="Arial"/>
              </w:rPr>
              <w:t>he EC5 period has coincided with three La Nina years of above average rainfall</w:t>
            </w:r>
            <w:r w:rsidR="00D24FE4" w:rsidRPr="003272C7">
              <w:rPr>
                <w:rFonts w:cs="Arial"/>
              </w:rPr>
              <w:t>:</w:t>
            </w:r>
            <w:r w:rsidR="00B242C3" w:rsidRPr="003272C7">
              <w:rPr>
                <w:rFonts w:cs="Arial"/>
              </w:rPr>
              <w:t xml:space="preserve"> an El Nino year with drier conditions </w:t>
            </w:r>
            <w:r w:rsidR="00D24FE4" w:rsidRPr="003272C7">
              <w:rPr>
                <w:rFonts w:cs="Arial"/>
              </w:rPr>
              <w:t>was declared in September 2023, easing to neutral by the end</w:t>
            </w:r>
            <w:r w:rsidR="00B242C3" w:rsidRPr="003272C7">
              <w:rPr>
                <w:rFonts w:cs="Arial"/>
              </w:rPr>
              <w:t xml:space="preserve"> of EC5.</w:t>
            </w:r>
            <w:r w:rsidR="009F06D6" w:rsidRPr="003272C7">
              <w:rPr>
                <w:rFonts w:cs="Arial"/>
              </w:rPr>
              <w:t xml:space="preserve"> </w:t>
            </w:r>
            <w:r w:rsidR="009F06D6" w:rsidRPr="00623380">
              <w:rPr>
                <w:rFonts w:cs="Arial"/>
              </w:rPr>
              <w:t xml:space="preserve">In these wet or neutral climatic conditions, an ongoing baseline of water efficiency </w:t>
            </w:r>
            <w:r w:rsidR="00445736" w:rsidRPr="00623380">
              <w:rPr>
                <w:rFonts w:cs="Arial"/>
              </w:rPr>
              <w:t>project</w:t>
            </w:r>
            <w:r w:rsidR="009F06D6" w:rsidRPr="00623380">
              <w:rPr>
                <w:rFonts w:cs="Arial"/>
              </w:rPr>
              <w:t>s needs to be in place, which can be increased during warmer and drier periods.</w:t>
            </w:r>
          </w:p>
          <w:p w14:paraId="13DA224E" w14:textId="17B3C306" w:rsidR="00B242C3" w:rsidRPr="003272C7" w:rsidRDefault="00B242C3" w:rsidP="00BA73B0">
            <w:pPr>
              <w:pStyle w:val="TableBullet"/>
              <w:rPr>
                <w:rFonts w:cs="Arial"/>
              </w:rPr>
            </w:pPr>
            <w:r w:rsidRPr="003272C7">
              <w:rPr>
                <w:rFonts w:cs="Arial"/>
              </w:rPr>
              <w:lastRenderedPageBreak/>
              <w:t xml:space="preserve">Impacts of COVID-19 and rising cost of living has increased the importance of affordability, making </w:t>
            </w:r>
            <w:r w:rsidR="009F06D6" w:rsidRPr="003272C7">
              <w:rPr>
                <w:rFonts w:cs="Arial"/>
              </w:rPr>
              <w:t xml:space="preserve">programs </w:t>
            </w:r>
            <w:r w:rsidRPr="003272C7">
              <w:rPr>
                <w:rFonts w:cs="Arial"/>
              </w:rPr>
              <w:t>such as the CRP and CHRP more important over</w:t>
            </w:r>
            <w:r w:rsidR="00AF6300" w:rsidRPr="003272C7">
              <w:rPr>
                <w:rFonts w:cs="Arial"/>
              </w:rPr>
              <w:t> </w:t>
            </w:r>
            <w:r w:rsidRPr="003272C7">
              <w:rPr>
                <w:rFonts w:cs="Arial"/>
              </w:rPr>
              <w:t xml:space="preserve">EC5. </w:t>
            </w:r>
          </w:p>
        </w:tc>
      </w:tr>
      <w:tr w:rsidR="00B242C3" w:rsidRPr="003272C7" w14:paraId="034D8E9F" w14:textId="77777777" w:rsidTr="000452FB">
        <w:trPr>
          <w:trHeight w:val="259"/>
        </w:trPr>
        <w:tc>
          <w:tcPr>
            <w:tcW w:w="979" w:type="pct"/>
            <w:shd w:val="clear" w:color="auto" w:fill="231EDC" w:themeFill="accent1"/>
          </w:tcPr>
          <w:p w14:paraId="1018D1BF" w14:textId="77777777" w:rsidR="00B242C3" w:rsidRPr="003272C7" w:rsidRDefault="00B242C3" w:rsidP="00A6017F">
            <w:pPr>
              <w:pStyle w:val="TableText"/>
              <w:rPr>
                <w:rFonts w:cs="Arial"/>
                <w:b/>
                <w:bCs/>
              </w:rPr>
            </w:pPr>
            <w:r w:rsidRPr="003272C7">
              <w:rPr>
                <w:rFonts w:cs="Arial"/>
                <w:b/>
                <w:bCs/>
              </w:rPr>
              <w:lastRenderedPageBreak/>
              <w:t>Efficiency</w:t>
            </w:r>
          </w:p>
        </w:tc>
        <w:tc>
          <w:tcPr>
            <w:tcW w:w="4021" w:type="pct"/>
          </w:tcPr>
          <w:p w14:paraId="294E11C9" w14:textId="1473DD94" w:rsidR="00B242C3" w:rsidRPr="003272C7" w:rsidRDefault="009F06D6" w:rsidP="00BA73B0">
            <w:pPr>
              <w:pStyle w:val="TableBullet"/>
              <w:rPr>
                <w:rFonts w:cs="Arial"/>
              </w:rPr>
            </w:pPr>
            <w:r w:rsidRPr="00623380">
              <w:rPr>
                <w:rFonts w:cs="Arial"/>
              </w:rPr>
              <w:t xml:space="preserve">The cost-benefit analysis of the CRP and CHRP program investment over the period analysed has delivered combined net welfare benefits to society of the order of $1.2 million, equating to a benefit to cost ratio of </w:t>
            </w:r>
            <w:r w:rsidR="00B242C3" w:rsidRPr="003272C7">
              <w:rPr>
                <w:rFonts w:cs="Arial"/>
              </w:rPr>
              <w:t>1.2 to 1 ($1.20 of value for every $1.00 spent).</w:t>
            </w:r>
            <w:r w:rsidR="00B242C3" w:rsidRPr="003272C7">
              <w:rPr>
                <w:rFonts w:cs="Arial"/>
              </w:rPr>
              <w:footnoteReference w:id="12"/>
            </w:r>
            <w:r w:rsidR="00B242C3" w:rsidRPr="003272C7">
              <w:rPr>
                <w:rFonts w:cs="Arial"/>
              </w:rPr>
              <w:t xml:space="preserve"> There are also intangible benefits cited by water corporations and customers, which include improved water industry reputation, increased social cohesion and inclusion, and health and well-being benefits. For example, 1</w:t>
            </w:r>
            <w:r w:rsidRPr="003272C7">
              <w:rPr>
                <w:rFonts w:cs="Arial"/>
              </w:rPr>
              <w:t>2</w:t>
            </w:r>
            <w:r w:rsidR="00B242C3" w:rsidRPr="003272C7">
              <w:rPr>
                <w:rFonts w:cs="Arial"/>
              </w:rPr>
              <w:t xml:space="preserve">% of participants who responded to the </w:t>
            </w:r>
            <w:r w:rsidRPr="003272C7">
              <w:rPr>
                <w:rFonts w:cs="Arial"/>
              </w:rPr>
              <w:t xml:space="preserve">CRP and CHRP </w:t>
            </w:r>
            <w:r w:rsidR="00B242C3" w:rsidRPr="003272C7">
              <w:rPr>
                <w:rFonts w:cs="Arial"/>
              </w:rPr>
              <w:t>evaluation survey cite improved well-being (through reduced bill pressures, pride in home due to new fixtures and fittings), and 10% cite improved knowledge about how to save water.</w:t>
            </w:r>
            <w:r w:rsidR="00B242C3" w:rsidRPr="003272C7">
              <w:rPr>
                <w:rFonts w:cs="Arial"/>
              </w:rPr>
              <w:footnoteReference w:id="13"/>
            </w:r>
          </w:p>
          <w:p w14:paraId="233354EB" w14:textId="30EE7EBD" w:rsidR="00B242C3" w:rsidRPr="003272C7" w:rsidRDefault="00166E17" w:rsidP="00BA73B0">
            <w:pPr>
              <w:pStyle w:val="TableBullet"/>
              <w:rPr>
                <w:rFonts w:cs="Arial"/>
              </w:rPr>
            </w:pPr>
            <w:r w:rsidRPr="00623380">
              <w:rPr>
                <w:rFonts w:cs="Arial"/>
              </w:rPr>
              <w:t>In return for the $5 million investment, SWEP delivered savings of 1.9 gigalitres in avoided water use through early leak detection, equating to $8.46 million in avoided water and wastewater costs to schools. This represents a payback period of 2.36.</w:t>
            </w:r>
            <w:r w:rsidRPr="003272C7">
              <w:rPr>
                <w:rFonts w:cs="Arial"/>
              </w:rPr>
              <w:t> </w:t>
            </w:r>
          </w:p>
        </w:tc>
      </w:tr>
      <w:tr w:rsidR="00B242C3" w:rsidRPr="003272C7" w14:paraId="61C0BCA9" w14:textId="77777777" w:rsidTr="000452FB">
        <w:trPr>
          <w:trHeight w:val="259"/>
        </w:trPr>
        <w:tc>
          <w:tcPr>
            <w:tcW w:w="979" w:type="pct"/>
            <w:shd w:val="clear" w:color="auto" w:fill="231EDC" w:themeFill="accent1"/>
          </w:tcPr>
          <w:p w14:paraId="516515AB" w14:textId="77777777" w:rsidR="00B242C3" w:rsidRPr="003272C7" w:rsidRDefault="00B242C3" w:rsidP="00A6017F">
            <w:pPr>
              <w:pStyle w:val="TableText"/>
              <w:rPr>
                <w:rFonts w:cs="Arial"/>
                <w:b/>
                <w:bCs/>
              </w:rPr>
            </w:pPr>
            <w:r w:rsidRPr="003272C7">
              <w:rPr>
                <w:rFonts w:cs="Arial"/>
                <w:b/>
                <w:bCs/>
              </w:rPr>
              <w:t>Legacy</w:t>
            </w:r>
          </w:p>
        </w:tc>
        <w:tc>
          <w:tcPr>
            <w:tcW w:w="4021" w:type="pct"/>
          </w:tcPr>
          <w:p w14:paraId="2DFD2BE6" w14:textId="0EFF2C3B" w:rsidR="00B242C3" w:rsidRPr="003272C7" w:rsidRDefault="00B242C3" w:rsidP="00BA73B0">
            <w:pPr>
              <w:pStyle w:val="TableBullet"/>
              <w:rPr>
                <w:rFonts w:cs="Arial"/>
              </w:rPr>
            </w:pPr>
            <w:r w:rsidRPr="003272C7">
              <w:rPr>
                <w:rFonts w:cs="Arial"/>
              </w:rPr>
              <w:t>The avoided water waste resulting from lower water flows of the more efficient fixtures and appliances benefits the customers each time the water appliance or fixture is used</w:t>
            </w:r>
            <w:r w:rsidR="00B8409D" w:rsidRPr="003272C7">
              <w:rPr>
                <w:rFonts w:cs="Arial"/>
              </w:rPr>
              <w:t>, with</w:t>
            </w:r>
            <w:r w:rsidRPr="003272C7">
              <w:rPr>
                <w:rFonts w:cs="Arial"/>
              </w:rPr>
              <w:t xml:space="preserve"> impacts last</w:t>
            </w:r>
            <w:r w:rsidR="003E5C84" w:rsidRPr="003272C7">
              <w:rPr>
                <w:rFonts w:cs="Arial"/>
              </w:rPr>
              <w:t>ing for</w:t>
            </w:r>
            <w:r w:rsidRPr="003272C7">
              <w:rPr>
                <w:rFonts w:cs="Arial"/>
              </w:rPr>
              <w:t xml:space="preserve"> the product life (assuming it remains in good working order). The CRP and CHRP 2023 evaluation found </w:t>
            </w:r>
            <w:r w:rsidR="003E5C84" w:rsidRPr="003272C7">
              <w:rPr>
                <w:rFonts w:cs="Arial"/>
              </w:rPr>
              <w:t>that around 50</w:t>
            </w:r>
            <w:r w:rsidRPr="003272C7">
              <w:rPr>
                <w:rFonts w:cs="Arial"/>
              </w:rPr>
              <w:t xml:space="preserve">% of participants that responded to the survey indicated that they have changed their behaviour to save water within their home/housing property as a result of the </w:t>
            </w:r>
            <w:r w:rsidR="00B40A4E" w:rsidRPr="003272C7">
              <w:rPr>
                <w:rFonts w:cs="Arial"/>
              </w:rPr>
              <w:t>p</w:t>
            </w:r>
            <w:r w:rsidRPr="003272C7">
              <w:rPr>
                <w:rFonts w:cs="Arial"/>
              </w:rPr>
              <w:t>rogram</w:t>
            </w:r>
            <w:r w:rsidR="00B40A4E" w:rsidRPr="003272C7">
              <w:rPr>
                <w:rFonts w:cs="Arial"/>
              </w:rPr>
              <w:t>s</w:t>
            </w:r>
            <w:r w:rsidRPr="003272C7">
              <w:rPr>
                <w:rFonts w:cs="Arial"/>
              </w:rPr>
              <w:t>.</w:t>
            </w:r>
            <w:r w:rsidRPr="003272C7">
              <w:rPr>
                <w:rFonts w:cs="Arial"/>
              </w:rPr>
              <w:footnoteReference w:id="14"/>
            </w:r>
          </w:p>
          <w:p w14:paraId="6DB51074" w14:textId="77777777" w:rsidR="00142559" w:rsidRPr="003272C7" w:rsidRDefault="00B242C3" w:rsidP="00BA73B0">
            <w:pPr>
              <w:pStyle w:val="TableBullet"/>
              <w:rPr>
                <w:rFonts w:cs="Arial"/>
              </w:rPr>
            </w:pPr>
            <w:r w:rsidRPr="003272C7">
              <w:rPr>
                <w:rFonts w:cs="Arial"/>
              </w:rPr>
              <w:t>For SWEP</w:t>
            </w:r>
            <w:r w:rsidR="00B40A4E" w:rsidRPr="003272C7">
              <w:rPr>
                <w:rFonts w:cs="Arial"/>
              </w:rPr>
              <w:t xml:space="preserve"> and VicFacilities</w:t>
            </w:r>
            <w:r w:rsidRPr="003272C7">
              <w:rPr>
                <w:rFonts w:cs="Arial"/>
              </w:rPr>
              <w:t xml:space="preserve">, the benefits of monitoring and identifying leaks are expected to last at least as long as the </w:t>
            </w:r>
            <w:r w:rsidR="00B40A4E" w:rsidRPr="003272C7">
              <w:rPr>
                <w:rFonts w:cs="Arial"/>
              </w:rPr>
              <w:t>organisations</w:t>
            </w:r>
            <w:r w:rsidRPr="003272C7">
              <w:rPr>
                <w:rFonts w:cs="Arial"/>
              </w:rPr>
              <w:t xml:space="preserve"> remain signed up to the </w:t>
            </w:r>
            <w:r w:rsidR="00676605" w:rsidRPr="003272C7">
              <w:rPr>
                <w:rFonts w:cs="Arial"/>
              </w:rPr>
              <w:t>program</w:t>
            </w:r>
            <w:r w:rsidRPr="003272C7">
              <w:rPr>
                <w:rFonts w:cs="Arial"/>
              </w:rPr>
              <w:t xml:space="preserve">. The financial savings associated with the timely identification of leaks allows the </w:t>
            </w:r>
            <w:r w:rsidR="00765788" w:rsidRPr="003272C7">
              <w:rPr>
                <w:rFonts w:cs="Arial"/>
              </w:rPr>
              <w:t xml:space="preserve">organisations </w:t>
            </w:r>
            <w:r w:rsidRPr="003272C7">
              <w:rPr>
                <w:rFonts w:cs="Arial"/>
              </w:rPr>
              <w:t xml:space="preserve">to take timely action to fix the leaks; </w:t>
            </w:r>
            <w:r w:rsidR="00765788" w:rsidRPr="003272C7">
              <w:rPr>
                <w:rFonts w:cs="Arial"/>
              </w:rPr>
              <w:t xml:space="preserve">providing </w:t>
            </w:r>
            <w:r w:rsidRPr="003272C7">
              <w:rPr>
                <w:rFonts w:cs="Arial"/>
              </w:rPr>
              <w:t>benefits into the future (as this money saved from avoided water bills can be invested elsewhere).</w:t>
            </w:r>
          </w:p>
          <w:p w14:paraId="179C499D" w14:textId="593552C4" w:rsidR="00B242C3" w:rsidRPr="003272C7" w:rsidRDefault="00B242C3" w:rsidP="00BA73B0">
            <w:pPr>
              <w:pStyle w:val="TableBullet"/>
              <w:rPr>
                <w:rFonts w:cs="Arial"/>
              </w:rPr>
            </w:pPr>
            <w:r w:rsidRPr="003272C7">
              <w:rPr>
                <w:rFonts w:cs="Arial"/>
              </w:rPr>
              <w:t xml:space="preserve">SWEP also influences behaviour change through its student curriculum resources on saving water, helping to build water efficiency awareness. This, alongside customer behaviour change </w:t>
            </w:r>
            <w:r w:rsidR="007313F9" w:rsidRPr="003272C7">
              <w:rPr>
                <w:rFonts w:cs="Arial"/>
              </w:rPr>
              <w:t>programs</w:t>
            </w:r>
            <w:r w:rsidRPr="003272C7">
              <w:rPr>
                <w:rFonts w:cs="Arial"/>
              </w:rPr>
              <w:t xml:space="preserve">, aims to ensure communities have consistent and constant messaging around the importance of saving water and how to save water in the home. </w:t>
            </w:r>
          </w:p>
        </w:tc>
      </w:tr>
      <w:tr w:rsidR="00B242C3" w:rsidRPr="003272C7" w14:paraId="79BE65C6" w14:textId="77777777" w:rsidTr="000452FB">
        <w:trPr>
          <w:trHeight w:val="259"/>
        </w:trPr>
        <w:tc>
          <w:tcPr>
            <w:tcW w:w="979" w:type="pct"/>
            <w:shd w:val="clear" w:color="auto" w:fill="231EDC" w:themeFill="accent1"/>
          </w:tcPr>
          <w:p w14:paraId="3A129B2D" w14:textId="77777777" w:rsidR="00B242C3" w:rsidRPr="003272C7" w:rsidRDefault="00B242C3" w:rsidP="00A6017F">
            <w:pPr>
              <w:pStyle w:val="TableText"/>
              <w:rPr>
                <w:rFonts w:cs="Arial"/>
                <w:b/>
                <w:bCs/>
              </w:rPr>
            </w:pPr>
            <w:r w:rsidRPr="003272C7">
              <w:rPr>
                <w:rFonts w:cs="Arial"/>
                <w:b/>
                <w:bCs/>
              </w:rPr>
              <w:t>Future priorities</w:t>
            </w:r>
          </w:p>
        </w:tc>
        <w:tc>
          <w:tcPr>
            <w:tcW w:w="4021" w:type="pct"/>
          </w:tcPr>
          <w:p w14:paraId="04F238A0" w14:textId="77777777" w:rsidR="00142559" w:rsidRPr="003272C7" w:rsidRDefault="004B057F" w:rsidP="00A6017F">
            <w:pPr>
              <w:pStyle w:val="TableText"/>
              <w:rPr>
                <w:rFonts w:cs="Arial"/>
              </w:rPr>
            </w:pPr>
            <w:r w:rsidRPr="003272C7">
              <w:rPr>
                <w:rFonts w:cs="Arial"/>
              </w:rPr>
              <w:t>SWEP and VicFacilities saves Victorian schools water and money by installing data loggers on water meters and alerting schools where there is high water usage.</w:t>
            </w:r>
          </w:p>
          <w:p w14:paraId="0F4F6450" w14:textId="77777777" w:rsidR="00142559" w:rsidRPr="003272C7" w:rsidRDefault="004B057F" w:rsidP="00A6017F">
            <w:pPr>
              <w:pStyle w:val="TableText"/>
              <w:rPr>
                <w:rFonts w:cs="Arial"/>
              </w:rPr>
            </w:pPr>
            <w:r w:rsidRPr="00623380">
              <w:rPr>
                <w:rFonts w:cs="Arial"/>
              </w:rPr>
              <w:t>Approximately half of Victoria</w:t>
            </w:r>
            <w:r w:rsidRPr="00623380">
              <w:rPr>
                <w:rFonts w:cs="Arial" w:hint="eastAsia"/>
              </w:rPr>
              <w:t>’</w:t>
            </w:r>
            <w:r w:rsidRPr="00623380">
              <w:rPr>
                <w:rFonts w:cs="Arial"/>
              </w:rPr>
              <w:t>s urban water corporations do not have a digital metering strategy in place and those that do are focused on residential digital metering for billing purposes. Customer dashboards that provide meaningful data for schools and other organisations are even less progressed. In the short-term (next EC6 period), SWEP will therefore continue to address both of these gaps for the school and non-residential sector.</w:t>
            </w:r>
          </w:p>
          <w:p w14:paraId="219F235E" w14:textId="77777777" w:rsidR="00142559" w:rsidRPr="003272C7" w:rsidRDefault="004B057F" w:rsidP="00A6017F">
            <w:pPr>
              <w:pStyle w:val="TableText"/>
              <w:rPr>
                <w:rFonts w:cs="Arial"/>
              </w:rPr>
            </w:pPr>
            <w:r w:rsidRPr="003272C7">
              <w:rPr>
                <w:rFonts w:cs="Arial"/>
              </w:rPr>
              <w:t>A</w:t>
            </w:r>
            <w:r w:rsidR="00B242C3" w:rsidRPr="003272C7">
              <w:rPr>
                <w:rFonts w:cs="Arial"/>
              </w:rPr>
              <w:t xml:space="preserve">s more water corporations begin to roll out digital metering, the </w:t>
            </w:r>
            <w:r w:rsidR="00A3624D" w:rsidRPr="003272C7">
              <w:rPr>
                <w:rFonts w:cs="Arial"/>
              </w:rPr>
              <w:t>data logger installation component of SWEP is expected to</w:t>
            </w:r>
            <w:r w:rsidR="00B242C3" w:rsidRPr="003272C7">
              <w:rPr>
                <w:rFonts w:cs="Arial"/>
              </w:rPr>
              <w:t xml:space="preserve"> become obsolete</w:t>
            </w:r>
            <w:r w:rsidR="00F35F26" w:rsidRPr="003272C7">
              <w:rPr>
                <w:rFonts w:cs="Arial"/>
              </w:rPr>
              <w:t xml:space="preserve"> but the schools’ online portal is expected to become more important, providing a key behaviour change and data </w:t>
            </w:r>
            <w:r w:rsidR="0079212B" w:rsidRPr="003272C7">
              <w:rPr>
                <w:rFonts w:cs="Arial"/>
              </w:rPr>
              <w:t>visualisation</w:t>
            </w:r>
            <w:r w:rsidR="00F35F26" w:rsidRPr="003272C7">
              <w:rPr>
                <w:rFonts w:cs="Arial"/>
              </w:rPr>
              <w:t xml:space="preserve"> tool for both students and asset managers</w:t>
            </w:r>
            <w:r w:rsidR="00B242C3" w:rsidRPr="003272C7">
              <w:rPr>
                <w:rFonts w:cs="Arial"/>
              </w:rPr>
              <w:t xml:space="preserve">. In </w:t>
            </w:r>
            <w:r w:rsidR="00C21AD7" w:rsidRPr="003272C7">
              <w:rPr>
                <w:rFonts w:cs="Arial"/>
              </w:rPr>
              <w:t>the</w:t>
            </w:r>
            <w:r w:rsidR="00B242C3" w:rsidRPr="003272C7">
              <w:rPr>
                <w:rFonts w:cs="Arial"/>
              </w:rPr>
              <w:t xml:space="preserve"> future, this will provide opportunity for SWEP to </w:t>
            </w:r>
            <w:r w:rsidR="00287587" w:rsidRPr="00623380">
              <w:rPr>
                <w:rFonts w:cs="Arial"/>
              </w:rPr>
              <w:t xml:space="preserve">direct more resources towards improving its </w:t>
            </w:r>
            <w:r w:rsidR="00B242C3" w:rsidRPr="003272C7">
              <w:rPr>
                <w:rFonts w:cs="Arial"/>
              </w:rPr>
              <w:t xml:space="preserve">educational </w:t>
            </w:r>
            <w:r w:rsidR="00287587" w:rsidRPr="003272C7">
              <w:rPr>
                <w:rFonts w:cs="Arial"/>
              </w:rPr>
              <w:t xml:space="preserve">and data use </w:t>
            </w:r>
            <w:r w:rsidR="00B242C3" w:rsidRPr="003272C7">
              <w:rPr>
                <w:rFonts w:cs="Arial"/>
              </w:rPr>
              <w:t>component</w:t>
            </w:r>
            <w:r w:rsidR="00287587" w:rsidRPr="003272C7">
              <w:rPr>
                <w:rFonts w:cs="Arial"/>
              </w:rPr>
              <w:t>s</w:t>
            </w:r>
            <w:r w:rsidR="00B242C3" w:rsidRPr="003272C7">
              <w:rPr>
                <w:rFonts w:cs="Arial"/>
              </w:rPr>
              <w:t>, rather than data logger installation and maintenance.</w:t>
            </w:r>
          </w:p>
          <w:p w14:paraId="52B2D610" w14:textId="77777777" w:rsidR="00142559" w:rsidRPr="003272C7" w:rsidRDefault="00432234" w:rsidP="00A6017F">
            <w:pPr>
              <w:pStyle w:val="TableText"/>
              <w:rPr>
                <w:rFonts w:cs="Arial"/>
              </w:rPr>
            </w:pPr>
            <w:r w:rsidRPr="003272C7">
              <w:rPr>
                <w:rFonts w:cs="Arial"/>
              </w:rPr>
              <w:lastRenderedPageBreak/>
              <w:t>The next phase of SWEP and VicFacilities in EC6 will focus on rebuilding the digital platform to better support digital metering integration across Victoria</w:t>
            </w:r>
            <w:r w:rsidRPr="00623380">
              <w:rPr>
                <w:rFonts w:cs="Arial" w:hint="eastAsia"/>
              </w:rPr>
              <w:t>’</w:t>
            </w:r>
            <w:r w:rsidRPr="003272C7">
              <w:rPr>
                <w:rFonts w:cs="Arial"/>
              </w:rPr>
              <w:t xml:space="preserve">s water corporations. For SWEP, opportunities to increase registrations and joint education </w:t>
            </w:r>
            <w:r w:rsidR="00445736" w:rsidRPr="003272C7">
              <w:rPr>
                <w:rFonts w:cs="Arial"/>
              </w:rPr>
              <w:t>project</w:t>
            </w:r>
            <w:r w:rsidRPr="003272C7">
              <w:rPr>
                <w:rFonts w:cs="Arial"/>
              </w:rPr>
              <w:t>s will be sought through stronger partnerships with the Department of Education and Sustainability Victoria.</w:t>
            </w:r>
          </w:p>
          <w:p w14:paraId="54346974" w14:textId="3F73A5F7" w:rsidR="00B242C3" w:rsidRPr="003272C7" w:rsidRDefault="00432234" w:rsidP="00A6017F">
            <w:pPr>
              <w:pStyle w:val="TableText"/>
              <w:rPr>
                <w:rFonts w:cs="Arial"/>
              </w:rPr>
            </w:pPr>
            <w:r w:rsidRPr="00623380">
              <w:rPr>
                <w:rFonts w:cs="Arial"/>
              </w:rPr>
              <w:t xml:space="preserve">The focus for the 2024-25 State Budget on reducing cost of living pressures for families means CRP and CHRP can become more prominent programs for government support to the community for affordability. In EC6, these </w:t>
            </w:r>
            <w:r w:rsidR="0079212B" w:rsidRPr="003272C7">
              <w:rPr>
                <w:rFonts w:cs="Arial"/>
              </w:rPr>
              <w:t>2</w:t>
            </w:r>
            <w:r w:rsidRPr="00623380">
              <w:rPr>
                <w:rFonts w:cs="Arial"/>
              </w:rPr>
              <w:t xml:space="preserve"> programs will be streamlined into a single Community Rebate and Housing Program so that all water corporations can support both individual and community housing properties. The program will also target greater water use reductions and bill savings by offering voluntary upgrades to 5-star WELS rated showerheads</w:t>
            </w:r>
            <w:r w:rsidR="0079212B" w:rsidRPr="003272C7">
              <w:rPr>
                <w:rFonts w:cs="Arial"/>
              </w:rPr>
              <w:t>.</w:t>
            </w:r>
          </w:p>
        </w:tc>
      </w:tr>
    </w:tbl>
    <w:p w14:paraId="78A40538" w14:textId="065F947A" w:rsidR="00B242C3" w:rsidRPr="003272C7" w:rsidRDefault="00B242C3" w:rsidP="00B242C3">
      <w:pPr>
        <w:pStyle w:val="Heading2"/>
        <w:rPr>
          <w:rFonts w:cs="Arial"/>
        </w:rPr>
      </w:pPr>
      <w:bookmarkStart w:id="51" w:name="_Toc147410791"/>
      <w:bookmarkStart w:id="52" w:name="_Toc183777799"/>
      <w:r w:rsidRPr="003272C7">
        <w:rPr>
          <w:rFonts w:cs="Arial"/>
        </w:rPr>
        <w:lastRenderedPageBreak/>
        <w:t xml:space="preserve">SIRS1: Rural </w:t>
      </w:r>
      <w:r w:rsidR="00271AE7" w:rsidRPr="003272C7">
        <w:rPr>
          <w:rFonts w:cs="Arial"/>
        </w:rPr>
        <w:t>W</w:t>
      </w:r>
      <w:r w:rsidRPr="003272C7">
        <w:rPr>
          <w:rFonts w:cs="Arial"/>
        </w:rPr>
        <w:t xml:space="preserve">ater </w:t>
      </w:r>
      <w:r w:rsidR="00271AE7" w:rsidRPr="003272C7">
        <w:rPr>
          <w:rFonts w:cs="Arial"/>
        </w:rPr>
        <w:t>I</w:t>
      </w:r>
      <w:r w:rsidRPr="003272C7">
        <w:rPr>
          <w:rFonts w:cs="Arial"/>
        </w:rPr>
        <w:t xml:space="preserve">nfrastructure </w:t>
      </w:r>
      <w:r w:rsidR="00271AE7" w:rsidRPr="003272C7">
        <w:rPr>
          <w:rFonts w:cs="Arial"/>
        </w:rPr>
        <w:t>P</w:t>
      </w:r>
      <w:r w:rsidRPr="003272C7">
        <w:rPr>
          <w:rFonts w:cs="Arial"/>
        </w:rPr>
        <w:t xml:space="preserve">roject </w:t>
      </w:r>
      <w:r w:rsidR="00271AE7" w:rsidRPr="003272C7">
        <w:rPr>
          <w:rFonts w:cs="Arial"/>
        </w:rPr>
        <w:t>O</w:t>
      </w:r>
      <w:r w:rsidRPr="003272C7">
        <w:rPr>
          <w:rFonts w:cs="Arial"/>
        </w:rPr>
        <w:t xml:space="preserve">versight and </w:t>
      </w:r>
      <w:r w:rsidR="00271AE7" w:rsidRPr="003272C7">
        <w:rPr>
          <w:rFonts w:cs="Arial"/>
        </w:rPr>
        <w:t>G</w:t>
      </w:r>
      <w:r w:rsidRPr="003272C7">
        <w:rPr>
          <w:rFonts w:cs="Arial"/>
        </w:rPr>
        <w:t>overnance (also currently includes reporting on Programs funded from other sources, e.g. East Grampians Water Supply Project)</w:t>
      </w:r>
      <w:bookmarkEnd w:id="51"/>
      <w:bookmarkEnd w:id="5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77120940" w14:textId="77777777" w:rsidTr="000452FB">
        <w:trPr>
          <w:trHeight w:val="395"/>
        </w:trPr>
        <w:tc>
          <w:tcPr>
            <w:tcW w:w="979" w:type="pct"/>
            <w:shd w:val="clear" w:color="auto" w:fill="231EDC" w:themeFill="accent1"/>
          </w:tcPr>
          <w:p w14:paraId="47692403" w14:textId="6433B50E" w:rsidR="00B242C3" w:rsidRPr="003272C7" w:rsidRDefault="00C412A9" w:rsidP="00A6017F">
            <w:pPr>
              <w:pStyle w:val="TableHeading"/>
              <w:rPr>
                <w:rFonts w:cs="Arial"/>
              </w:rPr>
            </w:pPr>
            <w:r w:rsidRPr="003272C7">
              <w:rPr>
                <w:rFonts w:cs="Arial"/>
              </w:rPr>
              <w:t>Initiative</w:t>
            </w:r>
          </w:p>
        </w:tc>
        <w:tc>
          <w:tcPr>
            <w:tcW w:w="4021" w:type="pct"/>
            <w:shd w:val="clear" w:color="auto" w:fill="231EDC" w:themeFill="accent1"/>
          </w:tcPr>
          <w:p w14:paraId="27976BDF" w14:textId="77777777" w:rsidR="00B242C3" w:rsidRPr="003272C7" w:rsidRDefault="00B242C3" w:rsidP="00A6017F">
            <w:pPr>
              <w:pStyle w:val="TableHeading"/>
              <w:rPr>
                <w:rFonts w:cs="Arial"/>
              </w:rPr>
            </w:pPr>
            <w:r w:rsidRPr="003272C7">
              <w:rPr>
                <w:rFonts w:cs="Arial"/>
              </w:rPr>
              <w:t>6. Water Wise Rural Communities: Rural-Infrastructure and Sustainable Irrigation Streams</w:t>
            </w:r>
          </w:p>
        </w:tc>
      </w:tr>
      <w:tr w:rsidR="00B242C3" w:rsidRPr="003272C7" w14:paraId="0767E6C0" w14:textId="77777777" w:rsidTr="000452FB">
        <w:trPr>
          <w:trHeight w:val="341"/>
        </w:trPr>
        <w:tc>
          <w:tcPr>
            <w:tcW w:w="979" w:type="pct"/>
            <w:shd w:val="clear" w:color="auto" w:fill="231EDC" w:themeFill="accent1"/>
          </w:tcPr>
          <w:p w14:paraId="09F9C1C8" w14:textId="77777777" w:rsidR="00B242C3" w:rsidRPr="003272C7" w:rsidRDefault="00B242C3" w:rsidP="00A6017F">
            <w:pPr>
              <w:pStyle w:val="TableText"/>
              <w:rPr>
                <w:rFonts w:cs="Arial"/>
                <w:b/>
                <w:bCs/>
              </w:rPr>
            </w:pPr>
            <w:r w:rsidRPr="003272C7">
              <w:rPr>
                <w:rFonts w:cs="Arial"/>
                <w:b/>
                <w:bCs/>
              </w:rPr>
              <w:t>Project</w:t>
            </w:r>
          </w:p>
        </w:tc>
        <w:tc>
          <w:tcPr>
            <w:tcW w:w="4021" w:type="pct"/>
          </w:tcPr>
          <w:p w14:paraId="4D8BCDED" w14:textId="77777777" w:rsidR="00B242C3" w:rsidRPr="003272C7" w:rsidRDefault="00B242C3" w:rsidP="00A6017F">
            <w:pPr>
              <w:pStyle w:val="TableText"/>
              <w:rPr>
                <w:rFonts w:cs="Arial"/>
              </w:rPr>
            </w:pPr>
            <w:r w:rsidRPr="003272C7">
              <w:rPr>
                <w:rFonts w:cs="Arial"/>
              </w:rPr>
              <w:t>SIRS1: Rural water infrastructure project oversight and governance (also currently includes reporting on Programs funded from other sources, e.g. East Grampians Water Supply Project)</w:t>
            </w:r>
          </w:p>
        </w:tc>
      </w:tr>
      <w:tr w:rsidR="00B242C3" w:rsidRPr="003272C7" w14:paraId="46B465DE" w14:textId="77777777" w:rsidTr="000452FB">
        <w:trPr>
          <w:trHeight w:val="259"/>
        </w:trPr>
        <w:tc>
          <w:tcPr>
            <w:tcW w:w="979" w:type="pct"/>
            <w:shd w:val="clear" w:color="auto" w:fill="231EDC" w:themeFill="accent1"/>
          </w:tcPr>
          <w:p w14:paraId="380C0B93" w14:textId="77777777" w:rsidR="00B242C3" w:rsidRPr="003272C7" w:rsidRDefault="00B242C3" w:rsidP="00A6017F">
            <w:pPr>
              <w:pStyle w:val="TableText"/>
              <w:rPr>
                <w:rFonts w:cs="Arial"/>
                <w:b/>
                <w:bCs/>
              </w:rPr>
            </w:pPr>
            <w:r w:rsidRPr="003272C7">
              <w:rPr>
                <w:rFonts w:cs="Arial"/>
                <w:b/>
                <w:bCs/>
              </w:rPr>
              <w:t>Description</w:t>
            </w:r>
          </w:p>
          <w:p w14:paraId="4124C63E" w14:textId="77777777" w:rsidR="00B242C3" w:rsidRPr="003272C7" w:rsidRDefault="00B242C3" w:rsidP="00A6017F">
            <w:pPr>
              <w:pStyle w:val="TableText"/>
              <w:rPr>
                <w:rFonts w:cs="Arial"/>
                <w:b/>
                <w:bCs/>
              </w:rPr>
            </w:pPr>
          </w:p>
        </w:tc>
        <w:tc>
          <w:tcPr>
            <w:tcW w:w="4021" w:type="pct"/>
          </w:tcPr>
          <w:p w14:paraId="777FD2CA" w14:textId="77777777" w:rsidR="00142559" w:rsidRPr="003272C7" w:rsidRDefault="00B242C3" w:rsidP="00A6017F">
            <w:pPr>
              <w:pStyle w:val="TableText"/>
              <w:rPr>
                <w:rFonts w:cs="Arial"/>
              </w:rPr>
            </w:pPr>
            <w:r w:rsidRPr="003272C7">
              <w:rPr>
                <w:rFonts w:cs="Arial"/>
              </w:rPr>
              <w:t>To resource a highly skilled core team responsible for providing governance and oversight of water infrastructure projects that have Government investment in Victoria. The team ensures appropriate expenditure of public money on major water infrastructure projects, by:</w:t>
            </w:r>
          </w:p>
          <w:p w14:paraId="4026DB7E" w14:textId="0932A8BB" w:rsidR="00B242C3" w:rsidRPr="003272C7" w:rsidRDefault="00B242C3" w:rsidP="00A6017F">
            <w:pPr>
              <w:pStyle w:val="TableNumber"/>
              <w:numPr>
                <w:ilvl w:val="0"/>
                <w:numId w:val="171"/>
              </w:numPr>
              <w:rPr>
                <w:rFonts w:cs="Arial"/>
              </w:rPr>
            </w:pPr>
            <w:r w:rsidRPr="003272C7">
              <w:rPr>
                <w:rFonts w:cs="Arial"/>
              </w:rPr>
              <w:t>seeking public good outcomes and benefits from government investment in water infrastructure projects through the monitoring of performance and compliance of the projects being delivered.</w:t>
            </w:r>
          </w:p>
          <w:p w14:paraId="2DBF5674" w14:textId="3A8CC5E2" w:rsidR="00B242C3" w:rsidRPr="003272C7" w:rsidRDefault="00B242C3" w:rsidP="00A6017F">
            <w:pPr>
              <w:pStyle w:val="TableNumber"/>
              <w:rPr>
                <w:rFonts w:cs="Arial"/>
              </w:rPr>
            </w:pPr>
            <w:r w:rsidRPr="003272C7">
              <w:rPr>
                <w:rFonts w:cs="Arial"/>
              </w:rPr>
              <w:t>investigating and evaluating future regional water infrastructure opportunities that provide long-term water security and efficiency in rural, regional and peri-urban communities, which may result in the development of new shovel ready projects that Victorian Government may choose to invest in and/or are suitable for submission for Commonwealth investment.</w:t>
            </w:r>
          </w:p>
          <w:p w14:paraId="20646647" w14:textId="77777777" w:rsidR="00B242C3" w:rsidRPr="003272C7" w:rsidRDefault="00B242C3" w:rsidP="00A6017F">
            <w:pPr>
              <w:pStyle w:val="TableNumber"/>
              <w:rPr>
                <w:rFonts w:cs="Arial"/>
              </w:rPr>
            </w:pPr>
            <w:r w:rsidRPr="003272C7">
              <w:rPr>
                <w:rFonts w:cs="Arial"/>
              </w:rPr>
              <w:t>providing appropriate governance and oversight of projects that deliver Victoria’s water savings obligations under the Basin Plan target which meets the Australian Government commitment.</w:t>
            </w:r>
          </w:p>
        </w:tc>
      </w:tr>
      <w:tr w:rsidR="00B242C3" w:rsidRPr="003272C7" w14:paraId="48409857" w14:textId="77777777" w:rsidTr="000452FB">
        <w:trPr>
          <w:trHeight w:val="259"/>
        </w:trPr>
        <w:tc>
          <w:tcPr>
            <w:tcW w:w="979" w:type="pct"/>
            <w:shd w:val="clear" w:color="auto" w:fill="231EDC" w:themeFill="accent1"/>
          </w:tcPr>
          <w:p w14:paraId="11B4D8B5" w14:textId="77777777" w:rsidR="00B242C3" w:rsidRPr="003272C7" w:rsidRDefault="00B242C3" w:rsidP="00A6017F">
            <w:pPr>
              <w:pStyle w:val="TableText"/>
              <w:rPr>
                <w:rFonts w:cs="Arial"/>
                <w:b/>
                <w:bCs/>
              </w:rPr>
            </w:pPr>
            <w:r w:rsidRPr="003272C7">
              <w:rPr>
                <w:rFonts w:cs="Arial"/>
                <w:b/>
                <w:bCs/>
              </w:rPr>
              <w:t>Outputs</w:t>
            </w:r>
          </w:p>
        </w:tc>
        <w:tc>
          <w:tcPr>
            <w:tcW w:w="4021" w:type="pct"/>
          </w:tcPr>
          <w:p w14:paraId="2E6555AE" w14:textId="77777777" w:rsidR="00142559" w:rsidRPr="003272C7" w:rsidRDefault="00B242C3" w:rsidP="00A6017F">
            <w:pPr>
              <w:pStyle w:val="TableText"/>
              <w:rPr>
                <w:rFonts w:cs="Arial"/>
              </w:rPr>
            </w:pPr>
            <w:r w:rsidRPr="003272C7">
              <w:rPr>
                <w:rFonts w:cs="Arial"/>
              </w:rPr>
              <w:t xml:space="preserve">Rural Water Projects has maintained a dedicated team of 5 </w:t>
            </w:r>
            <w:r w:rsidR="0079212B" w:rsidRPr="003272C7">
              <w:rPr>
                <w:rFonts w:cs="Arial"/>
              </w:rPr>
              <w:t>full-time equivalent</w:t>
            </w:r>
            <w:r w:rsidRPr="003272C7">
              <w:rPr>
                <w:rFonts w:cs="Arial"/>
              </w:rPr>
              <w:t xml:space="preserve"> staff, provide strong governance and oversight of water infrastructure projects with a growing capacity through knowledge and experience to undertake due-diligence work to guide future investment through experience and expertise.</w:t>
            </w:r>
          </w:p>
          <w:p w14:paraId="27D50F3D" w14:textId="77777777" w:rsidR="00142559" w:rsidRPr="003272C7" w:rsidRDefault="000D4CC2" w:rsidP="00A6017F">
            <w:pPr>
              <w:pStyle w:val="TableBullet"/>
              <w:rPr>
                <w:rFonts w:cs="Arial"/>
              </w:rPr>
            </w:pPr>
            <w:r w:rsidRPr="003272C7">
              <w:rPr>
                <w:rFonts w:cs="Arial"/>
              </w:rPr>
              <w:t>As of June 2023</w:t>
            </w:r>
            <w:r w:rsidR="0079212B" w:rsidRPr="003272C7">
              <w:rPr>
                <w:rFonts w:cs="Arial"/>
              </w:rPr>
              <w:t>,</w:t>
            </w:r>
            <w:r w:rsidR="004B1319" w:rsidRPr="003272C7">
              <w:rPr>
                <w:rFonts w:cs="Arial"/>
              </w:rPr>
              <w:t xml:space="preserve"> </w:t>
            </w:r>
            <w:r w:rsidR="0079212B" w:rsidRPr="003272C7">
              <w:rPr>
                <w:rFonts w:cs="Arial"/>
              </w:rPr>
              <w:t>DEECA</w:t>
            </w:r>
            <w:r w:rsidR="00B242C3" w:rsidRPr="003272C7">
              <w:rPr>
                <w:rFonts w:cs="Arial"/>
              </w:rPr>
              <w:t xml:space="preserve"> has secured funding for strategic rural water infrastructure projects across 25 projects totalling approximately $839 million.</w:t>
            </w:r>
            <w:r w:rsidR="004B1319" w:rsidRPr="003272C7">
              <w:rPr>
                <w:rFonts w:cs="Arial"/>
              </w:rPr>
              <w:t xml:space="preserve"> Since July 2023, </w:t>
            </w:r>
            <w:r w:rsidR="0079212B" w:rsidRPr="003272C7">
              <w:rPr>
                <w:rFonts w:cs="Arial"/>
              </w:rPr>
              <w:t xml:space="preserve">DEECA </w:t>
            </w:r>
            <w:r w:rsidR="004B1319" w:rsidRPr="003272C7">
              <w:rPr>
                <w:rFonts w:cs="Arial"/>
              </w:rPr>
              <w:t>has secured an additional 8 projects totalling approximately $157 million.</w:t>
            </w:r>
          </w:p>
          <w:p w14:paraId="17858B3D" w14:textId="77777777" w:rsidR="00142559" w:rsidRPr="003272C7" w:rsidRDefault="0079212B" w:rsidP="00A6017F">
            <w:pPr>
              <w:pStyle w:val="TableBullet"/>
              <w:rPr>
                <w:rFonts w:cs="Arial"/>
              </w:rPr>
            </w:pPr>
            <w:r w:rsidRPr="003272C7">
              <w:rPr>
                <w:rFonts w:cs="Arial"/>
              </w:rPr>
              <w:t xml:space="preserve">DEECA </w:t>
            </w:r>
            <w:r w:rsidR="00B242C3" w:rsidRPr="003272C7">
              <w:rPr>
                <w:rFonts w:cs="Arial"/>
              </w:rPr>
              <w:t>has continued to engage stakeholders and community to better inform opportunities and learning on rural water infrastructure projects, hosting strategic planning forums with water corporations, and attending external group meetings including with Water Services Association of Australia at the request of the National Water Grid Fund.</w:t>
            </w:r>
          </w:p>
          <w:p w14:paraId="173ADD18" w14:textId="16B421E8" w:rsidR="00B242C3" w:rsidRPr="003272C7" w:rsidRDefault="00B242C3" w:rsidP="00A6017F">
            <w:pPr>
              <w:pStyle w:val="TableBullet"/>
              <w:rPr>
                <w:rFonts w:cs="Arial"/>
              </w:rPr>
            </w:pPr>
            <w:r w:rsidRPr="003272C7">
              <w:rPr>
                <w:rFonts w:cs="Arial"/>
              </w:rPr>
              <w:t xml:space="preserve">In 2023 </w:t>
            </w:r>
            <w:r w:rsidR="00782092" w:rsidRPr="003272C7">
              <w:rPr>
                <w:rFonts w:cs="Arial"/>
              </w:rPr>
              <w:t xml:space="preserve">and 2024 </w:t>
            </w:r>
            <w:r w:rsidRPr="003272C7">
              <w:rPr>
                <w:rFonts w:cs="Arial"/>
              </w:rPr>
              <w:t xml:space="preserve">the </w:t>
            </w:r>
            <w:r w:rsidR="00782092" w:rsidRPr="003272C7">
              <w:rPr>
                <w:rFonts w:cs="Arial"/>
              </w:rPr>
              <w:t>Department</w:t>
            </w:r>
            <w:r w:rsidRPr="003272C7">
              <w:rPr>
                <w:rFonts w:cs="Arial"/>
              </w:rPr>
              <w:t xml:space="preserve"> was invited to host the National Water Grid Fund executives and state and territory counterparts for the inaugural Annual </w:t>
            </w:r>
            <w:r w:rsidR="0079212B" w:rsidRPr="003272C7">
              <w:rPr>
                <w:rFonts w:cs="Arial"/>
              </w:rPr>
              <w:t xml:space="preserve">National Water Grid </w:t>
            </w:r>
            <w:r w:rsidRPr="003272C7">
              <w:rPr>
                <w:rFonts w:cs="Arial"/>
              </w:rPr>
              <w:t>meeting over 2 days. The meeting shared learnings on successful project deliveries and case studies throughout Australia.</w:t>
            </w:r>
          </w:p>
        </w:tc>
      </w:tr>
      <w:tr w:rsidR="00B242C3" w:rsidRPr="003272C7" w14:paraId="208AFA8B" w14:textId="77777777" w:rsidTr="00F73F41">
        <w:trPr>
          <w:trHeight w:val="259"/>
        </w:trPr>
        <w:tc>
          <w:tcPr>
            <w:tcW w:w="5000" w:type="pct"/>
            <w:gridSpan w:val="2"/>
            <w:shd w:val="clear" w:color="auto" w:fill="231EDC" w:themeFill="accent1"/>
          </w:tcPr>
          <w:p w14:paraId="71212B67" w14:textId="77777777" w:rsidR="00B242C3" w:rsidRPr="003272C7" w:rsidRDefault="00B242C3" w:rsidP="00A6017F">
            <w:pPr>
              <w:pStyle w:val="TableText"/>
              <w:rPr>
                <w:rFonts w:cs="Arial"/>
                <w:b/>
                <w:bCs/>
              </w:rPr>
            </w:pPr>
            <w:r w:rsidRPr="003272C7">
              <w:rPr>
                <w:rFonts w:cs="Arial"/>
                <w:b/>
                <w:bCs/>
              </w:rPr>
              <w:lastRenderedPageBreak/>
              <w:t>Summary against evaluation domains</w:t>
            </w:r>
          </w:p>
        </w:tc>
      </w:tr>
      <w:tr w:rsidR="00B242C3" w:rsidRPr="003272C7" w14:paraId="300AB6B4" w14:textId="77777777" w:rsidTr="000452FB">
        <w:trPr>
          <w:trHeight w:val="259"/>
        </w:trPr>
        <w:tc>
          <w:tcPr>
            <w:tcW w:w="979" w:type="pct"/>
            <w:shd w:val="clear" w:color="auto" w:fill="231EDC" w:themeFill="accent1"/>
          </w:tcPr>
          <w:p w14:paraId="0EBA5E2C" w14:textId="77777777" w:rsidR="00B242C3" w:rsidRPr="003272C7" w:rsidRDefault="00B242C3" w:rsidP="00A6017F">
            <w:pPr>
              <w:pStyle w:val="TableText"/>
              <w:rPr>
                <w:rFonts w:cs="Arial"/>
                <w:b/>
                <w:bCs/>
              </w:rPr>
            </w:pPr>
            <w:r w:rsidRPr="003272C7">
              <w:rPr>
                <w:rFonts w:cs="Arial"/>
                <w:b/>
                <w:bCs/>
              </w:rPr>
              <w:t>Impact</w:t>
            </w:r>
          </w:p>
        </w:tc>
        <w:tc>
          <w:tcPr>
            <w:tcW w:w="4021" w:type="pct"/>
          </w:tcPr>
          <w:p w14:paraId="1EBB6FE4" w14:textId="417538ED" w:rsidR="00B242C3" w:rsidRPr="003272C7" w:rsidRDefault="00B242C3" w:rsidP="00A6017F">
            <w:pPr>
              <w:pStyle w:val="TableTextBold"/>
              <w:rPr>
                <w:rFonts w:cs="Arial"/>
              </w:rPr>
            </w:pPr>
            <w:r w:rsidRPr="003272C7">
              <w:rPr>
                <w:rFonts w:cs="Arial"/>
              </w:rPr>
              <w:t>Targeted and efficient investment in rural water infrastructure</w:t>
            </w:r>
            <w:r w:rsidR="00683BA7" w:rsidRPr="003272C7">
              <w:rPr>
                <w:rFonts w:cs="Arial"/>
              </w:rPr>
              <w:t>:</w:t>
            </w:r>
          </w:p>
          <w:p w14:paraId="17C03042" w14:textId="3289B208" w:rsidR="00B242C3" w:rsidRPr="003272C7" w:rsidRDefault="00B242C3" w:rsidP="00A6017F">
            <w:pPr>
              <w:pStyle w:val="TableBullet"/>
              <w:rPr>
                <w:rFonts w:cs="Arial"/>
              </w:rPr>
            </w:pPr>
            <w:r w:rsidRPr="003272C7">
              <w:rPr>
                <w:rFonts w:cs="Arial"/>
              </w:rPr>
              <w:t xml:space="preserve">Through the delivery of infrastructure projects like the Macalister Irrigation District (MID) Phase 2 Modernisation Project and </w:t>
            </w:r>
            <w:r w:rsidR="0079212B" w:rsidRPr="003272C7">
              <w:rPr>
                <w:rFonts w:cs="Arial"/>
              </w:rPr>
              <w:t>Goulburn-Murray Water</w:t>
            </w:r>
            <w:r w:rsidRPr="003272C7">
              <w:rPr>
                <w:rFonts w:cs="Arial"/>
              </w:rPr>
              <w:t xml:space="preserve"> Connections Project the rural water infrastructure project team are supporting rural communities to be adequately prepared to meet </w:t>
            </w:r>
            <w:r w:rsidRPr="00623380">
              <w:rPr>
                <w:rFonts w:cs="Arial"/>
              </w:rPr>
              <w:t>the challenges of drought and climate change.</w:t>
            </w:r>
          </w:p>
          <w:p w14:paraId="7401F1B9" w14:textId="77777777" w:rsidR="00142559" w:rsidRPr="003272C7" w:rsidRDefault="00683BA7" w:rsidP="00A6017F">
            <w:pPr>
              <w:pStyle w:val="TableBullet"/>
              <w:rPr>
                <w:rFonts w:cs="Arial"/>
              </w:rPr>
            </w:pPr>
            <w:r w:rsidRPr="003272C7">
              <w:rPr>
                <w:rFonts w:cs="Arial"/>
              </w:rPr>
              <w:t xml:space="preserve">DEECA </w:t>
            </w:r>
            <w:r w:rsidR="00B242C3" w:rsidRPr="003272C7">
              <w:rPr>
                <w:rFonts w:cs="Arial"/>
              </w:rPr>
              <w:t xml:space="preserve">has developed or overseen detailed business cases, secured funding and provided oversight and governance of new and ongoing projects </w:t>
            </w:r>
            <w:r w:rsidR="006D5784" w:rsidRPr="003272C7">
              <w:rPr>
                <w:rFonts w:cs="Arial"/>
              </w:rPr>
              <w:t xml:space="preserve">with the ongoing submission for funding from the </w:t>
            </w:r>
            <w:r w:rsidR="0079212B" w:rsidRPr="003272C7">
              <w:rPr>
                <w:rFonts w:cs="Arial"/>
              </w:rPr>
              <w:t>twice-yearly</w:t>
            </w:r>
            <w:r w:rsidR="006D5784" w:rsidRPr="003272C7">
              <w:rPr>
                <w:rFonts w:cs="Arial"/>
              </w:rPr>
              <w:t xml:space="preserve"> National Water Grid Fund rounds.</w:t>
            </w:r>
          </w:p>
          <w:p w14:paraId="44D3480E" w14:textId="77777777" w:rsidR="00142559" w:rsidRPr="003272C7" w:rsidRDefault="00B242C3" w:rsidP="00A6017F">
            <w:pPr>
              <w:pStyle w:val="TableBullet"/>
              <w:rPr>
                <w:rFonts w:cs="Arial"/>
              </w:rPr>
            </w:pPr>
            <w:r w:rsidRPr="003272C7">
              <w:rPr>
                <w:rFonts w:cs="Arial"/>
              </w:rPr>
              <w:t>Improved rural water security in targeted areas</w:t>
            </w:r>
            <w:r w:rsidR="00683BA7" w:rsidRPr="003272C7">
              <w:rPr>
                <w:rFonts w:cs="Arial"/>
              </w:rPr>
              <w:t xml:space="preserve"> t</w:t>
            </w:r>
            <w:r w:rsidRPr="003272C7">
              <w:rPr>
                <w:rFonts w:cs="Arial"/>
              </w:rPr>
              <w:t>hrough governance and support to range of projects focused on improving water security, boosting productivity, supporting emergency preparedness, and providing significant regional community benefit.</w:t>
            </w:r>
          </w:p>
          <w:p w14:paraId="1C072A37" w14:textId="6A366BD2" w:rsidR="00B242C3" w:rsidRPr="003272C7" w:rsidRDefault="00B242C3" w:rsidP="00A6017F">
            <w:pPr>
              <w:pStyle w:val="TableTextBold"/>
              <w:rPr>
                <w:rFonts w:cs="Arial"/>
              </w:rPr>
            </w:pPr>
            <w:r w:rsidRPr="003272C7">
              <w:rPr>
                <w:rFonts w:cs="Arial"/>
              </w:rPr>
              <w:t xml:space="preserve">Improved transparency and accountability of </w:t>
            </w:r>
            <w:r w:rsidR="00683BA7" w:rsidRPr="003272C7">
              <w:rPr>
                <w:rFonts w:cs="Arial"/>
              </w:rPr>
              <w:t>g</w:t>
            </w:r>
            <w:r w:rsidRPr="003272C7">
              <w:rPr>
                <w:rFonts w:cs="Arial"/>
              </w:rPr>
              <w:t>overnment investment</w:t>
            </w:r>
            <w:r w:rsidR="00683BA7" w:rsidRPr="003272C7">
              <w:rPr>
                <w:rFonts w:cs="Arial"/>
              </w:rPr>
              <w:t>:</w:t>
            </w:r>
          </w:p>
          <w:p w14:paraId="0FBACFA0" w14:textId="658508AE" w:rsidR="00B242C3" w:rsidRPr="003272C7" w:rsidRDefault="00683BA7" w:rsidP="00A6017F">
            <w:pPr>
              <w:pStyle w:val="TableBullet"/>
              <w:rPr>
                <w:rFonts w:cs="Arial"/>
              </w:rPr>
            </w:pPr>
            <w:r w:rsidRPr="003272C7">
              <w:rPr>
                <w:rFonts w:cs="Arial"/>
              </w:rPr>
              <w:t>DEECA</w:t>
            </w:r>
            <w:r w:rsidR="00B242C3" w:rsidRPr="003272C7">
              <w:rPr>
                <w:rFonts w:cs="Arial"/>
              </w:rPr>
              <w:t xml:space="preserve"> has worked with </w:t>
            </w:r>
            <w:r w:rsidRPr="003272C7">
              <w:rPr>
                <w:rFonts w:cs="Arial"/>
              </w:rPr>
              <w:t xml:space="preserve">water corporations </w:t>
            </w:r>
            <w:r w:rsidR="00B242C3" w:rsidRPr="003272C7">
              <w:rPr>
                <w:rFonts w:cs="Arial"/>
              </w:rPr>
              <w:t xml:space="preserve">and the Australian Government to seek funding for projects consistent with the Water for Victoria investment principles. There has been success in aligning project bids with National Water Grid Authority investment frameworks to leverage contributions from the Australian Government. This has resulted in successful funding bids for projects like Wannon Water’s Water for Wannon Project, the first successful peri-urban funding bid under the revised </w:t>
            </w:r>
            <w:r w:rsidRPr="003272C7">
              <w:rPr>
                <w:rFonts w:cs="Arial"/>
              </w:rPr>
              <w:t xml:space="preserve">National Water Grid Authority </w:t>
            </w:r>
            <w:r w:rsidR="00B242C3" w:rsidRPr="003272C7">
              <w:rPr>
                <w:rFonts w:cs="Arial"/>
              </w:rPr>
              <w:t>framework.</w:t>
            </w:r>
          </w:p>
          <w:p w14:paraId="0268006D" w14:textId="77777777" w:rsidR="00142559" w:rsidRPr="003272C7" w:rsidRDefault="00683BA7" w:rsidP="00A6017F">
            <w:pPr>
              <w:pStyle w:val="TableBullet"/>
              <w:rPr>
                <w:rFonts w:cs="Arial"/>
              </w:rPr>
            </w:pPr>
            <w:r w:rsidRPr="003272C7">
              <w:rPr>
                <w:rFonts w:cs="Arial"/>
              </w:rPr>
              <w:t>DEECA</w:t>
            </w:r>
            <w:r w:rsidR="00A01BD6" w:rsidRPr="003272C7">
              <w:rPr>
                <w:rFonts w:cs="Arial"/>
              </w:rPr>
              <w:t xml:space="preserve"> </w:t>
            </w:r>
            <w:r w:rsidR="00452425" w:rsidRPr="003272C7">
              <w:rPr>
                <w:rFonts w:cs="Arial"/>
              </w:rPr>
              <w:t>continues to deliver projects on time and within budget, in agreement with the National Water Grid Authority.</w:t>
            </w:r>
          </w:p>
          <w:p w14:paraId="66AFCB76" w14:textId="77777777" w:rsidR="00142559" w:rsidRPr="003272C7" w:rsidRDefault="00683BA7" w:rsidP="00A6017F">
            <w:pPr>
              <w:pStyle w:val="TableBullet"/>
              <w:rPr>
                <w:rFonts w:cs="Arial"/>
              </w:rPr>
            </w:pPr>
            <w:r w:rsidRPr="003272C7">
              <w:rPr>
                <w:rFonts w:cs="Arial"/>
              </w:rPr>
              <w:t>DEECA</w:t>
            </w:r>
            <w:r w:rsidR="00A01BD6" w:rsidRPr="003272C7">
              <w:rPr>
                <w:rFonts w:cs="Arial"/>
              </w:rPr>
              <w:t xml:space="preserve"> </w:t>
            </w:r>
            <w:r w:rsidR="00452425" w:rsidRPr="003272C7">
              <w:rPr>
                <w:rFonts w:cs="Arial"/>
              </w:rPr>
              <w:t xml:space="preserve">continues to support and provide practical feedback to the Commonwealth on their refinement of </w:t>
            </w:r>
            <w:r w:rsidRPr="003272C7">
              <w:rPr>
                <w:rFonts w:cs="Arial"/>
              </w:rPr>
              <w:t xml:space="preserve">National Water Grid Fund </w:t>
            </w:r>
            <w:r w:rsidR="00452425" w:rsidRPr="003272C7">
              <w:rPr>
                <w:rFonts w:cs="Arial"/>
              </w:rPr>
              <w:t>program.</w:t>
            </w:r>
          </w:p>
          <w:p w14:paraId="59EB3986" w14:textId="444A0508" w:rsidR="00B242C3" w:rsidRPr="003272C7" w:rsidRDefault="00452425" w:rsidP="00A6017F">
            <w:pPr>
              <w:pStyle w:val="TableBullet"/>
              <w:rPr>
                <w:rFonts w:cs="Arial"/>
              </w:rPr>
            </w:pPr>
            <w:r w:rsidRPr="003272C7">
              <w:rPr>
                <w:rFonts w:cs="Arial"/>
              </w:rPr>
              <w:t xml:space="preserve">Additionally, </w:t>
            </w:r>
            <w:r w:rsidR="00683BA7" w:rsidRPr="003272C7">
              <w:rPr>
                <w:rFonts w:cs="Arial"/>
              </w:rPr>
              <w:t>DEECA</w:t>
            </w:r>
            <w:r w:rsidRPr="003272C7">
              <w:rPr>
                <w:rFonts w:cs="Arial"/>
              </w:rPr>
              <w:t xml:space="preserve"> has facilitated clear pathways for the close out process for projects that are entering completion, and in particular, enabled strong hand over for stakeholders in carrying out water savings audits. This has ensured clear responsibility of projects and associated risk post construction.</w:t>
            </w:r>
            <w:r w:rsidR="00142559" w:rsidRPr="003272C7">
              <w:rPr>
                <w:rFonts w:cs="Arial"/>
              </w:rPr>
              <w:t xml:space="preserve"> </w:t>
            </w:r>
          </w:p>
        </w:tc>
      </w:tr>
      <w:tr w:rsidR="00B242C3" w:rsidRPr="003272C7" w14:paraId="6511891B" w14:textId="77777777" w:rsidTr="000452FB">
        <w:trPr>
          <w:trHeight w:val="259"/>
        </w:trPr>
        <w:tc>
          <w:tcPr>
            <w:tcW w:w="979" w:type="pct"/>
            <w:shd w:val="clear" w:color="auto" w:fill="231EDC" w:themeFill="accent1"/>
          </w:tcPr>
          <w:p w14:paraId="260FD5E2" w14:textId="77777777" w:rsidR="00B242C3" w:rsidRPr="003272C7" w:rsidRDefault="00B242C3" w:rsidP="00A6017F">
            <w:pPr>
              <w:pStyle w:val="TableText"/>
              <w:rPr>
                <w:rFonts w:cs="Arial"/>
                <w:b/>
                <w:bCs/>
              </w:rPr>
            </w:pPr>
            <w:r w:rsidRPr="003272C7">
              <w:rPr>
                <w:rFonts w:cs="Arial"/>
                <w:b/>
                <w:bCs/>
              </w:rPr>
              <w:t>Effectiveness</w:t>
            </w:r>
          </w:p>
        </w:tc>
        <w:tc>
          <w:tcPr>
            <w:tcW w:w="4021" w:type="pct"/>
          </w:tcPr>
          <w:p w14:paraId="488D054F" w14:textId="3BDC587E" w:rsidR="00B242C3" w:rsidRPr="003272C7" w:rsidRDefault="00683BA7" w:rsidP="00A6017F">
            <w:pPr>
              <w:pStyle w:val="TableText"/>
              <w:rPr>
                <w:rFonts w:cs="Arial"/>
              </w:rPr>
            </w:pPr>
            <w:r w:rsidRPr="003272C7">
              <w:rPr>
                <w:rFonts w:cs="Arial"/>
              </w:rPr>
              <w:t>DEECA</w:t>
            </w:r>
            <w:r w:rsidR="00F41260" w:rsidRPr="003272C7">
              <w:rPr>
                <w:rFonts w:cs="Arial"/>
              </w:rPr>
              <w:t xml:space="preserve"> has continued to build on the quality relationship with stakeholders within </w:t>
            </w:r>
            <w:r w:rsidRPr="003272C7">
              <w:rPr>
                <w:rFonts w:cs="Arial"/>
              </w:rPr>
              <w:t>w</w:t>
            </w:r>
            <w:r w:rsidR="00F41260" w:rsidRPr="003272C7">
              <w:rPr>
                <w:rFonts w:cs="Arial"/>
              </w:rPr>
              <w:t xml:space="preserve">ater </w:t>
            </w:r>
            <w:r w:rsidRPr="003272C7">
              <w:rPr>
                <w:rFonts w:cs="Arial"/>
              </w:rPr>
              <w:t>c</w:t>
            </w:r>
            <w:r w:rsidR="00F41260" w:rsidRPr="003272C7">
              <w:rPr>
                <w:rFonts w:cs="Arial"/>
              </w:rPr>
              <w:t xml:space="preserve">orporations and the </w:t>
            </w:r>
            <w:r w:rsidRPr="003272C7">
              <w:rPr>
                <w:rFonts w:cs="Arial"/>
              </w:rPr>
              <w:t>Australian Government</w:t>
            </w:r>
            <w:r w:rsidR="00F41260" w:rsidRPr="003272C7">
              <w:rPr>
                <w:rFonts w:cs="Arial"/>
              </w:rPr>
              <w:t>.</w:t>
            </w:r>
            <w:r w:rsidR="00142559" w:rsidRPr="003272C7">
              <w:rPr>
                <w:rFonts w:cs="Arial"/>
              </w:rPr>
              <w:t xml:space="preserve"> </w:t>
            </w:r>
          </w:p>
        </w:tc>
      </w:tr>
      <w:tr w:rsidR="00B242C3" w:rsidRPr="003272C7" w14:paraId="072DA210" w14:textId="77777777" w:rsidTr="000452FB">
        <w:trPr>
          <w:trHeight w:val="259"/>
        </w:trPr>
        <w:tc>
          <w:tcPr>
            <w:tcW w:w="979" w:type="pct"/>
            <w:shd w:val="clear" w:color="auto" w:fill="231EDC" w:themeFill="accent1"/>
          </w:tcPr>
          <w:p w14:paraId="6CC5AFBE" w14:textId="77777777" w:rsidR="00B242C3" w:rsidRPr="003272C7" w:rsidRDefault="00B242C3" w:rsidP="00A6017F">
            <w:pPr>
              <w:pStyle w:val="TableText"/>
              <w:rPr>
                <w:rFonts w:cs="Arial"/>
                <w:b/>
                <w:bCs/>
              </w:rPr>
            </w:pPr>
            <w:r w:rsidRPr="003272C7">
              <w:rPr>
                <w:rFonts w:cs="Arial"/>
                <w:b/>
                <w:bCs/>
              </w:rPr>
              <w:t>Appropriateness</w:t>
            </w:r>
          </w:p>
        </w:tc>
        <w:tc>
          <w:tcPr>
            <w:tcW w:w="4021" w:type="pct"/>
          </w:tcPr>
          <w:p w14:paraId="6632F60F" w14:textId="77777777" w:rsidR="00142559" w:rsidRPr="003272C7" w:rsidRDefault="00F41260" w:rsidP="00A6017F">
            <w:pPr>
              <w:pStyle w:val="TableText"/>
              <w:rPr>
                <w:rFonts w:cs="Arial"/>
              </w:rPr>
            </w:pPr>
            <w:r w:rsidRPr="003272C7">
              <w:rPr>
                <w:rFonts w:cs="Arial"/>
              </w:rPr>
              <w:t>Funding and resources were allocated in a way that matched the appropriate needs in governing the growing number of projects they oversee.</w:t>
            </w:r>
          </w:p>
          <w:p w14:paraId="76F3EB2E" w14:textId="508A56DB" w:rsidR="00B242C3" w:rsidRPr="003272C7" w:rsidRDefault="00F41260" w:rsidP="00A6017F">
            <w:pPr>
              <w:pStyle w:val="TableText"/>
              <w:rPr>
                <w:rFonts w:cs="Arial"/>
              </w:rPr>
            </w:pPr>
            <w:r w:rsidRPr="003272C7">
              <w:rPr>
                <w:rFonts w:cs="Arial"/>
              </w:rPr>
              <w:t xml:space="preserve">The </w:t>
            </w:r>
            <w:r w:rsidR="00B242C3" w:rsidRPr="003272C7">
              <w:rPr>
                <w:rFonts w:cs="Arial"/>
              </w:rPr>
              <w:t xml:space="preserve">Governance and Oversight team was funded in line with Victoria’s statutory functions </w:t>
            </w:r>
            <w:r w:rsidRPr="003272C7">
              <w:rPr>
                <w:rFonts w:cs="Arial"/>
              </w:rPr>
              <w:t>more broadly,</w:t>
            </w:r>
            <w:r w:rsidR="00B242C3" w:rsidRPr="003272C7">
              <w:rPr>
                <w:rFonts w:cs="Arial"/>
              </w:rPr>
              <w:t xml:space="preserve"> as set out in:</w:t>
            </w:r>
          </w:p>
          <w:p w14:paraId="0F85278D" w14:textId="77777777" w:rsidR="00142559" w:rsidRPr="003272C7" w:rsidRDefault="00B242C3" w:rsidP="00A6017F">
            <w:pPr>
              <w:pStyle w:val="TableNumber"/>
              <w:numPr>
                <w:ilvl w:val="0"/>
                <w:numId w:val="172"/>
              </w:numPr>
              <w:rPr>
                <w:rFonts w:cs="Arial"/>
              </w:rPr>
            </w:pPr>
            <w:r w:rsidRPr="003272C7">
              <w:rPr>
                <w:rFonts w:cs="Arial"/>
              </w:rPr>
              <w:t>the Water Act 1989</w:t>
            </w:r>
          </w:p>
          <w:p w14:paraId="32784E73" w14:textId="6A7E6F6A" w:rsidR="00B242C3" w:rsidRPr="003272C7" w:rsidRDefault="00B242C3" w:rsidP="00A6017F">
            <w:pPr>
              <w:pStyle w:val="TableNumber"/>
              <w:rPr>
                <w:rFonts w:cs="Arial"/>
              </w:rPr>
            </w:pPr>
            <w:r w:rsidRPr="003272C7">
              <w:rPr>
                <w:rFonts w:cs="Arial"/>
              </w:rPr>
              <w:t xml:space="preserve">Part 4 of the Climate Change Act 2017 and </w:t>
            </w:r>
            <w:r w:rsidR="00683BA7" w:rsidRPr="003272C7">
              <w:rPr>
                <w:rFonts w:cs="Arial"/>
              </w:rPr>
              <w:t>p</w:t>
            </w:r>
            <w:r w:rsidRPr="003272C7">
              <w:rPr>
                <w:rFonts w:cs="Arial"/>
              </w:rPr>
              <w:t>ilot Water Sector Climate Change Adaptation Action Plan</w:t>
            </w:r>
          </w:p>
          <w:p w14:paraId="4C6652F7" w14:textId="77777777" w:rsidR="00B242C3" w:rsidRPr="003272C7" w:rsidRDefault="00B242C3" w:rsidP="00A6017F">
            <w:pPr>
              <w:pStyle w:val="TableNumber"/>
              <w:rPr>
                <w:rFonts w:cs="Arial"/>
              </w:rPr>
            </w:pPr>
            <w:r w:rsidRPr="003272C7">
              <w:rPr>
                <w:rFonts w:cs="Arial"/>
              </w:rPr>
              <w:t>Australian Government’s National Water Infrastructure Development Fund funding guidelines and the State’s Water for Victoria plan</w:t>
            </w:r>
          </w:p>
          <w:p w14:paraId="0C89A89F" w14:textId="77777777" w:rsidR="00B242C3" w:rsidRPr="003272C7" w:rsidRDefault="00B242C3" w:rsidP="00A6017F">
            <w:pPr>
              <w:pStyle w:val="TableNumber"/>
              <w:rPr>
                <w:rFonts w:cs="Arial"/>
              </w:rPr>
            </w:pPr>
            <w:r w:rsidRPr="003272C7">
              <w:rPr>
                <w:rFonts w:cs="Arial"/>
              </w:rPr>
              <w:t>Provided oversight of projects that delivered water savings to meet the State’s obligations under the Basin Plan.</w:t>
            </w:r>
          </w:p>
          <w:p w14:paraId="21B2788C" w14:textId="77777777" w:rsidR="00142559" w:rsidRPr="003272C7" w:rsidRDefault="00B242C3" w:rsidP="00A6017F">
            <w:pPr>
              <w:pStyle w:val="TableText"/>
              <w:rPr>
                <w:rFonts w:cs="Arial"/>
              </w:rPr>
            </w:pPr>
            <w:r w:rsidRPr="003272C7">
              <w:rPr>
                <w:rFonts w:cs="Arial"/>
              </w:rPr>
              <w:t xml:space="preserve">Governance and oversight of projects has been affected by the COVID-19 Pandemic through resourcing challenges, escalation construction costs, supply chain delays, rescoping constraints and inflated manufacturing costs. </w:t>
            </w:r>
            <w:r w:rsidR="00D739F2" w:rsidRPr="003272C7">
              <w:rPr>
                <w:rFonts w:cs="Arial"/>
              </w:rPr>
              <w:t>They effectively managed project timelines in agreement with key stakeholders, to ensure risks were managed through the need for projects to be rescoped or managed within budget.</w:t>
            </w:r>
          </w:p>
          <w:p w14:paraId="3667B2FA" w14:textId="136841D6" w:rsidR="00B242C3" w:rsidRPr="003272C7" w:rsidRDefault="00B242C3" w:rsidP="00A6017F">
            <w:pPr>
              <w:pStyle w:val="TableText"/>
              <w:rPr>
                <w:rFonts w:cs="Arial"/>
              </w:rPr>
            </w:pPr>
            <w:r w:rsidRPr="003272C7">
              <w:rPr>
                <w:rFonts w:cs="Arial"/>
              </w:rPr>
              <w:t xml:space="preserve">Strategically the scope of projects available for funding partnerships has increased with regional and peri-urban interfaces being considered for and awarded funding, and there is an increase in </w:t>
            </w:r>
            <w:r w:rsidR="00683BA7" w:rsidRPr="003272C7">
              <w:rPr>
                <w:rFonts w:cs="Arial"/>
              </w:rPr>
              <w:t>IWM</w:t>
            </w:r>
            <w:r w:rsidRPr="003272C7">
              <w:rPr>
                <w:rFonts w:cs="Arial"/>
              </w:rPr>
              <w:t xml:space="preserve"> including recycled water projects. This has diversified the portfolio of works for Governance and Oversight within the </w:t>
            </w:r>
            <w:r w:rsidR="00DD4B3C" w:rsidRPr="003272C7">
              <w:rPr>
                <w:rFonts w:cs="Arial"/>
              </w:rPr>
              <w:t>Statewide Infrastructure and Rural Strategy Division</w:t>
            </w:r>
            <w:r w:rsidRPr="003272C7">
              <w:rPr>
                <w:rFonts w:cs="Arial"/>
              </w:rPr>
              <w:t>.</w:t>
            </w:r>
          </w:p>
          <w:p w14:paraId="4349F44A" w14:textId="77777777" w:rsidR="00B242C3" w:rsidRPr="003272C7" w:rsidRDefault="00B242C3" w:rsidP="00A6017F">
            <w:pPr>
              <w:pStyle w:val="TableText"/>
              <w:rPr>
                <w:rFonts w:cs="Arial"/>
              </w:rPr>
            </w:pPr>
            <w:r w:rsidRPr="003272C7">
              <w:rPr>
                <w:rFonts w:cs="Arial"/>
              </w:rPr>
              <w:lastRenderedPageBreak/>
              <w:t>New projects are more rigorously considered for Traditional Owner outcomes, through early engagement more consistent with community expectation, the State’s commitment to Aboriginal self-determination through the Water is Life Program and reflected in the changes to funding frameworks of the Australian Government’s National Water Grid Fund.</w:t>
            </w:r>
          </w:p>
        </w:tc>
      </w:tr>
      <w:tr w:rsidR="00B242C3" w:rsidRPr="003272C7" w14:paraId="21CC6F62" w14:textId="77777777" w:rsidTr="000452FB">
        <w:trPr>
          <w:trHeight w:val="259"/>
        </w:trPr>
        <w:tc>
          <w:tcPr>
            <w:tcW w:w="979" w:type="pct"/>
            <w:shd w:val="clear" w:color="auto" w:fill="231EDC" w:themeFill="accent1"/>
          </w:tcPr>
          <w:p w14:paraId="7CAEF7DB" w14:textId="77777777" w:rsidR="00B242C3" w:rsidRPr="003272C7" w:rsidRDefault="00B242C3" w:rsidP="00A6017F">
            <w:pPr>
              <w:pStyle w:val="TableText"/>
              <w:rPr>
                <w:rFonts w:cs="Arial"/>
                <w:b/>
                <w:bCs/>
              </w:rPr>
            </w:pPr>
            <w:r w:rsidRPr="003272C7">
              <w:rPr>
                <w:rFonts w:cs="Arial"/>
                <w:b/>
                <w:bCs/>
              </w:rPr>
              <w:lastRenderedPageBreak/>
              <w:t>Efficiency</w:t>
            </w:r>
          </w:p>
        </w:tc>
        <w:tc>
          <w:tcPr>
            <w:tcW w:w="4021" w:type="pct"/>
          </w:tcPr>
          <w:p w14:paraId="42B5BA61" w14:textId="77777777" w:rsidR="00142559" w:rsidRPr="003272C7" w:rsidRDefault="00683BA7" w:rsidP="00A6017F">
            <w:pPr>
              <w:pStyle w:val="TableText"/>
              <w:rPr>
                <w:rFonts w:cs="Arial"/>
              </w:rPr>
            </w:pPr>
            <w:r w:rsidRPr="003272C7">
              <w:rPr>
                <w:rFonts w:cs="Arial"/>
              </w:rPr>
              <w:t>This project’s</w:t>
            </w:r>
            <w:r w:rsidR="00D739F2" w:rsidRPr="003272C7">
              <w:rPr>
                <w:rFonts w:cs="Arial"/>
              </w:rPr>
              <w:t xml:space="preserve"> objective is to improve efficiency, effectiveness, and capability in investing in rural water infrastructure.</w:t>
            </w:r>
          </w:p>
          <w:p w14:paraId="6BB54965" w14:textId="77777777" w:rsidR="00142559" w:rsidRPr="003272C7" w:rsidRDefault="00DD4B3C" w:rsidP="00A6017F">
            <w:pPr>
              <w:pStyle w:val="TableText"/>
              <w:rPr>
                <w:rFonts w:cs="Arial"/>
              </w:rPr>
            </w:pPr>
            <w:r w:rsidRPr="003272C7">
              <w:rPr>
                <w:rFonts w:cs="Arial"/>
              </w:rPr>
              <w:t xml:space="preserve">DEECA </w:t>
            </w:r>
            <w:r w:rsidR="00D739F2" w:rsidRPr="003272C7">
              <w:rPr>
                <w:rFonts w:cs="Arial"/>
              </w:rPr>
              <w:t xml:space="preserve">has a consistent and repeatable engagement approach in seeking new project proposals from </w:t>
            </w:r>
            <w:r w:rsidRPr="003272C7">
              <w:rPr>
                <w:rFonts w:cs="Arial"/>
              </w:rPr>
              <w:t>w</w:t>
            </w:r>
            <w:r w:rsidR="00D739F2" w:rsidRPr="003272C7">
              <w:rPr>
                <w:rFonts w:cs="Arial"/>
              </w:rPr>
              <w:t xml:space="preserve">ater </w:t>
            </w:r>
            <w:r w:rsidRPr="003272C7">
              <w:rPr>
                <w:rFonts w:cs="Arial"/>
              </w:rPr>
              <w:t>c</w:t>
            </w:r>
            <w:r w:rsidR="00D739F2" w:rsidRPr="003272C7">
              <w:rPr>
                <w:rFonts w:cs="Arial"/>
              </w:rPr>
              <w:t xml:space="preserve">orporations, and engaging with the </w:t>
            </w:r>
            <w:r w:rsidRPr="003272C7">
              <w:rPr>
                <w:rFonts w:cs="Arial"/>
              </w:rPr>
              <w:t>Australian Government</w:t>
            </w:r>
            <w:r w:rsidR="00D739F2" w:rsidRPr="003272C7">
              <w:rPr>
                <w:rFonts w:cs="Arial"/>
              </w:rPr>
              <w:t xml:space="preserve"> to ensure proposals are appropriate for submission for co-funding. This ensures both </w:t>
            </w:r>
            <w:r w:rsidRPr="003272C7">
              <w:rPr>
                <w:rFonts w:cs="Arial"/>
              </w:rPr>
              <w:t>DEECA</w:t>
            </w:r>
            <w:r w:rsidR="00D739F2" w:rsidRPr="003272C7">
              <w:rPr>
                <w:rFonts w:cs="Arial"/>
              </w:rPr>
              <w:t xml:space="preserve"> and </w:t>
            </w:r>
            <w:r w:rsidRPr="003272C7">
              <w:rPr>
                <w:rFonts w:cs="Arial"/>
              </w:rPr>
              <w:t>w</w:t>
            </w:r>
            <w:r w:rsidR="00D739F2" w:rsidRPr="003272C7">
              <w:rPr>
                <w:rFonts w:cs="Arial"/>
              </w:rPr>
              <w:t xml:space="preserve">ater </w:t>
            </w:r>
            <w:r w:rsidRPr="003272C7">
              <w:rPr>
                <w:rFonts w:cs="Arial"/>
              </w:rPr>
              <w:t>c</w:t>
            </w:r>
            <w:r w:rsidR="00D739F2" w:rsidRPr="003272C7">
              <w:rPr>
                <w:rFonts w:cs="Arial"/>
              </w:rPr>
              <w:t>orporation resources are maximised.</w:t>
            </w:r>
          </w:p>
          <w:p w14:paraId="2DD239BB" w14:textId="77777777" w:rsidR="00142559" w:rsidRPr="003272C7" w:rsidRDefault="00D739F2" w:rsidP="00A6017F">
            <w:pPr>
              <w:pStyle w:val="TableText"/>
              <w:rPr>
                <w:rFonts w:cs="Arial"/>
              </w:rPr>
            </w:pPr>
            <w:r w:rsidRPr="003272C7">
              <w:rPr>
                <w:rFonts w:cs="Arial"/>
              </w:rPr>
              <w:t xml:space="preserve">Other funding sources from the State and </w:t>
            </w:r>
            <w:r w:rsidR="00DD4B3C" w:rsidRPr="003272C7">
              <w:rPr>
                <w:rFonts w:cs="Arial"/>
              </w:rPr>
              <w:t xml:space="preserve">National Water Grid Fund </w:t>
            </w:r>
            <w:r w:rsidRPr="003272C7">
              <w:rPr>
                <w:rFonts w:cs="Arial"/>
              </w:rPr>
              <w:t>for some projects, including MID 2 and drought resilience works in reviewing and expanding Victoria’s network of Emergency Water Supply Points.</w:t>
            </w:r>
          </w:p>
          <w:p w14:paraId="5F6787AA" w14:textId="2A44D5FE" w:rsidR="00B242C3" w:rsidRPr="003272C7" w:rsidRDefault="00DD4B3C" w:rsidP="00A6017F">
            <w:pPr>
              <w:pStyle w:val="TableText"/>
              <w:rPr>
                <w:rFonts w:cs="Arial"/>
              </w:rPr>
            </w:pPr>
            <w:r w:rsidRPr="003272C7">
              <w:rPr>
                <w:rFonts w:cs="Arial"/>
              </w:rPr>
              <w:t>DEECA</w:t>
            </w:r>
            <w:r w:rsidR="00D739F2" w:rsidRPr="003272C7">
              <w:rPr>
                <w:rFonts w:cs="Arial"/>
              </w:rPr>
              <w:t xml:space="preserve"> remains open to and carries our environmental scanning for additional sources of funding to deliver similar outcomes within Victoria.</w:t>
            </w:r>
            <w:r w:rsidR="00142559" w:rsidRPr="003272C7">
              <w:rPr>
                <w:rFonts w:cs="Arial"/>
              </w:rPr>
              <w:t xml:space="preserve"> </w:t>
            </w:r>
          </w:p>
        </w:tc>
      </w:tr>
      <w:tr w:rsidR="00683BA7" w:rsidRPr="003272C7" w14:paraId="2FF3CA02" w14:textId="77777777" w:rsidTr="000452FB">
        <w:trPr>
          <w:trHeight w:val="259"/>
        </w:trPr>
        <w:tc>
          <w:tcPr>
            <w:tcW w:w="979" w:type="pct"/>
            <w:shd w:val="clear" w:color="auto" w:fill="231EDC" w:themeFill="accent1"/>
          </w:tcPr>
          <w:p w14:paraId="3AD9C849" w14:textId="77777777" w:rsidR="00B242C3" w:rsidRPr="003272C7" w:rsidRDefault="00B242C3" w:rsidP="00A6017F">
            <w:pPr>
              <w:pStyle w:val="TableText"/>
              <w:rPr>
                <w:rFonts w:cs="Arial"/>
                <w:b/>
                <w:bCs/>
              </w:rPr>
            </w:pPr>
            <w:r w:rsidRPr="003272C7">
              <w:rPr>
                <w:rFonts w:cs="Arial"/>
                <w:b/>
                <w:bCs/>
              </w:rPr>
              <w:t>Legacy</w:t>
            </w:r>
          </w:p>
        </w:tc>
        <w:tc>
          <w:tcPr>
            <w:tcW w:w="4021" w:type="pct"/>
          </w:tcPr>
          <w:p w14:paraId="4D9BFEA3" w14:textId="77777777" w:rsidR="00142559" w:rsidRPr="003272C7" w:rsidRDefault="004A2A6E" w:rsidP="00A6017F">
            <w:pPr>
              <w:pStyle w:val="TableText"/>
              <w:rPr>
                <w:rFonts w:cs="Arial"/>
              </w:rPr>
            </w:pPr>
            <w:r w:rsidRPr="003272C7">
              <w:rPr>
                <w:rFonts w:cs="Arial"/>
              </w:rPr>
              <w:t>Note number of close outs underway - ongoing engagement in project close out processed to ensure little to no risk to central government.</w:t>
            </w:r>
          </w:p>
          <w:p w14:paraId="02FD3B38" w14:textId="77777777" w:rsidR="00142559" w:rsidRPr="003272C7" w:rsidRDefault="004A2A6E" w:rsidP="00A6017F">
            <w:pPr>
              <w:pStyle w:val="TableText"/>
              <w:rPr>
                <w:rFonts w:cs="Arial"/>
              </w:rPr>
            </w:pPr>
            <w:r w:rsidRPr="003272C7">
              <w:rPr>
                <w:rFonts w:cs="Arial"/>
              </w:rPr>
              <w:t>Attracted investment leading to improved service delivery and water supply.</w:t>
            </w:r>
          </w:p>
          <w:p w14:paraId="4FE56F83" w14:textId="354A6B25" w:rsidR="00B242C3" w:rsidRPr="003272C7" w:rsidRDefault="004A2A6E" w:rsidP="00A6017F">
            <w:pPr>
              <w:pStyle w:val="TableText"/>
              <w:rPr>
                <w:rFonts w:cs="Arial"/>
              </w:rPr>
            </w:pPr>
            <w:r w:rsidRPr="003272C7">
              <w:rPr>
                <w:rFonts w:cs="Arial"/>
              </w:rPr>
              <w:t>Building of corporate knowledge and relationships to continue to governance of major water infrastructure projects.</w:t>
            </w:r>
          </w:p>
        </w:tc>
      </w:tr>
      <w:tr w:rsidR="00B242C3" w:rsidRPr="003272C7" w14:paraId="4949B7C9" w14:textId="77777777" w:rsidTr="000452FB">
        <w:trPr>
          <w:trHeight w:val="259"/>
        </w:trPr>
        <w:tc>
          <w:tcPr>
            <w:tcW w:w="979" w:type="pct"/>
            <w:shd w:val="clear" w:color="auto" w:fill="231EDC" w:themeFill="accent1"/>
          </w:tcPr>
          <w:p w14:paraId="36998B44" w14:textId="77777777" w:rsidR="00B242C3" w:rsidRPr="003272C7" w:rsidRDefault="00B242C3" w:rsidP="00A6017F">
            <w:pPr>
              <w:pStyle w:val="TableText"/>
              <w:rPr>
                <w:rFonts w:cs="Arial"/>
                <w:b/>
                <w:bCs/>
              </w:rPr>
            </w:pPr>
            <w:r w:rsidRPr="003272C7">
              <w:rPr>
                <w:rFonts w:cs="Arial"/>
                <w:b/>
                <w:bCs/>
              </w:rPr>
              <w:t>Future priorities</w:t>
            </w:r>
          </w:p>
        </w:tc>
        <w:tc>
          <w:tcPr>
            <w:tcW w:w="4021" w:type="pct"/>
          </w:tcPr>
          <w:p w14:paraId="3B806FB1" w14:textId="64BF4B33" w:rsidR="00B242C3" w:rsidRPr="003272C7" w:rsidRDefault="00B242C3" w:rsidP="00A6017F">
            <w:pPr>
              <w:pStyle w:val="TableText"/>
              <w:rPr>
                <w:rFonts w:cs="Arial"/>
              </w:rPr>
            </w:pPr>
            <w:r w:rsidRPr="003272C7">
              <w:rPr>
                <w:rFonts w:cs="Arial"/>
              </w:rPr>
              <w:t xml:space="preserve">The need for continued governance and oversight capacity in </w:t>
            </w:r>
            <w:r w:rsidR="00DD4B3C" w:rsidRPr="003272C7">
              <w:rPr>
                <w:rFonts w:cs="Arial"/>
              </w:rPr>
              <w:t xml:space="preserve">Statewide Infrastructure and Rural Strategy Division </w:t>
            </w:r>
            <w:r w:rsidRPr="003272C7">
              <w:rPr>
                <w:rFonts w:cs="Arial"/>
              </w:rPr>
              <w:t xml:space="preserve">is an ongoing requirement to ensure new and ongoing projects meet DTF, legislative requirements and community expectations. </w:t>
            </w:r>
            <w:r w:rsidRPr="003272C7">
              <w:rPr>
                <w:rFonts w:cs="Arial"/>
              </w:rPr>
              <w:br/>
              <w:t>As the climate continues to dry and investment in water security for Victorians progresses, the delivery and oversight of projects, development of business cases and investigation of new technologies will require continued resources and capacity.</w:t>
            </w:r>
          </w:p>
        </w:tc>
      </w:tr>
    </w:tbl>
    <w:p w14:paraId="5ADD6D5C" w14:textId="77777777" w:rsidR="00B242C3" w:rsidRPr="003272C7" w:rsidRDefault="00B242C3" w:rsidP="00B242C3">
      <w:pPr>
        <w:pStyle w:val="Heading2"/>
        <w:rPr>
          <w:rFonts w:cs="Arial"/>
        </w:rPr>
      </w:pPr>
      <w:bookmarkStart w:id="53" w:name="_Toc147410792"/>
      <w:bookmarkStart w:id="54" w:name="_Toc183777800"/>
      <w:r w:rsidRPr="003272C7">
        <w:rPr>
          <w:rFonts w:cs="Arial"/>
        </w:rPr>
        <w:t xml:space="preserve">SIRS2 - Sustainable Irrigation Program Implementation </w:t>
      </w:r>
      <w:r w:rsidRPr="003272C7">
        <w:rPr>
          <w:rFonts w:cs="Arial"/>
        </w:rPr>
        <w:br/>
        <w:t>- Rural Water Policy Implementation</w:t>
      </w:r>
      <w:bookmarkEnd w:id="53"/>
      <w:bookmarkEnd w:id="5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4561719B" w14:textId="77777777" w:rsidTr="000452FB">
        <w:trPr>
          <w:trHeight w:val="395"/>
        </w:trPr>
        <w:tc>
          <w:tcPr>
            <w:tcW w:w="979" w:type="pct"/>
            <w:shd w:val="clear" w:color="auto" w:fill="231EDC" w:themeFill="accent1"/>
          </w:tcPr>
          <w:p w14:paraId="7BB947DF" w14:textId="588FBF76" w:rsidR="00B242C3" w:rsidRPr="003272C7" w:rsidRDefault="00C412A9" w:rsidP="00A6017F">
            <w:pPr>
              <w:pStyle w:val="TableHeading"/>
              <w:rPr>
                <w:rFonts w:cs="Arial"/>
              </w:rPr>
            </w:pPr>
            <w:r w:rsidRPr="003272C7">
              <w:rPr>
                <w:rFonts w:cs="Arial"/>
              </w:rPr>
              <w:t>Initiative</w:t>
            </w:r>
          </w:p>
        </w:tc>
        <w:tc>
          <w:tcPr>
            <w:tcW w:w="4021" w:type="pct"/>
            <w:shd w:val="clear" w:color="auto" w:fill="231EDC" w:themeFill="accent1"/>
          </w:tcPr>
          <w:p w14:paraId="0E0733F8" w14:textId="77777777" w:rsidR="00B242C3" w:rsidRPr="003272C7" w:rsidRDefault="00B242C3" w:rsidP="00A6017F">
            <w:pPr>
              <w:pStyle w:val="TableHeading"/>
              <w:rPr>
                <w:rFonts w:cs="Arial"/>
              </w:rPr>
            </w:pPr>
            <w:r w:rsidRPr="003272C7">
              <w:rPr>
                <w:rFonts w:cs="Arial"/>
              </w:rPr>
              <w:t>6. Water Wise Rural Communities: Rural-Infrastructure and Sustainable Irrigation Streams</w:t>
            </w:r>
          </w:p>
        </w:tc>
      </w:tr>
      <w:tr w:rsidR="00B242C3" w:rsidRPr="003272C7" w14:paraId="41DAC5BC" w14:textId="77777777" w:rsidTr="000452FB">
        <w:trPr>
          <w:trHeight w:val="341"/>
        </w:trPr>
        <w:tc>
          <w:tcPr>
            <w:tcW w:w="979" w:type="pct"/>
            <w:shd w:val="clear" w:color="auto" w:fill="231EDC" w:themeFill="accent1"/>
          </w:tcPr>
          <w:p w14:paraId="46503035" w14:textId="77777777" w:rsidR="00B242C3" w:rsidRPr="003272C7" w:rsidRDefault="00B242C3" w:rsidP="00A6017F">
            <w:pPr>
              <w:pStyle w:val="TableText"/>
              <w:rPr>
                <w:rFonts w:cs="Arial"/>
                <w:b/>
                <w:bCs/>
              </w:rPr>
            </w:pPr>
            <w:r w:rsidRPr="003272C7">
              <w:rPr>
                <w:rFonts w:cs="Arial"/>
                <w:b/>
                <w:bCs/>
              </w:rPr>
              <w:t>Project</w:t>
            </w:r>
          </w:p>
        </w:tc>
        <w:tc>
          <w:tcPr>
            <w:tcW w:w="4021" w:type="pct"/>
          </w:tcPr>
          <w:p w14:paraId="0D56467C" w14:textId="77777777" w:rsidR="00B242C3" w:rsidRPr="003272C7" w:rsidRDefault="00B242C3" w:rsidP="00A6017F">
            <w:pPr>
              <w:pStyle w:val="TableText"/>
              <w:rPr>
                <w:rFonts w:cs="Arial"/>
              </w:rPr>
            </w:pPr>
            <w:r w:rsidRPr="003272C7">
              <w:rPr>
                <w:rFonts w:cs="Arial"/>
              </w:rPr>
              <w:t xml:space="preserve">SIRS2 - Sustainable Irrigation Program Implementation </w:t>
            </w:r>
            <w:r w:rsidRPr="003272C7">
              <w:rPr>
                <w:rFonts w:cs="Arial"/>
              </w:rPr>
              <w:br/>
              <w:t>- Rural Water Policy Implementation</w:t>
            </w:r>
          </w:p>
        </w:tc>
      </w:tr>
      <w:tr w:rsidR="00B242C3" w:rsidRPr="003272C7" w14:paraId="763E8EE2" w14:textId="77777777" w:rsidTr="000452FB">
        <w:trPr>
          <w:trHeight w:val="259"/>
        </w:trPr>
        <w:tc>
          <w:tcPr>
            <w:tcW w:w="979" w:type="pct"/>
            <w:shd w:val="clear" w:color="auto" w:fill="231EDC" w:themeFill="accent1"/>
          </w:tcPr>
          <w:p w14:paraId="00E08A1A" w14:textId="77777777" w:rsidR="00B242C3" w:rsidRPr="003272C7" w:rsidRDefault="00B242C3" w:rsidP="00A6017F">
            <w:pPr>
              <w:pStyle w:val="TableText"/>
              <w:rPr>
                <w:rFonts w:cs="Arial"/>
                <w:b/>
                <w:bCs/>
              </w:rPr>
            </w:pPr>
            <w:r w:rsidRPr="003272C7">
              <w:rPr>
                <w:rFonts w:cs="Arial"/>
                <w:b/>
                <w:bCs/>
              </w:rPr>
              <w:t>Description</w:t>
            </w:r>
          </w:p>
          <w:p w14:paraId="411EC1E4" w14:textId="77777777" w:rsidR="00B242C3" w:rsidRPr="003272C7" w:rsidRDefault="00B242C3" w:rsidP="00A6017F">
            <w:pPr>
              <w:pStyle w:val="TableText"/>
              <w:rPr>
                <w:rFonts w:cs="Arial"/>
                <w:b/>
                <w:bCs/>
              </w:rPr>
            </w:pPr>
          </w:p>
        </w:tc>
        <w:tc>
          <w:tcPr>
            <w:tcW w:w="4021" w:type="pct"/>
          </w:tcPr>
          <w:p w14:paraId="45FEB221" w14:textId="77777777" w:rsidR="00142559" w:rsidRPr="003272C7" w:rsidRDefault="00B242C3" w:rsidP="00A6017F">
            <w:pPr>
              <w:pStyle w:val="TableText"/>
              <w:rPr>
                <w:rFonts w:cs="Arial"/>
              </w:rPr>
            </w:pPr>
            <w:r w:rsidRPr="003272C7">
              <w:rPr>
                <w:rFonts w:cs="Arial"/>
              </w:rPr>
              <w:t xml:space="preserve">The </w:t>
            </w:r>
            <w:r w:rsidR="00DD4B3C" w:rsidRPr="003272C7">
              <w:rPr>
                <w:rFonts w:cs="Arial"/>
              </w:rPr>
              <w:t>S</w:t>
            </w:r>
            <w:r w:rsidRPr="003272C7">
              <w:rPr>
                <w:rFonts w:cs="Arial"/>
              </w:rPr>
              <w:t xml:space="preserve">ustainable </w:t>
            </w:r>
            <w:r w:rsidR="00DD4B3C" w:rsidRPr="003272C7">
              <w:rPr>
                <w:rFonts w:cs="Arial"/>
              </w:rPr>
              <w:t>I</w:t>
            </w:r>
            <w:r w:rsidRPr="003272C7">
              <w:rPr>
                <w:rFonts w:cs="Arial"/>
              </w:rPr>
              <w:t xml:space="preserve">rrigation Program sought to work in with complementary </w:t>
            </w:r>
            <w:r w:rsidR="00DD4B3C" w:rsidRPr="003272C7">
              <w:rPr>
                <w:rFonts w:cs="Arial"/>
              </w:rPr>
              <w:t>p</w:t>
            </w:r>
            <w:r w:rsidRPr="003272C7">
              <w:rPr>
                <w:rFonts w:cs="Arial"/>
              </w:rPr>
              <w:t xml:space="preserve">rograms delivered by CMAs, Agriculture Victoria and </w:t>
            </w:r>
            <w:r w:rsidR="000D21B6" w:rsidRPr="003272C7">
              <w:rPr>
                <w:rFonts w:cs="Arial"/>
              </w:rPr>
              <w:t>rural water corporations</w:t>
            </w:r>
            <w:r w:rsidRPr="003272C7">
              <w:rPr>
                <w:rFonts w:cs="Arial"/>
              </w:rPr>
              <w:t xml:space="preserve"> to achieve the following outcomes:</w:t>
            </w:r>
          </w:p>
          <w:p w14:paraId="44B11472" w14:textId="77777777" w:rsidR="00142559" w:rsidRPr="003272C7" w:rsidRDefault="00B242C3" w:rsidP="00A6017F">
            <w:pPr>
              <w:pStyle w:val="TableBullet"/>
              <w:rPr>
                <w:rFonts w:cs="Arial"/>
              </w:rPr>
            </w:pPr>
            <w:r w:rsidRPr="003272C7">
              <w:rPr>
                <w:rFonts w:cs="Arial"/>
              </w:rPr>
              <w:t>Improved resilience and adaptability of Victoria’s irrigation sector to reduced water availability</w:t>
            </w:r>
          </w:p>
          <w:p w14:paraId="72C43147" w14:textId="654289E5" w:rsidR="00B242C3" w:rsidRPr="003272C7" w:rsidRDefault="00B242C3" w:rsidP="00A6017F">
            <w:pPr>
              <w:pStyle w:val="TableBullet"/>
              <w:rPr>
                <w:rFonts w:cs="Arial"/>
              </w:rPr>
            </w:pPr>
            <w:r w:rsidRPr="003272C7">
              <w:rPr>
                <w:rFonts w:cs="Arial"/>
              </w:rPr>
              <w:t>The offsite impacts of irrigated agriculture are managed within agreed targets</w:t>
            </w:r>
          </w:p>
          <w:p w14:paraId="6BA363F5" w14:textId="4D06DEDE" w:rsidR="00B242C3" w:rsidRPr="003272C7" w:rsidRDefault="00B242C3" w:rsidP="00A6017F">
            <w:pPr>
              <w:pStyle w:val="TableBullet"/>
              <w:rPr>
                <w:rFonts w:cs="Arial"/>
              </w:rPr>
            </w:pPr>
            <w:r w:rsidRPr="003272C7">
              <w:rPr>
                <w:rFonts w:cs="Arial"/>
              </w:rPr>
              <w:t>Increased responsiveness and uptake of rural water policy across the irrigation</w:t>
            </w:r>
            <w:r w:rsidR="00AF6300" w:rsidRPr="003272C7">
              <w:rPr>
                <w:rFonts w:cs="Arial"/>
              </w:rPr>
              <w:t> </w:t>
            </w:r>
            <w:r w:rsidRPr="003272C7">
              <w:rPr>
                <w:rFonts w:cs="Arial"/>
              </w:rPr>
              <w:t>sector</w:t>
            </w:r>
          </w:p>
        </w:tc>
      </w:tr>
      <w:tr w:rsidR="00B242C3" w:rsidRPr="003272C7" w14:paraId="28554158" w14:textId="77777777" w:rsidTr="000452FB">
        <w:trPr>
          <w:trHeight w:val="259"/>
        </w:trPr>
        <w:tc>
          <w:tcPr>
            <w:tcW w:w="979" w:type="pct"/>
            <w:shd w:val="clear" w:color="auto" w:fill="231EDC" w:themeFill="accent1"/>
          </w:tcPr>
          <w:p w14:paraId="58FC6F0F" w14:textId="77777777" w:rsidR="00B242C3" w:rsidRPr="003272C7" w:rsidRDefault="00B242C3" w:rsidP="00A6017F">
            <w:pPr>
              <w:pStyle w:val="TableText"/>
              <w:rPr>
                <w:rFonts w:cs="Arial"/>
                <w:b/>
                <w:bCs/>
              </w:rPr>
            </w:pPr>
            <w:r w:rsidRPr="003272C7">
              <w:rPr>
                <w:rFonts w:cs="Arial"/>
                <w:b/>
                <w:bCs/>
              </w:rPr>
              <w:t>Outputs</w:t>
            </w:r>
          </w:p>
        </w:tc>
        <w:tc>
          <w:tcPr>
            <w:tcW w:w="4021" w:type="pct"/>
          </w:tcPr>
          <w:p w14:paraId="3FB45AB6" w14:textId="77777777" w:rsidR="00142559" w:rsidRPr="003272C7" w:rsidRDefault="00B242C3" w:rsidP="00AF6300">
            <w:pPr>
              <w:pStyle w:val="TableText"/>
              <w:keepNext/>
              <w:keepLines/>
              <w:rPr>
                <w:rFonts w:cs="Arial"/>
              </w:rPr>
            </w:pPr>
            <w:r w:rsidRPr="003272C7">
              <w:rPr>
                <w:rFonts w:cs="Arial"/>
              </w:rPr>
              <w:t xml:space="preserve">The </w:t>
            </w:r>
            <w:r w:rsidR="00445736" w:rsidRPr="003272C7">
              <w:rPr>
                <w:rFonts w:cs="Arial"/>
              </w:rPr>
              <w:t>project</w:t>
            </w:r>
            <w:r w:rsidRPr="003272C7">
              <w:rPr>
                <w:rFonts w:cs="Arial"/>
              </w:rPr>
              <w:t xml:space="preserve"> is composed of the following main funding streams:</w:t>
            </w:r>
          </w:p>
          <w:p w14:paraId="243E69F1" w14:textId="77777777" w:rsidR="00142559" w:rsidRPr="003272C7" w:rsidRDefault="00B242C3" w:rsidP="00AF6300">
            <w:pPr>
              <w:pStyle w:val="TableBullet"/>
              <w:keepNext/>
              <w:keepLines/>
              <w:rPr>
                <w:rFonts w:cs="Arial"/>
              </w:rPr>
            </w:pPr>
            <w:r w:rsidRPr="003272C7">
              <w:rPr>
                <w:rFonts w:cs="Arial"/>
              </w:rPr>
              <w:t>Irrigation Frameworks – funds Land and Water Management Plans (LWMPs) and other relevant strategies that identify key regional issues and mitigation measures.</w:t>
            </w:r>
          </w:p>
          <w:p w14:paraId="37E985D0" w14:textId="77777777" w:rsidR="00142559" w:rsidRPr="003272C7" w:rsidRDefault="00B242C3" w:rsidP="00A6017F">
            <w:pPr>
              <w:pStyle w:val="TableBullet"/>
              <w:rPr>
                <w:rFonts w:cs="Arial"/>
              </w:rPr>
            </w:pPr>
            <w:r w:rsidRPr="003272C7">
              <w:rPr>
                <w:rFonts w:cs="Arial"/>
              </w:rPr>
              <w:t>Wise Water Use and Best Practice – focuses on building irrigator capacity to adapt to reduced water availability as well as minimising the impacts from excessive water use.</w:t>
            </w:r>
          </w:p>
          <w:p w14:paraId="0D4C10C1" w14:textId="782ED68B" w:rsidR="00B242C3" w:rsidRPr="003272C7" w:rsidRDefault="00B242C3" w:rsidP="00A6017F">
            <w:pPr>
              <w:pStyle w:val="TableBullet"/>
              <w:rPr>
                <w:rFonts w:cs="Arial"/>
              </w:rPr>
            </w:pPr>
            <w:r w:rsidRPr="003272C7">
              <w:rPr>
                <w:rFonts w:cs="Arial"/>
              </w:rPr>
              <w:t>Irrigation Drainage and Management – supports the optimisation of irrigation drainage management, based on cost and risk in priority catchments.</w:t>
            </w:r>
          </w:p>
          <w:p w14:paraId="4726B492" w14:textId="77777777" w:rsidR="00142559" w:rsidRPr="003272C7" w:rsidRDefault="00B242C3" w:rsidP="00A6017F">
            <w:pPr>
              <w:pStyle w:val="TableBullet"/>
              <w:rPr>
                <w:rFonts w:cs="Arial"/>
              </w:rPr>
            </w:pPr>
            <w:r w:rsidRPr="003272C7">
              <w:rPr>
                <w:rFonts w:cs="Arial"/>
              </w:rPr>
              <w:lastRenderedPageBreak/>
              <w:t>Basin Salinity Management 2030 (BSM2030) – ensures compliance with schedule B of the Murray-Darling Basin Agreement and BSM2030 strategy. This stream focuses on assessing and monitoring the salinity impact of land and water management activities in the Basin.</w:t>
            </w:r>
          </w:p>
          <w:p w14:paraId="30397BF5" w14:textId="6CE2781C" w:rsidR="00B242C3" w:rsidRPr="003272C7" w:rsidRDefault="00B242C3" w:rsidP="00A6017F">
            <w:pPr>
              <w:pStyle w:val="TableBullet"/>
              <w:rPr>
                <w:rFonts w:cs="Arial"/>
              </w:rPr>
            </w:pPr>
            <w:r w:rsidRPr="003272C7">
              <w:rPr>
                <w:rFonts w:cs="Arial"/>
              </w:rPr>
              <w:t xml:space="preserve">Rural Water Policy – </w:t>
            </w:r>
            <w:r w:rsidR="00DD4B3C" w:rsidRPr="003272C7">
              <w:rPr>
                <w:rFonts w:cs="Arial"/>
              </w:rPr>
              <w:t>e</w:t>
            </w:r>
            <w:r w:rsidRPr="003272C7">
              <w:rPr>
                <w:rFonts w:cs="Arial"/>
              </w:rPr>
              <w:t>ngages in a diverse range of activities that seek to promote social, environmental and economic outcomes in irrigated regions through rural water policy reforms.</w:t>
            </w:r>
          </w:p>
        </w:tc>
      </w:tr>
      <w:tr w:rsidR="00B242C3" w:rsidRPr="003272C7" w14:paraId="688E6B47" w14:textId="77777777" w:rsidTr="00765CA1">
        <w:trPr>
          <w:trHeight w:val="259"/>
        </w:trPr>
        <w:tc>
          <w:tcPr>
            <w:tcW w:w="5000" w:type="pct"/>
            <w:gridSpan w:val="2"/>
            <w:shd w:val="clear" w:color="auto" w:fill="231EDC" w:themeFill="accent1"/>
          </w:tcPr>
          <w:p w14:paraId="69B8908D" w14:textId="77777777" w:rsidR="00B242C3" w:rsidRPr="003272C7" w:rsidRDefault="00B242C3" w:rsidP="00765CA1">
            <w:pPr>
              <w:pStyle w:val="TableText"/>
              <w:rPr>
                <w:rFonts w:cs="Arial"/>
                <w:b/>
                <w:bCs/>
              </w:rPr>
            </w:pPr>
            <w:r w:rsidRPr="003272C7">
              <w:rPr>
                <w:rFonts w:cs="Arial"/>
                <w:b/>
                <w:bCs/>
              </w:rPr>
              <w:lastRenderedPageBreak/>
              <w:t>Summary against evaluation domains</w:t>
            </w:r>
          </w:p>
        </w:tc>
      </w:tr>
      <w:tr w:rsidR="00B242C3" w:rsidRPr="003272C7" w14:paraId="1025B470" w14:textId="77777777" w:rsidTr="000452FB">
        <w:trPr>
          <w:trHeight w:val="259"/>
        </w:trPr>
        <w:tc>
          <w:tcPr>
            <w:tcW w:w="979" w:type="pct"/>
            <w:shd w:val="clear" w:color="auto" w:fill="231EDC" w:themeFill="accent1"/>
          </w:tcPr>
          <w:p w14:paraId="3AB67EE0" w14:textId="77777777" w:rsidR="00B242C3" w:rsidRPr="003272C7" w:rsidRDefault="00B242C3" w:rsidP="00A6017F">
            <w:pPr>
              <w:pStyle w:val="TableText"/>
              <w:rPr>
                <w:rFonts w:cs="Arial"/>
                <w:b/>
                <w:bCs/>
              </w:rPr>
            </w:pPr>
            <w:r w:rsidRPr="003272C7">
              <w:rPr>
                <w:rFonts w:cs="Arial"/>
                <w:b/>
                <w:bCs/>
              </w:rPr>
              <w:t>Impact</w:t>
            </w:r>
          </w:p>
        </w:tc>
        <w:tc>
          <w:tcPr>
            <w:tcW w:w="4021" w:type="pct"/>
          </w:tcPr>
          <w:p w14:paraId="062E296D" w14:textId="36339C12" w:rsidR="00B242C3" w:rsidRPr="003272C7" w:rsidRDefault="00B242C3" w:rsidP="00FD6510">
            <w:pPr>
              <w:pStyle w:val="TableTextBold"/>
              <w:rPr>
                <w:rFonts w:cs="Arial"/>
              </w:rPr>
            </w:pPr>
            <w:r w:rsidRPr="003272C7">
              <w:rPr>
                <w:rFonts w:cs="Arial"/>
              </w:rPr>
              <w:t>Irrigators are supported to make timely and informed decisions</w:t>
            </w:r>
            <w:r w:rsidR="00DD4B3C" w:rsidRPr="003272C7">
              <w:rPr>
                <w:rFonts w:cs="Arial"/>
              </w:rPr>
              <w:t>:</w:t>
            </w:r>
          </w:p>
          <w:p w14:paraId="459756B2" w14:textId="2636E5AA" w:rsidR="00142559" w:rsidRPr="003272C7" w:rsidRDefault="00B242C3" w:rsidP="00A6017F">
            <w:pPr>
              <w:pStyle w:val="TableBullet"/>
              <w:rPr>
                <w:rFonts w:cs="Arial"/>
              </w:rPr>
            </w:pPr>
            <w:r w:rsidRPr="003272C7">
              <w:rPr>
                <w:rFonts w:cs="Arial"/>
              </w:rPr>
              <w:t xml:space="preserve">The </w:t>
            </w:r>
            <w:r w:rsidR="00DD4B3C" w:rsidRPr="003272C7">
              <w:rPr>
                <w:rFonts w:cs="Arial"/>
              </w:rPr>
              <w:t>p</w:t>
            </w:r>
            <w:r w:rsidRPr="003272C7">
              <w:rPr>
                <w:rFonts w:cs="Arial"/>
              </w:rPr>
              <w:t xml:space="preserve">rogram has </w:t>
            </w:r>
            <w:r w:rsidR="00287AE9" w:rsidRPr="003272C7">
              <w:rPr>
                <w:rFonts w:cs="Arial"/>
              </w:rPr>
              <w:t>delivered over 3,000 engagement event participations, including field days aimed at improving knowledge and skills relating to irrigation.</w:t>
            </w:r>
            <w:r w:rsidR="00142559" w:rsidRPr="003272C7">
              <w:rPr>
                <w:rFonts w:cs="Arial"/>
              </w:rPr>
              <w:t xml:space="preserve"> </w:t>
            </w:r>
            <w:r w:rsidR="00287AE9" w:rsidRPr="003272C7">
              <w:rPr>
                <w:rFonts w:cs="Arial"/>
              </w:rPr>
              <w:t>This in been provided in conjunction with one-to-one irrigation extension advice and case management as well as webinars on topics ranging from information on changes to policy that has implications for irrigation water availability, delivery and use as well on farm irrigation advice.</w:t>
            </w:r>
            <w:r w:rsidR="00142559" w:rsidRPr="003272C7">
              <w:rPr>
                <w:rFonts w:cs="Arial"/>
              </w:rPr>
              <w:t xml:space="preserve"> </w:t>
            </w:r>
            <w:r w:rsidR="00287AE9" w:rsidRPr="003272C7">
              <w:rPr>
                <w:rFonts w:cs="Arial"/>
              </w:rPr>
              <w:t xml:space="preserve">This has continued to support informed decision making in relation to a range of irrigation water use practises, including planning for changes in farm irrigation layout and optimising on-farm irrigation water use, particularly in relation to pressurised irrigation (which when not set-up correctly can </w:t>
            </w:r>
            <w:r w:rsidR="00DD4B3C" w:rsidRPr="003272C7">
              <w:rPr>
                <w:rFonts w:cs="Arial"/>
              </w:rPr>
              <w:t>affect</w:t>
            </w:r>
            <w:r w:rsidR="00287AE9" w:rsidRPr="003272C7">
              <w:rPr>
                <w:rFonts w:cs="Arial"/>
              </w:rPr>
              <w:t xml:space="preserve"> irrigation water application uniformity and also energy use in applying</w:t>
            </w:r>
            <w:r w:rsidR="001375F8" w:rsidRPr="003272C7">
              <w:rPr>
                <w:rFonts w:cs="Arial"/>
              </w:rPr>
              <w:t> </w:t>
            </w:r>
            <w:r w:rsidR="00287AE9" w:rsidRPr="003272C7">
              <w:rPr>
                <w:rFonts w:cs="Arial"/>
              </w:rPr>
              <w:t>water).</w:t>
            </w:r>
          </w:p>
          <w:p w14:paraId="31F7D3A2" w14:textId="77777777" w:rsidR="00142559" w:rsidRPr="003272C7" w:rsidRDefault="00B242C3" w:rsidP="00A6017F">
            <w:pPr>
              <w:pStyle w:val="TableBullet"/>
              <w:rPr>
                <w:rFonts w:cs="Arial"/>
              </w:rPr>
            </w:pPr>
            <w:r w:rsidRPr="003272C7">
              <w:rPr>
                <w:rFonts w:cs="Arial"/>
              </w:rPr>
              <w:t>Tools and information pieces have been produced to assist with future planning and longer-term needs. For example, comprehensive research into the potential impacts of climate change on horticultural developments and regional water</w:t>
            </w:r>
            <w:r w:rsidR="00DD4B3C" w:rsidRPr="003272C7">
              <w:rPr>
                <w:rFonts w:cs="Arial"/>
              </w:rPr>
              <w:t xml:space="preserve"> </w:t>
            </w:r>
            <w:r w:rsidRPr="003272C7">
              <w:rPr>
                <w:rFonts w:cs="Arial"/>
              </w:rPr>
              <w:t xml:space="preserve">table mapping. </w:t>
            </w:r>
            <w:r w:rsidR="00B069F5" w:rsidRPr="003272C7">
              <w:rPr>
                <w:rFonts w:cs="Arial"/>
              </w:rPr>
              <w:t>Field day training seminars recently delivered on lateral move and centre pivot irrigation systems to Northern and Southern irrigators has provided knowledge and skills in managing irrigation uniformity and optimising efficiency from a water an energy perspective.</w:t>
            </w:r>
          </w:p>
          <w:p w14:paraId="58DB9496" w14:textId="65C0D6A8" w:rsidR="00B242C3" w:rsidRPr="003272C7" w:rsidRDefault="00B242C3" w:rsidP="00FD6510">
            <w:pPr>
              <w:pStyle w:val="TableTextBold"/>
              <w:rPr>
                <w:rFonts w:cs="Arial"/>
              </w:rPr>
            </w:pPr>
            <w:r w:rsidRPr="003272C7">
              <w:rPr>
                <w:rFonts w:cs="Arial"/>
              </w:rPr>
              <w:t>Rural water policy is responsive to emerging issues and supports wise water use and resilience to climate change</w:t>
            </w:r>
            <w:r w:rsidR="00DD4B3C" w:rsidRPr="003272C7">
              <w:rPr>
                <w:rFonts w:cs="Arial"/>
              </w:rPr>
              <w:t>:</w:t>
            </w:r>
          </w:p>
          <w:p w14:paraId="3BF18AA3" w14:textId="7C4F4120" w:rsidR="00B069F5" w:rsidRPr="003272C7" w:rsidRDefault="00B242C3" w:rsidP="00A6017F">
            <w:pPr>
              <w:pStyle w:val="TableBullet"/>
              <w:rPr>
                <w:rFonts w:cs="Arial"/>
              </w:rPr>
            </w:pPr>
            <w:r w:rsidRPr="003272C7">
              <w:rPr>
                <w:rFonts w:cs="Arial"/>
              </w:rPr>
              <w:t xml:space="preserve">RWP </w:t>
            </w:r>
            <w:r w:rsidR="00B069F5" w:rsidRPr="003272C7">
              <w:rPr>
                <w:rFonts w:cs="Arial"/>
              </w:rPr>
              <w:t xml:space="preserve">has continued to work with Victorian irrigation communities on understanding and managing socioeconomic impacts of further water recovery from Victoria under the </w:t>
            </w:r>
            <w:r w:rsidR="00DD4B3C" w:rsidRPr="003272C7">
              <w:rPr>
                <w:rFonts w:cs="Arial"/>
              </w:rPr>
              <w:t xml:space="preserve">Murray-Darling </w:t>
            </w:r>
            <w:r w:rsidR="00B069F5" w:rsidRPr="003272C7">
              <w:rPr>
                <w:rFonts w:cs="Arial"/>
              </w:rPr>
              <w:t>Basin Plan. Key highlights include:</w:t>
            </w:r>
          </w:p>
          <w:p w14:paraId="7AE01F39" w14:textId="1A89B6F8" w:rsidR="00B242C3" w:rsidRPr="003272C7" w:rsidRDefault="00B069F5" w:rsidP="00FD6510">
            <w:pPr>
              <w:pStyle w:val="TableBullet2"/>
              <w:rPr>
                <w:rFonts w:cs="Arial"/>
              </w:rPr>
            </w:pPr>
            <w:r w:rsidRPr="003272C7">
              <w:rPr>
                <w:rFonts w:cs="Arial"/>
              </w:rPr>
              <w:t>Publishing</w:t>
            </w:r>
            <w:r w:rsidR="00B242C3" w:rsidRPr="003272C7">
              <w:rPr>
                <w:rFonts w:cs="Arial"/>
              </w:rPr>
              <w:t xml:space="preserve"> the ‘Social and economic impacts of Basin Plan water recovery in Victoria’ report which outlined how previous water recovery reduced irrigation and regional viability and adversely impacted the water market.</w:t>
            </w:r>
          </w:p>
          <w:p w14:paraId="031ABAA8" w14:textId="69D0E098" w:rsidR="00B242C3" w:rsidRPr="003272C7" w:rsidRDefault="00B069F5" w:rsidP="00FD6510">
            <w:pPr>
              <w:pStyle w:val="TableBullet2"/>
              <w:rPr>
                <w:rFonts w:cs="Arial"/>
              </w:rPr>
            </w:pPr>
            <w:r w:rsidRPr="003272C7">
              <w:rPr>
                <w:rFonts w:cs="Arial"/>
              </w:rPr>
              <w:t>A</w:t>
            </w:r>
            <w:r w:rsidR="00B242C3" w:rsidRPr="003272C7">
              <w:rPr>
                <w:rFonts w:cs="Arial"/>
              </w:rPr>
              <w:t xml:space="preserve"> 2022 update to the report ‘Water supply and horticultural demand in the southern Murray-Darling Basin’ prepared by Aither</w:t>
            </w:r>
            <w:r w:rsidR="00932C55" w:rsidRPr="003272C7">
              <w:rPr>
                <w:rFonts w:cs="Arial"/>
              </w:rPr>
              <w:t>, which</w:t>
            </w:r>
            <w:r w:rsidR="00B242C3" w:rsidRPr="003272C7">
              <w:rPr>
                <w:rFonts w:cs="Arial"/>
              </w:rPr>
              <w:t xml:space="preserve"> predicts future changes and implications for the water sector under a variable climate.</w:t>
            </w:r>
          </w:p>
          <w:p w14:paraId="389281CB" w14:textId="7002CE11" w:rsidR="00D73D0B" w:rsidRPr="003272C7" w:rsidRDefault="00D73D0B" w:rsidP="00FD6510">
            <w:pPr>
              <w:pStyle w:val="TableBullet2"/>
              <w:rPr>
                <w:rFonts w:cs="Arial"/>
              </w:rPr>
            </w:pPr>
            <w:r w:rsidRPr="003272C7">
              <w:rPr>
                <w:rFonts w:cs="Arial"/>
              </w:rPr>
              <w:t xml:space="preserve">Releasing the Victorian Government’s ‘Planning our Basin future together– a prospectus to safeguard Victoria’s environments and communities in the Murray-Darling Basin’ in May 2024, outlining Victoria’s strategic approach to further water recovery in the context of the legislative changes made by the </w:t>
            </w:r>
            <w:r w:rsidR="00DD4B3C" w:rsidRPr="003272C7">
              <w:rPr>
                <w:rFonts w:cs="Arial"/>
              </w:rPr>
              <w:t>Australian Government</w:t>
            </w:r>
            <w:r w:rsidRPr="003272C7">
              <w:rPr>
                <w:rFonts w:cs="Arial"/>
              </w:rPr>
              <w:t>. During development of the ‘Prospectus’, RWP led extensive community and stakeholder engagement. Consultation input sought through Engage Victoria website garnered over 100 submissions (93 survey responses and 22 written submissions), in addition to feedback provided to this prospectus document provided through direct meeting discussions.</w:t>
            </w:r>
          </w:p>
          <w:p w14:paraId="28F77D73" w14:textId="77777777" w:rsidR="00142559" w:rsidRPr="003272C7" w:rsidRDefault="00840CFA" w:rsidP="00FD6510">
            <w:pPr>
              <w:pStyle w:val="TableBullet2"/>
              <w:rPr>
                <w:rFonts w:cs="Arial"/>
              </w:rPr>
            </w:pPr>
            <w:r w:rsidRPr="003272C7">
              <w:rPr>
                <w:rFonts w:cs="Arial"/>
              </w:rPr>
              <w:t>RWP completed a 12-month feasibility study into reconfiguration options for the Broken system involving consultative committee co-designed project principles and extensive community engagement.</w:t>
            </w:r>
          </w:p>
          <w:p w14:paraId="1AFD92D8" w14:textId="05EF73EC" w:rsidR="00142559" w:rsidRPr="003272C7" w:rsidRDefault="00840CFA" w:rsidP="00FD6510">
            <w:pPr>
              <w:pStyle w:val="TableBullet2"/>
              <w:rPr>
                <w:rFonts w:cs="Arial"/>
              </w:rPr>
            </w:pPr>
            <w:r w:rsidRPr="003272C7">
              <w:rPr>
                <w:rFonts w:cs="Arial"/>
              </w:rPr>
              <w:t xml:space="preserve">RWP has continued to coordinate the Solar Guideline process and contribute to key renewable energy-related policy and planning </w:t>
            </w:r>
            <w:r w:rsidR="00445736" w:rsidRPr="003272C7">
              <w:rPr>
                <w:rFonts w:cs="Arial"/>
              </w:rPr>
              <w:t>project</w:t>
            </w:r>
            <w:r w:rsidRPr="003272C7">
              <w:rPr>
                <w:rFonts w:cs="Arial"/>
              </w:rPr>
              <w:t>s to ensure alignment with state planning policy on the protection of declared irrigation</w:t>
            </w:r>
            <w:r w:rsidR="001375F8" w:rsidRPr="003272C7">
              <w:rPr>
                <w:rFonts w:cs="Arial"/>
              </w:rPr>
              <w:t> </w:t>
            </w:r>
            <w:r w:rsidRPr="003272C7">
              <w:rPr>
                <w:rFonts w:cs="Arial"/>
              </w:rPr>
              <w:t>districts.</w:t>
            </w:r>
          </w:p>
          <w:p w14:paraId="35CDE123" w14:textId="77777777" w:rsidR="00142559" w:rsidRPr="003272C7" w:rsidRDefault="00840CFA" w:rsidP="00FD6510">
            <w:pPr>
              <w:pStyle w:val="TableBullet2"/>
              <w:rPr>
                <w:rFonts w:cs="Arial"/>
              </w:rPr>
            </w:pPr>
            <w:r w:rsidRPr="003272C7">
              <w:rPr>
                <w:rFonts w:cs="Arial"/>
              </w:rPr>
              <w:t xml:space="preserve">RWP provided policy input to the Central and Gippsland Region Sustainable Water Strategy (CGSWS). This included formulating and facilitating the </w:t>
            </w:r>
            <w:r w:rsidRPr="003272C7">
              <w:rPr>
                <w:rFonts w:cs="Arial"/>
              </w:rPr>
              <w:lastRenderedPageBreak/>
              <w:t>development of agricultural water-related policy responses and actions for inclusion in the CGSWS.</w:t>
            </w:r>
          </w:p>
          <w:p w14:paraId="15A33485" w14:textId="5A3EB534" w:rsidR="00142559" w:rsidRPr="003272C7" w:rsidRDefault="00840CFA" w:rsidP="00FD6510">
            <w:pPr>
              <w:pStyle w:val="TableBullet2"/>
              <w:rPr>
                <w:rFonts w:cs="Arial"/>
              </w:rPr>
            </w:pPr>
            <w:r w:rsidRPr="003272C7">
              <w:rPr>
                <w:rFonts w:cs="Arial"/>
              </w:rPr>
              <w:t>RWP actively contributed to the development of the Goulburn Murray Resilience Strategy and provided state government support for implementation, including through the Agricultural Redevelopment Coordinator</w:t>
            </w:r>
            <w:r w:rsidR="001375F8" w:rsidRPr="003272C7">
              <w:rPr>
                <w:rFonts w:cs="Arial"/>
              </w:rPr>
              <w:t> </w:t>
            </w:r>
            <w:r w:rsidRPr="003272C7">
              <w:rPr>
                <w:rFonts w:cs="Arial"/>
              </w:rPr>
              <w:t>project.</w:t>
            </w:r>
          </w:p>
          <w:p w14:paraId="2DA0B235" w14:textId="77777777" w:rsidR="00142559" w:rsidRPr="003272C7" w:rsidRDefault="00B242C3" w:rsidP="00FD6510">
            <w:pPr>
              <w:pStyle w:val="TableBullet2"/>
              <w:rPr>
                <w:rFonts w:cs="Arial"/>
              </w:rPr>
            </w:pPr>
            <w:r w:rsidRPr="003272C7">
              <w:rPr>
                <w:rFonts w:cs="Arial"/>
              </w:rPr>
              <w:t xml:space="preserve">The extensive land and water use mapping conducted across key irrigated landscapes in Victoria </w:t>
            </w:r>
            <w:r w:rsidR="00840CFA" w:rsidRPr="003272C7">
              <w:rPr>
                <w:rFonts w:cs="Arial"/>
              </w:rPr>
              <w:t>through the Regional Integrated land and Water Use Mapping Program (RIL</w:t>
            </w:r>
            <w:r w:rsidR="009329C3" w:rsidRPr="003272C7">
              <w:rPr>
                <w:rFonts w:cs="Arial"/>
              </w:rPr>
              <w:t xml:space="preserve">WUM) </w:t>
            </w:r>
            <w:r w:rsidRPr="003272C7">
              <w:rPr>
                <w:rFonts w:cs="Arial"/>
              </w:rPr>
              <w:t xml:space="preserve">has shown significant land use change over time. </w:t>
            </w:r>
            <w:r w:rsidR="009329C3" w:rsidRPr="003272C7">
              <w:rPr>
                <w:rFonts w:cs="Arial"/>
              </w:rPr>
              <w:t>V</w:t>
            </w:r>
            <w:r w:rsidRPr="003272C7">
              <w:rPr>
                <w:rFonts w:cs="Arial"/>
              </w:rPr>
              <w:t xml:space="preserve">aluable </w:t>
            </w:r>
            <w:r w:rsidR="009329C3" w:rsidRPr="003272C7">
              <w:rPr>
                <w:rFonts w:cs="Arial"/>
              </w:rPr>
              <w:t>data collection and</w:t>
            </w:r>
            <w:r w:rsidRPr="003272C7">
              <w:rPr>
                <w:rFonts w:cs="Arial"/>
              </w:rPr>
              <w:t xml:space="preserve"> information </w:t>
            </w:r>
            <w:r w:rsidR="009329C3" w:rsidRPr="003272C7">
              <w:rPr>
                <w:rFonts w:cs="Arial"/>
              </w:rPr>
              <w:t>sharing achieved through RILWUM with our partners is helping to</w:t>
            </w:r>
            <w:r w:rsidRPr="003272C7">
              <w:rPr>
                <w:rFonts w:cs="Arial"/>
              </w:rPr>
              <w:t xml:space="preserve"> identify trends and emerging risk</w:t>
            </w:r>
            <w:r w:rsidR="00723305" w:rsidRPr="003272C7">
              <w:rPr>
                <w:rFonts w:cs="Arial"/>
              </w:rPr>
              <w:t>s</w:t>
            </w:r>
            <w:r w:rsidRPr="003272C7">
              <w:rPr>
                <w:rFonts w:cs="Arial"/>
              </w:rPr>
              <w:t xml:space="preserve"> to maintain management frameworks that are fit for purpose.</w:t>
            </w:r>
          </w:p>
          <w:p w14:paraId="0911AFAA" w14:textId="2A1974C0" w:rsidR="00B242C3" w:rsidRPr="003272C7" w:rsidRDefault="00B242C3" w:rsidP="00FD6510">
            <w:pPr>
              <w:pStyle w:val="TableTextBold"/>
              <w:rPr>
                <w:rFonts w:cs="Arial"/>
              </w:rPr>
            </w:pPr>
            <w:r w:rsidRPr="003272C7">
              <w:rPr>
                <w:rFonts w:cs="Arial"/>
              </w:rPr>
              <w:t>On-farm irrigation practices are improved</w:t>
            </w:r>
            <w:r w:rsidR="00DD4B3C" w:rsidRPr="003272C7">
              <w:rPr>
                <w:rFonts w:cs="Arial"/>
              </w:rPr>
              <w:t>:</w:t>
            </w:r>
          </w:p>
          <w:p w14:paraId="068CAFD4" w14:textId="10B695D7" w:rsidR="00B242C3" w:rsidRPr="003272C7" w:rsidRDefault="00B242C3" w:rsidP="00A6017F">
            <w:pPr>
              <w:pStyle w:val="TableBullet"/>
              <w:rPr>
                <w:rFonts w:cs="Arial"/>
              </w:rPr>
            </w:pPr>
            <w:r w:rsidRPr="003272C7">
              <w:rPr>
                <w:rFonts w:cs="Arial"/>
              </w:rPr>
              <w:t xml:space="preserve">The irrigation extension </w:t>
            </w:r>
            <w:r w:rsidR="00DD4B3C" w:rsidRPr="003272C7">
              <w:rPr>
                <w:rFonts w:cs="Arial"/>
              </w:rPr>
              <w:t>p</w:t>
            </w:r>
            <w:r w:rsidRPr="003272C7">
              <w:rPr>
                <w:rFonts w:cs="Arial"/>
              </w:rPr>
              <w:t>rogram provides a range of incentives that are tailored to regional needs, whether it be irrigation system upgrades, whole farm plans, scheduling equipment, re-use systems, soil surveys, system checks and more. We’ve seen widespread uptake of the incentive Programs, which are a key mechanism for driving productive and sustainable irrigation practice</w:t>
            </w:r>
            <w:r w:rsidR="00DD4B3C" w:rsidRPr="003272C7">
              <w:rPr>
                <w:rFonts w:cs="Arial"/>
              </w:rPr>
              <w:t>.</w:t>
            </w:r>
          </w:p>
          <w:p w14:paraId="73E2905E" w14:textId="77777777" w:rsidR="00142559" w:rsidRPr="003272C7" w:rsidRDefault="00B242C3" w:rsidP="00A6017F">
            <w:pPr>
              <w:pStyle w:val="TableBullet"/>
              <w:rPr>
                <w:rFonts w:cs="Arial"/>
              </w:rPr>
            </w:pPr>
            <w:r w:rsidRPr="003272C7">
              <w:rPr>
                <w:rFonts w:cs="Arial"/>
              </w:rPr>
              <w:t xml:space="preserve">For example, there have been approximately 86 incentives approved for Whole Farm Plans (WFPs) across the state (from EC5 and EC5.2). WFPs maximise all aspects of on-farm operational capacity and efficiency, whilst minimising environmental impacts. Feedback on the WFP Program in the </w:t>
            </w:r>
            <w:r w:rsidR="00DD4B3C" w:rsidRPr="003272C7">
              <w:rPr>
                <w:rFonts w:cs="Arial"/>
              </w:rPr>
              <w:t>Goulburn-Murray Irrigation District</w:t>
            </w:r>
            <w:r w:rsidRPr="003272C7">
              <w:rPr>
                <w:rFonts w:cs="Arial"/>
              </w:rPr>
              <w:t xml:space="preserve"> has been very positive, with 91% of recipients reporting satisfaction with their plan. ~75% of recipients would not have invested in a WFP if it weren’t for the incentive, showing that it’s the </w:t>
            </w:r>
            <w:r w:rsidR="00DD4B3C" w:rsidRPr="003272C7">
              <w:rPr>
                <w:rFonts w:cs="Arial"/>
              </w:rPr>
              <w:t>p</w:t>
            </w:r>
            <w:r w:rsidRPr="003272C7">
              <w:rPr>
                <w:rFonts w:cs="Arial"/>
              </w:rPr>
              <w:t>rogram exclusively driving this change and ~97% agree that the Program should continue, highlighting its value.</w:t>
            </w:r>
          </w:p>
          <w:p w14:paraId="5608C113" w14:textId="77777777" w:rsidR="00142559" w:rsidRPr="003272C7" w:rsidRDefault="00B242C3" w:rsidP="00A6017F">
            <w:pPr>
              <w:pStyle w:val="TableBullet"/>
              <w:rPr>
                <w:rFonts w:cs="Arial"/>
              </w:rPr>
            </w:pPr>
            <w:r w:rsidRPr="003272C7">
              <w:rPr>
                <w:rFonts w:cs="Arial"/>
              </w:rPr>
              <w:t xml:space="preserve">Further, the </w:t>
            </w:r>
            <w:r w:rsidR="00DD4B3C" w:rsidRPr="003272C7">
              <w:rPr>
                <w:rFonts w:cs="Arial"/>
              </w:rPr>
              <w:t>p</w:t>
            </w:r>
            <w:r w:rsidRPr="003272C7">
              <w:rPr>
                <w:rFonts w:cs="Arial"/>
              </w:rPr>
              <w:t>rogram has tracked the implementation of WFPs to show that physical works are being undertaken and actually achieving improved practices and outcomes. For example, 72% of farms have completed over 50% of their infrastructure installation. WFPs as a mechanism for improved efficiency help irrigators prepare for a future with reduced water availability.</w:t>
            </w:r>
          </w:p>
          <w:p w14:paraId="5C47405D" w14:textId="28CCDB60" w:rsidR="00B242C3" w:rsidRPr="003272C7" w:rsidRDefault="00B242C3" w:rsidP="00FD6510">
            <w:pPr>
              <w:pStyle w:val="TableTextBold"/>
              <w:rPr>
                <w:rFonts w:cs="Arial"/>
              </w:rPr>
            </w:pPr>
            <w:r w:rsidRPr="003272C7">
              <w:rPr>
                <w:rFonts w:cs="Arial"/>
              </w:rPr>
              <w:t>The impacts of irrigated agriculture on salinity and water quality are managed within agreed target</w:t>
            </w:r>
            <w:r w:rsidR="00DD4B3C" w:rsidRPr="003272C7">
              <w:rPr>
                <w:rFonts w:cs="Arial"/>
              </w:rPr>
              <w:t>:</w:t>
            </w:r>
          </w:p>
          <w:p w14:paraId="347D25E0" w14:textId="362707A2" w:rsidR="00B242C3" w:rsidRPr="003272C7" w:rsidRDefault="00B242C3" w:rsidP="00A6017F">
            <w:pPr>
              <w:pStyle w:val="TableBullet"/>
              <w:rPr>
                <w:rFonts w:cs="Arial"/>
              </w:rPr>
            </w:pPr>
            <w:r w:rsidRPr="003272C7">
              <w:rPr>
                <w:rFonts w:cs="Arial"/>
              </w:rPr>
              <w:t xml:space="preserve">The establishment of Drainage Course Declarations (DCDs) secured improved irrigation drainage for </w:t>
            </w:r>
            <w:r w:rsidR="00723305" w:rsidRPr="003272C7">
              <w:rPr>
                <w:rFonts w:cs="Arial"/>
              </w:rPr>
              <w:t>12</w:t>
            </w:r>
            <w:r w:rsidRPr="003272C7">
              <w:rPr>
                <w:rFonts w:cs="Arial"/>
              </w:rPr>
              <w:t>,</w:t>
            </w:r>
            <w:r w:rsidR="001C67FE" w:rsidRPr="003272C7">
              <w:rPr>
                <w:rFonts w:cs="Arial"/>
              </w:rPr>
              <w:t>670 </w:t>
            </w:r>
            <w:r w:rsidRPr="003272C7">
              <w:rPr>
                <w:rFonts w:cs="Arial"/>
              </w:rPr>
              <w:t>ha of farm land</w:t>
            </w:r>
            <w:r w:rsidR="001C67FE" w:rsidRPr="003272C7">
              <w:rPr>
                <w:rFonts w:cs="Arial"/>
              </w:rPr>
              <w:t xml:space="preserve"> (including the Waranga priority drainage project)</w:t>
            </w:r>
            <w:r w:rsidRPr="003272C7">
              <w:rPr>
                <w:rFonts w:cs="Arial"/>
              </w:rPr>
              <w:t>, helping mitigate the impacts of waterlogging, salinity and elevated water tables.</w:t>
            </w:r>
          </w:p>
          <w:p w14:paraId="34A1C9B4" w14:textId="43628DAD" w:rsidR="00142559" w:rsidRPr="003272C7" w:rsidRDefault="00B242C3" w:rsidP="00A6017F">
            <w:pPr>
              <w:pStyle w:val="TableBullet"/>
              <w:rPr>
                <w:rFonts w:cs="Arial"/>
              </w:rPr>
            </w:pPr>
            <w:r w:rsidRPr="003272C7">
              <w:rPr>
                <w:rFonts w:cs="Arial"/>
              </w:rPr>
              <w:t xml:space="preserve">There have been </w:t>
            </w:r>
            <w:r w:rsidR="005132D6" w:rsidRPr="003272C7">
              <w:rPr>
                <w:rFonts w:cs="Arial"/>
              </w:rPr>
              <w:t xml:space="preserve">6 </w:t>
            </w:r>
            <w:r w:rsidRPr="003272C7">
              <w:rPr>
                <w:rFonts w:cs="Arial"/>
              </w:rPr>
              <w:t>technical reviews of accountable actions completed under</w:t>
            </w:r>
            <w:r w:rsidR="001375F8" w:rsidRPr="003272C7">
              <w:rPr>
                <w:rFonts w:cs="Arial"/>
              </w:rPr>
              <w:t> </w:t>
            </w:r>
            <w:r w:rsidRPr="003272C7">
              <w:rPr>
                <w:rFonts w:cs="Arial"/>
              </w:rPr>
              <w:t>the</w:t>
            </w:r>
            <w:r w:rsidR="001375F8" w:rsidRPr="003272C7">
              <w:rPr>
                <w:rFonts w:cs="Arial"/>
              </w:rPr>
              <w:t> </w:t>
            </w:r>
            <w:r w:rsidRPr="003272C7">
              <w:rPr>
                <w:rFonts w:cs="Arial"/>
              </w:rPr>
              <w:t xml:space="preserve">BSM2030 register in Victoria and another </w:t>
            </w:r>
            <w:r w:rsidR="005132D6" w:rsidRPr="003272C7">
              <w:rPr>
                <w:rFonts w:cs="Arial"/>
              </w:rPr>
              <w:t xml:space="preserve">4 </w:t>
            </w:r>
            <w:r w:rsidRPr="003272C7">
              <w:rPr>
                <w:rFonts w:cs="Arial"/>
              </w:rPr>
              <w:t>technical reviews are currently</w:t>
            </w:r>
            <w:r w:rsidR="001375F8" w:rsidRPr="003272C7">
              <w:rPr>
                <w:rFonts w:cs="Arial"/>
              </w:rPr>
              <w:t> </w:t>
            </w:r>
            <w:r w:rsidRPr="003272C7">
              <w:rPr>
                <w:rFonts w:cs="Arial"/>
              </w:rPr>
              <w:t>progressing.</w:t>
            </w:r>
          </w:p>
          <w:p w14:paraId="6D8CD338" w14:textId="77777777" w:rsidR="00142559" w:rsidRPr="003272C7" w:rsidRDefault="00B242C3" w:rsidP="00A6017F">
            <w:pPr>
              <w:pStyle w:val="TableBullet"/>
              <w:rPr>
                <w:rFonts w:cs="Arial"/>
              </w:rPr>
            </w:pPr>
            <w:r w:rsidRPr="003272C7">
              <w:rPr>
                <w:rFonts w:cs="Arial"/>
              </w:rPr>
              <w:t>By doing so, not only are we meeting these obligations, but we are maintaining an accurate view of the state’s salinity risk profile.</w:t>
            </w:r>
          </w:p>
          <w:p w14:paraId="5665882B" w14:textId="27547157" w:rsidR="00B242C3" w:rsidRPr="003272C7" w:rsidRDefault="00B242C3" w:rsidP="00A6017F">
            <w:pPr>
              <w:pStyle w:val="TableBullet"/>
              <w:rPr>
                <w:rFonts w:cs="Arial"/>
              </w:rPr>
            </w:pPr>
            <w:r w:rsidRPr="003272C7">
              <w:rPr>
                <w:rFonts w:cs="Arial"/>
              </w:rPr>
              <w:t>In addition to the technical reviews, the regional stakeholders conduct extensive groundwater and surface water monitoring. This has allowed for longer-term groundwater trend analysis and adaptive risk management.</w:t>
            </w:r>
          </w:p>
        </w:tc>
      </w:tr>
      <w:tr w:rsidR="00B242C3" w:rsidRPr="003272C7" w14:paraId="383FFF8B" w14:textId="77777777" w:rsidTr="000452FB">
        <w:trPr>
          <w:trHeight w:val="259"/>
        </w:trPr>
        <w:tc>
          <w:tcPr>
            <w:tcW w:w="979" w:type="pct"/>
            <w:shd w:val="clear" w:color="auto" w:fill="231EDC" w:themeFill="accent1"/>
          </w:tcPr>
          <w:p w14:paraId="1187E5DC" w14:textId="77777777" w:rsidR="00B242C3" w:rsidRPr="003272C7" w:rsidRDefault="00B242C3" w:rsidP="00A6017F">
            <w:pPr>
              <w:pStyle w:val="TableText"/>
              <w:rPr>
                <w:rFonts w:cs="Arial"/>
                <w:b/>
                <w:bCs/>
              </w:rPr>
            </w:pPr>
            <w:r w:rsidRPr="003272C7">
              <w:rPr>
                <w:rFonts w:cs="Arial"/>
                <w:b/>
                <w:bCs/>
              </w:rPr>
              <w:lastRenderedPageBreak/>
              <w:t>Effectiveness</w:t>
            </w:r>
          </w:p>
        </w:tc>
        <w:tc>
          <w:tcPr>
            <w:tcW w:w="4021" w:type="pct"/>
          </w:tcPr>
          <w:p w14:paraId="235A5FDD" w14:textId="77777777" w:rsidR="00142559" w:rsidRPr="003272C7" w:rsidRDefault="00B242C3" w:rsidP="001375F8">
            <w:pPr>
              <w:pStyle w:val="TableText"/>
              <w:keepNext/>
              <w:keepLines/>
              <w:rPr>
                <w:rFonts w:cs="Arial"/>
              </w:rPr>
            </w:pPr>
            <w:r w:rsidRPr="003272C7">
              <w:rPr>
                <w:rFonts w:cs="Arial"/>
              </w:rPr>
              <w:t xml:space="preserve">COVID-19 acted as a major disruption to the implementation of the </w:t>
            </w:r>
            <w:r w:rsidR="00DD4B3C" w:rsidRPr="003272C7">
              <w:rPr>
                <w:rFonts w:cs="Arial"/>
              </w:rPr>
              <w:t>S</w:t>
            </w:r>
            <w:r w:rsidRPr="003272C7">
              <w:rPr>
                <w:rFonts w:cs="Arial"/>
              </w:rPr>
              <w:t xml:space="preserve">ustainable </w:t>
            </w:r>
            <w:r w:rsidR="00DD4B3C" w:rsidRPr="003272C7">
              <w:rPr>
                <w:rFonts w:cs="Arial"/>
              </w:rPr>
              <w:t>I</w:t>
            </w:r>
            <w:r w:rsidRPr="003272C7">
              <w:rPr>
                <w:rFonts w:cs="Arial"/>
              </w:rPr>
              <w:t xml:space="preserve">rrigation Program throughout the EC5 period. Practical in-person support for irrigators became difficult, however the </w:t>
            </w:r>
            <w:r w:rsidR="00DD4B3C" w:rsidRPr="003272C7">
              <w:rPr>
                <w:rFonts w:cs="Arial"/>
              </w:rPr>
              <w:t>p</w:t>
            </w:r>
            <w:r w:rsidRPr="003272C7">
              <w:rPr>
                <w:rFonts w:cs="Arial"/>
              </w:rPr>
              <w:t xml:space="preserve">rogram adapted, adopting new ways to engage with irrigators to provide the support needed. </w:t>
            </w:r>
            <w:r w:rsidR="00265FDF" w:rsidRPr="003272C7">
              <w:rPr>
                <w:rFonts w:cs="Arial"/>
              </w:rPr>
              <w:t>This included adoption of webinar delivery to enable dissemination of information over a broad geographical reach and allowing people to view these online presentations after the event.</w:t>
            </w:r>
          </w:p>
          <w:p w14:paraId="36A0943B" w14:textId="157ACEC0" w:rsidR="00265FDF" w:rsidRPr="003272C7" w:rsidRDefault="00265FDF" w:rsidP="00FD6510">
            <w:pPr>
              <w:pStyle w:val="TableText"/>
              <w:rPr>
                <w:rFonts w:cs="Arial"/>
              </w:rPr>
            </w:pPr>
            <w:r w:rsidRPr="003272C7">
              <w:rPr>
                <w:rFonts w:cs="Arial"/>
              </w:rPr>
              <w:t xml:space="preserve">A weekly irrigation requirement summary email was piloted to provide information on climatic conditions and irrigation demand across Northern Victoria during the irrigation season. This trail has provided popular and efficient in providing an additional decision support to irrigators seeking to manage water budgets and </w:t>
            </w:r>
            <w:r w:rsidRPr="003272C7">
              <w:rPr>
                <w:rFonts w:cs="Arial"/>
              </w:rPr>
              <w:lastRenderedPageBreak/>
              <w:t>productive use of water (with over 800 subscribers to these e-newsletter and also accessing other online events).</w:t>
            </w:r>
          </w:p>
          <w:p w14:paraId="2589F31A" w14:textId="20F4C122" w:rsidR="00B242C3" w:rsidRPr="003272C7" w:rsidRDefault="00B242C3" w:rsidP="00FD6510">
            <w:pPr>
              <w:pStyle w:val="TableText"/>
              <w:rPr>
                <w:rFonts w:cs="Arial"/>
              </w:rPr>
            </w:pPr>
            <w:r w:rsidRPr="003272C7">
              <w:rPr>
                <w:rFonts w:cs="Arial"/>
              </w:rPr>
              <w:t>These new ways of engagement were also adopted by DEECA and our agency partners to ensure that communication and collaboration remained constant</w:t>
            </w:r>
            <w:r w:rsidR="00265FDF" w:rsidRPr="003272C7">
              <w:rPr>
                <w:rFonts w:cs="Arial"/>
              </w:rPr>
              <w:t>, in addition to the more traditional face-to-face approaches (which support a more interactive and nuanced set of information exchange).</w:t>
            </w:r>
            <w:r w:rsidR="00DD4B3C" w:rsidRPr="003272C7">
              <w:rPr>
                <w:rFonts w:cs="Arial"/>
              </w:rPr>
              <w:t xml:space="preserve"> </w:t>
            </w:r>
            <w:r w:rsidRPr="003272C7">
              <w:rPr>
                <w:rFonts w:cs="Arial"/>
              </w:rPr>
              <w:t xml:space="preserve">Despite the challenge that COVID-19 posed, the </w:t>
            </w:r>
            <w:r w:rsidR="00DD4B3C" w:rsidRPr="003272C7">
              <w:rPr>
                <w:rFonts w:cs="Arial"/>
              </w:rPr>
              <w:t>p</w:t>
            </w:r>
            <w:r w:rsidRPr="003272C7">
              <w:rPr>
                <w:rFonts w:cs="Arial"/>
              </w:rPr>
              <w:t>rogram was still able to deliver on a lot of the activities and outputs identified in the Program logic.</w:t>
            </w:r>
          </w:p>
        </w:tc>
      </w:tr>
      <w:tr w:rsidR="00B242C3" w:rsidRPr="003272C7" w14:paraId="59D06779" w14:textId="77777777" w:rsidTr="000452FB">
        <w:trPr>
          <w:trHeight w:val="259"/>
        </w:trPr>
        <w:tc>
          <w:tcPr>
            <w:tcW w:w="979" w:type="pct"/>
            <w:shd w:val="clear" w:color="auto" w:fill="231EDC" w:themeFill="accent1"/>
          </w:tcPr>
          <w:p w14:paraId="0A3B3BD6" w14:textId="77777777" w:rsidR="00B242C3" w:rsidRPr="003272C7" w:rsidRDefault="00B242C3" w:rsidP="00A6017F">
            <w:pPr>
              <w:pStyle w:val="TableText"/>
              <w:rPr>
                <w:rFonts w:cs="Arial"/>
                <w:b/>
                <w:bCs/>
              </w:rPr>
            </w:pPr>
            <w:r w:rsidRPr="003272C7">
              <w:rPr>
                <w:rFonts w:cs="Arial"/>
                <w:b/>
                <w:bCs/>
              </w:rPr>
              <w:lastRenderedPageBreak/>
              <w:t>Appropriateness</w:t>
            </w:r>
          </w:p>
        </w:tc>
        <w:tc>
          <w:tcPr>
            <w:tcW w:w="4021" w:type="pct"/>
          </w:tcPr>
          <w:p w14:paraId="1D732708" w14:textId="77777777" w:rsidR="00B242C3" w:rsidRPr="003272C7" w:rsidRDefault="00B242C3" w:rsidP="00FD6510">
            <w:pPr>
              <w:pStyle w:val="TableText"/>
              <w:rPr>
                <w:rFonts w:cs="Arial"/>
              </w:rPr>
            </w:pPr>
            <w:r w:rsidRPr="003272C7">
              <w:rPr>
                <w:rFonts w:cs="Arial"/>
              </w:rPr>
              <w:t>Changes to strategic direction</w:t>
            </w:r>
          </w:p>
          <w:p w14:paraId="06AA16F8" w14:textId="77777777" w:rsidR="00142559" w:rsidRPr="003272C7" w:rsidRDefault="00B242C3" w:rsidP="00A6017F">
            <w:pPr>
              <w:pStyle w:val="TableBullet"/>
              <w:rPr>
                <w:rFonts w:cs="Arial"/>
              </w:rPr>
            </w:pPr>
            <w:r w:rsidRPr="003272C7">
              <w:rPr>
                <w:rFonts w:cs="Arial"/>
              </w:rPr>
              <w:t>Over the EC5 period, Victoria has experienced above-average wet years and significant. Irrigation drainage management has become a heightened priority to support irrigators under a variable climate.</w:t>
            </w:r>
          </w:p>
          <w:p w14:paraId="11B51F3A" w14:textId="77777777" w:rsidR="00142559" w:rsidRPr="003272C7" w:rsidRDefault="00B242C3" w:rsidP="00A6017F">
            <w:pPr>
              <w:pStyle w:val="TableBullet"/>
              <w:rPr>
                <w:rFonts w:cs="Arial"/>
              </w:rPr>
            </w:pPr>
            <w:r w:rsidRPr="003272C7">
              <w:rPr>
                <w:rFonts w:cs="Arial"/>
              </w:rPr>
              <w:t>Another strategic consideration for EC5 has been the changes to regional irrigation footprints. Through water-trading we’ve seen both reduction and expansion of regional footprints, namely a significant increase to the rate of development in the Mallee.</w:t>
            </w:r>
          </w:p>
          <w:p w14:paraId="4FE9DD02" w14:textId="0BA9F1FD" w:rsidR="00B242C3" w:rsidRPr="003272C7" w:rsidRDefault="00B242C3" w:rsidP="00A6017F">
            <w:pPr>
              <w:pStyle w:val="TableBullet"/>
              <w:rPr>
                <w:rFonts w:cs="Arial"/>
              </w:rPr>
            </w:pPr>
            <w:r w:rsidRPr="003272C7">
              <w:rPr>
                <w:rFonts w:cs="Arial"/>
              </w:rPr>
              <w:t>EC5 has demonstrated how the Program responds to the needs of the regions in supporting opportunities for Traditional Owner collaboration, whether it be supporting Traditional Owners who own agricultural land, or engaging with Traditional Owners on Drainage Course Declarations or co-hosting events to promote cultural learning and joint management.</w:t>
            </w:r>
          </w:p>
        </w:tc>
      </w:tr>
      <w:tr w:rsidR="00DD4B3C" w:rsidRPr="003272C7" w14:paraId="4AB9DB88" w14:textId="77777777" w:rsidTr="000452FB">
        <w:trPr>
          <w:trHeight w:val="259"/>
        </w:trPr>
        <w:tc>
          <w:tcPr>
            <w:tcW w:w="979" w:type="pct"/>
            <w:shd w:val="clear" w:color="auto" w:fill="231EDC" w:themeFill="accent1"/>
          </w:tcPr>
          <w:p w14:paraId="2B1E6D51" w14:textId="77777777" w:rsidR="00B242C3" w:rsidRPr="003272C7" w:rsidRDefault="00B242C3" w:rsidP="00A6017F">
            <w:pPr>
              <w:pStyle w:val="TableText"/>
              <w:rPr>
                <w:rFonts w:cs="Arial"/>
                <w:b/>
                <w:bCs/>
              </w:rPr>
            </w:pPr>
            <w:r w:rsidRPr="003272C7">
              <w:rPr>
                <w:rFonts w:cs="Arial"/>
                <w:b/>
                <w:bCs/>
              </w:rPr>
              <w:t>Efficiency</w:t>
            </w:r>
          </w:p>
        </w:tc>
        <w:tc>
          <w:tcPr>
            <w:tcW w:w="4021" w:type="pct"/>
          </w:tcPr>
          <w:p w14:paraId="638C648A" w14:textId="77777777" w:rsidR="00142559" w:rsidRPr="003272C7" w:rsidRDefault="00793399" w:rsidP="00FD6510">
            <w:pPr>
              <w:pStyle w:val="TableText"/>
              <w:rPr>
                <w:rFonts w:cs="Arial"/>
              </w:rPr>
            </w:pPr>
            <w:r w:rsidRPr="003272C7">
              <w:rPr>
                <w:rFonts w:cs="Arial"/>
              </w:rPr>
              <w:t>Innovations around the Drainage Course Declarations and associated engagement, design and implementation works has provided for cost-effective shift in the irrigation drainage program which can be built on in future investment to maximise environmental, drainage management outcomes.</w:t>
            </w:r>
          </w:p>
          <w:p w14:paraId="567F9EFE" w14:textId="6002B952" w:rsidR="00793399" w:rsidRPr="003272C7" w:rsidRDefault="00793399" w:rsidP="00FD6510">
            <w:pPr>
              <w:pStyle w:val="TableText"/>
              <w:rPr>
                <w:rFonts w:cs="Arial"/>
              </w:rPr>
            </w:pPr>
            <w:r w:rsidRPr="003272C7">
              <w:rPr>
                <w:rFonts w:cs="Arial"/>
              </w:rPr>
              <w:t>Investment through EC5 has supported the irrigation sector in reaping benefits of irrigation investment, including the distribution of water savings to funders including the irrigation sector.</w:t>
            </w:r>
          </w:p>
          <w:p w14:paraId="781734CE" w14:textId="77777777" w:rsidR="00142559" w:rsidRPr="003272C7" w:rsidRDefault="00DD4B3C" w:rsidP="00A6017F">
            <w:pPr>
              <w:pStyle w:val="TableBullet"/>
              <w:rPr>
                <w:rFonts w:cs="Arial"/>
              </w:rPr>
            </w:pPr>
            <w:r w:rsidRPr="003272C7">
              <w:rPr>
                <w:rFonts w:cs="Arial"/>
              </w:rPr>
              <w:t xml:space="preserve">Sustainable Irrigation Program </w:t>
            </w:r>
            <w:r w:rsidR="00793399" w:rsidRPr="003272C7">
              <w:rPr>
                <w:rFonts w:cs="Arial"/>
              </w:rPr>
              <w:t>has developed a guidance document to support good governance practices in the disbursement of public funds via grants programs. This has helped to support transparent decision-making practises which deliver the improved water management outcomes of the EC funding in a cost-effective way.</w:t>
            </w:r>
          </w:p>
          <w:p w14:paraId="49548688" w14:textId="12418EFD" w:rsidR="00B242C3" w:rsidRPr="003272C7" w:rsidRDefault="00793399" w:rsidP="00A6017F">
            <w:pPr>
              <w:pStyle w:val="TableBullet"/>
              <w:rPr>
                <w:rFonts w:cs="Arial"/>
              </w:rPr>
            </w:pPr>
            <w:r w:rsidRPr="003272C7">
              <w:rPr>
                <w:rFonts w:cs="Arial"/>
              </w:rPr>
              <w:t>RWP has completed the Irrigator’s Share Distribution (ISD) project, delivering 77.68 GL of water recovered under the Connections Project to eligible delivery shareholders in the Goulburn Murray Irrigation District. The project was undertaken in close collaboration with Goulburn Murray Water and irrigation stakeholders.</w:t>
            </w:r>
          </w:p>
        </w:tc>
      </w:tr>
      <w:tr w:rsidR="00DD4B3C" w:rsidRPr="003272C7" w14:paraId="687623A5" w14:textId="77777777" w:rsidTr="000452FB">
        <w:trPr>
          <w:trHeight w:val="259"/>
        </w:trPr>
        <w:tc>
          <w:tcPr>
            <w:tcW w:w="979" w:type="pct"/>
            <w:shd w:val="clear" w:color="auto" w:fill="231EDC" w:themeFill="accent1"/>
          </w:tcPr>
          <w:p w14:paraId="5727DF39" w14:textId="77777777" w:rsidR="00B242C3" w:rsidRPr="003272C7" w:rsidRDefault="00B242C3" w:rsidP="00A6017F">
            <w:pPr>
              <w:pStyle w:val="TableText"/>
              <w:rPr>
                <w:rFonts w:cs="Arial"/>
                <w:b/>
                <w:bCs/>
              </w:rPr>
            </w:pPr>
            <w:r w:rsidRPr="003272C7">
              <w:rPr>
                <w:rFonts w:cs="Arial"/>
                <w:b/>
                <w:bCs/>
              </w:rPr>
              <w:t>Legacy</w:t>
            </w:r>
          </w:p>
        </w:tc>
        <w:tc>
          <w:tcPr>
            <w:tcW w:w="4021" w:type="pct"/>
          </w:tcPr>
          <w:p w14:paraId="53087D6C" w14:textId="77777777" w:rsidR="00142559" w:rsidRPr="003272C7" w:rsidRDefault="00B242C3" w:rsidP="00A6017F">
            <w:pPr>
              <w:pStyle w:val="TableBullet"/>
              <w:rPr>
                <w:rFonts w:cs="Arial"/>
              </w:rPr>
            </w:pPr>
            <w:r w:rsidRPr="003272C7">
              <w:rPr>
                <w:rFonts w:cs="Arial"/>
              </w:rPr>
              <w:t>Investment in the planning and engagement processes through the land and water management planning framework and updating the Irrigation Development guidelines to ensure they remain contemporary to technology, policy, and legislation.</w:t>
            </w:r>
          </w:p>
          <w:p w14:paraId="2C626C00" w14:textId="77777777" w:rsidR="00142559" w:rsidRPr="003272C7" w:rsidRDefault="00B242C3" w:rsidP="00A6017F">
            <w:pPr>
              <w:pStyle w:val="TableBullet"/>
              <w:rPr>
                <w:rFonts w:cs="Arial"/>
              </w:rPr>
            </w:pPr>
            <w:r w:rsidRPr="003272C7">
              <w:rPr>
                <w:rFonts w:cs="Arial"/>
              </w:rPr>
              <w:t>Compliance with the BSM2030 ensuring Victoria’s ability to understand and manage salinity risks within the Victorian portion of the Murray</w:t>
            </w:r>
            <w:r w:rsidR="00DD4B3C" w:rsidRPr="003272C7">
              <w:rPr>
                <w:rFonts w:cs="Arial"/>
              </w:rPr>
              <w:t>-</w:t>
            </w:r>
            <w:r w:rsidRPr="003272C7">
              <w:rPr>
                <w:rFonts w:cs="Arial"/>
              </w:rPr>
              <w:t>Darling Basin.</w:t>
            </w:r>
          </w:p>
          <w:p w14:paraId="0353BB83" w14:textId="77777777" w:rsidR="00142559" w:rsidRPr="003272C7" w:rsidRDefault="00A9441F" w:rsidP="00A6017F">
            <w:pPr>
              <w:pStyle w:val="TableBullet"/>
              <w:rPr>
                <w:rFonts w:cs="Arial"/>
              </w:rPr>
            </w:pPr>
            <w:r w:rsidRPr="003272C7">
              <w:rPr>
                <w:rFonts w:cs="Arial"/>
              </w:rPr>
              <w:t>Finalisation of the Shepparton Irrigation Region Land and Water Management Plan 2050 which will enable continued community input to government efforts in supporting a sustainable and resilient irrigation sector in that region.</w:t>
            </w:r>
          </w:p>
          <w:p w14:paraId="1EC1DC6A" w14:textId="77777777" w:rsidR="00142559" w:rsidRPr="003272C7" w:rsidRDefault="00B242C3" w:rsidP="00A6017F">
            <w:pPr>
              <w:pStyle w:val="TableBullet"/>
              <w:rPr>
                <w:rFonts w:cs="Arial"/>
              </w:rPr>
            </w:pPr>
            <w:r w:rsidRPr="003272C7">
              <w:rPr>
                <w:rFonts w:cs="Arial"/>
              </w:rPr>
              <w:t>Development of responsive and current information on trends of land and water use, and data to support informed decisions about socio economic impacts of water recovery projects on the irrigation sector.</w:t>
            </w:r>
          </w:p>
          <w:p w14:paraId="6B63A321" w14:textId="49AA2107" w:rsidR="00B242C3" w:rsidRPr="003272C7" w:rsidRDefault="00BE2F1D" w:rsidP="00A6017F">
            <w:pPr>
              <w:pStyle w:val="TableBullet"/>
              <w:rPr>
                <w:rFonts w:cs="Arial"/>
              </w:rPr>
            </w:pPr>
            <w:r w:rsidRPr="003272C7">
              <w:rPr>
                <w:rFonts w:cs="Arial"/>
              </w:rPr>
              <w:t>RWP has completed the process to review the Lake Eildon Houseboats regulations, remaking the regulations in June 2024 following extensive government agency, stakeholder and community engagement. </w:t>
            </w:r>
          </w:p>
        </w:tc>
      </w:tr>
      <w:tr w:rsidR="00DD4B3C" w:rsidRPr="003272C7" w14:paraId="07B09583" w14:textId="77777777" w:rsidTr="000452FB">
        <w:trPr>
          <w:trHeight w:val="259"/>
        </w:trPr>
        <w:tc>
          <w:tcPr>
            <w:tcW w:w="979" w:type="pct"/>
            <w:shd w:val="clear" w:color="auto" w:fill="231EDC" w:themeFill="accent1"/>
          </w:tcPr>
          <w:p w14:paraId="1742581F" w14:textId="77777777" w:rsidR="00B242C3" w:rsidRPr="003272C7" w:rsidRDefault="00B242C3" w:rsidP="00A6017F">
            <w:pPr>
              <w:pStyle w:val="TableText"/>
              <w:rPr>
                <w:rFonts w:cs="Arial"/>
                <w:b/>
                <w:bCs/>
              </w:rPr>
            </w:pPr>
            <w:r w:rsidRPr="003272C7">
              <w:rPr>
                <w:rFonts w:cs="Arial"/>
                <w:b/>
                <w:bCs/>
              </w:rPr>
              <w:lastRenderedPageBreak/>
              <w:t>Future priorities</w:t>
            </w:r>
          </w:p>
        </w:tc>
        <w:tc>
          <w:tcPr>
            <w:tcW w:w="4021" w:type="pct"/>
          </w:tcPr>
          <w:p w14:paraId="23ED2264" w14:textId="77777777" w:rsidR="00142559" w:rsidRPr="003272C7" w:rsidRDefault="00B242C3" w:rsidP="00A6017F">
            <w:pPr>
              <w:pStyle w:val="TableBullet"/>
              <w:rPr>
                <w:rFonts w:cs="Arial"/>
              </w:rPr>
            </w:pPr>
            <w:r w:rsidRPr="003272C7">
              <w:rPr>
                <w:rFonts w:cs="Arial"/>
              </w:rPr>
              <w:t>There is a key need to continue the implementation of BSM2030. Salinity risk in Victoria is dynamic and requires constant adaptation to mitigate risk and meet our state and federal obligations.</w:t>
            </w:r>
          </w:p>
          <w:p w14:paraId="6F27F9DB" w14:textId="77777777" w:rsidR="00142559" w:rsidRPr="003272C7" w:rsidRDefault="00BE2F1D" w:rsidP="00A6017F">
            <w:pPr>
              <w:pStyle w:val="TableBullet"/>
              <w:rPr>
                <w:rFonts w:cs="Arial"/>
              </w:rPr>
            </w:pPr>
            <w:r w:rsidRPr="003272C7">
              <w:rPr>
                <w:rFonts w:cs="Arial"/>
              </w:rPr>
              <w:t xml:space="preserve">BSM2030 review – The MDBA will commence a strategic review of BSM2030 in consultation with Basin jurisdictions in 2026 with long-term impacts to salinity management in Victoria and across the Basin. Preparations for Victoria have begun during EC5 in 2022. This involved DEECA, CMAs and </w:t>
            </w:r>
            <w:r w:rsidR="00DD4B3C" w:rsidRPr="003272C7">
              <w:rPr>
                <w:rFonts w:cs="Arial"/>
              </w:rPr>
              <w:t>w</w:t>
            </w:r>
            <w:r w:rsidRPr="003272C7">
              <w:rPr>
                <w:rFonts w:cs="Arial"/>
              </w:rPr>
              <w:t xml:space="preserve">ater </w:t>
            </w:r>
            <w:r w:rsidR="00DD4B3C" w:rsidRPr="003272C7">
              <w:rPr>
                <w:rFonts w:cs="Arial"/>
              </w:rPr>
              <w:t>c</w:t>
            </w:r>
            <w:r w:rsidRPr="003272C7">
              <w:rPr>
                <w:rFonts w:cs="Arial"/>
              </w:rPr>
              <w:t xml:space="preserve">orporations undertaking strategic review workshops and progressing key salinity impact assessments such as the Victorian Mid-Murray Storages salinity impact assessment and Shepparton Irrigation Region Land and Water Management Plan accountable action review. These activities </w:t>
            </w:r>
            <w:r w:rsidR="00DD4B3C" w:rsidRPr="003272C7">
              <w:rPr>
                <w:rFonts w:cs="Arial"/>
              </w:rPr>
              <w:t>have</w:t>
            </w:r>
            <w:r w:rsidRPr="003272C7">
              <w:rPr>
                <w:rFonts w:cs="Arial"/>
              </w:rPr>
              <w:t xml:space="preserve"> provided input for MDBA to consider in scoping the BSM2030 strategic review. They will also establish a technically sound understanding of salinity management in the Basin at the start of the strategic review and position Victoria to provide informed policy input during the strategic review. DEECA, CMAs and </w:t>
            </w:r>
            <w:r w:rsidR="00DD4B3C" w:rsidRPr="003272C7">
              <w:rPr>
                <w:rFonts w:cs="Arial"/>
              </w:rPr>
              <w:t>w</w:t>
            </w:r>
            <w:r w:rsidRPr="003272C7">
              <w:rPr>
                <w:rFonts w:cs="Arial"/>
              </w:rPr>
              <w:t xml:space="preserve">ater </w:t>
            </w:r>
            <w:r w:rsidR="00DD4B3C" w:rsidRPr="003272C7">
              <w:rPr>
                <w:rFonts w:cs="Arial"/>
              </w:rPr>
              <w:t>c</w:t>
            </w:r>
            <w:r w:rsidRPr="003272C7">
              <w:rPr>
                <w:rFonts w:cs="Arial"/>
              </w:rPr>
              <w:t>orporations will need to undertake further technical and strategic activities during the life of the BSM2030 strategic review to position Victoria as an effective partner.</w:t>
            </w:r>
          </w:p>
          <w:p w14:paraId="6A448C71" w14:textId="53514098" w:rsidR="00B242C3" w:rsidRPr="003272C7" w:rsidRDefault="00DD4B3C" w:rsidP="00A6017F">
            <w:pPr>
              <w:pStyle w:val="TableBullet"/>
              <w:rPr>
                <w:rFonts w:cs="Arial"/>
              </w:rPr>
            </w:pPr>
            <w:r w:rsidRPr="003272C7">
              <w:rPr>
                <w:rFonts w:cs="Arial"/>
              </w:rPr>
              <w:t>LWMP</w:t>
            </w:r>
            <w:r w:rsidR="00B242C3" w:rsidRPr="003272C7">
              <w:rPr>
                <w:rFonts w:cs="Arial"/>
              </w:rPr>
              <w:t>s have a strong history in delivery results for irrigators, the broader community and the environment. LWMPs are a key mechanism to secure future support for these stakeholders, especially helping them adapt to regional-specific issues and a constantly changing sector.</w:t>
            </w:r>
            <w:r w:rsidR="0003359F" w:rsidRPr="003272C7">
              <w:rPr>
                <w:rFonts w:cs="Arial"/>
              </w:rPr>
              <w:t xml:space="preserve"> During EC5 LWMPs in 5 catchment regions have been implemented and reviews/updates have been occurring (with a new plan for the Shepparton Irrigation Region prepared by G</w:t>
            </w:r>
            <w:r w:rsidRPr="003272C7">
              <w:rPr>
                <w:rFonts w:cs="Arial"/>
              </w:rPr>
              <w:t>oulburn-</w:t>
            </w:r>
            <w:r w:rsidR="0003359F" w:rsidRPr="003272C7">
              <w:rPr>
                <w:rFonts w:cs="Arial"/>
              </w:rPr>
              <w:t>B</w:t>
            </w:r>
            <w:r w:rsidRPr="003272C7">
              <w:rPr>
                <w:rFonts w:cs="Arial"/>
              </w:rPr>
              <w:t>roken</w:t>
            </w:r>
            <w:r w:rsidR="0003359F" w:rsidRPr="003272C7">
              <w:rPr>
                <w:rFonts w:cs="Arial"/>
              </w:rPr>
              <w:t xml:space="preserve"> CMA with input from partners including N</w:t>
            </w:r>
            <w:r w:rsidRPr="003272C7">
              <w:rPr>
                <w:rFonts w:cs="Arial"/>
              </w:rPr>
              <w:t xml:space="preserve">orth </w:t>
            </w:r>
            <w:r w:rsidR="0003359F" w:rsidRPr="003272C7">
              <w:rPr>
                <w:rFonts w:cs="Arial"/>
              </w:rPr>
              <w:t>C</w:t>
            </w:r>
            <w:r w:rsidRPr="003272C7">
              <w:rPr>
                <w:rFonts w:cs="Arial"/>
              </w:rPr>
              <w:t>entral</w:t>
            </w:r>
            <w:r w:rsidR="0003359F" w:rsidRPr="003272C7">
              <w:rPr>
                <w:rFonts w:cs="Arial"/>
              </w:rPr>
              <w:t xml:space="preserve"> CMA as a neighbouring catchment). This work funded through the EC5 project has aided regional priority setting to be contemporary to emerging issues and to take on information gained through activities such as the land use mapping project outputs.</w:t>
            </w:r>
          </w:p>
          <w:p w14:paraId="62CCB599" w14:textId="49A6D095" w:rsidR="00B242C3" w:rsidRPr="003272C7" w:rsidRDefault="00DD4B3C" w:rsidP="00A6017F">
            <w:pPr>
              <w:pStyle w:val="TableBullet"/>
              <w:rPr>
                <w:rFonts w:cs="Arial"/>
              </w:rPr>
            </w:pPr>
            <w:r w:rsidRPr="003272C7">
              <w:rPr>
                <w:rFonts w:cs="Arial"/>
              </w:rPr>
              <w:t xml:space="preserve">Sustainable Irrigation Program </w:t>
            </w:r>
            <w:r w:rsidR="0003359F" w:rsidRPr="003272C7">
              <w:rPr>
                <w:rFonts w:cs="Arial"/>
              </w:rPr>
              <w:t>with delivery partners to ensure that the irrigation drainage program continues to be responsive to the changing climatic conditions, irrigation land-use patterns and institutional approaches to the funding any agreed drainage management</w:t>
            </w:r>
            <w:r w:rsidRPr="003272C7">
              <w:rPr>
                <w:rFonts w:cs="Arial"/>
              </w:rPr>
              <w:t>.</w:t>
            </w:r>
            <w:r w:rsidR="0003359F" w:rsidRPr="003272C7">
              <w:rPr>
                <w:rFonts w:cs="Arial"/>
              </w:rPr>
              <w:t xml:space="preserve"> Given i</w:t>
            </w:r>
            <w:r w:rsidR="00B242C3" w:rsidRPr="003272C7">
              <w:rPr>
                <w:rFonts w:cs="Arial"/>
              </w:rPr>
              <w:t>t is a function that is closely linked to on-farm productivity and off-farm impacts and will promote the sustainability and viability of regions</w:t>
            </w:r>
            <w:r w:rsidR="005C613C" w:rsidRPr="003272C7">
              <w:rPr>
                <w:rFonts w:cs="Arial"/>
              </w:rPr>
              <w:t>, this will need ongoing consideration in addition to the environmental benefits that accrue due to reinstatement of more natural water flows.</w:t>
            </w:r>
          </w:p>
          <w:p w14:paraId="7D0FD5D7" w14:textId="77777777" w:rsidR="00142559" w:rsidRPr="003272C7" w:rsidRDefault="005C613C" w:rsidP="00A6017F">
            <w:pPr>
              <w:pStyle w:val="TableBullet"/>
              <w:rPr>
                <w:rFonts w:cs="Arial"/>
              </w:rPr>
            </w:pPr>
            <w:r w:rsidRPr="003272C7">
              <w:rPr>
                <w:rFonts w:cs="Arial"/>
              </w:rPr>
              <w:t>There will be a need to continue actively managing and responding to socioeconomic impacts of further water recovery under the Basin Plan in partnership with key government agencies, stakeholders and the community.</w:t>
            </w:r>
          </w:p>
          <w:p w14:paraId="625F93A9" w14:textId="20D3EBF5" w:rsidR="00B242C3" w:rsidRPr="003272C7" w:rsidRDefault="00B242C3" w:rsidP="00A6017F">
            <w:pPr>
              <w:pStyle w:val="TableBullet"/>
              <w:rPr>
                <w:rFonts w:cs="Arial"/>
              </w:rPr>
            </w:pPr>
            <w:r w:rsidRPr="003272C7">
              <w:rPr>
                <w:rFonts w:cs="Arial"/>
              </w:rPr>
              <w:t xml:space="preserve">There are always new and emerging risks in this sector, for example climate change or cumulative impacts of increased development. For the sector to adapt, the </w:t>
            </w:r>
            <w:r w:rsidR="00445736" w:rsidRPr="003272C7">
              <w:rPr>
                <w:rFonts w:cs="Arial"/>
              </w:rPr>
              <w:t>project</w:t>
            </w:r>
            <w:r w:rsidRPr="003272C7">
              <w:rPr>
                <w:rFonts w:cs="Arial"/>
              </w:rPr>
              <w:t xml:space="preserve"> must continue to provide extension support to irrigators, whether it be improving knowledge, resilience or providing practical assistance. Extension support was paramount in the response to the 2022 floods. It will be paramount to </w:t>
            </w:r>
            <w:r w:rsidR="005C613C" w:rsidRPr="003272C7">
              <w:rPr>
                <w:rFonts w:cs="Arial"/>
              </w:rPr>
              <w:t>support irrigated agriculture sector resilience to</w:t>
            </w:r>
            <w:r w:rsidRPr="003272C7">
              <w:rPr>
                <w:rFonts w:cs="Arial"/>
              </w:rPr>
              <w:t xml:space="preserve"> future dry seasons. This cannot be undervalued to promote adaptation and protect future prosperity. </w:t>
            </w:r>
          </w:p>
        </w:tc>
      </w:tr>
    </w:tbl>
    <w:p w14:paraId="1C647146" w14:textId="77777777" w:rsidR="00B242C3" w:rsidRPr="003272C7" w:rsidRDefault="00B242C3" w:rsidP="00B242C3">
      <w:pPr>
        <w:pStyle w:val="Heading2"/>
        <w:rPr>
          <w:rFonts w:cs="Arial"/>
        </w:rPr>
      </w:pPr>
      <w:bookmarkStart w:id="55" w:name="_Toc147410793"/>
      <w:bookmarkStart w:id="56" w:name="_Toc183777801"/>
      <w:r w:rsidRPr="003272C7">
        <w:rPr>
          <w:rFonts w:cs="Arial"/>
        </w:rPr>
        <w:t>CWCT06: Aboriginal Water Program</w:t>
      </w:r>
      <w:bookmarkEnd w:id="55"/>
      <w:bookmarkEnd w:id="5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94FC4F5" w14:textId="77777777" w:rsidTr="008210E5">
        <w:trPr>
          <w:trHeight w:val="395"/>
        </w:trPr>
        <w:tc>
          <w:tcPr>
            <w:tcW w:w="979" w:type="pct"/>
            <w:shd w:val="clear" w:color="auto" w:fill="231EDC" w:themeFill="accent1"/>
          </w:tcPr>
          <w:p w14:paraId="545A4420" w14:textId="1DB10915" w:rsidR="00B242C3" w:rsidRPr="003272C7" w:rsidRDefault="00C412A9" w:rsidP="00FD6510">
            <w:pPr>
              <w:pStyle w:val="TableHeading"/>
              <w:rPr>
                <w:rFonts w:cs="Arial"/>
              </w:rPr>
            </w:pPr>
            <w:r w:rsidRPr="003272C7">
              <w:rPr>
                <w:rFonts w:cs="Arial"/>
              </w:rPr>
              <w:t>Initiative</w:t>
            </w:r>
          </w:p>
        </w:tc>
        <w:tc>
          <w:tcPr>
            <w:tcW w:w="4021" w:type="pct"/>
            <w:shd w:val="clear" w:color="auto" w:fill="231EDC" w:themeFill="accent1"/>
          </w:tcPr>
          <w:p w14:paraId="25F45439" w14:textId="550CD85D" w:rsidR="00B242C3" w:rsidRPr="003272C7" w:rsidRDefault="65A7A255" w:rsidP="00FD6510">
            <w:pPr>
              <w:pStyle w:val="TableHeading"/>
              <w:rPr>
                <w:rFonts w:cs="Arial"/>
              </w:rPr>
            </w:pPr>
            <w:r w:rsidRPr="003272C7">
              <w:rPr>
                <w:rFonts w:cs="Arial"/>
              </w:rPr>
              <w:t>7.</w:t>
            </w:r>
            <w:r w:rsidR="1EC5239A" w:rsidRPr="003272C7">
              <w:rPr>
                <w:rFonts w:cs="Arial"/>
              </w:rPr>
              <w:t xml:space="preserve"> </w:t>
            </w:r>
            <w:r w:rsidRPr="003272C7">
              <w:rPr>
                <w:rFonts w:cs="Arial"/>
              </w:rPr>
              <w:t>Improving recognition and management of water by Traditional Owners and Aboriginal Victorians</w:t>
            </w:r>
          </w:p>
        </w:tc>
      </w:tr>
      <w:tr w:rsidR="00B242C3" w:rsidRPr="003272C7" w14:paraId="2F35562C" w14:textId="77777777" w:rsidTr="008210E5">
        <w:trPr>
          <w:trHeight w:val="341"/>
        </w:trPr>
        <w:tc>
          <w:tcPr>
            <w:tcW w:w="979" w:type="pct"/>
            <w:shd w:val="clear" w:color="auto" w:fill="231EDC" w:themeFill="accent1"/>
          </w:tcPr>
          <w:p w14:paraId="7443B1F5" w14:textId="77777777" w:rsidR="00B242C3" w:rsidRPr="003272C7" w:rsidRDefault="00B242C3" w:rsidP="00FD6510">
            <w:pPr>
              <w:pStyle w:val="TableText"/>
              <w:rPr>
                <w:rFonts w:cs="Arial"/>
                <w:b/>
                <w:bCs/>
              </w:rPr>
            </w:pPr>
            <w:r w:rsidRPr="003272C7">
              <w:rPr>
                <w:rFonts w:cs="Arial"/>
                <w:b/>
                <w:bCs/>
              </w:rPr>
              <w:t>Project</w:t>
            </w:r>
          </w:p>
        </w:tc>
        <w:tc>
          <w:tcPr>
            <w:tcW w:w="4021" w:type="pct"/>
          </w:tcPr>
          <w:p w14:paraId="640F04BB" w14:textId="77777777" w:rsidR="00B242C3" w:rsidRPr="003272C7" w:rsidRDefault="00B242C3" w:rsidP="00FD6510">
            <w:pPr>
              <w:pStyle w:val="TableText"/>
              <w:rPr>
                <w:rFonts w:cs="Arial"/>
              </w:rPr>
            </w:pPr>
            <w:r w:rsidRPr="003272C7">
              <w:rPr>
                <w:rFonts w:cs="Arial"/>
              </w:rPr>
              <w:t>CWCT06: Aboriginal Water Program</w:t>
            </w:r>
          </w:p>
        </w:tc>
      </w:tr>
      <w:tr w:rsidR="00B242C3" w:rsidRPr="003272C7" w14:paraId="291FC444" w14:textId="77777777" w:rsidTr="008210E5">
        <w:trPr>
          <w:trHeight w:val="259"/>
        </w:trPr>
        <w:tc>
          <w:tcPr>
            <w:tcW w:w="979" w:type="pct"/>
            <w:shd w:val="clear" w:color="auto" w:fill="231EDC" w:themeFill="accent1"/>
          </w:tcPr>
          <w:p w14:paraId="2C37A077" w14:textId="77777777" w:rsidR="00B242C3" w:rsidRPr="003272C7" w:rsidRDefault="00B242C3" w:rsidP="00FD6510">
            <w:pPr>
              <w:pStyle w:val="TableText"/>
              <w:rPr>
                <w:rFonts w:cs="Arial"/>
                <w:b/>
                <w:bCs/>
              </w:rPr>
            </w:pPr>
            <w:r w:rsidRPr="003272C7">
              <w:rPr>
                <w:rFonts w:cs="Arial"/>
                <w:b/>
                <w:bCs/>
              </w:rPr>
              <w:t>Description</w:t>
            </w:r>
          </w:p>
          <w:p w14:paraId="6D13BDD5" w14:textId="77777777" w:rsidR="00B242C3" w:rsidRPr="003272C7" w:rsidRDefault="00B242C3" w:rsidP="00FD6510">
            <w:pPr>
              <w:pStyle w:val="TableText"/>
              <w:rPr>
                <w:rFonts w:cs="Arial"/>
                <w:b/>
                <w:bCs/>
              </w:rPr>
            </w:pPr>
          </w:p>
        </w:tc>
        <w:tc>
          <w:tcPr>
            <w:tcW w:w="4021" w:type="pct"/>
          </w:tcPr>
          <w:p w14:paraId="296694F5" w14:textId="1D70DC7F" w:rsidR="00B242C3" w:rsidRPr="003272C7" w:rsidRDefault="00B242C3" w:rsidP="00FD6510">
            <w:pPr>
              <w:pStyle w:val="TableText"/>
              <w:rPr>
                <w:rFonts w:cs="Arial"/>
              </w:rPr>
            </w:pPr>
            <w:r w:rsidRPr="003272C7">
              <w:rPr>
                <w:rFonts w:cs="Arial"/>
              </w:rPr>
              <w:t xml:space="preserve">This investment seeks to address the impacts of the historical exclusion of Traditional Owners and Aboriginal Victorians from the way that water is managed, accessed and used in Victoria. The investment into this </w:t>
            </w:r>
            <w:r w:rsidR="00445736" w:rsidRPr="003272C7">
              <w:rPr>
                <w:rFonts w:cs="Arial"/>
              </w:rPr>
              <w:t>project</w:t>
            </w:r>
            <w:r w:rsidRPr="003272C7">
              <w:rPr>
                <w:rFonts w:cs="Arial"/>
              </w:rPr>
              <w:t xml:space="preserve"> will address the problem by:</w:t>
            </w:r>
          </w:p>
          <w:p w14:paraId="5F6D4927" w14:textId="0ADA3E96" w:rsidR="00B242C3" w:rsidRPr="003272C7" w:rsidRDefault="00B242C3" w:rsidP="00FD6510">
            <w:pPr>
              <w:pStyle w:val="TableBullet"/>
              <w:rPr>
                <w:rFonts w:cs="Arial"/>
              </w:rPr>
            </w:pPr>
            <w:r w:rsidRPr="003272C7">
              <w:rPr>
                <w:rFonts w:cs="Arial"/>
              </w:rPr>
              <w:t>Supporting Traditional Owner involvement in water management by funding Aboriginal Water Officer positions</w:t>
            </w:r>
            <w:r w:rsidR="00DD4B3C" w:rsidRPr="003272C7">
              <w:rPr>
                <w:rFonts w:cs="Arial"/>
              </w:rPr>
              <w:t>.</w:t>
            </w:r>
          </w:p>
          <w:p w14:paraId="7E9C4850" w14:textId="56E9D974" w:rsidR="00B242C3" w:rsidRPr="003272C7" w:rsidRDefault="00B242C3" w:rsidP="00FD6510">
            <w:pPr>
              <w:pStyle w:val="TableBullet"/>
              <w:rPr>
                <w:rFonts w:cs="Arial"/>
              </w:rPr>
            </w:pPr>
            <w:r w:rsidRPr="003272C7">
              <w:rPr>
                <w:rFonts w:cs="Arial"/>
              </w:rPr>
              <w:lastRenderedPageBreak/>
              <w:t>Maintaining governance resourcing for the current number of meetings of the Aboriginal Water Officer Network per year</w:t>
            </w:r>
            <w:r w:rsidR="00DD4B3C" w:rsidRPr="003272C7">
              <w:rPr>
                <w:rFonts w:cs="Arial"/>
              </w:rPr>
              <w:t>.</w:t>
            </w:r>
          </w:p>
          <w:p w14:paraId="4C8F1B86" w14:textId="2612E454" w:rsidR="00B242C3" w:rsidRPr="003272C7" w:rsidRDefault="00B242C3" w:rsidP="00FD6510">
            <w:pPr>
              <w:pStyle w:val="TableBullet"/>
              <w:rPr>
                <w:rFonts w:cs="Arial"/>
              </w:rPr>
            </w:pPr>
            <w:r w:rsidRPr="003272C7">
              <w:rPr>
                <w:rFonts w:cs="Arial"/>
              </w:rPr>
              <w:t>Employing V</w:t>
            </w:r>
            <w:r w:rsidR="00DD4B3C" w:rsidRPr="003272C7">
              <w:rPr>
                <w:rFonts w:cs="Arial"/>
              </w:rPr>
              <w:t xml:space="preserve">ictorian </w:t>
            </w:r>
            <w:r w:rsidRPr="003272C7">
              <w:rPr>
                <w:rFonts w:cs="Arial"/>
              </w:rPr>
              <w:t>P</w:t>
            </w:r>
            <w:r w:rsidR="00DD4B3C" w:rsidRPr="003272C7">
              <w:rPr>
                <w:rFonts w:cs="Arial"/>
              </w:rPr>
              <w:t xml:space="preserve">ublic </w:t>
            </w:r>
            <w:r w:rsidRPr="003272C7">
              <w:rPr>
                <w:rFonts w:cs="Arial"/>
              </w:rPr>
              <w:t>S</w:t>
            </w:r>
            <w:r w:rsidR="00DD4B3C" w:rsidRPr="003272C7">
              <w:rPr>
                <w:rFonts w:cs="Arial"/>
              </w:rPr>
              <w:t>ervice</w:t>
            </w:r>
            <w:r w:rsidRPr="003272C7">
              <w:rPr>
                <w:rFonts w:cs="Arial"/>
              </w:rPr>
              <w:t xml:space="preserve"> staff to facilitate the Aboriginal Water Program, establish and proactively manage funding agreements, develop the Aboriginal Access to Water Roadmap, and build and maintain effective, respectful relationships with Traditional Owner partners as a foundation for W</w:t>
            </w:r>
            <w:r w:rsidR="00DD4B3C" w:rsidRPr="003272C7">
              <w:rPr>
                <w:rFonts w:cs="Arial"/>
              </w:rPr>
              <w:t xml:space="preserve">ater and </w:t>
            </w:r>
            <w:r w:rsidRPr="003272C7">
              <w:rPr>
                <w:rFonts w:cs="Arial"/>
              </w:rPr>
              <w:t>C</w:t>
            </w:r>
            <w:r w:rsidR="00DD4B3C" w:rsidRPr="003272C7">
              <w:rPr>
                <w:rFonts w:cs="Arial"/>
              </w:rPr>
              <w:t xml:space="preserve">atchment </w:t>
            </w:r>
            <w:r w:rsidRPr="003272C7">
              <w:rPr>
                <w:rFonts w:cs="Arial"/>
              </w:rPr>
              <w:t>G</w:t>
            </w:r>
            <w:r w:rsidR="00DD4B3C" w:rsidRPr="003272C7">
              <w:rPr>
                <w:rFonts w:cs="Arial"/>
              </w:rPr>
              <w:t>roup</w:t>
            </w:r>
            <w:r w:rsidRPr="003272C7">
              <w:rPr>
                <w:rFonts w:cs="Arial"/>
              </w:rPr>
              <w:t>’s work.</w:t>
            </w:r>
          </w:p>
        </w:tc>
      </w:tr>
      <w:tr w:rsidR="00B242C3" w:rsidRPr="003272C7" w14:paraId="21CEF6E0" w14:textId="77777777" w:rsidTr="008210E5">
        <w:trPr>
          <w:trHeight w:val="259"/>
        </w:trPr>
        <w:tc>
          <w:tcPr>
            <w:tcW w:w="979" w:type="pct"/>
            <w:shd w:val="clear" w:color="auto" w:fill="231EDC" w:themeFill="accent1"/>
          </w:tcPr>
          <w:p w14:paraId="42B91D59" w14:textId="77777777" w:rsidR="00B242C3" w:rsidRPr="003272C7" w:rsidRDefault="00B242C3" w:rsidP="00FD6510">
            <w:pPr>
              <w:pStyle w:val="TableText"/>
              <w:rPr>
                <w:rFonts w:cs="Arial"/>
                <w:b/>
                <w:bCs/>
              </w:rPr>
            </w:pPr>
            <w:r w:rsidRPr="003272C7">
              <w:rPr>
                <w:rFonts w:cs="Arial"/>
                <w:b/>
                <w:bCs/>
              </w:rPr>
              <w:lastRenderedPageBreak/>
              <w:t>Outputs</w:t>
            </w:r>
          </w:p>
        </w:tc>
        <w:tc>
          <w:tcPr>
            <w:tcW w:w="4021" w:type="pct"/>
          </w:tcPr>
          <w:p w14:paraId="3D19830B" w14:textId="77777777" w:rsidR="00142559" w:rsidRPr="003272C7" w:rsidRDefault="00B242C3" w:rsidP="00FD6510">
            <w:pPr>
              <w:pStyle w:val="TableBullet"/>
              <w:rPr>
                <w:rFonts w:cs="Arial"/>
              </w:rPr>
            </w:pPr>
            <w:r w:rsidRPr="003272C7">
              <w:rPr>
                <w:rFonts w:cs="Arial"/>
              </w:rPr>
              <w:t>Traditional Owners are employed in the water sector.</w:t>
            </w:r>
          </w:p>
          <w:p w14:paraId="13F1CE51" w14:textId="77777777" w:rsidR="00142559" w:rsidRPr="003272C7" w:rsidRDefault="00B242C3" w:rsidP="00FD6510">
            <w:pPr>
              <w:pStyle w:val="TableBullet"/>
              <w:rPr>
                <w:rFonts w:cs="Arial"/>
              </w:rPr>
            </w:pPr>
            <w:r w:rsidRPr="003272C7">
              <w:rPr>
                <w:rFonts w:cs="Arial"/>
              </w:rPr>
              <w:t>Traditional Owners are supported to self-determine priorities, involvement and projects in the water sector</w:t>
            </w:r>
          </w:p>
          <w:p w14:paraId="74FCAA07" w14:textId="77777777" w:rsidR="00142559" w:rsidRPr="003272C7" w:rsidRDefault="00B242C3" w:rsidP="00FD6510">
            <w:pPr>
              <w:pStyle w:val="TableBullet"/>
              <w:rPr>
                <w:rFonts w:cs="Arial"/>
              </w:rPr>
            </w:pPr>
            <w:r w:rsidRPr="003272C7">
              <w:rPr>
                <w:rFonts w:cs="Arial"/>
              </w:rPr>
              <w:t>Traditional Owners influence over water policy and management decision-making is increased.</w:t>
            </w:r>
          </w:p>
          <w:p w14:paraId="24B3B012" w14:textId="77777777" w:rsidR="00142559" w:rsidRPr="003272C7" w:rsidRDefault="00B242C3" w:rsidP="00FD6510">
            <w:pPr>
              <w:pStyle w:val="TableBullet"/>
              <w:rPr>
                <w:rFonts w:cs="Arial"/>
              </w:rPr>
            </w:pPr>
            <w:r w:rsidRPr="003272C7">
              <w:rPr>
                <w:rFonts w:cs="Arial"/>
              </w:rPr>
              <w:t>Aboriginal values, priorities and knowledge of water are acknowledged, documented and influence water policy, management and opportunities.</w:t>
            </w:r>
          </w:p>
          <w:p w14:paraId="754A1924" w14:textId="77777777" w:rsidR="00142559" w:rsidRPr="003272C7" w:rsidRDefault="00B242C3" w:rsidP="00FD6510">
            <w:pPr>
              <w:pStyle w:val="TableBullet"/>
              <w:rPr>
                <w:rFonts w:cs="Arial"/>
              </w:rPr>
            </w:pPr>
            <w:r w:rsidRPr="003272C7">
              <w:rPr>
                <w:rFonts w:cs="Arial"/>
              </w:rPr>
              <w:t>Traditional Owners are enabled to manage water for cultural, commercial and spiritual purposes</w:t>
            </w:r>
          </w:p>
          <w:p w14:paraId="78098F64" w14:textId="215281CB" w:rsidR="00B242C3" w:rsidRPr="003272C7" w:rsidRDefault="00B242C3" w:rsidP="00FD6510">
            <w:pPr>
              <w:pStyle w:val="TableBullet"/>
              <w:rPr>
                <w:rFonts w:cs="Arial"/>
              </w:rPr>
            </w:pPr>
            <w:r w:rsidRPr="003272C7">
              <w:rPr>
                <w:rFonts w:cs="Arial"/>
              </w:rPr>
              <w:t xml:space="preserve">A Traditional Owner Access to Water Roadmap is developed. </w:t>
            </w:r>
          </w:p>
        </w:tc>
      </w:tr>
      <w:tr w:rsidR="00B242C3" w:rsidRPr="003272C7" w14:paraId="3D956FD0" w14:textId="77777777" w:rsidTr="00521367">
        <w:trPr>
          <w:trHeight w:val="259"/>
        </w:trPr>
        <w:tc>
          <w:tcPr>
            <w:tcW w:w="5000" w:type="pct"/>
            <w:gridSpan w:val="2"/>
            <w:shd w:val="clear" w:color="auto" w:fill="231EDC" w:themeFill="accent1"/>
          </w:tcPr>
          <w:p w14:paraId="1BE1B97B" w14:textId="77777777" w:rsidR="00B242C3" w:rsidRPr="003272C7" w:rsidRDefault="00B242C3" w:rsidP="00521367">
            <w:pPr>
              <w:pStyle w:val="TableText"/>
              <w:rPr>
                <w:rFonts w:cs="Arial"/>
                <w:b/>
                <w:bCs/>
              </w:rPr>
            </w:pPr>
            <w:r w:rsidRPr="003272C7">
              <w:rPr>
                <w:rFonts w:cs="Arial"/>
                <w:b/>
                <w:bCs/>
              </w:rPr>
              <w:t>Summary against evaluation domains</w:t>
            </w:r>
          </w:p>
        </w:tc>
      </w:tr>
      <w:tr w:rsidR="00B242C3" w:rsidRPr="003272C7" w14:paraId="220476BB" w14:textId="77777777" w:rsidTr="008210E5">
        <w:trPr>
          <w:trHeight w:val="259"/>
        </w:trPr>
        <w:tc>
          <w:tcPr>
            <w:tcW w:w="979" w:type="pct"/>
            <w:shd w:val="clear" w:color="auto" w:fill="231EDC" w:themeFill="accent1"/>
          </w:tcPr>
          <w:p w14:paraId="28EF4705" w14:textId="77777777" w:rsidR="00B242C3" w:rsidRPr="003272C7" w:rsidRDefault="00B242C3" w:rsidP="00FD6510">
            <w:pPr>
              <w:pStyle w:val="TableText"/>
              <w:rPr>
                <w:rFonts w:cs="Arial"/>
                <w:b/>
                <w:bCs/>
              </w:rPr>
            </w:pPr>
            <w:r w:rsidRPr="003272C7">
              <w:rPr>
                <w:rFonts w:cs="Arial"/>
                <w:b/>
                <w:bCs/>
              </w:rPr>
              <w:t>Impact</w:t>
            </w:r>
          </w:p>
        </w:tc>
        <w:tc>
          <w:tcPr>
            <w:tcW w:w="4021" w:type="pct"/>
          </w:tcPr>
          <w:p w14:paraId="7E845717" w14:textId="0769F6CA" w:rsidR="00B242C3" w:rsidRPr="003272C7" w:rsidRDefault="00B242C3" w:rsidP="00FD6510">
            <w:pPr>
              <w:pStyle w:val="TableTextBold"/>
              <w:rPr>
                <w:rFonts w:cs="Arial"/>
              </w:rPr>
            </w:pPr>
            <w:r w:rsidRPr="003272C7">
              <w:rPr>
                <w:rFonts w:cs="Arial"/>
              </w:rPr>
              <w:t>Key change – development, release and commencing implementation of Water is Life: Traditional Owner Access to Water Roadmap</w:t>
            </w:r>
            <w:r w:rsidR="00DD4B3C" w:rsidRPr="003272C7">
              <w:rPr>
                <w:rFonts w:cs="Arial"/>
              </w:rPr>
              <w:t>:</w:t>
            </w:r>
          </w:p>
          <w:p w14:paraId="205AE4AB" w14:textId="77777777" w:rsidR="00142559" w:rsidRPr="003272C7" w:rsidRDefault="00B242C3" w:rsidP="00FD6510">
            <w:pPr>
              <w:pStyle w:val="TableBullet"/>
              <w:rPr>
                <w:rFonts w:cs="Arial"/>
              </w:rPr>
            </w:pPr>
            <w:r w:rsidRPr="003272C7">
              <w:rPr>
                <w:rFonts w:cs="Arial"/>
              </w:rPr>
              <w:t>Released in September 2022, Water is Life</w:t>
            </w:r>
            <w:r w:rsidR="00DD4B3C" w:rsidRPr="003272C7">
              <w:rPr>
                <w:rFonts w:cs="Arial"/>
              </w:rPr>
              <w:t xml:space="preserve"> </w:t>
            </w:r>
            <w:r w:rsidRPr="003272C7">
              <w:rPr>
                <w:rFonts w:cs="Arial"/>
              </w:rPr>
              <w:t xml:space="preserve">is a nation-leading multi-lingual policy that places government’s policy position and </w:t>
            </w:r>
            <w:r w:rsidR="00DD4B3C" w:rsidRPr="003272C7">
              <w:rPr>
                <w:rFonts w:cs="Arial"/>
              </w:rPr>
              <w:t xml:space="preserve">Traditional Owner </w:t>
            </w:r>
            <w:r w:rsidRPr="003272C7">
              <w:rPr>
                <w:rFonts w:cs="Arial"/>
              </w:rPr>
              <w:t xml:space="preserve">voices side by side. The policy establishes pathways to increase Traditional Owner roles, responsibilities and resourcing in water management in Victoria and forms a key pillar of the Department’s Aboriginal Water Program and its commitment to enabling </w:t>
            </w:r>
            <w:r w:rsidR="00DD4B3C" w:rsidRPr="003272C7">
              <w:rPr>
                <w:rFonts w:cs="Arial"/>
              </w:rPr>
              <w:t xml:space="preserve">Traditional Owner </w:t>
            </w:r>
            <w:r w:rsidRPr="003272C7">
              <w:rPr>
                <w:rFonts w:cs="Arial"/>
              </w:rPr>
              <w:t>self-determination.</w:t>
            </w:r>
          </w:p>
          <w:p w14:paraId="53A6BEA5" w14:textId="75B79EFA" w:rsidR="00B242C3" w:rsidRPr="003272C7" w:rsidRDefault="00B242C3" w:rsidP="00FD6510">
            <w:pPr>
              <w:pStyle w:val="TableBullet"/>
              <w:rPr>
                <w:rFonts w:cs="Arial"/>
              </w:rPr>
            </w:pPr>
            <w:r w:rsidRPr="003272C7">
              <w:rPr>
                <w:rFonts w:cs="Arial"/>
              </w:rPr>
              <w:t xml:space="preserve">‘Water is Life is not a Treaty, but it is underpinned by the Victorian Government’s commitment to justice and self-determination. Water is likely to be a significant consideration in future Treaty negotiations. Policies and actions in Water is Life will be regularly reviewed and updated in line with outcomes from the treaty process’ </w:t>
            </w:r>
            <w:r w:rsidR="00DD4B3C" w:rsidRPr="003272C7">
              <w:rPr>
                <w:rFonts w:cs="Arial"/>
              </w:rPr>
              <w:t xml:space="preserve">from </w:t>
            </w:r>
            <w:r w:rsidRPr="003272C7">
              <w:rPr>
                <w:rFonts w:cs="Arial"/>
              </w:rPr>
              <w:t>p18 Water is Life</w:t>
            </w:r>
            <w:r w:rsidR="00DD4B3C" w:rsidRPr="003272C7">
              <w:rPr>
                <w:rFonts w:cs="Arial"/>
              </w:rPr>
              <w:t>.</w:t>
            </w:r>
          </w:p>
          <w:p w14:paraId="3EEC9E0D" w14:textId="04162297" w:rsidR="00B242C3" w:rsidRPr="003272C7" w:rsidRDefault="00B242C3" w:rsidP="00FD6510">
            <w:pPr>
              <w:pStyle w:val="TableBullet"/>
              <w:rPr>
                <w:rFonts w:cs="Arial"/>
              </w:rPr>
            </w:pPr>
            <w:r w:rsidRPr="003272C7">
              <w:rPr>
                <w:rFonts w:cs="Arial"/>
              </w:rPr>
              <w:t xml:space="preserve">Development of Water is Life (2021-2022) included a total of 61 </w:t>
            </w:r>
            <w:r w:rsidR="00DD4B3C" w:rsidRPr="003272C7">
              <w:rPr>
                <w:rFonts w:cs="Arial"/>
              </w:rPr>
              <w:t xml:space="preserve">Traditional Owner </w:t>
            </w:r>
            <w:r w:rsidRPr="003272C7">
              <w:rPr>
                <w:rFonts w:cs="Arial"/>
              </w:rPr>
              <w:t xml:space="preserve">Nation-level, regional and statewide workshops with </w:t>
            </w:r>
            <w:r w:rsidR="00DD4B3C" w:rsidRPr="003272C7">
              <w:rPr>
                <w:rFonts w:cs="Arial"/>
              </w:rPr>
              <w:t>Traditional Owners</w:t>
            </w:r>
            <w:r w:rsidRPr="003272C7">
              <w:rPr>
                <w:rFonts w:cs="Arial"/>
              </w:rPr>
              <w:t xml:space="preserve">, as well as the publication of 27 </w:t>
            </w:r>
            <w:r w:rsidR="00DD4B3C" w:rsidRPr="003272C7">
              <w:rPr>
                <w:rFonts w:cs="Arial"/>
              </w:rPr>
              <w:t xml:space="preserve">Traditional Owner </w:t>
            </w:r>
            <w:r w:rsidRPr="003272C7">
              <w:rPr>
                <w:rFonts w:cs="Arial"/>
              </w:rPr>
              <w:t>Nation Statements alongside the government’s policy commitments in the final Water is Life document.</w:t>
            </w:r>
          </w:p>
          <w:p w14:paraId="167837F6" w14:textId="46195603" w:rsidR="00B242C3" w:rsidRPr="003272C7" w:rsidRDefault="00B242C3" w:rsidP="00FD6510">
            <w:pPr>
              <w:pStyle w:val="TableBullet"/>
              <w:rPr>
                <w:rFonts w:cs="Arial"/>
              </w:rPr>
            </w:pPr>
            <w:r w:rsidRPr="003272C7">
              <w:rPr>
                <w:rFonts w:cs="Arial"/>
              </w:rPr>
              <w:t xml:space="preserve">Delivery of the Cultural Water for Cultural Economies project and 10 </w:t>
            </w:r>
            <w:r w:rsidR="00DD4B3C" w:rsidRPr="003272C7">
              <w:rPr>
                <w:rFonts w:cs="Arial"/>
              </w:rPr>
              <w:t>Traditional Owner</w:t>
            </w:r>
            <w:r w:rsidRPr="003272C7">
              <w:rPr>
                <w:rFonts w:cs="Arial"/>
              </w:rPr>
              <w:t>-led pilot projects focused on access to water for economic development (2019-2021), provided foundational information used to inform the government’s drafting on Water is Life. The Cultural Water for Cultural Economies project included over 40 meetings and workshops with representatives from 20 T</w:t>
            </w:r>
            <w:r w:rsidR="00992CE8" w:rsidRPr="003272C7">
              <w:rPr>
                <w:rFonts w:cs="Arial"/>
              </w:rPr>
              <w:t xml:space="preserve">raditional </w:t>
            </w:r>
            <w:r w:rsidRPr="003272C7">
              <w:rPr>
                <w:rFonts w:cs="Arial"/>
              </w:rPr>
              <w:t>O</w:t>
            </w:r>
            <w:r w:rsidR="00992CE8" w:rsidRPr="003272C7">
              <w:rPr>
                <w:rFonts w:cs="Arial"/>
              </w:rPr>
              <w:t>wner</w:t>
            </w:r>
            <w:r w:rsidRPr="003272C7">
              <w:rPr>
                <w:rFonts w:cs="Arial"/>
              </w:rPr>
              <w:t xml:space="preserve"> groups.</w:t>
            </w:r>
          </w:p>
          <w:p w14:paraId="74924A6F" w14:textId="77777777" w:rsidR="00142559" w:rsidRPr="003272C7" w:rsidRDefault="00B242C3" w:rsidP="00FD6510">
            <w:pPr>
              <w:pStyle w:val="TableBullet"/>
              <w:rPr>
                <w:rFonts w:cs="Arial"/>
              </w:rPr>
            </w:pPr>
            <w:r w:rsidRPr="003272C7">
              <w:rPr>
                <w:rFonts w:cs="Arial"/>
              </w:rPr>
              <w:t>The launch of Water is Life, and the policy commitments within it, has changed how Government partners with Traditional Owners and has sharpened the focus on working towards Treaty.</w:t>
            </w:r>
          </w:p>
          <w:p w14:paraId="082D4704" w14:textId="27409B4B" w:rsidR="00B242C3" w:rsidRPr="003272C7" w:rsidRDefault="00B242C3" w:rsidP="00FD6510">
            <w:pPr>
              <w:pStyle w:val="TableTextBold"/>
              <w:rPr>
                <w:rFonts w:cs="Arial"/>
              </w:rPr>
            </w:pPr>
            <w:r w:rsidRPr="003272C7">
              <w:rPr>
                <w:rFonts w:cs="Arial"/>
              </w:rPr>
              <w:t>The Water Country and Community Program partners with and directly funds:</w:t>
            </w:r>
          </w:p>
          <w:p w14:paraId="4C0A18D4" w14:textId="325A808E" w:rsidR="00B242C3" w:rsidRPr="003272C7" w:rsidRDefault="65A7A255" w:rsidP="00FD6510">
            <w:pPr>
              <w:pStyle w:val="TableBullet"/>
              <w:rPr>
                <w:rFonts w:cs="Arial"/>
              </w:rPr>
            </w:pPr>
            <w:r w:rsidRPr="003272C7">
              <w:rPr>
                <w:rFonts w:cs="Arial"/>
              </w:rPr>
              <w:t xml:space="preserve">All 11 Traditional Owner Corporations recognised as Registered Aboriginal Parties, 4 </w:t>
            </w:r>
            <w:r w:rsidR="08F0E4C8" w:rsidRPr="003272C7">
              <w:rPr>
                <w:rFonts w:cs="Arial"/>
              </w:rPr>
              <w:t>catchment m</w:t>
            </w:r>
            <w:r w:rsidRPr="003272C7">
              <w:rPr>
                <w:rFonts w:cs="Arial"/>
              </w:rPr>
              <w:t xml:space="preserve">anagement </w:t>
            </w:r>
            <w:r w:rsidR="08F0E4C8" w:rsidRPr="003272C7">
              <w:rPr>
                <w:rFonts w:cs="Arial"/>
              </w:rPr>
              <w:t>a</w:t>
            </w:r>
            <w:r w:rsidRPr="003272C7">
              <w:rPr>
                <w:rFonts w:cs="Arial"/>
              </w:rPr>
              <w:t>uthorities</w:t>
            </w:r>
            <w:r w:rsidR="114082AD" w:rsidRPr="003272C7">
              <w:rPr>
                <w:rFonts w:cs="Arial"/>
              </w:rPr>
              <w:t xml:space="preserve"> (CMAs)</w:t>
            </w:r>
            <w:r w:rsidR="146F39E6" w:rsidRPr="003272C7">
              <w:rPr>
                <w:rFonts w:cs="Arial"/>
              </w:rPr>
              <w:t>,</w:t>
            </w:r>
            <w:r w:rsidRPr="003272C7">
              <w:rPr>
                <w:rFonts w:cs="Arial"/>
              </w:rPr>
              <w:t xml:space="preserve"> and 7 Traditional Owner groups without formal recognition.</w:t>
            </w:r>
          </w:p>
          <w:p w14:paraId="3A675595" w14:textId="6D2C8CB9" w:rsidR="00B242C3" w:rsidRPr="003272C7" w:rsidRDefault="00B242C3" w:rsidP="00FD6510">
            <w:pPr>
              <w:pStyle w:val="TableBullet"/>
              <w:rPr>
                <w:rFonts w:cs="Arial"/>
              </w:rPr>
            </w:pPr>
            <w:r w:rsidRPr="003272C7">
              <w:rPr>
                <w:rFonts w:cs="Arial"/>
              </w:rPr>
              <w:t xml:space="preserve">Program funding has enabled improved relationships between </w:t>
            </w:r>
            <w:r w:rsidR="00DD4B3C" w:rsidRPr="003272C7">
              <w:rPr>
                <w:rFonts w:cs="Arial"/>
              </w:rPr>
              <w:t xml:space="preserve">Traditional Owner </w:t>
            </w:r>
            <w:r w:rsidRPr="003272C7">
              <w:rPr>
                <w:rFonts w:cs="Arial"/>
              </w:rPr>
              <w:t xml:space="preserve">groups and water sector partners such as </w:t>
            </w:r>
            <w:r w:rsidR="00501AE6" w:rsidRPr="003272C7">
              <w:rPr>
                <w:rFonts w:cs="Arial"/>
              </w:rPr>
              <w:t>CMAs</w:t>
            </w:r>
            <w:r w:rsidRPr="003272C7">
              <w:rPr>
                <w:rFonts w:cs="Arial"/>
              </w:rPr>
              <w:t xml:space="preserve">, including through the funding of </w:t>
            </w:r>
            <w:r w:rsidR="005F3EB8" w:rsidRPr="003272C7">
              <w:rPr>
                <w:rFonts w:cs="Arial"/>
              </w:rPr>
              <w:t xml:space="preserve">24 </w:t>
            </w:r>
            <w:r w:rsidR="00DD4B3C" w:rsidRPr="003272C7">
              <w:rPr>
                <w:rFonts w:cs="Arial"/>
              </w:rPr>
              <w:t>full-time equivalent</w:t>
            </w:r>
            <w:r w:rsidRPr="003272C7">
              <w:rPr>
                <w:rFonts w:cs="Arial"/>
              </w:rPr>
              <w:t xml:space="preserve"> Aboriginal Water Officer roles and a suite of water-related projects. The program strengthens Traditional Owner capacity and enables greater Traditional Owner involvement in the way water is managed and delivered in Victoria.</w:t>
            </w:r>
          </w:p>
          <w:p w14:paraId="294B036E" w14:textId="7F9A4E88" w:rsidR="00B242C3" w:rsidRPr="003272C7" w:rsidRDefault="65A7A255" w:rsidP="00FD6510">
            <w:pPr>
              <w:pStyle w:val="TableBullet"/>
              <w:rPr>
                <w:rFonts w:cs="Arial"/>
              </w:rPr>
            </w:pPr>
            <w:r w:rsidRPr="003272C7">
              <w:rPr>
                <w:rFonts w:cs="Arial"/>
              </w:rPr>
              <w:lastRenderedPageBreak/>
              <w:t>‘[The] value of relationship has changed; [we’re] seen as active participant, rather than bystander’ – A</w:t>
            </w:r>
            <w:r w:rsidR="688A83EC" w:rsidRPr="003272C7">
              <w:rPr>
                <w:rFonts w:cs="Arial"/>
              </w:rPr>
              <w:t>boriginal Water Officer</w:t>
            </w:r>
            <w:r w:rsidRPr="003272C7">
              <w:rPr>
                <w:rFonts w:cs="Arial"/>
              </w:rPr>
              <w:t xml:space="preserve"> reflecting on the improved relationship their organisation has with the water sector with regard to caring for Country (</w:t>
            </w:r>
            <w:r w:rsidR="688A83EC" w:rsidRPr="003272C7">
              <w:rPr>
                <w:rFonts w:cs="Arial"/>
              </w:rPr>
              <w:t xml:space="preserve">Aboriginal Water Officer </w:t>
            </w:r>
            <w:r w:rsidRPr="003272C7">
              <w:rPr>
                <w:rFonts w:cs="Arial"/>
              </w:rPr>
              <w:t xml:space="preserve">Annual </w:t>
            </w:r>
            <w:r w:rsidR="688A83EC" w:rsidRPr="003272C7">
              <w:rPr>
                <w:rFonts w:cs="Arial"/>
              </w:rPr>
              <w:t>R</w:t>
            </w:r>
            <w:r w:rsidRPr="003272C7">
              <w:rPr>
                <w:rFonts w:cs="Arial"/>
              </w:rPr>
              <w:t>eport 2022</w:t>
            </w:r>
            <w:r w:rsidR="703026F0" w:rsidRPr="003272C7">
              <w:rPr>
                <w:rFonts w:cs="Arial"/>
              </w:rPr>
              <w:t>-</w:t>
            </w:r>
            <w:r w:rsidRPr="003272C7">
              <w:rPr>
                <w:rFonts w:cs="Arial"/>
              </w:rPr>
              <w:t>23)</w:t>
            </w:r>
          </w:p>
          <w:p w14:paraId="3DCF65AF" w14:textId="5CE9F2F4" w:rsidR="00B242C3" w:rsidRPr="003272C7" w:rsidRDefault="65A7A255" w:rsidP="00FD6510">
            <w:pPr>
              <w:pStyle w:val="TableBullet"/>
              <w:rPr>
                <w:rFonts w:cs="Arial"/>
              </w:rPr>
            </w:pPr>
            <w:r w:rsidRPr="003272C7">
              <w:rPr>
                <w:rFonts w:cs="Arial"/>
              </w:rPr>
              <w:t xml:space="preserve">‘As part of our ongoing partnership we are committed to recognising and including Aboriginal values and objectives for water in all water planning, management and decision-making, with feedback and guidance from [TO organisation name]’ – </w:t>
            </w:r>
            <w:r w:rsidR="688A83EC" w:rsidRPr="003272C7">
              <w:rPr>
                <w:rFonts w:cs="Arial"/>
              </w:rPr>
              <w:t xml:space="preserve">Aboriginal Water Officer </w:t>
            </w:r>
            <w:r w:rsidRPr="003272C7">
              <w:rPr>
                <w:rFonts w:cs="Arial"/>
              </w:rPr>
              <w:t>role based within a CMA, 2023.</w:t>
            </w:r>
          </w:p>
          <w:p w14:paraId="42D60738" w14:textId="161A71EE" w:rsidR="00B242C3" w:rsidRPr="003272C7" w:rsidRDefault="65A7A255" w:rsidP="00FD6510">
            <w:pPr>
              <w:pStyle w:val="TableBullet"/>
              <w:rPr>
                <w:rFonts w:cs="Arial"/>
              </w:rPr>
            </w:pPr>
            <w:r w:rsidRPr="003272C7">
              <w:rPr>
                <w:rFonts w:cs="Arial"/>
              </w:rPr>
              <w:t xml:space="preserve">‘Taking community on Country is the most amazing thing about this Program – last on Country meeting was really special and powerful’ – </w:t>
            </w:r>
            <w:r w:rsidR="688A83EC" w:rsidRPr="003272C7">
              <w:rPr>
                <w:rFonts w:cs="Arial"/>
              </w:rPr>
              <w:t xml:space="preserve">Aboriginal Water Officer </w:t>
            </w:r>
            <w:r w:rsidRPr="003272C7">
              <w:rPr>
                <w:rFonts w:cs="Arial"/>
              </w:rPr>
              <w:t>2023</w:t>
            </w:r>
          </w:p>
          <w:p w14:paraId="27DFC058" w14:textId="16976CA0" w:rsidR="00B242C3" w:rsidRPr="003272C7" w:rsidRDefault="00B242C3" w:rsidP="00FD6510">
            <w:pPr>
              <w:pStyle w:val="TableTextBold"/>
              <w:rPr>
                <w:rFonts w:cs="Arial"/>
              </w:rPr>
            </w:pPr>
            <w:r w:rsidRPr="003272C7">
              <w:rPr>
                <w:rFonts w:cs="Arial"/>
              </w:rPr>
              <w:t>Increased water available for Traditional Owner groups</w:t>
            </w:r>
            <w:r w:rsidR="00DD4B3C" w:rsidRPr="003272C7">
              <w:rPr>
                <w:rFonts w:cs="Arial"/>
              </w:rPr>
              <w:t>:</w:t>
            </w:r>
          </w:p>
          <w:p w14:paraId="4DE2B102" w14:textId="77777777" w:rsidR="00B242C3" w:rsidRPr="003272C7" w:rsidRDefault="00B242C3" w:rsidP="00FD6510">
            <w:pPr>
              <w:pStyle w:val="TableText"/>
              <w:rPr>
                <w:rFonts w:cs="Arial"/>
              </w:rPr>
            </w:pPr>
            <w:r w:rsidRPr="003272C7">
              <w:rPr>
                <w:rFonts w:cs="Arial"/>
              </w:rPr>
              <w:t>The Victorian Government recognises First Nations’ and Traditional Owners’ rights and connection to water through Water for Victoria (2016) and is committed to increasing the water available to Traditional Owners to use for self-determined purposes.</w:t>
            </w:r>
          </w:p>
          <w:p w14:paraId="711C7B63" w14:textId="77777777" w:rsidR="00142559" w:rsidRPr="003272C7" w:rsidRDefault="00B242C3" w:rsidP="00FD6510">
            <w:pPr>
              <w:pStyle w:val="TableText"/>
              <w:rPr>
                <w:rFonts w:cs="Arial"/>
              </w:rPr>
            </w:pPr>
            <w:r w:rsidRPr="003272C7">
              <w:rPr>
                <w:rFonts w:cs="Arial"/>
              </w:rPr>
              <w:t>During EC5, the Victorian Government has already started returning water to Traditional Owners:</w:t>
            </w:r>
          </w:p>
          <w:p w14:paraId="25A2C0AB" w14:textId="77777777" w:rsidR="00142559" w:rsidRPr="003272C7" w:rsidRDefault="00DD4B3C" w:rsidP="00FD6510">
            <w:pPr>
              <w:pStyle w:val="TableBullet"/>
              <w:rPr>
                <w:rFonts w:cs="Arial"/>
              </w:rPr>
            </w:pPr>
            <w:r w:rsidRPr="003272C7">
              <w:rPr>
                <w:rFonts w:cs="Arial"/>
              </w:rPr>
              <w:t>2</w:t>
            </w:r>
            <w:r w:rsidR="00B242C3" w:rsidRPr="003272C7">
              <w:rPr>
                <w:rFonts w:cs="Arial"/>
              </w:rPr>
              <w:t> GL section 51 licence on the Mitchell River returned to Gunaikurnai Land and Waters Aboriginal Corporation in south-eastern Victoria</w:t>
            </w:r>
          </w:p>
          <w:p w14:paraId="0F1B6B61" w14:textId="77777777" w:rsidR="00142559" w:rsidRPr="003272C7" w:rsidRDefault="00DD4B3C" w:rsidP="00FD6510">
            <w:pPr>
              <w:pStyle w:val="TableBullet"/>
              <w:rPr>
                <w:rFonts w:cs="Arial"/>
              </w:rPr>
            </w:pPr>
            <w:r w:rsidRPr="003272C7">
              <w:rPr>
                <w:rFonts w:cs="Arial"/>
              </w:rPr>
              <w:t>2.5</w:t>
            </w:r>
            <w:r w:rsidR="00B242C3" w:rsidRPr="003272C7">
              <w:rPr>
                <w:rFonts w:cs="Arial"/>
              </w:rPr>
              <w:t> GL section 51 licence on the Fitzroy River system returned to Gunditj Mirring Traditional Owners Aboriginal Corporation in south-western Victoria</w:t>
            </w:r>
          </w:p>
          <w:p w14:paraId="2379176E" w14:textId="77777777" w:rsidR="00142559" w:rsidRPr="003272C7" w:rsidRDefault="00DD4B3C" w:rsidP="00FD6510">
            <w:pPr>
              <w:pStyle w:val="TableBullet"/>
              <w:rPr>
                <w:rFonts w:cs="Arial"/>
              </w:rPr>
            </w:pPr>
            <w:r w:rsidRPr="003272C7">
              <w:rPr>
                <w:rFonts w:cs="Arial"/>
              </w:rPr>
              <w:t>T</w:t>
            </w:r>
            <w:r w:rsidR="00B242C3" w:rsidRPr="003272C7">
              <w:rPr>
                <w:rFonts w:cs="Arial"/>
              </w:rPr>
              <w:t>wo licences for cultural water use (200 ML at Buchan Munji and 500 ML on the Tambo River) issued to Gunaikurnai Land and Waters Aboriginal Corporation.</w:t>
            </w:r>
          </w:p>
          <w:p w14:paraId="22012B7B" w14:textId="5DC3B97B" w:rsidR="00B242C3" w:rsidRPr="003272C7" w:rsidRDefault="00DD4B3C" w:rsidP="00FD6510">
            <w:pPr>
              <w:pStyle w:val="TableBullet"/>
              <w:rPr>
                <w:rFonts w:cs="Arial"/>
              </w:rPr>
            </w:pPr>
            <w:r w:rsidRPr="003272C7">
              <w:rPr>
                <w:rFonts w:cs="Arial"/>
              </w:rPr>
              <w:t>A</w:t>
            </w:r>
            <w:r w:rsidR="00B242C3" w:rsidRPr="003272C7">
              <w:rPr>
                <w:rFonts w:cs="Arial"/>
              </w:rPr>
              <w:t xml:space="preserve"> number of water returns in progress at the time of this</w:t>
            </w:r>
            <w:r w:rsidR="59AAC797" w:rsidRPr="003272C7">
              <w:rPr>
                <w:rFonts w:cs="Arial"/>
              </w:rPr>
              <w:t xml:space="preserve"> End-Of-Tranche</w:t>
            </w:r>
            <w:r w:rsidR="00B242C3" w:rsidRPr="003272C7">
              <w:rPr>
                <w:rFonts w:cs="Arial"/>
              </w:rPr>
              <w:t xml:space="preserve"> evaluation</w:t>
            </w:r>
          </w:p>
          <w:p w14:paraId="21EDE43A" w14:textId="367CA1CD" w:rsidR="00B242C3" w:rsidRPr="003272C7" w:rsidRDefault="00DD4B3C" w:rsidP="00FD6510">
            <w:pPr>
              <w:pStyle w:val="TableBullet"/>
              <w:rPr>
                <w:rFonts w:cs="Arial"/>
              </w:rPr>
            </w:pPr>
            <w:r w:rsidRPr="003272C7">
              <w:rPr>
                <w:rFonts w:cs="Arial"/>
              </w:rPr>
              <w:t>I</w:t>
            </w:r>
            <w:r w:rsidR="00B242C3" w:rsidRPr="003272C7">
              <w:rPr>
                <w:rFonts w:cs="Arial"/>
              </w:rPr>
              <w:t xml:space="preserve">n March 2022, Victoria reported for the National Agreement on Closing the Gap (Inland Waters Target) that Traditional Owners and Aboriginal Victorian </w:t>
            </w:r>
            <w:r w:rsidR="006423C0" w:rsidRPr="003272C7">
              <w:rPr>
                <w:rFonts w:cs="Arial"/>
              </w:rPr>
              <w:t>organisations</w:t>
            </w:r>
            <w:r w:rsidR="00B242C3" w:rsidRPr="003272C7">
              <w:rPr>
                <w:rFonts w:cs="Arial"/>
              </w:rPr>
              <w:t xml:space="preserve"> held 4.298 GL of water entitlements.</w:t>
            </w:r>
            <w:r w:rsidR="003C7942" w:rsidRPr="003272C7">
              <w:rPr>
                <w:rFonts w:cs="Arial"/>
              </w:rPr>
              <w:t xml:space="preserve"> As at 30 June 2024, the volume of water entitlements has increased to 9.228 GL.</w:t>
            </w:r>
          </w:p>
          <w:p w14:paraId="3E59570B" w14:textId="77777777" w:rsidR="00B242C3" w:rsidRPr="003272C7" w:rsidRDefault="00B242C3" w:rsidP="00FD6510">
            <w:pPr>
              <w:pStyle w:val="TableBullet"/>
              <w:rPr>
                <w:rFonts w:cs="Arial"/>
              </w:rPr>
            </w:pPr>
            <w:r w:rsidRPr="003272C7">
              <w:rPr>
                <w:rFonts w:cs="Arial"/>
              </w:rPr>
              <w:t>Six policies and strategies that reflect Traditional Owner led processes for the sustainable management of water:</w:t>
            </w:r>
          </w:p>
          <w:p w14:paraId="046D0FE6" w14:textId="77777777" w:rsidR="00B242C3" w:rsidRPr="003272C7" w:rsidRDefault="00B242C3" w:rsidP="00FD6510">
            <w:pPr>
              <w:pStyle w:val="TableBullet2"/>
              <w:rPr>
                <w:rFonts w:cs="Arial"/>
              </w:rPr>
            </w:pPr>
            <w:r w:rsidRPr="003272C7">
              <w:rPr>
                <w:rFonts w:cs="Arial"/>
              </w:rPr>
              <w:t>Water for Victoria (Actions 6.1, 6.2, 6.3, 6.4, 10.4, 10.8 and 10.9)</w:t>
            </w:r>
          </w:p>
          <w:p w14:paraId="6707A84B" w14:textId="77777777" w:rsidR="00B242C3" w:rsidRPr="003272C7" w:rsidRDefault="00B242C3" w:rsidP="00FD6510">
            <w:pPr>
              <w:pStyle w:val="TableBullet2"/>
              <w:rPr>
                <w:rFonts w:cs="Arial"/>
              </w:rPr>
            </w:pPr>
            <w:r w:rsidRPr="003272C7">
              <w:rPr>
                <w:rFonts w:cs="Arial"/>
              </w:rPr>
              <w:t>Water is Life: Traditional Owner Access to Water Roadmap (released September 2022)</w:t>
            </w:r>
          </w:p>
          <w:p w14:paraId="3426500C" w14:textId="77777777" w:rsidR="00142559" w:rsidRPr="003272C7" w:rsidRDefault="00DD4B3C" w:rsidP="00FD6510">
            <w:pPr>
              <w:pStyle w:val="TableBullet2"/>
              <w:rPr>
                <w:rFonts w:cs="Arial"/>
              </w:rPr>
            </w:pPr>
            <w:r w:rsidRPr="003272C7">
              <w:rPr>
                <w:rFonts w:cs="Arial"/>
              </w:rPr>
              <w:t>CGRSWS</w:t>
            </w:r>
            <w:r w:rsidR="00B242C3" w:rsidRPr="003272C7">
              <w:rPr>
                <w:rFonts w:cs="Arial"/>
              </w:rPr>
              <w:t xml:space="preserve"> (released September 2022)</w:t>
            </w:r>
          </w:p>
          <w:p w14:paraId="6E22342C" w14:textId="0B96D2EC" w:rsidR="00B242C3" w:rsidRPr="003272C7" w:rsidRDefault="00B242C3" w:rsidP="00FD6510">
            <w:pPr>
              <w:pStyle w:val="TableBullet2"/>
              <w:rPr>
                <w:rFonts w:cs="Arial"/>
              </w:rPr>
            </w:pPr>
            <w:r w:rsidRPr="003272C7">
              <w:rPr>
                <w:rFonts w:cs="Arial"/>
              </w:rPr>
              <w:t>Water Resource Plans (North and Murray Victoria)</w:t>
            </w:r>
          </w:p>
          <w:p w14:paraId="31387D89" w14:textId="230E18AE" w:rsidR="00B242C3" w:rsidRPr="003272C7" w:rsidRDefault="00B242C3" w:rsidP="00FD6510">
            <w:pPr>
              <w:pStyle w:val="TableBullet2"/>
              <w:rPr>
                <w:rFonts w:cs="Arial"/>
              </w:rPr>
            </w:pPr>
            <w:r w:rsidRPr="003272C7">
              <w:rPr>
                <w:rFonts w:cs="Arial"/>
              </w:rPr>
              <w:t>Burndap Birrarung burndap umarkoo</w:t>
            </w:r>
            <w:r w:rsidR="00DD4B3C" w:rsidRPr="003272C7">
              <w:rPr>
                <w:rFonts w:cs="Arial"/>
              </w:rPr>
              <w:t>, the</w:t>
            </w:r>
            <w:r w:rsidRPr="003272C7">
              <w:rPr>
                <w:rFonts w:cs="Arial"/>
              </w:rPr>
              <w:t xml:space="preserve"> Yarra Strategic Plan</w:t>
            </w:r>
            <w:r w:rsidR="00DD4B3C" w:rsidRPr="003272C7">
              <w:rPr>
                <w:rFonts w:cs="Arial"/>
              </w:rPr>
              <w:t xml:space="preserve"> (YSP)</w:t>
            </w:r>
            <w:r w:rsidRPr="003272C7">
              <w:rPr>
                <w:rFonts w:cs="Arial"/>
              </w:rPr>
              <w:t xml:space="preserve"> (released February 2022)</w:t>
            </w:r>
          </w:p>
          <w:p w14:paraId="587A25CD" w14:textId="77777777" w:rsidR="00142559" w:rsidRPr="003272C7" w:rsidRDefault="00B242C3" w:rsidP="00FD6510">
            <w:pPr>
              <w:pStyle w:val="TableBullet2"/>
              <w:rPr>
                <w:rFonts w:cs="Arial"/>
              </w:rPr>
            </w:pPr>
            <w:r w:rsidRPr="003272C7">
              <w:rPr>
                <w:rFonts w:cs="Arial"/>
              </w:rPr>
              <w:t>Waterways of the West Action Plan (December 2021)</w:t>
            </w:r>
          </w:p>
          <w:p w14:paraId="07A3D078" w14:textId="1C468572" w:rsidR="00B242C3" w:rsidRPr="003272C7" w:rsidRDefault="00B242C3" w:rsidP="00FD6510">
            <w:pPr>
              <w:pStyle w:val="TableBullet"/>
              <w:rPr>
                <w:rFonts w:cs="Arial"/>
              </w:rPr>
            </w:pPr>
            <w:r w:rsidRPr="003272C7">
              <w:rPr>
                <w:rFonts w:cs="Arial"/>
              </w:rPr>
              <w:t>Ten Traditional Owner Organisations in the first year of the Water Country Community Program have reported a greater involvement in and influence on water policy and management decision-making.</w:t>
            </w:r>
          </w:p>
          <w:p w14:paraId="32813614" w14:textId="1351D2D0" w:rsidR="00B242C3" w:rsidRPr="003272C7" w:rsidRDefault="00B242C3" w:rsidP="00FD6510">
            <w:pPr>
              <w:pStyle w:val="TableBullet"/>
              <w:rPr>
                <w:rFonts w:cs="Arial"/>
              </w:rPr>
            </w:pPr>
            <w:r w:rsidRPr="003272C7">
              <w:rPr>
                <w:rFonts w:cs="Arial"/>
              </w:rPr>
              <w:t xml:space="preserve">The number of projects supported through CMAs for Traditional Owners and Aboriginal Businesses is 30 across ten </w:t>
            </w:r>
            <w:r w:rsidR="00C33930" w:rsidRPr="003272C7">
              <w:rPr>
                <w:rFonts w:cs="Arial"/>
              </w:rPr>
              <w:t xml:space="preserve">CMAs </w:t>
            </w:r>
            <w:r w:rsidRPr="003272C7">
              <w:rPr>
                <w:rFonts w:cs="Arial"/>
              </w:rPr>
              <w:t xml:space="preserve">with total funding of $883,802. </w:t>
            </w:r>
          </w:p>
        </w:tc>
      </w:tr>
      <w:tr w:rsidR="00B242C3" w:rsidRPr="003272C7" w14:paraId="5C14161D" w14:textId="77777777" w:rsidTr="008210E5">
        <w:trPr>
          <w:trHeight w:val="259"/>
        </w:trPr>
        <w:tc>
          <w:tcPr>
            <w:tcW w:w="979" w:type="pct"/>
            <w:shd w:val="clear" w:color="auto" w:fill="231EDC" w:themeFill="accent1"/>
          </w:tcPr>
          <w:p w14:paraId="204BB921" w14:textId="77777777" w:rsidR="00B242C3" w:rsidRPr="003272C7" w:rsidRDefault="00B242C3" w:rsidP="00FD6510">
            <w:pPr>
              <w:pStyle w:val="TableText"/>
              <w:rPr>
                <w:rFonts w:cs="Arial"/>
                <w:b/>
                <w:bCs/>
              </w:rPr>
            </w:pPr>
            <w:r w:rsidRPr="003272C7">
              <w:rPr>
                <w:rFonts w:cs="Arial"/>
                <w:b/>
                <w:bCs/>
              </w:rPr>
              <w:lastRenderedPageBreak/>
              <w:t>Effectiveness</w:t>
            </w:r>
          </w:p>
        </w:tc>
        <w:tc>
          <w:tcPr>
            <w:tcW w:w="4021" w:type="pct"/>
          </w:tcPr>
          <w:p w14:paraId="1409EE9F" w14:textId="70B21A1B" w:rsidR="00B242C3" w:rsidRPr="003272C7" w:rsidRDefault="00B242C3" w:rsidP="00FD6510">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promotes the effective management of Victoria’s water systems by strengthening partnerships between government and Traditional Owners to increase Traditional Owner roles, responsibilities and resourcing in water management. By increasing Traditional Owner involvement in water policy, management and decision-making, as well as increasing the water available to Traditional Owners, water management in Victoria increasingly benefits from both Traditional Ecological Knowledge and Western science to deliver environmental, social, cultural and economic outcomes.</w:t>
            </w:r>
          </w:p>
        </w:tc>
      </w:tr>
      <w:tr w:rsidR="00B242C3" w:rsidRPr="003272C7" w14:paraId="332286A2" w14:textId="77777777" w:rsidTr="008210E5">
        <w:trPr>
          <w:trHeight w:val="259"/>
        </w:trPr>
        <w:tc>
          <w:tcPr>
            <w:tcW w:w="979" w:type="pct"/>
            <w:shd w:val="clear" w:color="auto" w:fill="231EDC" w:themeFill="accent1"/>
          </w:tcPr>
          <w:p w14:paraId="09A133E6" w14:textId="77777777" w:rsidR="00B242C3" w:rsidRPr="003272C7" w:rsidRDefault="00B242C3" w:rsidP="00FD6510">
            <w:pPr>
              <w:pStyle w:val="TableText"/>
              <w:rPr>
                <w:rFonts w:cs="Arial"/>
                <w:b/>
                <w:bCs/>
              </w:rPr>
            </w:pPr>
            <w:r w:rsidRPr="003272C7">
              <w:rPr>
                <w:rFonts w:cs="Arial"/>
                <w:b/>
                <w:bCs/>
              </w:rPr>
              <w:t>Appropriateness</w:t>
            </w:r>
          </w:p>
        </w:tc>
        <w:tc>
          <w:tcPr>
            <w:tcW w:w="4021" w:type="pct"/>
          </w:tcPr>
          <w:p w14:paraId="0850BE79" w14:textId="34502212" w:rsidR="00B242C3" w:rsidRPr="003272C7" w:rsidRDefault="00B242C3" w:rsidP="00FD6510">
            <w:pPr>
              <w:pStyle w:val="TableBullet"/>
              <w:rPr>
                <w:rFonts w:cs="Arial"/>
              </w:rPr>
            </w:pPr>
            <w:r w:rsidRPr="003272C7">
              <w:rPr>
                <w:rFonts w:cs="Arial"/>
              </w:rPr>
              <w:t xml:space="preserve">The Aboriginal Water Program is a key pillar for implementing the government’s commitments under Water for Victoria to increase the recognition and inclusion of </w:t>
            </w:r>
            <w:r w:rsidRPr="003272C7">
              <w:rPr>
                <w:rFonts w:cs="Arial"/>
              </w:rPr>
              <w:lastRenderedPageBreak/>
              <w:t>Aboriginal cultural values and uses in water management, increase Aboriginal access to water, and increase Aboriginal capacity in the water sector through delivery of ongoing actions (Actions 6.1, 6.2, 6.3, 6.4, 10.4, 10.8 and 10.9)</w:t>
            </w:r>
          </w:p>
          <w:p w14:paraId="28D3F183" w14:textId="77777777" w:rsidR="00142559" w:rsidRPr="003272C7" w:rsidRDefault="00B242C3" w:rsidP="00FD6510">
            <w:pPr>
              <w:pStyle w:val="TableBullet"/>
              <w:rPr>
                <w:rFonts w:cs="Arial"/>
              </w:rPr>
            </w:pPr>
            <w:r w:rsidRPr="003272C7">
              <w:rPr>
                <w:rFonts w:cs="Arial"/>
              </w:rPr>
              <w:t xml:space="preserve">The Water Country and Community Program (stages 1 and 2) administered by this </w:t>
            </w:r>
            <w:r w:rsidR="00445736" w:rsidRPr="003272C7">
              <w:rPr>
                <w:rFonts w:cs="Arial"/>
              </w:rPr>
              <w:t>project</w:t>
            </w:r>
            <w:r w:rsidRPr="003272C7">
              <w:rPr>
                <w:rFonts w:cs="Arial"/>
              </w:rPr>
              <w:t xml:space="preserve"> strongly aligns with Pupangarli Marnmarnepu (Aboriginal Self-determination strategy)</w:t>
            </w:r>
          </w:p>
          <w:p w14:paraId="6E40E701" w14:textId="081BAD4C" w:rsidR="00B242C3" w:rsidRPr="003272C7" w:rsidRDefault="00B242C3" w:rsidP="00FD6510">
            <w:pPr>
              <w:pStyle w:val="TableBullet"/>
              <w:rPr>
                <w:rFonts w:cs="Arial"/>
              </w:rPr>
            </w:pPr>
            <w:r w:rsidRPr="003272C7">
              <w:rPr>
                <w:rFonts w:cs="Arial"/>
              </w:rPr>
              <w:t>The Program is designed to better include Aboriginal people in water management and to reconnect communities to water for cultural, economic, customary, and spiritual purposes. It does this by making funding available for Aboriginal Water Officers and projects to better progress Aboriginal access and management to water, for self-determined purposes.</w:t>
            </w:r>
          </w:p>
          <w:p w14:paraId="4AEAF76A" w14:textId="0BE24F77" w:rsidR="00B242C3" w:rsidRPr="003272C7" w:rsidRDefault="00DD4B3C" w:rsidP="00FD6510">
            <w:pPr>
              <w:pStyle w:val="TableBullet"/>
              <w:rPr>
                <w:rFonts w:cs="Arial"/>
              </w:rPr>
            </w:pPr>
            <w:r w:rsidRPr="003272C7">
              <w:rPr>
                <w:rFonts w:cs="Arial"/>
              </w:rPr>
              <w:t>Specifically,</w:t>
            </w:r>
            <w:r w:rsidR="00B242C3" w:rsidRPr="003272C7">
              <w:rPr>
                <w:rFonts w:cs="Arial"/>
              </w:rPr>
              <w:t xml:space="preserve"> the resources funded within Traditional Owner Organisations, speak to this alignment and the value of these resources as conduits to facilitate community water related priorities, develop strategies and to partner with Government on water management policy decisions. </w:t>
            </w:r>
          </w:p>
        </w:tc>
      </w:tr>
      <w:tr w:rsidR="00B242C3" w:rsidRPr="003272C7" w14:paraId="6E4201B3" w14:textId="77777777" w:rsidTr="008210E5">
        <w:trPr>
          <w:trHeight w:val="259"/>
        </w:trPr>
        <w:tc>
          <w:tcPr>
            <w:tcW w:w="979" w:type="pct"/>
            <w:shd w:val="clear" w:color="auto" w:fill="231EDC" w:themeFill="accent1"/>
          </w:tcPr>
          <w:p w14:paraId="4E93C89F" w14:textId="77777777" w:rsidR="00B242C3" w:rsidRPr="003272C7" w:rsidRDefault="00B242C3" w:rsidP="00FD6510">
            <w:pPr>
              <w:pStyle w:val="TableText"/>
              <w:rPr>
                <w:rFonts w:cs="Arial"/>
                <w:b/>
                <w:bCs/>
              </w:rPr>
            </w:pPr>
            <w:r w:rsidRPr="003272C7">
              <w:rPr>
                <w:rFonts w:cs="Arial"/>
                <w:b/>
                <w:bCs/>
              </w:rPr>
              <w:lastRenderedPageBreak/>
              <w:t>Efficiency</w:t>
            </w:r>
          </w:p>
        </w:tc>
        <w:tc>
          <w:tcPr>
            <w:tcW w:w="4021" w:type="pct"/>
          </w:tcPr>
          <w:p w14:paraId="16845873" w14:textId="459B6422" w:rsidR="00B242C3" w:rsidRPr="003272C7" w:rsidRDefault="00B242C3" w:rsidP="00FD6510">
            <w:pPr>
              <w:pStyle w:val="TableBullet"/>
              <w:rPr>
                <w:rFonts w:cs="Arial"/>
              </w:rPr>
            </w:pPr>
            <w:r w:rsidRPr="003272C7">
              <w:rPr>
                <w:rFonts w:cs="Arial"/>
              </w:rPr>
              <w:t xml:space="preserve">Additional funding under </w:t>
            </w:r>
            <w:r w:rsidR="00DD4B3C" w:rsidRPr="003272C7">
              <w:rPr>
                <w:rFonts w:cs="Arial"/>
              </w:rPr>
              <w:t>EC</w:t>
            </w:r>
            <w:r w:rsidRPr="003272C7">
              <w:rPr>
                <w:rFonts w:cs="Arial"/>
              </w:rPr>
              <w:t xml:space="preserve"> was sought under the Water Access and Ownership Traditional Owners budget bid ($3.353 million) for the coordination and initial delivery on the Aboriginal Access to Water</w:t>
            </w:r>
            <w:r w:rsidR="7AAC3231" w:rsidRPr="003272C7">
              <w:rPr>
                <w:rFonts w:cs="Arial"/>
              </w:rPr>
              <w:t xml:space="preserve"> Roadmap</w:t>
            </w:r>
            <w:r w:rsidRPr="003272C7">
              <w:rPr>
                <w:rFonts w:cs="Arial"/>
              </w:rPr>
              <w:t xml:space="preserve">. This funding was approved to ensure effective coordination of the Aboriginal Access to Water Roadmap (including through grants to Traditional Owners), and support to enable further Traditional Owner partnerships that make efficient use of Government funding and </w:t>
            </w:r>
            <w:r w:rsidR="13FC1660" w:rsidRPr="003272C7">
              <w:rPr>
                <w:rFonts w:cs="Arial"/>
              </w:rPr>
              <w:t>Traditional Owner</w:t>
            </w:r>
            <w:r w:rsidRPr="003272C7">
              <w:rPr>
                <w:rFonts w:cs="Arial"/>
              </w:rPr>
              <w:t xml:space="preserve"> capacity</w:t>
            </w:r>
          </w:p>
        </w:tc>
      </w:tr>
      <w:tr w:rsidR="00B242C3" w:rsidRPr="003272C7" w14:paraId="18261113" w14:textId="77777777" w:rsidTr="008210E5">
        <w:trPr>
          <w:trHeight w:val="259"/>
        </w:trPr>
        <w:tc>
          <w:tcPr>
            <w:tcW w:w="979" w:type="pct"/>
            <w:shd w:val="clear" w:color="auto" w:fill="231EDC" w:themeFill="accent1"/>
          </w:tcPr>
          <w:p w14:paraId="75482CA1" w14:textId="77777777" w:rsidR="00B242C3" w:rsidRPr="003272C7" w:rsidRDefault="00B242C3" w:rsidP="00FD6510">
            <w:pPr>
              <w:pStyle w:val="TableText"/>
              <w:rPr>
                <w:rFonts w:cs="Arial"/>
                <w:b/>
                <w:bCs/>
              </w:rPr>
            </w:pPr>
            <w:r w:rsidRPr="003272C7">
              <w:rPr>
                <w:rFonts w:cs="Arial"/>
                <w:b/>
                <w:bCs/>
              </w:rPr>
              <w:t>Legacy</w:t>
            </w:r>
          </w:p>
        </w:tc>
        <w:tc>
          <w:tcPr>
            <w:tcW w:w="4021" w:type="pct"/>
          </w:tcPr>
          <w:p w14:paraId="6CE51F63" w14:textId="5977F6FA" w:rsidR="00B242C3" w:rsidRPr="003272C7" w:rsidRDefault="00B242C3" w:rsidP="00FD6510">
            <w:pPr>
              <w:pStyle w:val="TableBullet"/>
              <w:rPr>
                <w:rFonts w:cs="Arial"/>
              </w:rPr>
            </w:pPr>
            <w:r w:rsidRPr="003272C7">
              <w:rPr>
                <w:rFonts w:cs="Arial"/>
              </w:rPr>
              <w:t>Significant progress has been made through EC investment in the Aboriginal Water Program since 2016 and the benefits are starting to be realised. Continued investment into the Aboriginal Water Program is necessary to maintain employment of Aboriginal Water Officers and enable continuity of long-term Traditional Owner-led water-related projects and priorities. The continuation of the</w:t>
            </w:r>
            <w:r w:rsidR="003A54E4" w:rsidRPr="003272C7">
              <w:rPr>
                <w:rFonts w:cs="Arial"/>
              </w:rPr>
              <w:t> </w:t>
            </w:r>
            <w:r w:rsidRPr="003272C7">
              <w:rPr>
                <w:rFonts w:cs="Arial"/>
              </w:rPr>
              <w:t>Aboriginal Water Program is a key enabler and foundation for Water is Life</w:t>
            </w:r>
            <w:r w:rsidR="003A54E4" w:rsidRPr="003272C7">
              <w:rPr>
                <w:rFonts w:cs="Arial"/>
              </w:rPr>
              <w:t> </w:t>
            </w:r>
            <w:r w:rsidRPr="003272C7">
              <w:rPr>
                <w:rFonts w:cs="Arial"/>
              </w:rPr>
              <w:t>implementation.</w:t>
            </w:r>
          </w:p>
          <w:p w14:paraId="2CF1FF65" w14:textId="3029CE7B" w:rsidR="00B242C3" w:rsidRPr="003272C7" w:rsidRDefault="00445736" w:rsidP="00FD6510">
            <w:pPr>
              <w:pStyle w:val="TableBullet"/>
              <w:rPr>
                <w:rFonts w:cs="Arial"/>
              </w:rPr>
            </w:pPr>
            <w:r w:rsidRPr="003272C7">
              <w:rPr>
                <w:rFonts w:cs="Arial"/>
              </w:rPr>
              <w:t>Project</w:t>
            </w:r>
            <w:r w:rsidR="00B242C3" w:rsidRPr="003272C7">
              <w:rPr>
                <w:rFonts w:cs="Arial"/>
              </w:rPr>
              <w:t xml:space="preserve"> has started foundational changes to the water and catchments sector, articulated in Water is Life.</w:t>
            </w:r>
          </w:p>
          <w:p w14:paraId="56A426AB" w14:textId="77777777" w:rsidR="00142559" w:rsidRPr="003272C7" w:rsidRDefault="00B242C3" w:rsidP="00FD6510">
            <w:pPr>
              <w:pStyle w:val="TableBullet"/>
              <w:rPr>
                <w:rFonts w:cs="Arial"/>
              </w:rPr>
            </w:pPr>
            <w:r w:rsidRPr="003272C7">
              <w:rPr>
                <w:rFonts w:cs="Arial"/>
              </w:rPr>
              <w:t>Water is Life acknowledges that since the colonisation of land and waters, Australia’s First Nations peoples have been treated as bystanders in the management, allocation and ownership of water and water landscapes.</w:t>
            </w:r>
          </w:p>
          <w:p w14:paraId="4BF8A41E" w14:textId="5EAE0FE1" w:rsidR="00B242C3" w:rsidRPr="003272C7" w:rsidRDefault="00B242C3" w:rsidP="00FD6510">
            <w:pPr>
              <w:pStyle w:val="TableBullet"/>
              <w:rPr>
                <w:rFonts w:cs="Arial"/>
              </w:rPr>
            </w:pPr>
            <w:r w:rsidRPr="003272C7">
              <w:rPr>
                <w:rFonts w:cs="Arial"/>
              </w:rPr>
              <w:t>Water is Life takes a restorative justice approach that respects the rights of Traditional Owners and enables the omission of their water rights and interests to begin to be addressed.</w:t>
            </w:r>
          </w:p>
          <w:p w14:paraId="1CBCF595" w14:textId="77777777" w:rsidR="00B242C3" w:rsidRPr="003272C7" w:rsidRDefault="00B242C3" w:rsidP="00FD6510">
            <w:pPr>
              <w:pStyle w:val="TableBullet"/>
              <w:rPr>
                <w:rFonts w:cs="Arial"/>
              </w:rPr>
            </w:pPr>
            <w:r w:rsidRPr="003272C7">
              <w:rPr>
                <w:rFonts w:cs="Arial"/>
              </w:rPr>
              <w:t>Water is Life establishes pathways to increase Traditional Owner roles and resources in water and waterway management across Victoria, and implemented fully will deliver tangible outcomes and staged systemic change.</w:t>
            </w:r>
          </w:p>
        </w:tc>
      </w:tr>
      <w:tr w:rsidR="00B242C3" w:rsidRPr="003272C7" w14:paraId="102EFD43" w14:textId="77777777" w:rsidTr="008210E5">
        <w:trPr>
          <w:trHeight w:val="259"/>
        </w:trPr>
        <w:tc>
          <w:tcPr>
            <w:tcW w:w="979" w:type="pct"/>
            <w:shd w:val="clear" w:color="auto" w:fill="231EDC" w:themeFill="accent1"/>
          </w:tcPr>
          <w:p w14:paraId="0769C55F" w14:textId="77777777" w:rsidR="00B242C3" w:rsidRPr="003272C7" w:rsidRDefault="00B242C3" w:rsidP="00FD6510">
            <w:pPr>
              <w:pStyle w:val="TableText"/>
              <w:rPr>
                <w:rFonts w:cs="Arial"/>
                <w:b/>
                <w:bCs/>
              </w:rPr>
            </w:pPr>
            <w:r w:rsidRPr="003272C7">
              <w:rPr>
                <w:rFonts w:cs="Arial"/>
                <w:b/>
                <w:bCs/>
              </w:rPr>
              <w:t>Future priorities</w:t>
            </w:r>
          </w:p>
        </w:tc>
        <w:tc>
          <w:tcPr>
            <w:tcW w:w="4021" w:type="pct"/>
          </w:tcPr>
          <w:p w14:paraId="7FC57B37" w14:textId="77777777" w:rsidR="00B242C3" w:rsidRPr="003272C7" w:rsidRDefault="00B242C3" w:rsidP="00FD6510">
            <w:pPr>
              <w:pStyle w:val="TableBullet"/>
              <w:rPr>
                <w:rFonts w:cs="Arial"/>
              </w:rPr>
            </w:pPr>
            <w:r w:rsidRPr="003272C7">
              <w:rPr>
                <w:rFonts w:cs="Arial"/>
              </w:rPr>
              <w:t>Supporting Traditional Owner involvement in water management by maintaining Aboriginal Water Officer positions in Traditional Owner Groups across Victoria and CMAs</w:t>
            </w:r>
          </w:p>
          <w:p w14:paraId="5614E58A" w14:textId="13CB34F6" w:rsidR="00B242C3" w:rsidRPr="003272C7" w:rsidRDefault="00B242C3" w:rsidP="00FD6510">
            <w:pPr>
              <w:pStyle w:val="TableBullet"/>
              <w:rPr>
                <w:rFonts w:cs="Arial"/>
              </w:rPr>
            </w:pPr>
            <w:r w:rsidRPr="003272C7">
              <w:rPr>
                <w:rFonts w:cs="Arial"/>
              </w:rPr>
              <w:t xml:space="preserve">Maintain governance resourcing for the current number of meetings of the Aboriginal Water Officer Network (AWON) per year, and </w:t>
            </w:r>
            <w:r w:rsidR="27660A8E" w:rsidRPr="003272C7">
              <w:rPr>
                <w:rFonts w:cs="Arial"/>
              </w:rPr>
              <w:t>oversight of</w:t>
            </w:r>
            <w:r w:rsidRPr="003272C7">
              <w:rPr>
                <w:rFonts w:cs="Arial"/>
              </w:rPr>
              <w:t xml:space="preserve"> Water is Life </w:t>
            </w:r>
            <w:r w:rsidR="35810FE0" w:rsidRPr="003272C7">
              <w:rPr>
                <w:rFonts w:cs="Arial"/>
              </w:rPr>
              <w:t>implementation</w:t>
            </w:r>
            <w:r w:rsidRPr="003272C7">
              <w:rPr>
                <w:rFonts w:cs="Arial"/>
              </w:rPr>
              <w:t xml:space="preserve"> (Outcome 12 in Water is Life).</w:t>
            </w:r>
          </w:p>
          <w:p w14:paraId="7AB6C302" w14:textId="77777777" w:rsidR="00B242C3" w:rsidRPr="003272C7" w:rsidRDefault="00B242C3" w:rsidP="00FD6510">
            <w:pPr>
              <w:pStyle w:val="TableBullet"/>
              <w:rPr>
                <w:rFonts w:cs="Arial"/>
              </w:rPr>
            </w:pPr>
            <w:r w:rsidRPr="003272C7">
              <w:rPr>
                <w:rFonts w:cs="Arial"/>
              </w:rPr>
              <w:t>Provide funding and resourcing for Traditional Owner-led water management projects and Traditional Owner participation in Water is Life pilot studies to initiate the ‘learning by doing’ pathway.</w:t>
            </w:r>
          </w:p>
          <w:p w14:paraId="5E72606B" w14:textId="77777777" w:rsidR="00142559" w:rsidRPr="003272C7" w:rsidRDefault="00B242C3" w:rsidP="00FD6510">
            <w:pPr>
              <w:pStyle w:val="TableBullet"/>
              <w:rPr>
                <w:rFonts w:cs="Arial"/>
              </w:rPr>
            </w:pPr>
            <w:r w:rsidRPr="003272C7">
              <w:rPr>
                <w:rFonts w:cs="Arial"/>
              </w:rPr>
              <w:t>Provide an annual budget for any fees and charges eventuating from projected water returns in line with Water is Life (Outcome 9) during the EC6 period</w:t>
            </w:r>
          </w:p>
          <w:p w14:paraId="2D7E0ABA" w14:textId="3D937EC0" w:rsidR="00B242C3" w:rsidRPr="003272C7" w:rsidRDefault="00B242C3" w:rsidP="00FD6510">
            <w:pPr>
              <w:pStyle w:val="TableBullet"/>
              <w:rPr>
                <w:rFonts w:cs="Arial"/>
              </w:rPr>
            </w:pPr>
            <w:r w:rsidRPr="003272C7">
              <w:rPr>
                <w:rFonts w:cs="Arial"/>
              </w:rPr>
              <w:t xml:space="preserve">Maintain current </w:t>
            </w:r>
            <w:r w:rsidR="00DD4B3C" w:rsidRPr="003272C7">
              <w:rPr>
                <w:rFonts w:cs="Arial"/>
              </w:rPr>
              <w:t>Victorian Public Service</w:t>
            </w:r>
            <w:r w:rsidRPr="003272C7">
              <w:rPr>
                <w:rFonts w:cs="Arial"/>
              </w:rPr>
              <w:t xml:space="preserve"> staffing to:</w:t>
            </w:r>
          </w:p>
          <w:p w14:paraId="1F9EF397" w14:textId="5148E1EE" w:rsidR="00142559" w:rsidRPr="003272C7" w:rsidRDefault="00B242C3" w:rsidP="00FD6510">
            <w:pPr>
              <w:pStyle w:val="TableBullet2"/>
              <w:rPr>
                <w:rFonts w:cs="Arial"/>
              </w:rPr>
            </w:pPr>
            <w:r w:rsidRPr="003272C7">
              <w:rPr>
                <w:rFonts w:cs="Arial"/>
              </w:rPr>
              <w:t>build and maintain effective, respectful relationships with Traditional Owner</w:t>
            </w:r>
            <w:r w:rsidR="003A54E4" w:rsidRPr="003272C7">
              <w:rPr>
                <w:rFonts w:cs="Arial"/>
              </w:rPr>
              <w:t> </w:t>
            </w:r>
            <w:r w:rsidRPr="003272C7">
              <w:rPr>
                <w:rFonts w:cs="Arial"/>
              </w:rPr>
              <w:t>partners</w:t>
            </w:r>
          </w:p>
          <w:p w14:paraId="3FBE3C6E" w14:textId="79AA918E" w:rsidR="00B242C3" w:rsidRPr="003272C7" w:rsidRDefault="00B242C3" w:rsidP="00FD6510">
            <w:pPr>
              <w:pStyle w:val="TableBullet2"/>
              <w:rPr>
                <w:rFonts w:cs="Arial"/>
              </w:rPr>
            </w:pPr>
            <w:r w:rsidRPr="003272C7">
              <w:rPr>
                <w:rFonts w:cs="Arial"/>
              </w:rPr>
              <w:t>lead delivery of Water is Life policies, actions, and reform</w:t>
            </w:r>
          </w:p>
          <w:p w14:paraId="002114FE" w14:textId="77777777" w:rsidR="00B242C3" w:rsidRPr="003272C7" w:rsidRDefault="00B242C3" w:rsidP="00FD6510">
            <w:pPr>
              <w:pStyle w:val="TableBullet2"/>
              <w:rPr>
                <w:rFonts w:cs="Arial"/>
              </w:rPr>
            </w:pPr>
            <w:r w:rsidRPr="003272C7">
              <w:rPr>
                <w:rFonts w:cs="Arial"/>
              </w:rPr>
              <w:lastRenderedPageBreak/>
              <w:t>establish and proactively manage funding agreements.</w:t>
            </w:r>
          </w:p>
        </w:tc>
      </w:tr>
    </w:tbl>
    <w:p w14:paraId="7D38884C" w14:textId="77777777" w:rsidR="00B242C3" w:rsidRPr="003272C7" w:rsidRDefault="00B242C3" w:rsidP="00B242C3">
      <w:pPr>
        <w:pStyle w:val="Heading2"/>
        <w:rPr>
          <w:rFonts w:cs="Arial"/>
        </w:rPr>
      </w:pPr>
      <w:bookmarkStart w:id="57" w:name="_Toc147410794"/>
      <w:bookmarkStart w:id="58" w:name="_Toc183777802"/>
      <w:r w:rsidRPr="003272C7">
        <w:rPr>
          <w:rFonts w:cs="Arial"/>
        </w:rPr>
        <w:lastRenderedPageBreak/>
        <w:t>PSP1: Water Security, Resilience and Oversight of Strategic Investments / Long-term Water Security</w:t>
      </w:r>
      <w:bookmarkEnd w:id="57"/>
      <w:bookmarkEnd w:id="5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43281827" w14:textId="77777777" w:rsidTr="008210E5">
        <w:trPr>
          <w:trHeight w:val="395"/>
        </w:trPr>
        <w:tc>
          <w:tcPr>
            <w:tcW w:w="979" w:type="pct"/>
            <w:shd w:val="clear" w:color="auto" w:fill="231EDC" w:themeFill="accent1"/>
          </w:tcPr>
          <w:p w14:paraId="7CD1B52E" w14:textId="2BB61DBB" w:rsidR="00B242C3" w:rsidRPr="003272C7" w:rsidRDefault="00C412A9" w:rsidP="00FD6510">
            <w:pPr>
              <w:pStyle w:val="TableHeading"/>
              <w:rPr>
                <w:rFonts w:cs="Arial"/>
              </w:rPr>
            </w:pPr>
            <w:r w:rsidRPr="003272C7">
              <w:rPr>
                <w:rFonts w:cs="Arial"/>
              </w:rPr>
              <w:t>Initiative</w:t>
            </w:r>
          </w:p>
        </w:tc>
        <w:tc>
          <w:tcPr>
            <w:tcW w:w="4021" w:type="pct"/>
            <w:shd w:val="clear" w:color="auto" w:fill="231EDC" w:themeFill="accent1"/>
          </w:tcPr>
          <w:p w14:paraId="1420A35E" w14:textId="77777777" w:rsidR="00B242C3" w:rsidRPr="003272C7" w:rsidRDefault="00B242C3" w:rsidP="00FD6510">
            <w:pPr>
              <w:pStyle w:val="TableHeading"/>
              <w:rPr>
                <w:rFonts w:cs="Arial"/>
              </w:rPr>
            </w:pPr>
            <w:r w:rsidRPr="003272C7">
              <w:rPr>
                <w:rFonts w:cs="Arial"/>
              </w:rPr>
              <w:t>8. Building a Sustainable Water Sector</w:t>
            </w:r>
          </w:p>
        </w:tc>
      </w:tr>
      <w:tr w:rsidR="00B242C3" w:rsidRPr="003272C7" w14:paraId="75EC9E77" w14:textId="77777777" w:rsidTr="008210E5">
        <w:trPr>
          <w:trHeight w:val="341"/>
        </w:trPr>
        <w:tc>
          <w:tcPr>
            <w:tcW w:w="979" w:type="pct"/>
            <w:shd w:val="clear" w:color="auto" w:fill="231EDC" w:themeFill="accent1"/>
          </w:tcPr>
          <w:p w14:paraId="74336330" w14:textId="77777777" w:rsidR="00B242C3" w:rsidRPr="003272C7" w:rsidRDefault="00B242C3" w:rsidP="00FD6510">
            <w:pPr>
              <w:pStyle w:val="TableText"/>
              <w:rPr>
                <w:rFonts w:cs="Arial"/>
                <w:b/>
                <w:bCs/>
              </w:rPr>
            </w:pPr>
            <w:r w:rsidRPr="003272C7">
              <w:rPr>
                <w:rFonts w:cs="Arial"/>
                <w:b/>
                <w:bCs/>
              </w:rPr>
              <w:t>Project</w:t>
            </w:r>
          </w:p>
        </w:tc>
        <w:tc>
          <w:tcPr>
            <w:tcW w:w="4021" w:type="pct"/>
          </w:tcPr>
          <w:p w14:paraId="72710C2A" w14:textId="77777777" w:rsidR="00B242C3" w:rsidRPr="003272C7" w:rsidRDefault="00B242C3" w:rsidP="00FD6510">
            <w:pPr>
              <w:pStyle w:val="TableText"/>
              <w:rPr>
                <w:rFonts w:cs="Arial"/>
              </w:rPr>
            </w:pPr>
            <w:r w:rsidRPr="003272C7">
              <w:rPr>
                <w:rFonts w:cs="Arial"/>
              </w:rPr>
              <w:t>PSP1: Water Security, Resilience and Oversight of Strategic Investments / Long-term Water Security</w:t>
            </w:r>
          </w:p>
        </w:tc>
      </w:tr>
      <w:tr w:rsidR="00B242C3" w:rsidRPr="003272C7" w14:paraId="1D9D2A62" w14:textId="77777777" w:rsidTr="008210E5">
        <w:trPr>
          <w:trHeight w:val="259"/>
        </w:trPr>
        <w:tc>
          <w:tcPr>
            <w:tcW w:w="979" w:type="pct"/>
            <w:shd w:val="clear" w:color="auto" w:fill="231EDC" w:themeFill="accent1"/>
          </w:tcPr>
          <w:p w14:paraId="32516397" w14:textId="70CE7FB9" w:rsidR="00B242C3" w:rsidRPr="003272C7" w:rsidRDefault="00B242C3" w:rsidP="00FD6510">
            <w:pPr>
              <w:pStyle w:val="TableText"/>
              <w:rPr>
                <w:rFonts w:cs="Arial"/>
                <w:b/>
                <w:bCs/>
              </w:rPr>
            </w:pPr>
            <w:r w:rsidRPr="003272C7">
              <w:rPr>
                <w:rFonts w:cs="Arial"/>
                <w:b/>
                <w:bCs/>
              </w:rPr>
              <w:t>Description</w:t>
            </w:r>
          </w:p>
        </w:tc>
        <w:tc>
          <w:tcPr>
            <w:tcW w:w="4021" w:type="pct"/>
          </w:tcPr>
          <w:p w14:paraId="6D1647E9" w14:textId="77777777" w:rsidR="00142559" w:rsidRPr="003272C7" w:rsidRDefault="00B242C3" w:rsidP="00FD6510">
            <w:pPr>
              <w:pStyle w:val="TableText"/>
              <w:rPr>
                <w:rFonts w:cs="Arial"/>
              </w:rPr>
            </w:pPr>
            <w:r w:rsidRPr="003272C7">
              <w:rPr>
                <w:rFonts w:cs="Arial"/>
              </w:rPr>
              <w:t xml:space="preserve">To help address challenges such as climate change and population </w:t>
            </w:r>
            <w:r w:rsidR="00DD4B3C" w:rsidRPr="003272C7">
              <w:rPr>
                <w:rFonts w:cs="Arial"/>
              </w:rPr>
              <w:t>growth,</w:t>
            </w:r>
            <w:r w:rsidRPr="003272C7">
              <w:rPr>
                <w:rFonts w:cs="Arial"/>
              </w:rPr>
              <w:t xml:space="preserve"> the Victorian water sector has many interrelated planning processes including LTWRA</w:t>
            </w:r>
            <w:r w:rsidR="00DD4B3C" w:rsidRPr="003272C7">
              <w:rPr>
                <w:rFonts w:cs="Arial"/>
              </w:rPr>
              <w:t>s</w:t>
            </w:r>
            <w:r w:rsidRPr="003272C7">
              <w:rPr>
                <w:rFonts w:cs="Arial"/>
              </w:rPr>
              <w:t xml:space="preserve">, Sustainable Water Strategies and Urban Water Strategies that contribute to the maintenance of water security. </w:t>
            </w:r>
            <w:r w:rsidR="00DD4B3C" w:rsidRPr="003272C7">
              <w:rPr>
                <w:rFonts w:cs="Arial"/>
              </w:rPr>
              <w:t>However,</w:t>
            </w:r>
            <w:r w:rsidRPr="003272C7">
              <w:rPr>
                <w:rFonts w:cs="Arial"/>
              </w:rPr>
              <w:t xml:space="preserve"> these processes are all at different scales and the responsibility of undertaking these framework sits with various specialists within government and across partner organisations.</w:t>
            </w:r>
          </w:p>
          <w:p w14:paraId="334EE183" w14:textId="77777777" w:rsidR="00142559" w:rsidRPr="003272C7" w:rsidRDefault="00B242C3" w:rsidP="00FD6510">
            <w:pPr>
              <w:pStyle w:val="TableText"/>
              <w:rPr>
                <w:rFonts w:cs="Arial"/>
              </w:rPr>
            </w:pPr>
            <w:r w:rsidRPr="003272C7">
              <w:rPr>
                <w:rFonts w:cs="Arial"/>
              </w:rPr>
              <w:t>Fragmented and misaligned frameworks can lead to an increased risk of the Victorian water sector being unable to continue to provide safe, reliable and affordable water for cities and towns or support a healthy environment and prosperous water-dependent economy across the state.</w:t>
            </w:r>
          </w:p>
          <w:p w14:paraId="369F701F" w14:textId="08A1693C" w:rsidR="00B242C3" w:rsidRPr="003272C7" w:rsidRDefault="00B242C3" w:rsidP="00FD6510">
            <w:pPr>
              <w:pStyle w:val="TableText"/>
              <w:rPr>
                <w:rFonts w:cs="Arial"/>
              </w:rPr>
            </w:pPr>
            <w:r w:rsidRPr="003272C7">
              <w:rPr>
                <w:rFonts w:cs="Arial"/>
              </w:rPr>
              <w:t xml:space="preserve">This </w:t>
            </w:r>
            <w:r w:rsidR="00445736" w:rsidRPr="003272C7">
              <w:rPr>
                <w:rFonts w:cs="Arial"/>
              </w:rPr>
              <w:t>project</w:t>
            </w:r>
            <w:r w:rsidRPr="003272C7">
              <w:rPr>
                <w:rFonts w:cs="Arial"/>
              </w:rPr>
              <w:t xml:space="preserve"> sought to promote the sustainable management of water by developing a long-term, coordinated approach for improving water security across Victoria, including reforms to the water planning and management frameworks for the sector and embracing new and innovative methods of service delivery and knowledge sharing. </w:t>
            </w:r>
            <w:r w:rsidR="00436672" w:rsidRPr="003272C7">
              <w:rPr>
                <w:rFonts w:cs="Arial"/>
              </w:rPr>
              <w:t xml:space="preserve">This </w:t>
            </w:r>
            <w:r w:rsidR="00445736" w:rsidRPr="003272C7">
              <w:rPr>
                <w:rFonts w:cs="Arial"/>
              </w:rPr>
              <w:t>project</w:t>
            </w:r>
            <w:r w:rsidR="00436672" w:rsidRPr="003272C7">
              <w:rPr>
                <w:rFonts w:cs="Arial"/>
              </w:rPr>
              <w:t xml:space="preserve"> also sought to improve responses to emerging pressures on water resources and the sector more broadly through a circular economy and renewable energy transition. </w:t>
            </w:r>
            <w:r w:rsidRPr="003272C7">
              <w:rPr>
                <w:rFonts w:cs="Arial"/>
              </w:rPr>
              <w:t xml:space="preserve">The </w:t>
            </w:r>
            <w:r w:rsidR="00445736" w:rsidRPr="003272C7">
              <w:rPr>
                <w:rFonts w:cs="Arial"/>
              </w:rPr>
              <w:t>project</w:t>
            </w:r>
            <w:r w:rsidRPr="003272C7">
              <w:rPr>
                <w:rFonts w:cs="Arial"/>
              </w:rPr>
              <w:t xml:space="preserve"> was divided into 5 sub-projects aimed at supporting different aspects of long-term water security.</w:t>
            </w:r>
          </w:p>
        </w:tc>
      </w:tr>
      <w:tr w:rsidR="00B242C3" w:rsidRPr="003272C7" w14:paraId="5C0F5F8C" w14:textId="77777777" w:rsidTr="008210E5">
        <w:trPr>
          <w:trHeight w:val="259"/>
        </w:trPr>
        <w:tc>
          <w:tcPr>
            <w:tcW w:w="979" w:type="pct"/>
            <w:shd w:val="clear" w:color="auto" w:fill="231EDC" w:themeFill="accent1"/>
          </w:tcPr>
          <w:p w14:paraId="316FB244" w14:textId="77777777" w:rsidR="00B242C3" w:rsidRPr="003272C7" w:rsidRDefault="00B242C3" w:rsidP="00FD6510">
            <w:pPr>
              <w:pStyle w:val="TableText"/>
              <w:rPr>
                <w:rFonts w:cs="Arial"/>
                <w:b/>
                <w:bCs/>
              </w:rPr>
            </w:pPr>
            <w:r w:rsidRPr="003272C7">
              <w:rPr>
                <w:rFonts w:cs="Arial"/>
                <w:b/>
                <w:bCs/>
              </w:rPr>
              <w:t>Outputs</w:t>
            </w:r>
          </w:p>
        </w:tc>
        <w:tc>
          <w:tcPr>
            <w:tcW w:w="4021" w:type="pct"/>
          </w:tcPr>
          <w:p w14:paraId="19E87912" w14:textId="77777777" w:rsidR="00142559" w:rsidRPr="003272C7" w:rsidRDefault="00B242C3" w:rsidP="00FD6510">
            <w:pPr>
              <w:pStyle w:val="TableBullet"/>
              <w:rPr>
                <w:rFonts w:cs="Arial"/>
                <w:b/>
                <w:bCs/>
              </w:rPr>
            </w:pPr>
            <w:r w:rsidRPr="003272C7">
              <w:rPr>
                <w:rFonts w:cs="Arial"/>
                <w:b/>
                <w:bCs/>
              </w:rPr>
              <w:t>Blue Urban:</w:t>
            </w:r>
          </w:p>
          <w:p w14:paraId="3E957F1B" w14:textId="361AB5D9" w:rsidR="00142559" w:rsidRPr="003272C7" w:rsidRDefault="00B242C3" w:rsidP="00FD6510">
            <w:pPr>
              <w:pStyle w:val="TableBullet2"/>
              <w:rPr>
                <w:rFonts w:cs="Arial"/>
              </w:rPr>
            </w:pPr>
            <w:r w:rsidRPr="003272C7">
              <w:rPr>
                <w:rFonts w:cs="Arial"/>
              </w:rPr>
              <w:t xml:space="preserve">Reviewed the 2016 Urban Water Strategy guidelines and developed updated </w:t>
            </w:r>
            <w:r w:rsidR="00DD4B3C" w:rsidRPr="003272C7">
              <w:rPr>
                <w:rFonts w:cs="Arial"/>
              </w:rPr>
              <w:t xml:space="preserve">Urban Water Strategy </w:t>
            </w:r>
            <w:r w:rsidRPr="003272C7">
              <w:rPr>
                <w:rFonts w:cs="Arial"/>
              </w:rPr>
              <w:t>guidelines for the water sector.</w:t>
            </w:r>
          </w:p>
          <w:p w14:paraId="4A4638AD" w14:textId="3E5784FC" w:rsidR="00B242C3" w:rsidRPr="003272C7" w:rsidRDefault="00B242C3" w:rsidP="00FD6510">
            <w:pPr>
              <w:pStyle w:val="TableBullet2"/>
              <w:rPr>
                <w:rFonts w:cs="Arial"/>
              </w:rPr>
            </w:pPr>
            <w:r w:rsidRPr="003272C7">
              <w:rPr>
                <w:rFonts w:cs="Arial"/>
              </w:rPr>
              <w:t xml:space="preserve">Coordinated 12 x </w:t>
            </w:r>
            <w:r w:rsidR="00DD4B3C" w:rsidRPr="003272C7">
              <w:rPr>
                <w:rFonts w:cs="Arial"/>
              </w:rPr>
              <w:t xml:space="preserve">Urban Water Strategies </w:t>
            </w:r>
            <w:r w:rsidRPr="003272C7">
              <w:rPr>
                <w:rFonts w:cs="Arial"/>
              </w:rPr>
              <w:t>from urban water corporations and 1 x joint strategy – Greater Melbourne Urban Water System Strategy</w:t>
            </w:r>
            <w:r w:rsidR="0025179A" w:rsidRPr="003272C7">
              <w:rPr>
                <w:rFonts w:cs="Arial"/>
              </w:rPr>
              <w:t xml:space="preserve"> published by each urban water corporation. DEECA has developed a statewide summary of water security across Victoria and major planned augmentations based on combined </w:t>
            </w:r>
            <w:r w:rsidR="00DD4B3C" w:rsidRPr="003272C7">
              <w:rPr>
                <w:rFonts w:cs="Arial"/>
              </w:rPr>
              <w:t xml:space="preserve">Urban Water Strategies </w:t>
            </w:r>
            <w:r w:rsidR="0025179A" w:rsidRPr="003272C7">
              <w:rPr>
                <w:rFonts w:cs="Arial"/>
              </w:rPr>
              <w:t>results.</w:t>
            </w:r>
          </w:p>
          <w:p w14:paraId="02F930F9" w14:textId="5E5C0680" w:rsidR="00B242C3" w:rsidRPr="003272C7" w:rsidRDefault="00B242C3" w:rsidP="00FD6510">
            <w:pPr>
              <w:pStyle w:val="TableBullet2"/>
              <w:rPr>
                <w:rFonts w:cs="Arial"/>
              </w:rPr>
            </w:pPr>
            <w:r w:rsidRPr="003272C7">
              <w:rPr>
                <w:rFonts w:cs="Arial"/>
              </w:rPr>
              <w:t>Coordination of the 2021-22, 2022-23 and 2023-24 Victorian desalination orders and supporting desalination handbook</w:t>
            </w:r>
            <w:r w:rsidR="0025179A" w:rsidRPr="003272C7">
              <w:rPr>
                <w:rFonts w:cs="Arial"/>
              </w:rPr>
              <w:t xml:space="preserve"> and communications material.</w:t>
            </w:r>
          </w:p>
          <w:p w14:paraId="3A818F7D" w14:textId="77777777" w:rsidR="00142559" w:rsidRPr="003272C7" w:rsidRDefault="00B242C3" w:rsidP="00FD6510">
            <w:pPr>
              <w:pStyle w:val="TableBullet"/>
              <w:rPr>
                <w:rFonts w:cs="Arial"/>
              </w:rPr>
            </w:pPr>
            <w:r w:rsidRPr="003272C7">
              <w:rPr>
                <w:rFonts w:cs="Arial"/>
                <w:b/>
                <w:bCs/>
              </w:rPr>
              <w:t>Blue Circle:</w:t>
            </w:r>
            <w:r w:rsidRPr="003272C7">
              <w:rPr>
                <w:rFonts w:cs="Arial"/>
              </w:rPr>
              <w:t xml:space="preserve"> </w:t>
            </w:r>
            <w:r w:rsidR="00DF71B1" w:rsidRPr="003272C7">
              <w:rPr>
                <w:rFonts w:cs="Arial"/>
              </w:rPr>
              <w:t>Established a Water Sector Circular Economy Working Group and collectively</w:t>
            </w:r>
            <w:r w:rsidRPr="003272C7">
              <w:rPr>
                <w:rFonts w:cs="Arial"/>
              </w:rPr>
              <w:t xml:space="preserve"> </w:t>
            </w:r>
            <w:r w:rsidR="00DF71B1" w:rsidRPr="003272C7">
              <w:rPr>
                <w:rFonts w:cs="Arial"/>
              </w:rPr>
              <w:t xml:space="preserve">developed </w:t>
            </w:r>
            <w:r w:rsidRPr="003272C7">
              <w:rPr>
                <w:rFonts w:cs="Arial"/>
              </w:rPr>
              <w:t xml:space="preserve">the 2022-2023 </w:t>
            </w:r>
            <w:r w:rsidR="00DF71B1" w:rsidRPr="003272C7">
              <w:rPr>
                <w:rFonts w:cs="Arial"/>
              </w:rPr>
              <w:t>and 2023-2024</w:t>
            </w:r>
            <w:r w:rsidRPr="003272C7">
              <w:rPr>
                <w:rFonts w:cs="Arial"/>
              </w:rPr>
              <w:t xml:space="preserve"> Water Sector Circular Economy Action Plan </w:t>
            </w:r>
            <w:r w:rsidR="00B23AEE" w:rsidRPr="003272C7">
              <w:rPr>
                <w:rFonts w:cs="Arial"/>
              </w:rPr>
              <w:t xml:space="preserve">to </w:t>
            </w:r>
            <w:r w:rsidRPr="003272C7">
              <w:rPr>
                <w:rFonts w:cs="Arial"/>
              </w:rPr>
              <w:t xml:space="preserve">deliver </w:t>
            </w:r>
            <w:r w:rsidR="00B23AEE" w:rsidRPr="003272C7">
              <w:rPr>
                <w:rFonts w:cs="Arial"/>
              </w:rPr>
              <w:t>identified priority</w:t>
            </w:r>
            <w:r w:rsidRPr="003272C7">
              <w:rPr>
                <w:rFonts w:cs="Arial"/>
              </w:rPr>
              <w:t xml:space="preserve"> actions </w:t>
            </w:r>
            <w:r w:rsidR="00D538F9" w:rsidRPr="003272C7">
              <w:rPr>
                <w:rFonts w:cs="Arial"/>
              </w:rPr>
              <w:t>including</w:t>
            </w:r>
            <w:r w:rsidRPr="003272C7">
              <w:rPr>
                <w:rFonts w:cs="Arial"/>
              </w:rPr>
              <w:t xml:space="preserve"> </w:t>
            </w:r>
            <w:r w:rsidR="00D538F9" w:rsidRPr="003272C7">
              <w:rPr>
                <w:rFonts w:cs="Arial"/>
              </w:rPr>
              <w:t>creating a</w:t>
            </w:r>
            <w:r w:rsidRPr="003272C7">
              <w:rPr>
                <w:rFonts w:cs="Arial"/>
              </w:rPr>
              <w:t xml:space="preserve"> shared measurement framework </w:t>
            </w:r>
            <w:r w:rsidR="00503F32" w:rsidRPr="003272C7">
              <w:rPr>
                <w:rFonts w:cs="Arial"/>
              </w:rPr>
              <w:t>for circular economy in the Victorian water sector. Provided $815,000 in seed funding to attract more than $1.9 million in water sector investment towards research and projects focusing on water sector needs in a circular economy transition.</w:t>
            </w:r>
          </w:p>
          <w:p w14:paraId="4CA6B504" w14:textId="70D33D55" w:rsidR="00142559" w:rsidRPr="003272C7" w:rsidRDefault="00B242C3" w:rsidP="00FD6510">
            <w:pPr>
              <w:pStyle w:val="TableBullet"/>
              <w:rPr>
                <w:rFonts w:cs="Arial"/>
              </w:rPr>
            </w:pPr>
            <w:r w:rsidRPr="003272C7">
              <w:rPr>
                <w:rFonts w:cs="Arial"/>
                <w:b/>
                <w:bCs/>
              </w:rPr>
              <w:t>Blue Community:</w:t>
            </w:r>
            <w:r w:rsidRPr="003272C7">
              <w:rPr>
                <w:rFonts w:cs="Arial"/>
              </w:rPr>
              <w:t xml:space="preserve"> </w:t>
            </w:r>
            <w:r w:rsidR="00370B72" w:rsidRPr="003272C7">
              <w:rPr>
                <w:rFonts w:cs="Arial"/>
              </w:rPr>
              <w:t>Included as Action 9-5 in the</w:t>
            </w:r>
            <w:r w:rsidRPr="003272C7">
              <w:rPr>
                <w:rFonts w:cs="Arial"/>
              </w:rPr>
              <w:t xml:space="preserve"> </w:t>
            </w:r>
            <w:r w:rsidR="00DD4B3C" w:rsidRPr="003272C7">
              <w:rPr>
                <w:rFonts w:cs="Arial"/>
              </w:rPr>
              <w:t>CGRSWS</w:t>
            </w:r>
            <w:r w:rsidR="00370B72" w:rsidRPr="003272C7">
              <w:rPr>
                <w:rFonts w:cs="Arial"/>
              </w:rPr>
              <w:t>, this</w:t>
            </w:r>
            <w:r w:rsidR="00900004" w:rsidRPr="003272C7">
              <w:rPr>
                <w:rFonts w:cs="Arial"/>
              </w:rPr>
              <w:t xml:space="preserve"> involved</w:t>
            </w:r>
            <w:r w:rsidRPr="003272C7">
              <w:rPr>
                <w:rFonts w:cs="Arial"/>
              </w:rPr>
              <w:t xml:space="preserve"> consultation and workshops with the sector, </w:t>
            </w:r>
            <w:r w:rsidR="00900004" w:rsidRPr="003272C7">
              <w:rPr>
                <w:rFonts w:cs="Arial"/>
              </w:rPr>
              <w:t>c</w:t>
            </w:r>
            <w:r w:rsidRPr="003272C7">
              <w:rPr>
                <w:rFonts w:cs="Arial"/>
              </w:rPr>
              <w:t>reat</w:t>
            </w:r>
            <w:r w:rsidR="00900004" w:rsidRPr="003272C7">
              <w:rPr>
                <w:rFonts w:cs="Arial"/>
              </w:rPr>
              <w:t>ion</w:t>
            </w:r>
            <w:r w:rsidR="00654373" w:rsidRPr="003272C7">
              <w:rPr>
                <w:rFonts w:cs="Arial"/>
              </w:rPr>
              <w:t xml:space="preserve"> of</w:t>
            </w:r>
            <w:r w:rsidRPr="003272C7">
              <w:rPr>
                <w:rFonts w:cs="Arial"/>
              </w:rPr>
              <w:t xml:space="preserve"> </w:t>
            </w:r>
            <w:r w:rsidR="00DD4B3C" w:rsidRPr="003272C7">
              <w:rPr>
                <w:rFonts w:cs="Arial"/>
              </w:rPr>
              <w:t>Water and Catchments Group</w:t>
            </w:r>
            <w:r w:rsidRPr="003272C7">
              <w:rPr>
                <w:rFonts w:cs="Arial"/>
              </w:rPr>
              <w:t xml:space="preserve"> Communications Community of Practice group, </w:t>
            </w:r>
            <w:r w:rsidR="00654373" w:rsidRPr="003272C7">
              <w:rPr>
                <w:rFonts w:cs="Arial"/>
              </w:rPr>
              <w:t>and i</w:t>
            </w:r>
            <w:r w:rsidRPr="003272C7">
              <w:rPr>
                <w:rFonts w:cs="Arial"/>
              </w:rPr>
              <w:t>mplementation of</w:t>
            </w:r>
            <w:r w:rsidR="000A1A4F" w:rsidRPr="003272C7">
              <w:rPr>
                <w:rFonts w:cs="Arial"/>
              </w:rPr>
              <w:t> </w:t>
            </w:r>
            <w:r w:rsidRPr="003272C7">
              <w:rPr>
                <w:rFonts w:cs="Arial"/>
              </w:rPr>
              <w:t>3</w:t>
            </w:r>
            <w:r w:rsidR="000A1A4F" w:rsidRPr="003272C7">
              <w:rPr>
                <w:rFonts w:cs="Arial"/>
              </w:rPr>
              <w:t> </w:t>
            </w:r>
            <w:r w:rsidRPr="003272C7">
              <w:rPr>
                <w:rFonts w:cs="Arial"/>
              </w:rPr>
              <w:t>x</w:t>
            </w:r>
            <w:r w:rsidR="000A1A4F" w:rsidRPr="003272C7">
              <w:rPr>
                <w:rFonts w:cs="Arial"/>
              </w:rPr>
              <w:t> </w:t>
            </w:r>
            <w:r w:rsidRPr="003272C7">
              <w:rPr>
                <w:rFonts w:cs="Arial"/>
              </w:rPr>
              <w:t>research projects (brand awareness, community knowledge and engagement</w:t>
            </w:r>
            <w:r w:rsidR="000A1A4F" w:rsidRPr="003272C7">
              <w:rPr>
                <w:rFonts w:cs="Arial"/>
              </w:rPr>
              <w:t> </w:t>
            </w:r>
            <w:r w:rsidRPr="003272C7">
              <w:rPr>
                <w:rFonts w:cs="Arial"/>
              </w:rPr>
              <w:t>review).</w:t>
            </w:r>
          </w:p>
          <w:p w14:paraId="34D0DD84" w14:textId="25A1D64B" w:rsidR="00B242C3" w:rsidRPr="003272C7" w:rsidRDefault="00B242C3" w:rsidP="00FD6510">
            <w:pPr>
              <w:pStyle w:val="TableBullet"/>
              <w:rPr>
                <w:rFonts w:cs="Arial"/>
              </w:rPr>
            </w:pPr>
            <w:r w:rsidRPr="003272C7">
              <w:rPr>
                <w:rFonts w:cs="Arial"/>
                <w:b/>
                <w:bCs/>
              </w:rPr>
              <w:t>Blue Global:</w:t>
            </w:r>
            <w:r w:rsidRPr="003272C7">
              <w:rPr>
                <w:rFonts w:cs="Arial"/>
              </w:rPr>
              <w:t xml:space="preserve"> </w:t>
            </w:r>
            <w:r w:rsidR="00DD4B3C" w:rsidRPr="003272C7">
              <w:rPr>
                <w:rFonts w:cs="Arial"/>
              </w:rPr>
              <w:t>Memorandum of Understanding</w:t>
            </w:r>
            <w:r w:rsidRPr="003272C7">
              <w:rPr>
                <w:rFonts w:cs="Arial"/>
              </w:rPr>
              <w:t xml:space="preserve"> with Israel for international knowledge sharing</w:t>
            </w:r>
            <w:r w:rsidR="00654373" w:rsidRPr="003272C7">
              <w:rPr>
                <w:rFonts w:cs="Arial"/>
              </w:rPr>
              <w:t xml:space="preserve"> was developed but not endorsed</w:t>
            </w:r>
            <w:r w:rsidRPr="003272C7">
              <w:rPr>
                <w:rFonts w:cs="Arial"/>
              </w:rPr>
              <w:t>, online and in -person delegations with countries</w:t>
            </w:r>
            <w:r w:rsidR="00945714" w:rsidRPr="003272C7">
              <w:rPr>
                <w:rFonts w:cs="Arial"/>
              </w:rPr>
              <w:t xml:space="preserve"> from Whole of Victorian Government target regions including South East Asia</w:t>
            </w:r>
            <w:r w:rsidRPr="003272C7">
              <w:rPr>
                <w:rFonts w:cs="Arial"/>
              </w:rPr>
              <w:t>, workshops and knowledge sharing, supported Vic</w:t>
            </w:r>
            <w:r w:rsidR="002331FA" w:rsidRPr="003272C7">
              <w:rPr>
                <w:rFonts w:cs="Arial"/>
              </w:rPr>
              <w:t>torian</w:t>
            </w:r>
            <w:r w:rsidRPr="003272C7">
              <w:rPr>
                <w:rFonts w:cs="Arial"/>
              </w:rPr>
              <w:t xml:space="preserve"> engineering students on a study tour to India. </w:t>
            </w:r>
            <w:r w:rsidR="002331FA" w:rsidRPr="003272C7">
              <w:rPr>
                <w:rFonts w:cs="Arial"/>
              </w:rPr>
              <w:t>Program ceased in 2023-2024 due to reprioritisation of budget and resources within Water and Catchments Group.</w:t>
            </w:r>
          </w:p>
          <w:p w14:paraId="4BCEEAB8" w14:textId="71B888C8" w:rsidR="00B242C3" w:rsidRPr="003272C7" w:rsidRDefault="00B242C3" w:rsidP="00FD6510">
            <w:pPr>
              <w:pStyle w:val="TableBullet"/>
              <w:rPr>
                <w:rFonts w:cs="Arial"/>
              </w:rPr>
            </w:pPr>
            <w:r w:rsidRPr="003272C7">
              <w:rPr>
                <w:rFonts w:cs="Arial"/>
                <w:b/>
                <w:bCs/>
              </w:rPr>
              <w:lastRenderedPageBreak/>
              <w:t>Blue Print:</w:t>
            </w:r>
            <w:r w:rsidRPr="003272C7">
              <w:rPr>
                <w:rFonts w:cs="Arial"/>
              </w:rPr>
              <w:t xml:space="preserve"> Water Security Discussion Paper for the Secure Water Innovative Futures Together (SWIFT) internal working group (2019), Frontier Economics: Water Planning Assurance (September 2022), First principles review of the urban water security planning framework (2023)</w:t>
            </w:r>
            <w:r w:rsidR="00DD4B3C" w:rsidRPr="003272C7">
              <w:rPr>
                <w:rFonts w:cs="Arial"/>
              </w:rPr>
              <w:t>.</w:t>
            </w:r>
          </w:p>
        </w:tc>
      </w:tr>
      <w:tr w:rsidR="00B242C3" w:rsidRPr="003272C7" w14:paraId="7EAB195C" w14:textId="77777777" w:rsidTr="005229E9">
        <w:trPr>
          <w:trHeight w:val="259"/>
        </w:trPr>
        <w:tc>
          <w:tcPr>
            <w:tcW w:w="5000" w:type="pct"/>
            <w:gridSpan w:val="2"/>
            <w:shd w:val="clear" w:color="auto" w:fill="231EDC" w:themeFill="accent1"/>
          </w:tcPr>
          <w:p w14:paraId="54D15B5E" w14:textId="77777777" w:rsidR="00B242C3" w:rsidRPr="003272C7" w:rsidRDefault="00B242C3" w:rsidP="005229E9">
            <w:pPr>
              <w:pStyle w:val="TableText"/>
              <w:rPr>
                <w:rFonts w:cs="Arial"/>
                <w:b/>
                <w:bCs/>
              </w:rPr>
            </w:pPr>
            <w:r w:rsidRPr="003272C7">
              <w:rPr>
                <w:rFonts w:cs="Arial"/>
                <w:b/>
                <w:bCs/>
              </w:rPr>
              <w:lastRenderedPageBreak/>
              <w:t>Summary against evaluation domains</w:t>
            </w:r>
          </w:p>
        </w:tc>
      </w:tr>
      <w:tr w:rsidR="00B242C3" w:rsidRPr="003272C7" w14:paraId="41C27845" w14:textId="77777777" w:rsidTr="008210E5">
        <w:trPr>
          <w:trHeight w:val="259"/>
        </w:trPr>
        <w:tc>
          <w:tcPr>
            <w:tcW w:w="979" w:type="pct"/>
            <w:shd w:val="clear" w:color="auto" w:fill="231EDC" w:themeFill="accent1"/>
          </w:tcPr>
          <w:p w14:paraId="04F8D410" w14:textId="77777777" w:rsidR="00B242C3" w:rsidRPr="003272C7" w:rsidRDefault="00B242C3" w:rsidP="00FD6510">
            <w:pPr>
              <w:pStyle w:val="TableText"/>
              <w:rPr>
                <w:rFonts w:cs="Arial"/>
                <w:b/>
                <w:bCs/>
              </w:rPr>
            </w:pPr>
            <w:r w:rsidRPr="003272C7">
              <w:rPr>
                <w:rFonts w:cs="Arial"/>
                <w:b/>
                <w:bCs/>
              </w:rPr>
              <w:t>Impact</w:t>
            </w:r>
          </w:p>
        </w:tc>
        <w:tc>
          <w:tcPr>
            <w:tcW w:w="4021" w:type="pct"/>
          </w:tcPr>
          <w:p w14:paraId="58EC242E" w14:textId="5B6A309D" w:rsidR="00B242C3" w:rsidRPr="003272C7" w:rsidRDefault="00B242C3" w:rsidP="00FD6510">
            <w:pPr>
              <w:pStyle w:val="TableTextBold"/>
              <w:rPr>
                <w:rFonts w:cs="Arial"/>
              </w:rPr>
            </w:pPr>
            <w:r w:rsidRPr="003272C7">
              <w:rPr>
                <w:rFonts w:cs="Arial"/>
              </w:rPr>
              <w:t>Comprehensive, better aligned state-wide water planning involving partnerships with traditional owners</w:t>
            </w:r>
            <w:r w:rsidR="00DD4B3C" w:rsidRPr="003272C7">
              <w:rPr>
                <w:rFonts w:cs="Arial"/>
              </w:rPr>
              <w:t>:</w:t>
            </w:r>
          </w:p>
          <w:p w14:paraId="7D1C0DBA" w14:textId="17A4C663" w:rsidR="00142559" w:rsidRPr="003272C7" w:rsidRDefault="00B242C3" w:rsidP="00FD6510">
            <w:pPr>
              <w:pStyle w:val="TableBullet"/>
              <w:rPr>
                <w:rFonts w:cs="Arial"/>
              </w:rPr>
            </w:pPr>
            <w:r w:rsidRPr="003272C7">
              <w:rPr>
                <w:rFonts w:cs="Arial"/>
              </w:rPr>
              <w:t xml:space="preserve">The 2022 </w:t>
            </w:r>
            <w:r w:rsidR="00DD4B3C" w:rsidRPr="003272C7">
              <w:rPr>
                <w:rFonts w:cs="Arial"/>
              </w:rPr>
              <w:t xml:space="preserve">Urban Water Strategy </w:t>
            </w:r>
            <w:r w:rsidRPr="003272C7">
              <w:rPr>
                <w:rFonts w:cs="Arial"/>
              </w:rPr>
              <w:t>process was improved through the review of the</w:t>
            </w:r>
            <w:r w:rsidR="000A1A4F" w:rsidRPr="003272C7">
              <w:rPr>
                <w:rFonts w:cs="Arial"/>
              </w:rPr>
              <w:t> </w:t>
            </w:r>
            <w:r w:rsidR="00DD4B3C" w:rsidRPr="003272C7">
              <w:rPr>
                <w:rFonts w:cs="Arial"/>
              </w:rPr>
              <w:t xml:space="preserve">Urban Water Strategy </w:t>
            </w:r>
            <w:r w:rsidRPr="003272C7">
              <w:rPr>
                <w:rFonts w:cs="Arial"/>
              </w:rPr>
              <w:t>guidelines, resulting in several changes to core requirements to improve the next iteration of Urban Water Strategies</w:t>
            </w:r>
            <w:r w:rsidR="006558E9" w:rsidRPr="003272C7">
              <w:rPr>
                <w:rFonts w:cs="Arial"/>
              </w:rPr>
              <w:t>. This included</w:t>
            </w:r>
            <w:r w:rsidRPr="003272C7">
              <w:rPr>
                <w:rFonts w:cs="Arial"/>
              </w:rPr>
              <w:t xml:space="preserve"> greater planning for water security including </w:t>
            </w:r>
            <w:r w:rsidR="01ED8B10" w:rsidRPr="003272C7">
              <w:rPr>
                <w:rFonts w:cs="Arial"/>
              </w:rPr>
              <w:t>T</w:t>
            </w:r>
            <w:r w:rsidRPr="003272C7">
              <w:rPr>
                <w:rFonts w:cs="Arial"/>
              </w:rPr>
              <w:t xml:space="preserve">raditional </w:t>
            </w:r>
            <w:r w:rsidR="25DD1299" w:rsidRPr="003272C7">
              <w:rPr>
                <w:rFonts w:cs="Arial"/>
              </w:rPr>
              <w:t>O</w:t>
            </w:r>
            <w:r w:rsidRPr="003272C7">
              <w:rPr>
                <w:rFonts w:cs="Arial"/>
              </w:rPr>
              <w:t>wner engagement</w:t>
            </w:r>
            <w:r w:rsidR="005C1944" w:rsidRPr="003272C7">
              <w:rPr>
                <w:rFonts w:cs="Arial"/>
              </w:rPr>
              <w:t>, stress test scenarios</w:t>
            </w:r>
            <w:r w:rsidRPr="003272C7">
              <w:rPr>
                <w:rFonts w:cs="Arial"/>
              </w:rPr>
              <w:t xml:space="preserve"> and alignment </w:t>
            </w:r>
            <w:r w:rsidR="005C1944" w:rsidRPr="003272C7">
              <w:rPr>
                <w:rFonts w:cs="Arial"/>
              </w:rPr>
              <w:t xml:space="preserve">with </w:t>
            </w:r>
            <w:r w:rsidRPr="003272C7">
              <w:rPr>
                <w:rFonts w:cs="Arial"/>
              </w:rPr>
              <w:t xml:space="preserve">other water planning frameworks. </w:t>
            </w:r>
            <w:r w:rsidR="005C1944" w:rsidRPr="003272C7">
              <w:rPr>
                <w:rFonts w:cs="Arial"/>
              </w:rPr>
              <w:t xml:space="preserve">Further accountability has been added for water corporations through mandated reporting on the delivery of key </w:t>
            </w:r>
            <w:r w:rsidR="00DD4B3C" w:rsidRPr="003272C7">
              <w:rPr>
                <w:rFonts w:cs="Arial"/>
              </w:rPr>
              <w:t xml:space="preserve">Urban Water Strategy </w:t>
            </w:r>
            <w:r w:rsidR="005C1944" w:rsidRPr="003272C7">
              <w:rPr>
                <w:rFonts w:cs="Arial"/>
              </w:rPr>
              <w:t>action</w:t>
            </w:r>
            <w:r w:rsidR="01D875D6" w:rsidRPr="003272C7">
              <w:rPr>
                <w:rFonts w:cs="Arial"/>
              </w:rPr>
              <w:t>s</w:t>
            </w:r>
            <w:r w:rsidR="005C1944" w:rsidRPr="003272C7">
              <w:rPr>
                <w:rFonts w:cs="Arial"/>
              </w:rPr>
              <w:t xml:space="preserve"> annually through their Annual Water Outlooks.</w:t>
            </w:r>
          </w:p>
          <w:p w14:paraId="665B3BEA" w14:textId="7AC87E4E" w:rsidR="00B242C3" w:rsidRPr="003272C7" w:rsidRDefault="00B242C3" w:rsidP="00FD6510">
            <w:pPr>
              <w:pStyle w:val="TableBullet"/>
              <w:rPr>
                <w:rFonts w:cs="Arial"/>
              </w:rPr>
            </w:pPr>
            <w:r w:rsidRPr="003272C7">
              <w:rPr>
                <w:rFonts w:cs="Arial"/>
              </w:rPr>
              <w:t xml:space="preserve">The water assurance project </w:t>
            </w:r>
            <w:r w:rsidR="00302F3B" w:rsidRPr="003272C7">
              <w:rPr>
                <w:rFonts w:cs="Arial"/>
              </w:rPr>
              <w:t>is reviewing</w:t>
            </w:r>
            <w:r w:rsidRPr="003272C7">
              <w:rPr>
                <w:rFonts w:cs="Arial"/>
              </w:rPr>
              <w:t xml:space="preserve"> the b</w:t>
            </w:r>
            <w:r w:rsidR="000E0FFB" w:rsidRPr="003272C7">
              <w:rPr>
                <w:rFonts w:cs="Arial"/>
              </w:rPr>
              <w:t>r</w:t>
            </w:r>
            <w:r w:rsidRPr="003272C7">
              <w:rPr>
                <w:rFonts w:cs="Arial"/>
              </w:rPr>
              <w:t>oader water planning framework to ensure it works efficiently and effectively to deliver water security for the</w:t>
            </w:r>
            <w:r w:rsidR="000A1A4F" w:rsidRPr="003272C7">
              <w:rPr>
                <w:rFonts w:cs="Arial"/>
              </w:rPr>
              <w:t> </w:t>
            </w:r>
            <w:r w:rsidRPr="003272C7">
              <w:rPr>
                <w:rFonts w:cs="Arial"/>
              </w:rPr>
              <w:t>community at an acceptable cost</w:t>
            </w:r>
            <w:r w:rsidR="00DD4B3C" w:rsidRPr="003272C7">
              <w:rPr>
                <w:rFonts w:cs="Arial"/>
              </w:rPr>
              <w:t>.</w:t>
            </w:r>
          </w:p>
          <w:p w14:paraId="551670C6" w14:textId="77777777" w:rsidR="00B242C3" w:rsidRPr="003272C7" w:rsidRDefault="00B242C3" w:rsidP="00FD6510">
            <w:pPr>
              <w:pStyle w:val="TableBullet"/>
              <w:rPr>
                <w:rFonts w:cs="Arial"/>
              </w:rPr>
            </w:pPr>
            <w:r w:rsidRPr="003272C7">
              <w:rPr>
                <w:rFonts w:cs="Arial"/>
              </w:rPr>
              <w:t>Blue Community will align community messaging on water security through building capability in water literacy with effective and targeted communication strategies. This will include the incorporation of Traditional Owner knowledge, view and values in a way that emphasises self-determination.</w:t>
            </w:r>
          </w:p>
          <w:p w14:paraId="58F143EE" w14:textId="118F5055" w:rsidR="00B242C3" w:rsidRPr="003272C7" w:rsidRDefault="00B242C3" w:rsidP="00FD6510">
            <w:pPr>
              <w:pStyle w:val="TableTextBold"/>
              <w:rPr>
                <w:rFonts w:cs="Arial"/>
              </w:rPr>
            </w:pPr>
            <w:r w:rsidRPr="003272C7">
              <w:rPr>
                <w:rFonts w:cs="Arial"/>
              </w:rPr>
              <w:t>Improve sectoral capability and capacity to address threats</w:t>
            </w:r>
            <w:r w:rsidR="00DD4B3C" w:rsidRPr="003272C7">
              <w:rPr>
                <w:rFonts w:cs="Arial"/>
              </w:rPr>
              <w:t>:</w:t>
            </w:r>
          </w:p>
          <w:p w14:paraId="3AC7DFCC" w14:textId="0C7394D5" w:rsidR="00B242C3" w:rsidRPr="003272C7" w:rsidRDefault="00B242C3" w:rsidP="00FD6510">
            <w:pPr>
              <w:pStyle w:val="TableBullet"/>
              <w:rPr>
                <w:rFonts w:cs="Arial"/>
              </w:rPr>
            </w:pPr>
            <w:r w:rsidRPr="003272C7">
              <w:rPr>
                <w:rFonts w:cs="Arial"/>
              </w:rPr>
              <w:t xml:space="preserve">Transitioning to a circular economy can improve sectoral capability and capacity for the water industry to address threats by reducing emissions and pollution, decrease dependency on unsustainable energy sources and materials and provide new revenue streams and market opportunities through resource recovery. The establishment of </w:t>
            </w:r>
            <w:r w:rsidR="5A3172F4" w:rsidRPr="003272C7">
              <w:rPr>
                <w:rFonts w:cs="Arial"/>
              </w:rPr>
              <w:t>the</w:t>
            </w:r>
            <w:r w:rsidRPr="003272C7">
              <w:rPr>
                <w:rFonts w:cs="Arial"/>
              </w:rPr>
              <w:t xml:space="preserve"> Water Sector Circular Economy Working Group has supported capacity building by sharing learnings, discussing emerging circular economy trends, and showcasing innovative projects to wider audiences </w:t>
            </w:r>
            <w:r w:rsidR="31B5E07C" w:rsidRPr="003272C7">
              <w:rPr>
                <w:rFonts w:cs="Arial"/>
              </w:rPr>
              <w:t>to</w:t>
            </w:r>
            <w:r w:rsidRPr="003272C7">
              <w:rPr>
                <w:rFonts w:cs="Arial"/>
              </w:rPr>
              <w:t xml:space="preserve"> </w:t>
            </w:r>
            <w:r w:rsidR="6D799313" w:rsidRPr="003272C7">
              <w:rPr>
                <w:rFonts w:cs="Arial"/>
              </w:rPr>
              <w:t>break</w:t>
            </w:r>
            <w:r w:rsidRPr="003272C7">
              <w:rPr>
                <w:rFonts w:cs="Arial"/>
              </w:rPr>
              <w:t xml:space="preserve"> information silos in the sector. </w:t>
            </w:r>
            <w:r w:rsidR="00302F3B" w:rsidRPr="003272C7">
              <w:rPr>
                <w:rFonts w:cs="Arial"/>
              </w:rPr>
              <w:t>Proactive cross-government collaboration has also enabled the water sector to effectively contribute to strategies relating to waste, energy and climate change.</w:t>
            </w:r>
          </w:p>
          <w:p w14:paraId="20E162E3" w14:textId="19AFC0EE" w:rsidR="00B242C3" w:rsidRPr="003272C7" w:rsidRDefault="00B242C3" w:rsidP="00FD6510">
            <w:pPr>
              <w:pStyle w:val="TableBullet"/>
              <w:rPr>
                <w:rFonts w:cs="Arial"/>
              </w:rPr>
            </w:pPr>
            <w:r w:rsidRPr="003272C7">
              <w:rPr>
                <w:rFonts w:cs="Arial"/>
              </w:rPr>
              <w:t xml:space="preserve">The development of </w:t>
            </w:r>
            <w:r w:rsidR="00432C4B" w:rsidRPr="003272C7">
              <w:rPr>
                <w:rFonts w:cs="Arial"/>
              </w:rPr>
              <w:t xml:space="preserve">annual </w:t>
            </w:r>
            <w:r w:rsidRPr="003272C7">
              <w:rPr>
                <w:rFonts w:cs="Arial"/>
              </w:rPr>
              <w:t>Water Sector Circular Economy Action Plan</w:t>
            </w:r>
            <w:r w:rsidR="00432C4B" w:rsidRPr="003272C7">
              <w:rPr>
                <w:rFonts w:cs="Arial"/>
              </w:rPr>
              <w:t>s identifies</w:t>
            </w:r>
            <w:r w:rsidRPr="003272C7">
              <w:rPr>
                <w:rFonts w:cs="Arial"/>
              </w:rPr>
              <w:t xml:space="preserve"> </w:t>
            </w:r>
            <w:r w:rsidR="0052415C" w:rsidRPr="003272C7">
              <w:rPr>
                <w:rFonts w:cs="Arial"/>
              </w:rPr>
              <w:t xml:space="preserve">the most urgent </w:t>
            </w:r>
            <w:r w:rsidRPr="003272C7">
              <w:rPr>
                <w:rFonts w:cs="Arial"/>
              </w:rPr>
              <w:t>barriers to be addressed to build circular economy</w:t>
            </w:r>
            <w:r w:rsidR="000A1A4F" w:rsidRPr="003272C7">
              <w:rPr>
                <w:rFonts w:cs="Arial"/>
              </w:rPr>
              <w:t> </w:t>
            </w:r>
            <w:r w:rsidRPr="003272C7">
              <w:rPr>
                <w:rFonts w:cs="Arial"/>
              </w:rPr>
              <w:t>capability within the sector</w:t>
            </w:r>
            <w:r w:rsidR="0052415C" w:rsidRPr="003272C7">
              <w:rPr>
                <w:rFonts w:cs="Arial"/>
              </w:rPr>
              <w:t xml:space="preserve"> and develop outputs that inform future government</w:t>
            </w:r>
            <w:r w:rsidR="000A1A4F" w:rsidRPr="003272C7">
              <w:rPr>
                <w:rFonts w:cs="Arial"/>
              </w:rPr>
              <w:t> </w:t>
            </w:r>
            <w:r w:rsidR="0052415C" w:rsidRPr="003272C7">
              <w:rPr>
                <w:rFonts w:cs="Arial"/>
              </w:rPr>
              <w:t>policy</w:t>
            </w:r>
            <w:r w:rsidRPr="003272C7">
              <w:rPr>
                <w:rFonts w:cs="Arial"/>
              </w:rPr>
              <w:t>.</w:t>
            </w:r>
          </w:p>
          <w:p w14:paraId="46A3F992" w14:textId="77777777" w:rsidR="00142559" w:rsidRPr="003272C7" w:rsidRDefault="00B242C3" w:rsidP="00FD6510">
            <w:pPr>
              <w:pStyle w:val="TableBullet"/>
              <w:rPr>
                <w:rFonts w:cs="Arial"/>
              </w:rPr>
            </w:pPr>
            <w:r w:rsidRPr="003272C7">
              <w:rPr>
                <w:rFonts w:cs="Arial"/>
              </w:rPr>
              <w:t>Blue Global outputs have contributed to improving sectoral capability in water management through knowledge exchange seminars and delegations.</w:t>
            </w:r>
          </w:p>
          <w:p w14:paraId="019B66C6" w14:textId="323216DD" w:rsidR="00B242C3" w:rsidRPr="003272C7" w:rsidRDefault="0052415C" w:rsidP="00FD6510">
            <w:pPr>
              <w:pStyle w:val="TableBullet"/>
              <w:rPr>
                <w:rFonts w:cs="Arial"/>
              </w:rPr>
            </w:pPr>
            <w:r w:rsidRPr="003272C7">
              <w:rPr>
                <w:rFonts w:cs="Arial"/>
              </w:rPr>
              <w:t>Blue Community has identified focus topics and preferred organisations to convey messages to the Victorian community, which is informing tailored strategies to increase future engagement on water planning and decision making.</w:t>
            </w:r>
          </w:p>
        </w:tc>
      </w:tr>
      <w:tr w:rsidR="00B242C3" w:rsidRPr="003272C7" w14:paraId="711BD83E" w14:textId="77777777" w:rsidTr="008210E5">
        <w:trPr>
          <w:trHeight w:val="259"/>
        </w:trPr>
        <w:tc>
          <w:tcPr>
            <w:tcW w:w="979" w:type="pct"/>
            <w:shd w:val="clear" w:color="auto" w:fill="231EDC" w:themeFill="accent1"/>
          </w:tcPr>
          <w:p w14:paraId="5C8CCDB3" w14:textId="77777777" w:rsidR="00B242C3" w:rsidRPr="003272C7" w:rsidRDefault="00B242C3" w:rsidP="00FD6510">
            <w:pPr>
              <w:pStyle w:val="TableText"/>
              <w:rPr>
                <w:rFonts w:cs="Arial"/>
                <w:b/>
                <w:bCs/>
              </w:rPr>
            </w:pPr>
            <w:r w:rsidRPr="003272C7">
              <w:rPr>
                <w:rFonts w:cs="Arial"/>
                <w:b/>
                <w:bCs/>
              </w:rPr>
              <w:t>Effectiveness</w:t>
            </w:r>
          </w:p>
        </w:tc>
        <w:tc>
          <w:tcPr>
            <w:tcW w:w="4021" w:type="pct"/>
          </w:tcPr>
          <w:p w14:paraId="20BC4124" w14:textId="5A1DE055" w:rsidR="00B242C3" w:rsidRPr="003272C7" w:rsidRDefault="00B242C3" w:rsidP="00FD6510">
            <w:pPr>
              <w:pStyle w:val="TableText"/>
              <w:rPr>
                <w:rFonts w:cs="Arial"/>
              </w:rPr>
            </w:pPr>
            <w:r w:rsidRPr="003272C7">
              <w:rPr>
                <w:rFonts w:cs="Arial"/>
              </w:rPr>
              <w:t>Effectiveness indicated through delivery in line with workplan</w:t>
            </w:r>
            <w:r w:rsidR="00DD4B3C" w:rsidRPr="003272C7">
              <w:rPr>
                <w:rFonts w:cs="Arial"/>
              </w:rPr>
              <w:t>.</w:t>
            </w:r>
          </w:p>
        </w:tc>
      </w:tr>
      <w:tr w:rsidR="00B242C3" w:rsidRPr="003272C7" w14:paraId="2B435040" w14:textId="77777777" w:rsidTr="008210E5">
        <w:trPr>
          <w:trHeight w:val="259"/>
        </w:trPr>
        <w:tc>
          <w:tcPr>
            <w:tcW w:w="979" w:type="pct"/>
            <w:shd w:val="clear" w:color="auto" w:fill="231EDC" w:themeFill="accent1"/>
          </w:tcPr>
          <w:p w14:paraId="5443BE61" w14:textId="77777777" w:rsidR="00B242C3" w:rsidRPr="003272C7" w:rsidRDefault="00B242C3" w:rsidP="00FD6510">
            <w:pPr>
              <w:pStyle w:val="TableText"/>
              <w:rPr>
                <w:rFonts w:cs="Arial"/>
                <w:b/>
                <w:bCs/>
              </w:rPr>
            </w:pPr>
            <w:r w:rsidRPr="003272C7">
              <w:rPr>
                <w:rFonts w:cs="Arial"/>
                <w:b/>
                <w:bCs/>
              </w:rPr>
              <w:t>Appropriateness</w:t>
            </w:r>
          </w:p>
        </w:tc>
        <w:tc>
          <w:tcPr>
            <w:tcW w:w="4021" w:type="pct"/>
          </w:tcPr>
          <w:p w14:paraId="45EB72D1" w14:textId="49215584" w:rsidR="00B242C3" w:rsidRPr="003272C7" w:rsidRDefault="00B242C3" w:rsidP="00FD6510">
            <w:pPr>
              <w:pStyle w:val="TableBullet"/>
              <w:rPr>
                <w:rFonts w:cs="Arial"/>
              </w:rPr>
            </w:pPr>
            <w:r w:rsidRPr="003272C7">
              <w:rPr>
                <w:rFonts w:cs="Arial"/>
                <w:b/>
                <w:bCs/>
              </w:rPr>
              <w:t>Blue Urban:</w:t>
            </w:r>
            <w:r w:rsidRPr="003272C7">
              <w:rPr>
                <w:rFonts w:cs="Arial"/>
              </w:rPr>
              <w:t xml:space="preserve"> The project was planned in a systematic way to be able to identify alignments and misalignments within the </w:t>
            </w:r>
            <w:r w:rsidR="00DD4B3C" w:rsidRPr="003272C7">
              <w:rPr>
                <w:rFonts w:cs="Arial"/>
              </w:rPr>
              <w:t xml:space="preserve">Urban Water Strategy </w:t>
            </w:r>
            <w:r w:rsidRPr="003272C7">
              <w:rPr>
                <w:rFonts w:cs="Arial"/>
              </w:rPr>
              <w:t xml:space="preserve">framework and broader water policy framework. Timing the guidelines review before the next cycle of </w:t>
            </w:r>
            <w:r w:rsidR="00DD4B3C" w:rsidRPr="003272C7">
              <w:rPr>
                <w:rFonts w:cs="Arial"/>
              </w:rPr>
              <w:t xml:space="preserve">Urban Water Strategy </w:t>
            </w:r>
            <w:r w:rsidRPr="003272C7">
              <w:rPr>
                <w:rFonts w:cs="Arial"/>
              </w:rPr>
              <w:t xml:space="preserve">allowed the updates to be applied effectively </w:t>
            </w:r>
            <w:r w:rsidR="3B10FDD4" w:rsidRPr="003272C7">
              <w:rPr>
                <w:rFonts w:cs="Arial"/>
              </w:rPr>
              <w:t>while</w:t>
            </w:r>
            <w:r w:rsidRPr="003272C7">
              <w:rPr>
                <w:rFonts w:cs="Arial"/>
              </w:rPr>
              <w:t xml:space="preserve"> not impacting water corporations</w:t>
            </w:r>
            <w:r w:rsidR="0614BB37" w:rsidRPr="003272C7">
              <w:rPr>
                <w:rFonts w:cs="Arial"/>
              </w:rPr>
              <w:t>’</w:t>
            </w:r>
            <w:r w:rsidRPr="003272C7">
              <w:rPr>
                <w:rFonts w:cs="Arial"/>
              </w:rPr>
              <w:t xml:space="preserve"> planning processes. Engagement with the water corporations during the guidelines review further improved the delivery of </w:t>
            </w:r>
            <w:r w:rsidR="00DD4B3C" w:rsidRPr="003272C7">
              <w:rPr>
                <w:rFonts w:cs="Arial"/>
              </w:rPr>
              <w:t xml:space="preserve">Urban Water Strategy </w:t>
            </w:r>
            <w:r w:rsidR="005938E7" w:rsidRPr="003272C7">
              <w:rPr>
                <w:rFonts w:cs="Arial"/>
              </w:rPr>
              <w:t xml:space="preserve">and an evaluation survey upon completion has gathered feedback on the 2022 </w:t>
            </w:r>
            <w:r w:rsidR="00DD4B3C" w:rsidRPr="003272C7">
              <w:rPr>
                <w:rFonts w:cs="Arial"/>
              </w:rPr>
              <w:t xml:space="preserve">Urban Water Strategy </w:t>
            </w:r>
            <w:r w:rsidR="005938E7" w:rsidRPr="003272C7">
              <w:rPr>
                <w:rFonts w:cs="Arial"/>
              </w:rPr>
              <w:t>guidelines and development process to improve future iterations.</w:t>
            </w:r>
          </w:p>
          <w:p w14:paraId="74A0A51F" w14:textId="42763949" w:rsidR="00B242C3" w:rsidRPr="003272C7" w:rsidRDefault="00B242C3" w:rsidP="00FD6510">
            <w:pPr>
              <w:pStyle w:val="TableBullet"/>
              <w:rPr>
                <w:rFonts w:cs="Arial"/>
              </w:rPr>
            </w:pPr>
            <w:r w:rsidRPr="003272C7">
              <w:rPr>
                <w:rFonts w:cs="Arial"/>
                <w:b/>
                <w:bCs/>
              </w:rPr>
              <w:t>Blue Circle</w:t>
            </w:r>
            <w:r w:rsidR="00DD4B3C" w:rsidRPr="003272C7">
              <w:rPr>
                <w:rFonts w:cs="Arial"/>
                <w:b/>
                <w:bCs/>
              </w:rPr>
              <w:t>:</w:t>
            </w:r>
            <w:r w:rsidRPr="003272C7">
              <w:rPr>
                <w:rFonts w:cs="Arial"/>
              </w:rPr>
              <w:t xml:space="preserve"> </w:t>
            </w:r>
            <w:r w:rsidR="00DD4B3C" w:rsidRPr="003272C7">
              <w:rPr>
                <w:rFonts w:cs="Arial"/>
              </w:rPr>
              <w:t xml:space="preserve">This </w:t>
            </w:r>
            <w:r w:rsidRPr="003272C7">
              <w:rPr>
                <w:rFonts w:cs="Arial"/>
              </w:rPr>
              <w:t>project has been effective to support the delivery of policy actions through the C</w:t>
            </w:r>
            <w:r w:rsidR="025B8CFF" w:rsidRPr="003272C7">
              <w:rPr>
                <w:rFonts w:cs="Arial"/>
              </w:rPr>
              <w:t xml:space="preserve">ircular </w:t>
            </w:r>
            <w:r w:rsidRPr="003272C7">
              <w:rPr>
                <w:rFonts w:cs="Arial"/>
              </w:rPr>
              <w:t>E</w:t>
            </w:r>
            <w:r w:rsidR="1F45F3C9" w:rsidRPr="003272C7">
              <w:rPr>
                <w:rFonts w:cs="Arial"/>
              </w:rPr>
              <w:t>conomy</w:t>
            </w:r>
            <w:r w:rsidRPr="003272C7">
              <w:rPr>
                <w:rFonts w:cs="Arial"/>
              </w:rPr>
              <w:t xml:space="preserve"> </w:t>
            </w:r>
            <w:r w:rsidR="4F3198B0" w:rsidRPr="003272C7">
              <w:rPr>
                <w:rFonts w:cs="Arial"/>
              </w:rPr>
              <w:t>A</w:t>
            </w:r>
            <w:r w:rsidRPr="003272C7">
              <w:rPr>
                <w:rFonts w:cs="Arial"/>
              </w:rPr>
              <w:t xml:space="preserve">ction </w:t>
            </w:r>
            <w:r w:rsidR="04595F84" w:rsidRPr="003272C7">
              <w:rPr>
                <w:rFonts w:cs="Arial"/>
              </w:rPr>
              <w:t>P</w:t>
            </w:r>
            <w:r w:rsidRPr="003272C7">
              <w:rPr>
                <w:rFonts w:cs="Arial"/>
              </w:rPr>
              <w:t>lan</w:t>
            </w:r>
            <w:r w:rsidR="66D0102D" w:rsidRPr="003272C7">
              <w:rPr>
                <w:rFonts w:cs="Arial"/>
              </w:rPr>
              <w:t>s</w:t>
            </w:r>
            <w:r w:rsidR="0091740C" w:rsidRPr="003272C7">
              <w:rPr>
                <w:rFonts w:cs="Arial"/>
              </w:rPr>
              <w:t xml:space="preserve"> and provide meaningful input into the development phase of cross-portfolio strategies at the state and federal level relating the waste, energy and climate change. </w:t>
            </w:r>
            <w:r w:rsidR="7C8A5928" w:rsidRPr="003272C7">
              <w:rPr>
                <w:rFonts w:cs="Arial"/>
              </w:rPr>
              <w:t>The</w:t>
            </w:r>
            <w:r w:rsidR="0091740C" w:rsidRPr="003272C7">
              <w:rPr>
                <w:rFonts w:cs="Arial"/>
              </w:rPr>
              <w:t xml:space="preserve"> Water and Catchments </w:t>
            </w:r>
            <w:r w:rsidR="0091740C" w:rsidRPr="003272C7">
              <w:rPr>
                <w:rFonts w:cs="Arial"/>
              </w:rPr>
              <w:lastRenderedPageBreak/>
              <w:t>Group adopted a collective impact model to support the Water Sector Circular Economy Working Group to identify and deliver progress towards a shared goal while balancing resourcing constraints within the department.</w:t>
            </w:r>
          </w:p>
          <w:p w14:paraId="51EB975D" w14:textId="286AFAAC" w:rsidR="00B242C3" w:rsidRPr="003272C7" w:rsidRDefault="00B242C3" w:rsidP="00FD6510">
            <w:pPr>
              <w:pStyle w:val="TableBullet"/>
              <w:rPr>
                <w:rFonts w:cs="Arial"/>
              </w:rPr>
            </w:pPr>
            <w:r w:rsidRPr="003272C7">
              <w:rPr>
                <w:rFonts w:cs="Arial"/>
                <w:b/>
                <w:bCs/>
              </w:rPr>
              <w:t>Blue Community:</w:t>
            </w:r>
            <w:r w:rsidRPr="003272C7">
              <w:rPr>
                <w:rFonts w:cs="Arial"/>
              </w:rPr>
              <w:t xml:space="preserve"> This activity was carefully planned to ensure it did not replicate existing work underway across the sector. Intensive consultation was undertaken with water corporations and other organisations ranging from the Water </w:t>
            </w:r>
            <w:r w:rsidR="0091740C" w:rsidRPr="003272C7">
              <w:rPr>
                <w:rFonts w:cs="Arial"/>
              </w:rPr>
              <w:t>Services</w:t>
            </w:r>
            <w:r w:rsidRPr="003272C7">
              <w:rPr>
                <w:rFonts w:cs="Arial"/>
              </w:rPr>
              <w:t xml:space="preserve"> Association </w:t>
            </w:r>
            <w:r w:rsidR="0091740C" w:rsidRPr="003272C7">
              <w:rPr>
                <w:rFonts w:cs="Arial"/>
              </w:rPr>
              <w:t>of Australia</w:t>
            </w:r>
            <w:r w:rsidRPr="003272C7">
              <w:rPr>
                <w:rFonts w:cs="Arial"/>
              </w:rPr>
              <w:t xml:space="preserve"> and Water Sensitive Cities Australia to</w:t>
            </w:r>
            <w:r w:rsidR="000A1A4F" w:rsidRPr="003272C7">
              <w:rPr>
                <w:rFonts w:cs="Arial"/>
              </w:rPr>
              <w:t> </w:t>
            </w:r>
            <w:r w:rsidRPr="003272C7">
              <w:rPr>
                <w:rFonts w:cs="Arial"/>
              </w:rPr>
              <w:t>VicWater to ensure that all activity complimented or supported existing sector</w:t>
            </w:r>
            <w:r w:rsidR="000A1A4F" w:rsidRPr="003272C7">
              <w:rPr>
                <w:rFonts w:cs="Arial"/>
              </w:rPr>
              <w:t> </w:t>
            </w:r>
            <w:r w:rsidRPr="003272C7">
              <w:rPr>
                <w:rFonts w:cs="Arial"/>
              </w:rPr>
              <w:t>work</w:t>
            </w:r>
            <w:r w:rsidR="00DD4B3C" w:rsidRPr="003272C7">
              <w:rPr>
                <w:rFonts w:cs="Arial"/>
              </w:rPr>
              <w:t>.</w:t>
            </w:r>
          </w:p>
          <w:p w14:paraId="561AA36D" w14:textId="6E74E2B6" w:rsidR="00B242C3" w:rsidRPr="003272C7" w:rsidRDefault="00B242C3" w:rsidP="00FD6510">
            <w:pPr>
              <w:pStyle w:val="TableBullet"/>
              <w:rPr>
                <w:rFonts w:cs="Arial"/>
              </w:rPr>
            </w:pPr>
            <w:r w:rsidRPr="003272C7">
              <w:rPr>
                <w:rFonts w:cs="Arial"/>
                <w:b/>
                <w:bCs/>
              </w:rPr>
              <w:t>Blue Global:</w:t>
            </w:r>
            <w:r w:rsidRPr="003272C7">
              <w:rPr>
                <w:rFonts w:cs="Arial"/>
              </w:rPr>
              <w:t xml:space="preserve"> This Program has been largely unplanned and reactive due to a</w:t>
            </w:r>
            <w:r w:rsidR="000A1A4F" w:rsidRPr="003272C7">
              <w:rPr>
                <w:rFonts w:cs="Arial"/>
              </w:rPr>
              <w:t> </w:t>
            </w:r>
            <w:r w:rsidRPr="003272C7">
              <w:rPr>
                <w:rFonts w:cs="Arial"/>
              </w:rPr>
              <w:t xml:space="preserve">lack of resources within the team to sustain appropriate levels of planning. This </w:t>
            </w:r>
            <w:r w:rsidR="00100EE5" w:rsidRPr="003272C7">
              <w:rPr>
                <w:rFonts w:cs="Arial"/>
              </w:rPr>
              <w:t>was</w:t>
            </w:r>
            <w:r w:rsidRPr="003272C7">
              <w:rPr>
                <w:rFonts w:cs="Arial"/>
              </w:rPr>
              <w:t xml:space="preserve"> consistently raised as a risk with Divisional executives and that risk has been accepted given the post-Covid international environment.</w:t>
            </w:r>
            <w:r w:rsidR="00100EE5" w:rsidRPr="003272C7">
              <w:rPr>
                <w:rFonts w:cs="Arial"/>
              </w:rPr>
              <w:t xml:space="preserve"> The program ultimately ceased in 2023-2024 due to reprioritisation of budget and resources.</w:t>
            </w:r>
          </w:p>
          <w:p w14:paraId="56FC61DD" w14:textId="18EA2087" w:rsidR="00B242C3" w:rsidRPr="003272C7" w:rsidRDefault="00B242C3" w:rsidP="00FD6510">
            <w:pPr>
              <w:pStyle w:val="TableBullet"/>
              <w:rPr>
                <w:rFonts w:cs="Arial"/>
              </w:rPr>
            </w:pPr>
            <w:r w:rsidRPr="003272C7">
              <w:rPr>
                <w:rFonts w:cs="Arial"/>
                <w:b/>
                <w:bCs/>
              </w:rPr>
              <w:t>Blueprint:</w:t>
            </w:r>
            <w:r w:rsidRPr="003272C7">
              <w:rPr>
                <w:rFonts w:cs="Arial"/>
              </w:rPr>
              <w:t xml:space="preserve"> The project activities were appropriately designed and delivered to support and complement the needs of the major plans and strategies being delivered by </w:t>
            </w:r>
            <w:r w:rsidR="28BDBFB7" w:rsidRPr="003272C7">
              <w:rPr>
                <w:rFonts w:cs="Arial"/>
              </w:rPr>
              <w:t xml:space="preserve">the </w:t>
            </w:r>
            <w:r w:rsidRPr="003272C7">
              <w:rPr>
                <w:rFonts w:cs="Arial"/>
              </w:rPr>
              <w:t>Water and Catchments Group and water corporations over the EC5 period</w:t>
            </w:r>
            <w:r w:rsidR="007717C9" w:rsidRPr="003272C7">
              <w:rPr>
                <w:rFonts w:cs="Arial"/>
              </w:rPr>
              <w:t>. The Water Assurance Project will progress the work commenced in this sub-project.</w:t>
            </w:r>
          </w:p>
        </w:tc>
      </w:tr>
      <w:tr w:rsidR="00B242C3" w:rsidRPr="003272C7" w14:paraId="7802EF31" w14:textId="77777777" w:rsidTr="008210E5">
        <w:trPr>
          <w:trHeight w:val="259"/>
        </w:trPr>
        <w:tc>
          <w:tcPr>
            <w:tcW w:w="979" w:type="pct"/>
            <w:shd w:val="clear" w:color="auto" w:fill="231EDC" w:themeFill="accent1"/>
          </w:tcPr>
          <w:p w14:paraId="506A6F7B" w14:textId="77777777" w:rsidR="00B242C3" w:rsidRPr="003272C7" w:rsidRDefault="00B242C3" w:rsidP="00FD6510">
            <w:pPr>
              <w:pStyle w:val="TableText"/>
              <w:rPr>
                <w:rFonts w:cs="Arial"/>
                <w:b/>
                <w:bCs/>
              </w:rPr>
            </w:pPr>
            <w:r w:rsidRPr="003272C7">
              <w:rPr>
                <w:rFonts w:cs="Arial"/>
                <w:b/>
                <w:bCs/>
              </w:rPr>
              <w:lastRenderedPageBreak/>
              <w:t>Efficiency</w:t>
            </w:r>
          </w:p>
        </w:tc>
        <w:tc>
          <w:tcPr>
            <w:tcW w:w="4021" w:type="pct"/>
          </w:tcPr>
          <w:p w14:paraId="1E439F6C" w14:textId="786660CE" w:rsidR="00B242C3" w:rsidRPr="003272C7" w:rsidRDefault="00DD4B3C" w:rsidP="00FD6510">
            <w:pPr>
              <w:pStyle w:val="TableBullet"/>
              <w:rPr>
                <w:rFonts w:cs="Arial"/>
              </w:rPr>
            </w:pPr>
            <w:r w:rsidRPr="003272C7">
              <w:rPr>
                <w:rFonts w:cs="Arial"/>
              </w:rPr>
              <w:t xml:space="preserve">Urban Water Strategy </w:t>
            </w:r>
            <w:r w:rsidR="00B242C3" w:rsidRPr="003272C7">
              <w:rPr>
                <w:rFonts w:cs="Arial"/>
              </w:rPr>
              <w:t xml:space="preserve">guidelines released </w:t>
            </w:r>
            <w:r w:rsidR="36CE6420" w:rsidRPr="003272C7">
              <w:rPr>
                <w:rFonts w:cs="Arial"/>
              </w:rPr>
              <w:t>o</w:t>
            </w:r>
            <w:r w:rsidR="00B242C3" w:rsidRPr="003272C7">
              <w:rPr>
                <w:rFonts w:cs="Arial"/>
              </w:rPr>
              <w:t xml:space="preserve">n time and budget to support the urban water corporations develop their 2022 </w:t>
            </w:r>
            <w:r w:rsidRPr="003272C7">
              <w:rPr>
                <w:rFonts w:cs="Arial"/>
              </w:rPr>
              <w:t>Urban Water Strateg</w:t>
            </w:r>
            <w:r w:rsidR="6C11CA23" w:rsidRPr="003272C7">
              <w:rPr>
                <w:rFonts w:cs="Arial"/>
              </w:rPr>
              <w:t>ies</w:t>
            </w:r>
            <w:r w:rsidR="00B242C3" w:rsidRPr="003272C7">
              <w:rPr>
                <w:rFonts w:cs="Arial"/>
              </w:rPr>
              <w:t>.</w:t>
            </w:r>
          </w:p>
          <w:p w14:paraId="1C9B4E7E" w14:textId="77777777" w:rsidR="00DD4B3C" w:rsidRPr="003272C7" w:rsidRDefault="007717C9" w:rsidP="00FD6510">
            <w:pPr>
              <w:pStyle w:val="TableBullet"/>
              <w:rPr>
                <w:rFonts w:cs="Arial"/>
              </w:rPr>
            </w:pPr>
            <w:r w:rsidRPr="003272C7">
              <w:rPr>
                <w:rFonts w:cs="Arial"/>
              </w:rPr>
              <w:t xml:space="preserve"> All final </w:t>
            </w:r>
            <w:r w:rsidR="00DD4B3C" w:rsidRPr="003272C7">
              <w:rPr>
                <w:rFonts w:cs="Arial"/>
              </w:rPr>
              <w:t xml:space="preserve">Urban Water Strategies </w:t>
            </w:r>
            <w:r w:rsidRPr="003272C7">
              <w:rPr>
                <w:rFonts w:cs="Arial"/>
              </w:rPr>
              <w:t>were submitted in 2022 (instead of 2021) to accommodate diversion of water corporation internal resources to manage COVID, bushfires, floods and other emergencies within their region. This decision was made by agreement between the department and individual water corporations, and with approval from the Minister.</w:t>
            </w:r>
          </w:p>
          <w:p w14:paraId="10031967" w14:textId="0CF7A595" w:rsidR="00B242C3" w:rsidRPr="003272C7" w:rsidRDefault="00B242C3" w:rsidP="00FD6510">
            <w:pPr>
              <w:pStyle w:val="TableBullet"/>
              <w:rPr>
                <w:rFonts w:cs="Arial"/>
              </w:rPr>
            </w:pPr>
            <w:r w:rsidRPr="003272C7">
              <w:rPr>
                <w:rFonts w:cs="Arial"/>
              </w:rPr>
              <w:t xml:space="preserve">Desalinated </w:t>
            </w:r>
            <w:r w:rsidR="005843DF" w:rsidRPr="003272C7">
              <w:rPr>
                <w:rFonts w:cs="Arial"/>
              </w:rPr>
              <w:t xml:space="preserve">water </w:t>
            </w:r>
            <w:r w:rsidRPr="003272C7">
              <w:rPr>
                <w:rFonts w:cs="Arial"/>
              </w:rPr>
              <w:t xml:space="preserve">orders were signed on-time and completed by required due dates. </w:t>
            </w:r>
            <w:r w:rsidR="001D1B31" w:rsidRPr="003272C7">
              <w:rPr>
                <w:rFonts w:cs="Arial"/>
              </w:rPr>
              <w:t>This included appropriate communication material to support decisions to order no desalinated water in 2023-2024 and 2024-2025.</w:t>
            </w:r>
          </w:p>
          <w:p w14:paraId="61F23FC2" w14:textId="3BC10424" w:rsidR="00B242C3" w:rsidRPr="003272C7" w:rsidRDefault="41F4819C" w:rsidP="00FD6510">
            <w:pPr>
              <w:pStyle w:val="TableBullet"/>
              <w:rPr>
                <w:rFonts w:cs="Arial"/>
              </w:rPr>
            </w:pPr>
            <w:r w:rsidRPr="003272C7">
              <w:rPr>
                <w:rFonts w:cs="Arial"/>
              </w:rPr>
              <w:t>A</w:t>
            </w:r>
            <w:r w:rsidR="00B242C3" w:rsidRPr="003272C7">
              <w:rPr>
                <w:rFonts w:cs="Arial"/>
              </w:rPr>
              <w:t>ctivities under Blue Circle have been delivered on time</w:t>
            </w:r>
            <w:r w:rsidR="001D1B31" w:rsidRPr="003272C7">
              <w:rPr>
                <w:rFonts w:cs="Arial"/>
              </w:rPr>
              <w:t xml:space="preserve"> and within budget, with</w:t>
            </w:r>
            <w:r w:rsidR="00B242C3" w:rsidRPr="003272C7">
              <w:rPr>
                <w:rFonts w:cs="Arial"/>
              </w:rPr>
              <w:t xml:space="preserve"> on-going deliverables on-track</w:t>
            </w:r>
            <w:r w:rsidR="00801357" w:rsidRPr="003272C7">
              <w:rPr>
                <w:rFonts w:cs="Arial"/>
              </w:rPr>
              <w:t>.</w:t>
            </w:r>
            <w:r w:rsidR="00B242C3" w:rsidRPr="003272C7">
              <w:rPr>
                <w:rFonts w:cs="Arial"/>
              </w:rPr>
              <w:t xml:space="preserve"> </w:t>
            </w:r>
            <w:r w:rsidR="00801357" w:rsidRPr="003272C7">
              <w:rPr>
                <w:rFonts w:cs="Arial"/>
              </w:rPr>
              <w:t>Through effective information sharing across the Water Sector Circular Economy Working Group, water corporations applied and were successful in receiving grants from Sustainability Victoria, DEECA Energy and DEECA Waste portfolio groups to progress circular economy projects that more closely align with waste and energy outcomes.</w:t>
            </w:r>
          </w:p>
          <w:p w14:paraId="2584F049" w14:textId="15C0DB56" w:rsidR="00B242C3" w:rsidRPr="003272C7" w:rsidRDefault="00801357" w:rsidP="00FD6510">
            <w:pPr>
              <w:pStyle w:val="TableBullet"/>
              <w:rPr>
                <w:rFonts w:cs="Arial"/>
              </w:rPr>
            </w:pPr>
            <w:r w:rsidRPr="003272C7">
              <w:rPr>
                <w:rFonts w:cs="Arial"/>
              </w:rPr>
              <w:t>Completed</w:t>
            </w:r>
            <w:r w:rsidR="00B242C3" w:rsidRPr="003272C7">
              <w:rPr>
                <w:rFonts w:cs="Arial"/>
              </w:rPr>
              <w:t xml:space="preserve"> activities under Blue Community </w:t>
            </w:r>
            <w:r w:rsidRPr="003272C7">
              <w:rPr>
                <w:rFonts w:cs="Arial"/>
              </w:rPr>
              <w:t>have been delivered on time and</w:t>
            </w:r>
            <w:r w:rsidR="000A1A4F" w:rsidRPr="003272C7">
              <w:rPr>
                <w:rFonts w:cs="Arial"/>
              </w:rPr>
              <w:t> </w:t>
            </w:r>
            <w:r w:rsidRPr="003272C7">
              <w:rPr>
                <w:rFonts w:cs="Arial"/>
              </w:rPr>
              <w:t>within budget.</w:t>
            </w:r>
            <w:r w:rsidR="00B242C3" w:rsidRPr="003272C7">
              <w:rPr>
                <w:rFonts w:cs="Arial"/>
              </w:rPr>
              <w:t xml:space="preserve"> </w:t>
            </w:r>
          </w:p>
        </w:tc>
      </w:tr>
      <w:tr w:rsidR="00B242C3" w:rsidRPr="003272C7" w14:paraId="14E13BBD" w14:textId="77777777" w:rsidTr="008210E5">
        <w:trPr>
          <w:trHeight w:val="259"/>
        </w:trPr>
        <w:tc>
          <w:tcPr>
            <w:tcW w:w="979" w:type="pct"/>
            <w:shd w:val="clear" w:color="auto" w:fill="231EDC" w:themeFill="accent1"/>
          </w:tcPr>
          <w:p w14:paraId="239F205E" w14:textId="77777777" w:rsidR="00B242C3" w:rsidRPr="003272C7" w:rsidRDefault="00B242C3" w:rsidP="00FD6510">
            <w:pPr>
              <w:pStyle w:val="TableText"/>
              <w:rPr>
                <w:rFonts w:cs="Arial"/>
                <w:b/>
                <w:bCs/>
              </w:rPr>
            </w:pPr>
            <w:r w:rsidRPr="003272C7">
              <w:rPr>
                <w:rFonts w:cs="Arial"/>
                <w:b/>
                <w:bCs/>
              </w:rPr>
              <w:t>Legacy</w:t>
            </w:r>
          </w:p>
        </w:tc>
        <w:tc>
          <w:tcPr>
            <w:tcW w:w="4021" w:type="pct"/>
          </w:tcPr>
          <w:p w14:paraId="2AA9697A" w14:textId="40330F0E" w:rsidR="00B242C3" w:rsidRPr="003272C7" w:rsidRDefault="00B242C3" w:rsidP="00FD6510">
            <w:pPr>
              <w:pStyle w:val="TableBullet"/>
              <w:rPr>
                <w:rFonts w:cs="Arial"/>
              </w:rPr>
            </w:pPr>
            <w:r w:rsidRPr="003272C7">
              <w:rPr>
                <w:rFonts w:cs="Arial"/>
              </w:rPr>
              <w:t xml:space="preserve">Establishment of the 2021 </w:t>
            </w:r>
            <w:r w:rsidR="00DD4B3C" w:rsidRPr="003272C7">
              <w:rPr>
                <w:rFonts w:cs="Arial"/>
              </w:rPr>
              <w:t xml:space="preserve">Urban Water Strategy </w:t>
            </w:r>
            <w:r w:rsidRPr="003272C7">
              <w:rPr>
                <w:rFonts w:cs="Arial"/>
              </w:rPr>
              <w:t xml:space="preserve">guidelines has provided a clear structure and requirements for future iterations of urban water strategies </w:t>
            </w:r>
            <w:r w:rsidR="004D49D2" w:rsidRPr="003272C7">
              <w:rPr>
                <w:rFonts w:cs="Arial"/>
              </w:rPr>
              <w:t>and</w:t>
            </w:r>
            <w:r w:rsidR="000A1A4F" w:rsidRPr="003272C7">
              <w:rPr>
                <w:rFonts w:cs="Arial"/>
              </w:rPr>
              <w:t> </w:t>
            </w:r>
            <w:r w:rsidR="004D49D2" w:rsidRPr="003272C7">
              <w:rPr>
                <w:rFonts w:cs="Arial"/>
              </w:rPr>
              <w:t xml:space="preserve">includes consideration of emerging water requirements such as for renewable energy and greater partnership with Traditional Owners on water-related decisions. The renewed </w:t>
            </w:r>
            <w:r w:rsidR="00DD4B3C" w:rsidRPr="003272C7">
              <w:rPr>
                <w:rFonts w:cs="Arial"/>
              </w:rPr>
              <w:t xml:space="preserve">Urban Water Strategy </w:t>
            </w:r>
            <w:r w:rsidR="004D49D2" w:rsidRPr="003272C7">
              <w:rPr>
                <w:rFonts w:cs="Arial"/>
              </w:rPr>
              <w:t xml:space="preserve">guidelines also increased transparency and accountability for the delivery of </w:t>
            </w:r>
            <w:r w:rsidR="00DD4B3C" w:rsidRPr="003272C7">
              <w:rPr>
                <w:rFonts w:cs="Arial"/>
              </w:rPr>
              <w:t xml:space="preserve">Urban Water Strategy </w:t>
            </w:r>
            <w:r w:rsidR="004D49D2" w:rsidRPr="003272C7">
              <w:rPr>
                <w:rFonts w:cs="Arial"/>
              </w:rPr>
              <w:t>actions</w:t>
            </w:r>
            <w:r w:rsidR="000A1A4F" w:rsidRPr="003272C7">
              <w:rPr>
                <w:rFonts w:cs="Arial"/>
              </w:rPr>
              <w:t> </w:t>
            </w:r>
            <w:r w:rsidR="004D49D2" w:rsidRPr="003272C7">
              <w:rPr>
                <w:rFonts w:cs="Arial"/>
              </w:rPr>
              <w:t>by mandating progress reporting within the existing Annual Water Outlook</w:t>
            </w:r>
            <w:r w:rsidR="000A1A4F" w:rsidRPr="003272C7">
              <w:rPr>
                <w:rFonts w:cs="Arial"/>
              </w:rPr>
              <w:t> </w:t>
            </w:r>
            <w:r w:rsidR="004D49D2" w:rsidRPr="003272C7">
              <w:rPr>
                <w:rFonts w:cs="Arial"/>
              </w:rPr>
              <w:t>process.</w:t>
            </w:r>
          </w:p>
          <w:p w14:paraId="4040310E" w14:textId="77777777" w:rsidR="00B242C3" w:rsidRPr="003272C7" w:rsidRDefault="00B242C3" w:rsidP="00FD6510">
            <w:pPr>
              <w:pStyle w:val="TableBullet"/>
              <w:rPr>
                <w:rFonts w:cs="Arial"/>
              </w:rPr>
            </w:pPr>
            <w:r w:rsidRPr="003272C7">
              <w:rPr>
                <w:rFonts w:cs="Arial"/>
              </w:rPr>
              <w:t>Establishment of ongoing working groups and communities of practice in Blue Circle and Blue Community will ensure we continue to uplift capability across the sector into the future.</w:t>
            </w:r>
          </w:p>
          <w:p w14:paraId="79A6C7B7" w14:textId="4AEDE613" w:rsidR="00B242C3" w:rsidRPr="003272C7" w:rsidRDefault="004D49D2" w:rsidP="00FD6510">
            <w:pPr>
              <w:pStyle w:val="TableBullet"/>
              <w:rPr>
                <w:rFonts w:cs="Arial"/>
              </w:rPr>
            </w:pPr>
            <w:r w:rsidRPr="003272C7">
              <w:rPr>
                <w:rFonts w:cs="Arial"/>
              </w:rPr>
              <w:t>Advocacy has meant there has been appropriate consideration of the water sector in cross-sectoral strategies including Recycling Victoria: A New Economy; Victoria’s Renewable Hydrogen Industry Development Plan and other subsequent regulations including the waste to energy framework to ensure that water sector progress will be continued without unintended barriers from government. Blue Circle has also provided valuable findings and input to inform future policy decisions within Victoria and potential implications for water corporations.</w:t>
            </w:r>
          </w:p>
          <w:p w14:paraId="0E48AB53" w14:textId="22836FBF" w:rsidR="00B242C3" w:rsidRPr="003272C7" w:rsidRDefault="00B242C3" w:rsidP="00FD6510">
            <w:pPr>
              <w:pStyle w:val="TableBullet"/>
              <w:rPr>
                <w:rFonts w:cs="Arial"/>
              </w:rPr>
            </w:pPr>
            <w:r w:rsidRPr="003272C7">
              <w:rPr>
                <w:rFonts w:cs="Arial"/>
              </w:rPr>
              <w:lastRenderedPageBreak/>
              <w:t xml:space="preserve">Inclusion of </w:t>
            </w:r>
            <w:r w:rsidR="004D49D2" w:rsidRPr="003272C7">
              <w:rPr>
                <w:rFonts w:cs="Arial"/>
              </w:rPr>
              <w:t>the</w:t>
            </w:r>
            <w:r w:rsidRPr="003272C7">
              <w:rPr>
                <w:rFonts w:cs="Arial"/>
              </w:rPr>
              <w:t xml:space="preserve"> Blue Circle </w:t>
            </w:r>
            <w:r w:rsidR="004D49D2" w:rsidRPr="003272C7">
              <w:rPr>
                <w:rFonts w:cs="Arial"/>
              </w:rPr>
              <w:t>program</w:t>
            </w:r>
            <w:r w:rsidRPr="003272C7">
              <w:rPr>
                <w:rFonts w:cs="Arial"/>
              </w:rPr>
              <w:t xml:space="preserve"> in the Water Cycle Adaptation Action Plan and Blue Community in the </w:t>
            </w:r>
            <w:r w:rsidR="00DD4B3C" w:rsidRPr="003272C7">
              <w:rPr>
                <w:rFonts w:cs="Arial"/>
              </w:rPr>
              <w:t>CGRSWS</w:t>
            </w:r>
            <w:r w:rsidRPr="003272C7">
              <w:rPr>
                <w:rFonts w:cs="Arial"/>
              </w:rPr>
              <w:t xml:space="preserve"> will maintain longer-term governance through the monitoring and evaluation of those strategies</w:t>
            </w:r>
          </w:p>
        </w:tc>
      </w:tr>
      <w:tr w:rsidR="00B242C3" w:rsidRPr="003272C7" w14:paraId="5FDD27CD" w14:textId="77777777" w:rsidTr="008210E5">
        <w:trPr>
          <w:trHeight w:val="259"/>
        </w:trPr>
        <w:tc>
          <w:tcPr>
            <w:tcW w:w="979" w:type="pct"/>
            <w:shd w:val="clear" w:color="auto" w:fill="231EDC" w:themeFill="accent1"/>
          </w:tcPr>
          <w:p w14:paraId="1FBD780F" w14:textId="77777777" w:rsidR="00B242C3" w:rsidRPr="003272C7" w:rsidRDefault="00B242C3" w:rsidP="00FD6510">
            <w:pPr>
              <w:pStyle w:val="TableText"/>
              <w:rPr>
                <w:rFonts w:cs="Arial"/>
                <w:b/>
                <w:bCs/>
              </w:rPr>
            </w:pPr>
            <w:r w:rsidRPr="003272C7">
              <w:rPr>
                <w:rFonts w:cs="Arial"/>
                <w:b/>
                <w:bCs/>
              </w:rPr>
              <w:lastRenderedPageBreak/>
              <w:t>Future priorities</w:t>
            </w:r>
          </w:p>
        </w:tc>
        <w:tc>
          <w:tcPr>
            <w:tcW w:w="4021" w:type="pct"/>
          </w:tcPr>
          <w:p w14:paraId="42B3AC58" w14:textId="77777777" w:rsidR="00B242C3" w:rsidRPr="003272C7" w:rsidRDefault="00B242C3" w:rsidP="00FD6510">
            <w:pPr>
              <w:pStyle w:val="TableText"/>
              <w:rPr>
                <w:rFonts w:cs="Arial"/>
              </w:rPr>
            </w:pPr>
            <w:r w:rsidRPr="003272C7">
              <w:rPr>
                <w:rFonts w:cs="Arial"/>
                <w:b/>
                <w:bCs/>
              </w:rPr>
              <w:t>Blue Community:</w:t>
            </w:r>
            <w:r w:rsidRPr="003272C7">
              <w:rPr>
                <w:rFonts w:cs="Arial"/>
              </w:rPr>
              <w:t xml:space="preserve"> Funding to implement the recommendations from Blue Community (recommendations to be delivered in 2024)</w:t>
            </w:r>
          </w:p>
          <w:p w14:paraId="01E77E18" w14:textId="69B5F919" w:rsidR="00B242C3" w:rsidRPr="003272C7" w:rsidRDefault="00B242C3" w:rsidP="00FD6510">
            <w:pPr>
              <w:pStyle w:val="TableBullet"/>
              <w:rPr>
                <w:rFonts w:cs="Arial"/>
              </w:rPr>
            </w:pPr>
            <w:r w:rsidRPr="003272C7">
              <w:rPr>
                <w:rFonts w:cs="Arial"/>
              </w:rPr>
              <w:t>Barriers to engaging with marginalised communities lead to poor outcomes that disadvantage portions of the community, funding is required to ensure marginalised communities are represented in engagement processes and planning decisions</w:t>
            </w:r>
            <w:r w:rsidR="00DD4B3C" w:rsidRPr="003272C7">
              <w:rPr>
                <w:rFonts w:cs="Arial"/>
              </w:rPr>
              <w:t>.</w:t>
            </w:r>
          </w:p>
          <w:p w14:paraId="28DD1532" w14:textId="589A1C35" w:rsidR="00B242C3" w:rsidRPr="003272C7" w:rsidRDefault="00B242C3" w:rsidP="00FD6510">
            <w:pPr>
              <w:pStyle w:val="TableBullet"/>
              <w:rPr>
                <w:rFonts w:cs="Arial"/>
              </w:rPr>
            </w:pPr>
            <w:r w:rsidRPr="003272C7">
              <w:rPr>
                <w:rFonts w:cs="Arial"/>
              </w:rPr>
              <w:t>Poorly resourced communications and engagement results in a public that can</w:t>
            </w:r>
            <w:r w:rsidR="00DD4B3C" w:rsidRPr="003272C7">
              <w:rPr>
                <w:rFonts w:cs="Arial"/>
              </w:rPr>
              <w:t>no</w:t>
            </w:r>
            <w:r w:rsidRPr="003272C7">
              <w:rPr>
                <w:rFonts w:cs="Arial"/>
              </w:rPr>
              <w:t>t engage on future options, funding is required to elevate water to a position in the discourse where the public understands issues and authorises future investment</w:t>
            </w:r>
            <w:r w:rsidR="00DD4B3C" w:rsidRPr="003272C7">
              <w:rPr>
                <w:rFonts w:cs="Arial"/>
              </w:rPr>
              <w:t>.</w:t>
            </w:r>
          </w:p>
          <w:p w14:paraId="4482D4AA" w14:textId="258E7A9F" w:rsidR="00B242C3" w:rsidRPr="003272C7" w:rsidRDefault="00B242C3" w:rsidP="00FD6510">
            <w:pPr>
              <w:pStyle w:val="TableBullet"/>
              <w:rPr>
                <w:rFonts w:cs="Arial"/>
              </w:rPr>
            </w:pPr>
            <w:r w:rsidRPr="003272C7">
              <w:rPr>
                <w:rFonts w:cs="Arial"/>
              </w:rPr>
              <w:t>Risk averse communications policies lead to failed engagement with long-term water security, funding is needed so that the sector has the ability to move quickly when crisis emerges</w:t>
            </w:r>
            <w:r w:rsidR="00DD4B3C" w:rsidRPr="003272C7">
              <w:rPr>
                <w:rFonts w:cs="Arial"/>
              </w:rPr>
              <w:t>.</w:t>
            </w:r>
          </w:p>
          <w:p w14:paraId="491DD1F2" w14:textId="77777777" w:rsidR="00142559" w:rsidRPr="003272C7" w:rsidRDefault="00B242C3" w:rsidP="00E04DB2">
            <w:pPr>
              <w:pStyle w:val="TableText"/>
              <w:rPr>
                <w:rFonts w:cs="Arial"/>
              </w:rPr>
            </w:pPr>
            <w:r w:rsidRPr="003272C7">
              <w:rPr>
                <w:rFonts w:cs="Arial"/>
                <w:b/>
                <w:bCs/>
              </w:rPr>
              <w:t>Blue Circle:</w:t>
            </w:r>
            <w:r w:rsidRPr="003272C7">
              <w:rPr>
                <w:rFonts w:cs="Arial"/>
              </w:rPr>
              <w:t xml:space="preserve"> Implementation </w:t>
            </w:r>
            <w:r w:rsidR="003A7F9F" w:rsidRPr="003272C7">
              <w:rPr>
                <w:rFonts w:cs="Arial"/>
              </w:rPr>
              <w:t xml:space="preserve">of future iterations of the Water Sector Circular Economy Action Plan </w:t>
            </w:r>
            <w:r w:rsidRPr="003272C7">
              <w:rPr>
                <w:rFonts w:cs="Arial"/>
              </w:rPr>
              <w:t>and monitoring of the water sector’s transition to a circular economy</w:t>
            </w:r>
            <w:r w:rsidR="003A7F9F" w:rsidRPr="003272C7">
              <w:rPr>
                <w:rFonts w:cs="Arial"/>
              </w:rPr>
              <w:t>. Key risks and priorities over EC6 include:</w:t>
            </w:r>
          </w:p>
          <w:p w14:paraId="11E687FE" w14:textId="77777777" w:rsidR="00142559" w:rsidRPr="003272C7" w:rsidRDefault="003A7F9F" w:rsidP="00FD6510">
            <w:pPr>
              <w:pStyle w:val="TableBullet"/>
              <w:rPr>
                <w:rFonts w:cs="Arial"/>
              </w:rPr>
            </w:pPr>
            <w:r w:rsidRPr="003272C7">
              <w:rPr>
                <w:rFonts w:cs="Arial"/>
              </w:rPr>
              <w:t>Appropriate management of biosolids and sustainable reuse options that support delivery of core wastewater functions while contributing to a circular economy.</w:t>
            </w:r>
          </w:p>
          <w:p w14:paraId="1D49EDE8" w14:textId="77777777" w:rsidR="00142559" w:rsidRPr="003272C7" w:rsidRDefault="003A7F9F" w:rsidP="00FD6510">
            <w:pPr>
              <w:pStyle w:val="TableBullet"/>
              <w:rPr>
                <w:rFonts w:cs="Arial"/>
              </w:rPr>
            </w:pPr>
            <w:r w:rsidRPr="003272C7">
              <w:rPr>
                <w:rFonts w:cs="Arial"/>
              </w:rPr>
              <w:t>Ensuring government review processes of circular economy projects are clear and consistent, and that water corporations establish good governance frameworks for these types of projects into the future without compromising their core water and wastewater functions.</w:t>
            </w:r>
          </w:p>
          <w:p w14:paraId="374AA6FC" w14:textId="3785A64F" w:rsidR="00B242C3" w:rsidRPr="003272C7" w:rsidRDefault="00D9012A" w:rsidP="00FD6510">
            <w:pPr>
              <w:pStyle w:val="TableBullet"/>
              <w:rPr>
                <w:rFonts w:cs="Arial"/>
              </w:rPr>
            </w:pPr>
            <w:r w:rsidRPr="003272C7">
              <w:rPr>
                <w:rFonts w:cs="Arial"/>
              </w:rPr>
              <w:t>Improve the capacity of water corporations to engage with proponents across waste and energy sectors to ensure risks to water services and infrastructure are well understood and appropriately managed.</w:t>
            </w:r>
          </w:p>
          <w:p w14:paraId="45F4EAB6" w14:textId="7EA031DC" w:rsidR="00B242C3" w:rsidRPr="003272C7" w:rsidRDefault="00B242C3" w:rsidP="00E04DB2">
            <w:pPr>
              <w:pStyle w:val="TableText"/>
              <w:rPr>
                <w:rFonts w:cs="Arial"/>
              </w:rPr>
            </w:pPr>
            <w:r w:rsidRPr="003272C7">
              <w:rPr>
                <w:rFonts w:cs="Arial"/>
                <w:b/>
                <w:bCs/>
              </w:rPr>
              <w:t>Blueprint:</w:t>
            </w:r>
            <w:r w:rsidRPr="003272C7">
              <w:rPr>
                <w:rFonts w:cs="Arial"/>
              </w:rPr>
              <w:t xml:space="preserve"> </w:t>
            </w:r>
            <w:r w:rsidR="004C7C8D" w:rsidRPr="003272C7">
              <w:rPr>
                <w:rFonts w:cs="Arial"/>
              </w:rPr>
              <w:t>Review outcomes and recommended forward approach to be delivered through Water Assurance Project throughout EC6 period.</w:t>
            </w:r>
          </w:p>
        </w:tc>
      </w:tr>
    </w:tbl>
    <w:p w14:paraId="14C55AB6" w14:textId="77777777" w:rsidR="00B242C3" w:rsidRPr="003272C7" w:rsidRDefault="00B242C3" w:rsidP="00B242C3">
      <w:pPr>
        <w:pStyle w:val="Heading2"/>
        <w:rPr>
          <w:rFonts w:cs="Arial"/>
        </w:rPr>
      </w:pPr>
      <w:bookmarkStart w:id="59" w:name="_Toc147410795"/>
      <w:bookmarkStart w:id="60" w:name="_Toc183777803"/>
      <w:r w:rsidRPr="003272C7">
        <w:rPr>
          <w:rFonts w:cs="Arial"/>
        </w:rPr>
        <w:t>PSP2: Sustainable Water Strategies (renamed from Central and Gippsland Region Sustainable Water Strategy)</w:t>
      </w:r>
      <w:bookmarkEnd w:id="59"/>
      <w:bookmarkEnd w:id="6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5AB2B399" w14:textId="77777777" w:rsidTr="008210E5">
        <w:trPr>
          <w:trHeight w:val="395"/>
        </w:trPr>
        <w:tc>
          <w:tcPr>
            <w:tcW w:w="979" w:type="pct"/>
            <w:shd w:val="clear" w:color="auto" w:fill="231EDC" w:themeFill="accent1"/>
          </w:tcPr>
          <w:p w14:paraId="7235BD33" w14:textId="049F6422" w:rsidR="00B242C3" w:rsidRPr="003272C7" w:rsidRDefault="00C412A9" w:rsidP="00E04DB2">
            <w:pPr>
              <w:pStyle w:val="TableHeading"/>
              <w:rPr>
                <w:rFonts w:cs="Arial"/>
              </w:rPr>
            </w:pPr>
            <w:r w:rsidRPr="003272C7">
              <w:rPr>
                <w:rFonts w:cs="Arial"/>
              </w:rPr>
              <w:t>Initiative</w:t>
            </w:r>
          </w:p>
        </w:tc>
        <w:tc>
          <w:tcPr>
            <w:tcW w:w="4021" w:type="pct"/>
            <w:shd w:val="clear" w:color="auto" w:fill="231EDC" w:themeFill="accent1"/>
          </w:tcPr>
          <w:p w14:paraId="12A83981" w14:textId="77777777" w:rsidR="00B242C3" w:rsidRPr="003272C7" w:rsidRDefault="00B242C3" w:rsidP="00E04DB2">
            <w:pPr>
              <w:pStyle w:val="TableHeading"/>
              <w:rPr>
                <w:rFonts w:cs="Arial"/>
              </w:rPr>
            </w:pPr>
            <w:r w:rsidRPr="003272C7">
              <w:rPr>
                <w:rFonts w:cs="Arial"/>
              </w:rPr>
              <w:t>8.Building a Sustainable Water Sector – Water Security, Resilience and Oversight of Strategic Investments</w:t>
            </w:r>
          </w:p>
        </w:tc>
      </w:tr>
      <w:tr w:rsidR="00B242C3" w:rsidRPr="003272C7" w14:paraId="358B2BF1" w14:textId="77777777" w:rsidTr="008210E5">
        <w:trPr>
          <w:trHeight w:val="341"/>
        </w:trPr>
        <w:tc>
          <w:tcPr>
            <w:tcW w:w="979" w:type="pct"/>
            <w:shd w:val="clear" w:color="auto" w:fill="231EDC" w:themeFill="accent1"/>
          </w:tcPr>
          <w:p w14:paraId="14A0D518" w14:textId="77777777" w:rsidR="00B242C3" w:rsidRPr="003272C7" w:rsidRDefault="00B242C3" w:rsidP="00E04DB2">
            <w:pPr>
              <w:pStyle w:val="TableText"/>
              <w:rPr>
                <w:rFonts w:cs="Arial"/>
                <w:b/>
                <w:bCs/>
              </w:rPr>
            </w:pPr>
            <w:r w:rsidRPr="003272C7">
              <w:rPr>
                <w:rFonts w:cs="Arial"/>
                <w:b/>
                <w:bCs/>
              </w:rPr>
              <w:t>Project</w:t>
            </w:r>
          </w:p>
        </w:tc>
        <w:tc>
          <w:tcPr>
            <w:tcW w:w="4021" w:type="pct"/>
          </w:tcPr>
          <w:p w14:paraId="791BAB65" w14:textId="77777777" w:rsidR="00B242C3" w:rsidRPr="003272C7" w:rsidRDefault="00B242C3" w:rsidP="00E04DB2">
            <w:pPr>
              <w:pStyle w:val="TableText"/>
              <w:rPr>
                <w:rFonts w:cs="Arial"/>
              </w:rPr>
            </w:pPr>
            <w:r w:rsidRPr="003272C7">
              <w:rPr>
                <w:rFonts w:cs="Arial"/>
              </w:rPr>
              <w:t>PSP2: Sustainable Water Strategies (renamed from Central and Gippsland Region Sustainable Water Strategy)</w:t>
            </w:r>
          </w:p>
        </w:tc>
      </w:tr>
      <w:tr w:rsidR="00B242C3" w:rsidRPr="003272C7" w14:paraId="75FC203D" w14:textId="77777777" w:rsidTr="008210E5">
        <w:trPr>
          <w:trHeight w:val="259"/>
        </w:trPr>
        <w:tc>
          <w:tcPr>
            <w:tcW w:w="979" w:type="pct"/>
            <w:shd w:val="clear" w:color="auto" w:fill="231EDC" w:themeFill="accent1"/>
          </w:tcPr>
          <w:p w14:paraId="1C1AE874" w14:textId="69E54764" w:rsidR="00B242C3" w:rsidRPr="003272C7" w:rsidRDefault="00B242C3" w:rsidP="00E04DB2">
            <w:pPr>
              <w:pStyle w:val="TableText"/>
              <w:rPr>
                <w:rFonts w:cs="Arial"/>
                <w:b/>
                <w:bCs/>
              </w:rPr>
            </w:pPr>
            <w:r w:rsidRPr="003272C7">
              <w:rPr>
                <w:rFonts w:cs="Arial"/>
                <w:b/>
                <w:bCs/>
              </w:rPr>
              <w:t>Description</w:t>
            </w:r>
          </w:p>
        </w:tc>
        <w:tc>
          <w:tcPr>
            <w:tcW w:w="4021" w:type="pct"/>
          </w:tcPr>
          <w:p w14:paraId="15EBDF99" w14:textId="77777777" w:rsidR="00142559" w:rsidRPr="003272C7" w:rsidRDefault="00B242C3" w:rsidP="00E04DB2">
            <w:pPr>
              <w:pStyle w:val="TableText"/>
              <w:rPr>
                <w:rFonts w:cs="Arial"/>
              </w:rPr>
            </w:pPr>
            <w:r w:rsidRPr="003272C7">
              <w:rPr>
                <w:rFonts w:cs="Arial"/>
              </w:rPr>
              <w:t xml:space="preserve">To help address the challenges associated with providing affordable water securely, under the Water Act 1989 the Minister for Water can prepare a Sustainable Water </w:t>
            </w:r>
            <w:r w:rsidRPr="003272C7">
              <w:rPr>
                <w:rFonts w:cs="Arial"/>
              </w:rPr>
              <w:lastRenderedPageBreak/>
              <w:t>Strategy to provide for the strategic planning of the use of water resources within a region.</w:t>
            </w:r>
          </w:p>
          <w:p w14:paraId="762A5EF1" w14:textId="1F0B7749" w:rsidR="00B242C3" w:rsidRPr="003272C7" w:rsidRDefault="00B242C3" w:rsidP="00E04DB2">
            <w:pPr>
              <w:pStyle w:val="TableText"/>
              <w:rPr>
                <w:rFonts w:cs="Arial"/>
              </w:rPr>
            </w:pPr>
            <w:r w:rsidRPr="003272C7">
              <w:rPr>
                <w:rFonts w:cs="Arial"/>
              </w:rPr>
              <w:t>The CGRSWS was developed from 2019 to 2022. The CGRSWS was released by the Minister for Water in September 2022 and has set strategic priorities to improve water security in the region by developing actions to secure supplies across the region over the 50-year planning horizon to meet the challenges of population growth and climate change in the region.</w:t>
            </w:r>
          </w:p>
          <w:p w14:paraId="52893D29" w14:textId="2131A2B2" w:rsidR="00B242C3" w:rsidRPr="003272C7" w:rsidRDefault="00B242C3" w:rsidP="00E04DB2">
            <w:pPr>
              <w:pStyle w:val="TableText"/>
              <w:rPr>
                <w:rFonts w:cs="Arial"/>
              </w:rPr>
            </w:pPr>
            <w:r w:rsidRPr="003272C7">
              <w:rPr>
                <w:rFonts w:cs="Arial"/>
              </w:rPr>
              <w:t xml:space="preserve">The project relied on EC5 funding for its development and secured approximately $58 Million in total for implementation to date (Phase 1: $56.58Million and Phase 2: $1.184 Million), with most of the EC allocation being delivered via </w:t>
            </w:r>
            <w:r w:rsidR="00DD4B3C" w:rsidRPr="003272C7">
              <w:rPr>
                <w:rFonts w:cs="Arial"/>
              </w:rPr>
              <w:t>p</w:t>
            </w:r>
            <w:r w:rsidRPr="003272C7">
              <w:rPr>
                <w:rFonts w:cs="Arial"/>
              </w:rPr>
              <w:t xml:space="preserve">rogram areas across Water and Catchments </w:t>
            </w:r>
            <w:r w:rsidR="00DD4B3C" w:rsidRPr="003272C7">
              <w:rPr>
                <w:rFonts w:cs="Arial"/>
              </w:rPr>
              <w:t xml:space="preserve">Group </w:t>
            </w:r>
            <w:r w:rsidRPr="003272C7">
              <w:rPr>
                <w:rFonts w:cs="Arial"/>
              </w:rPr>
              <w:t>that are responsible for action implementation. The funding assisted with implementation of CGRSWS actions within the first two years, including on-ground projects to achieve waterway improvement and integrated water management. Part of this funding has been delivered via the SWS Program, to a total of $7.66M. Additional funding will be required for the remaining eight years of implementation to deliver on the commitments in the CGRSWS.</w:t>
            </w:r>
          </w:p>
        </w:tc>
      </w:tr>
      <w:tr w:rsidR="00B242C3" w:rsidRPr="003272C7" w14:paraId="11DF3B3B" w14:textId="77777777" w:rsidTr="008210E5">
        <w:trPr>
          <w:trHeight w:val="259"/>
        </w:trPr>
        <w:tc>
          <w:tcPr>
            <w:tcW w:w="979" w:type="pct"/>
            <w:shd w:val="clear" w:color="auto" w:fill="231EDC" w:themeFill="accent1"/>
          </w:tcPr>
          <w:p w14:paraId="646DB5E6" w14:textId="77777777" w:rsidR="00B242C3" w:rsidRPr="003272C7" w:rsidRDefault="00B242C3" w:rsidP="00E04DB2">
            <w:pPr>
              <w:pStyle w:val="TableText"/>
              <w:rPr>
                <w:rFonts w:cs="Arial"/>
                <w:b/>
                <w:bCs/>
              </w:rPr>
            </w:pPr>
            <w:r w:rsidRPr="003272C7">
              <w:rPr>
                <w:rFonts w:cs="Arial"/>
                <w:b/>
                <w:bCs/>
              </w:rPr>
              <w:lastRenderedPageBreak/>
              <w:t>Outputs</w:t>
            </w:r>
          </w:p>
        </w:tc>
        <w:tc>
          <w:tcPr>
            <w:tcW w:w="4021" w:type="pct"/>
          </w:tcPr>
          <w:p w14:paraId="5FE82E91" w14:textId="77777777" w:rsidR="00B242C3" w:rsidRPr="003272C7" w:rsidRDefault="00B242C3" w:rsidP="00E04DB2">
            <w:pPr>
              <w:pStyle w:val="TableBullet"/>
              <w:rPr>
                <w:rFonts w:cs="Arial"/>
              </w:rPr>
            </w:pPr>
            <w:r w:rsidRPr="003272C7">
              <w:rPr>
                <w:rFonts w:cs="Arial"/>
              </w:rPr>
              <w:t>Draft Strategy (developed in partnership with the water industry and the Traditional Owner groups)</w:t>
            </w:r>
          </w:p>
          <w:p w14:paraId="694F4DBC" w14:textId="77777777" w:rsidR="00B242C3" w:rsidRPr="003272C7" w:rsidRDefault="00B242C3" w:rsidP="00E04DB2">
            <w:pPr>
              <w:pStyle w:val="TableBullet"/>
              <w:rPr>
                <w:rFonts w:cs="Arial"/>
              </w:rPr>
            </w:pPr>
            <w:r w:rsidRPr="003272C7">
              <w:rPr>
                <w:rFonts w:cs="Arial"/>
              </w:rPr>
              <w:t>Final Strategy (incorporating feedback from consultation with key partners, industry and peak organisations)</w:t>
            </w:r>
          </w:p>
          <w:p w14:paraId="22661611" w14:textId="77777777" w:rsidR="00B242C3" w:rsidRPr="003272C7" w:rsidRDefault="00B242C3" w:rsidP="00E04DB2">
            <w:pPr>
              <w:pStyle w:val="TableBullet"/>
              <w:rPr>
                <w:rFonts w:cs="Arial"/>
              </w:rPr>
            </w:pPr>
            <w:r w:rsidRPr="003272C7">
              <w:rPr>
                <w:rFonts w:cs="Arial"/>
              </w:rPr>
              <w:t>Monitoring, Evaluation and Reporting framework.</w:t>
            </w:r>
          </w:p>
          <w:p w14:paraId="6904B0D5" w14:textId="77777777" w:rsidR="00142559" w:rsidRPr="003272C7" w:rsidRDefault="00B242C3" w:rsidP="00E04DB2">
            <w:pPr>
              <w:pStyle w:val="TableTextBold"/>
              <w:rPr>
                <w:rFonts w:cs="Arial"/>
              </w:rPr>
            </w:pPr>
            <w:r w:rsidRPr="003272C7">
              <w:rPr>
                <w:rFonts w:cs="Arial"/>
              </w:rPr>
              <w:t>The Strategy, outputs, to date, have:</w:t>
            </w:r>
          </w:p>
          <w:p w14:paraId="661A390C" w14:textId="77777777" w:rsidR="00142559" w:rsidRPr="003272C7" w:rsidRDefault="00B242C3" w:rsidP="00E04DB2">
            <w:pPr>
              <w:pStyle w:val="TableBullet"/>
              <w:rPr>
                <w:rFonts w:cs="Arial"/>
              </w:rPr>
            </w:pPr>
            <w:r w:rsidRPr="003272C7">
              <w:rPr>
                <w:rFonts w:cs="Arial"/>
              </w:rPr>
              <w:t>Contributed to a greater understanding in the community and across Government of the water security challenges facing the region and a clear plan of how to address these collaboratively.</w:t>
            </w:r>
          </w:p>
          <w:p w14:paraId="69621E55" w14:textId="61D04ABF" w:rsidR="00B242C3" w:rsidRPr="003272C7" w:rsidRDefault="00B242C3" w:rsidP="00E04DB2">
            <w:pPr>
              <w:pStyle w:val="TableBullet"/>
              <w:rPr>
                <w:rFonts w:cs="Arial"/>
              </w:rPr>
            </w:pPr>
            <w:r w:rsidRPr="003272C7">
              <w:rPr>
                <w:rFonts w:cs="Arial"/>
              </w:rPr>
              <w:t>Delivered a suite of integrated policy that improves water security across the region</w:t>
            </w:r>
            <w:r w:rsidR="00DD4B3C" w:rsidRPr="003272C7">
              <w:rPr>
                <w:rFonts w:cs="Arial"/>
              </w:rPr>
              <w:t>.</w:t>
            </w:r>
          </w:p>
          <w:p w14:paraId="74329584" w14:textId="6E3A87B7" w:rsidR="00B242C3" w:rsidRPr="003272C7" w:rsidRDefault="00B242C3" w:rsidP="00E04DB2">
            <w:pPr>
              <w:pStyle w:val="TableBullet"/>
              <w:rPr>
                <w:rFonts w:cs="Arial"/>
              </w:rPr>
            </w:pPr>
            <w:r w:rsidRPr="003272C7">
              <w:rPr>
                <w:rFonts w:cs="Arial"/>
              </w:rPr>
              <w:t>Developed an Implementation Plan and commenced the first year of a 10-year implementation Plan</w:t>
            </w:r>
            <w:r w:rsidR="00DD4B3C" w:rsidRPr="003272C7">
              <w:rPr>
                <w:rFonts w:cs="Arial"/>
              </w:rPr>
              <w:t>.</w:t>
            </w:r>
          </w:p>
          <w:p w14:paraId="0F791B94" w14:textId="77777777" w:rsidR="00B242C3" w:rsidRPr="003272C7" w:rsidRDefault="00B242C3" w:rsidP="00E04DB2">
            <w:pPr>
              <w:pStyle w:val="TableBullet"/>
              <w:rPr>
                <w:rFonts w:cs="Arial"/>
              </w:rPr>
            </w:pPr>
            <w:r w:rsidRPr="003272C7">
              <w:rPr>
                <w:rFonts w:cs="Arial"/>
              </w:rPr>
              <w:t>Undertaken the first Progress Report, which tabled that 79 of 96 actions started. 9 actions have been completed.</w:t>
            </w:r>
          </w:p>
          <w:p w14:paraId="539EE5B5" w14:textId="020AB377" w:rsidR="00B242C3" w:rsidRPr="003272C7" w:rsidRDefault="00DF73AC" w:rsidP="00E04DB2">
            <w:pPr>
              <w:pStyle w:val="TableBullet"/>
              <w:rPr>
                <w:rFonts w:cs="Arial"/>
              </w:rPr>
            </w:pPr>
            <w:r w:rsidRPr="003272C7">
              <w:rPr>
                <w:rFonts w:cs="Arial"/>
              </w:rPr>
              <w:t>Undertaken the second Progress Report, which tabled that of the 111 actions and policies in this report, 16 actions have been achieved (7 completed and 9 ongoing).</w:t>
            </w:r>
          </w:p>
        </w:tc>
      </w:tr>
      <w:tr w:rsidR="00B242C3" w:rsidRPr="003272C7" w14:paraId="00F709F3" w14:textId="77777777" w:rsidTr="005229E9">
        <w:trPr>
          <w:trHeight w:val="259"/>
        </w:trPr>
        <w:tc>
          <w:tcPr>
            <w:tcW w:w="5000" w:type="pct"/>
            <w:gridSpan w:val="2"/>
            <w:shd w:val="clear" w:color="auto" w:fill="231EDC" w:themeFill="accent1"/>
          </w:tcPr>
          <w:p w14:paraId="3BEFFE2E" w14:textId="77777777" w:rsidR="00B242C3" w:rsidRPr="003272C7" w:rsidRDefault="00B242C3" w:rsidP="005229E9">
            <w:pPr>
              <w:pStyle w:val="TableText"/>
              <w:rPr>
                <w:rFonts w:cs="Arial"/>
                <w:b/>
                <w:bCs/>
              </w:rPr>
            </w:pPr>
            <w:r w:rsidRPr="003272C7">
              <w:rPr>
                <w:rFonts w:cs="Arial"/>
                <w:b/>
                <w:bCs/>
              </w:rPr>
              <w:t>Summary against evaluation domains</w:t>
            </w:r>
          </w:p>
        </w:tc>
      </w:tr>
      <w:tr w:rsidR="00B242C3" w:rsidRPr="003272C7" w14:paraId="298F23BD" w14:textId="77777777" w:rsidTr="008210E5">
        <w:trPr>
          <w:trHeight w:val="259"/>
        </w:trPr>
        <w:tc>
          <w:tcPr>
            <w:tcW w:w="979" w:type="pct"/>
            <w:shd w:val="clear" w:color="auto" w:fill="231EDC" w:themeFill="accent1"/>
          </w:tcPr>
          <w:p w14:paraId="20455D96" w14:textId="77777777" w:rsidR="00B242C3" w:rsidRPr="003272C7" w:rsidRDefault="00B242C3" w:rsidP="00E04DB2">
            <w:pPr>
              <w:pStyle w:val="TableText"/>
              <w:rPr>
                <w:rFonts w:cs="Arial"/>
                <w:b/>
                <w:bCs/>
              </w:rPr>
            </w:pPr>
            <w:r w:rsidRPr="003272C7">
              <w:rPr>
                <w:rFonts w:cs="Arial"/>
                <w:b/>
                <w:bCs/>
              </w:rPr>
              <w:t>Impact</w:t>
            </w:r>
          </w:p>
        </w:tc>
        <w:tc>
          <w:tcPr>
            <w:tcW w:w="4021" w:type="pct"/>
          </w:tcPr>
          <w:p w14:paraId="4208CB73" w14:textId="77777777" w:rsidR="00142559" w:rsidRPr="003272C7" w:rsidRDefault="00B242C3" w:rsidP="00E04DB2">
            <w:pPr>
              <w:pStyle w:val="TableTextBold"/>
              <w:rPr>
                <w:rFonts w:cs="Arial"/>
              </w:rPr>
            </w:pPr>
            <w:r w:rsidRPr="003272C7">
              <w:rPr>
                <w:rFonts w:cs="Arial"/>
              </w:rPr>
              <w:t>Release of the CGRSWS draft and final reports with high acceptance of partners, key stakeholder and community</w:t>
            </w:r>
          </w:p>
          <w:p w14:paraId="7467CBDF" w14:textId="77777777" w:rsidR="00142559" w:rsidRPr="003272C7" w:rsidRDefault="00B242C3" w:rsidP="00E04DB2">
            <w:pPr>
              <w:pStyle w:val="TableBullet"/>
              <w:rPr>
                <w:rFonts w:cs="Arial"/>
              </w:rPr>
            </w:pPr>
            <w:r w:rsidRPr="003272C7">
              <w:rPr>
                <w:rFonts w:cs="Arial"/>
              </w:rPr>
              <w:t>The CGRSWS Final Strategy was released in September 2022. The public consultation took place from 8 October to 10 December 2021 with well over 2000 people visiting the engagement site and downloading a copy of the discussion draft, 225 people responding to a short survey and 58 detailed submissions received.</w:t>
            </w:r>
          </w:p>
          <w:p w14:paraId="3BE98F87" w14:textId="261AFCFA" w:rsidR="00B242C3" w:rsidRPr="003272C7" w:rsidRDefault="00B242C3" w:rsidP="00E04DB2">
            <w:pPr>
              <w:pStyle w:val="TableBullet"/>
              <w:rPr>
                <w:rFonts w:cs="Arial"/>
              </w:rPr>
            </w:pPr>
            <w:r w:rsidRPr="003272C7">
              <w:rPr>
                <w:rFonts w:cs="Arial"/>
              </w:rPr>
              <w:t xml:space="preserve">Overall, there was strong support for the </w:t>
            </w:r>
            <w:r w:rsidR="00DD4B3C" w:rsidRPr="003272C7">
              <w:rPr>
                <w:rFonts w:cs="Arial"/>
              </w:rPr>
              <w:t xml:space="preserve">CGRSWS </w:t>
            </w:r>
            <w:r w:rsidRPr="003272C7">
              <w:rPr>
                <w:rFonts w:cs="Arial"/>
              </w:rPr>
              <w:t xml:space="preserve">from those we heard from with feedback highlighting the community’s concern for the environment and health of our waterways and support for new manufactured sources of water. All feedback received was considered as the </w:t>
            </w:r>
            <w:r w:rsidR="00DD4B3C" w:rsidRPr="003272C7">
              <w:rPr>
                <w:rFonts w:cs="Arial"/>
              </w:rPr>
              <w:t xml:space="preserve">CGRSWS </w:t>
            </w:r>
            <w:r w:rsidRPr="003272C7">
              <w:rPr>
                <w:rFonts w:cs="Arial"/>
              </w:rPr>
              <w:t>was finalised.</w:t>
            </w:r>
          </w:p>
          <w:p w14:paraId="0A340706" w14:textId="77777777" w:rsidR="00B242C3" w:rsidRPr="003272C7" w:rsidRDefault="00B242C3" w:rsidP="00E04DB2">
            <w:pPr>
              <w:pStyle w:val="TableTextBold"/>
              <w:rPr>
                <w:rFonts w:cs="Arial"/>
              </w:rPr>
            </w:pPr>
            <w:r w:rsidRPr="003272C7">
              <w:rPr>
                <w:rFonts w:cs="Arial"/>
              </w:rPr>
              <w:t>Development of an Implementation Plan</w:t>
            </w:r>
          </w:p>
          <w:p w14:paraId="4457D4CC" w14:textId="77777777" w:rsidR="00142559" w:rsidRPr="003272C7" w:rsidRDefault="00B242C3" w:rsidP="00E04DB2">
            <w:pPr>
              <w:pStyle w:val="TableBullet"/>
              <w:rPr>
                <w:rFonts w:cs="Arial"/>
              </w:rPr>
            </w:pPr>
            <w:r w:rsidRPr="003272C7">
              <w:rPr>
                <w:rFonts w:cs="Arial"/>
              </w:rPr>
              <w:t>The Central and Gippsland Region Implementation Plan was developed in the second half of 2022, following the release of the Strategy.</w:t>
            </w:r>
          </w:p>
          <w:p w14:paraId="19F365A5" w14:textId="29232539" w:rsidR="00B242C3" w:rsidRPr="003272C7" w:rsidRDefault="00B242C3" w:rsidP="00E04DB2">
            <w:pPr>
              <w:pStyle w:val="TableBullet"/>
              <w:rPr>
                <w:rFonts w:cs="Arial"/>
              </w:rPr>
            </w:pPr>
            <w:r w:rsidRPr="003272C7">
              <w:rPr>
                <w:rFonts w:cs="Arial"/>
              </w:rPr>
              <w:t xml:space="preserve">During 2023, DEECA has been working to coordinate delivery of the actions by establishing the first Central and Gippsland Region Sustainable Water Strategy Implementation Advisory Group (CGRSWS IAG). </w:t>
            </w:r>
          </w:p>
        </w:tc>
      </w:tr>
      <w:tr w:rsidR="00B242C3" w:rsidRPr="003272C7" w14:paraId="7617AA15" w14:textId="77777777" w:rsidTr="008210E5">
        <w:trPr>
          <w:trHeight w:val="259"/>
        </w:trPr>
        <w:tc>
          <w:tcPr>
            <w:tcW w:w="979" w:type="pct"/>
            <w:shd w:val="clear" w:color="auto" w:fill="231EDC" w:themeFill="accent1"/>
          </w:tcPr>
          <w:p w14:paraId="735AD75C" w14:textId="77777777" w:rsidR="00B242C3" w:rsidRPr="003272C7" w:rsidRDefault="00B242C3" w:rsidP="00E04DB2">
            <w:pPr>
              <w:pStyle w:val="TableText"/>
              <w:rPr>
                <w:rFonts w:cs="Arial"/>
                <w:b/>
                <w:bCs/>
              </w:rPr>
            </w:pPr>
            <w:r w:rsidRPr="003272C7">
              <w:rPr>
                <w:rFonts w:cs="Arial"/>
                <w:b/>
                <w:bCs/>
              </w:rPr>
              <w:t>Effectiveness</w:t>
            </w:r>
          </w:p>
        </w:tc>
        <w:tc>
          <w:tcPr>
            <w:tcW w:w="4021" w:type="pct"/>
          </w:tcPr>
          <w:p w14:paraId="7F04CC1E" w14:textId="77777777" w:rsidR="00B242C3" w:rsidRPr="003272C7" w:rsidRDefault="00B242C3" w:rsidP="00E04DB2">
            <w:pPr>
              <w:pStyle w:val="TableText"/>
              <w:rPr>
                <w:rFonts w:cs="Arial"/>
              </w:rPr>
            </w:pPr>
            <w:r w:rsidRPr="003272C7">
              <w:rPr>
                <w:rFonts w:cs="Arial"/>
              </w:rPr>
              <w:t>Effectiveness indicated through delivery in line with workplan</w:t>
            </w:r>
          </w:p>
        </w:tc>
      </w:tr>
      <w:tr w:rsidR="00B242C3" w:rsidRPr="003272C7" w14:paraId="25E586F4" w14:textId="77777777" w:rsidTr="008210E5">
        <w:trPr>
          <w:trHeight w:val="259"/>
        </w:trPr>
        <w:tc>
          <w:tcPr>
            <w:tcW w:w="979" w:type="pct"/>
            <w:shd w:val="clear" w:color="auto" w:fill="231EDC" w:themeFill="accent1"/>
          </w:tcPr>
          <w:p w14:paraId="04E4EC55" w14:textId="77777777" w:rsidR="00B242C3" w:rsidRPr="003272C7" w:rsidRDefault="00B242C3" w:rsidP="00E04DB2">
            <w:pPr>
              <w:pStyle w:val="TableText"/>
              <w:rPr>
                <w:rFonts w:cs="Arial"/>
                <w:b/>
                <w:bCs/>
              </w:rPr>
            </w:pPr>
            <w:r w:rsidRPr="003272C7">
              <w:rPr>
                <w:rFonts w:cs="Arial"/>
                <w:b/>
                <w:bCs/>
              </w:rPr>
              <w:t>Appropriateness</w:t>
            </w:r>
          </w:p>
        </w:tc>
        <w:tc>
          <w:tcPr>
            <w:tcW w:w="4021" w:type="pct"/>
          </w:tcPr>
          <w:p w14:paraId="5D4B205D" w14:textId="4B222E7D" w:rsidR="00B242C3" w:rsidRPr="003272C7" w:rsidRDefault="00B242C3" w:rsidP="00E04DB2">
            <w:pPr>
              <w:pStyle w:val="TableBullet"/>
              <w:rPr>
                <w:rFonts w:cs="Arial"/>
              </w:rPr>
            </w:pPr>
            <w:r w:rsidRPr="003272C7">
              <w:rPr>
                <w:rFonts w:cs="Arial"/>
              </w:rPr>
              <w:t xml:space="preserve">The investment was designed and delivered to maximise the collaboration between delivery agencies, DEECA and </w:t>
            </w:r>
            <w:r w:rsidR="00DD4B3C" w:rsidRPr="003272C7">
              <w:rPr>
                <w:rFonts w:cs="Arial"/>
              </w:rPr>
              <w:t xml:space="preserve">Recognised Aboriginal Party </w:t>
            </w:r>
            <w:r w:rsidRPr="003272C7">
              <w:rPr>
                <w:rFonts w:cs="Arial"/>
              </w:rPr>
              <w:t xml:space="preserve">groups as </w:t>
            </w:r>
            <w:r w:rsidRPr="003272C7">
              <w:rPr>
                <w:rFonts w:cs="Arial"/>
              </w:rPr>
              <w:lastRenderedPageBreak/>
              <w:t>well as provide opportunities for community involvement and wider water industry</w:t>
            </w:r>
            <w:r w:rsidR="000A1A4F" w:rsidRPr="003272C7">
              <w:rPr>
                <w:rFonts w:cs="Arial"/>
              </w:rPr>
              <w:t> </w:t>
            </w:r>
            <w:r w:rsidRPr="003272C7">
              <w:rPr>
                <w:rFonts w:cs="Arial"/>
              </w:rPr>
              <w:t>input.</w:t>
            </w:r>
          </w:p>
          <w:p w14:paraId="182F702E" w14:textId="1ECC9A88" w:rsidR="00142559" w:rsidRPr="003272C7" w:rsidRDefault="00B242C3" w:rsidP="00E04DB2">
            <w:pPr>
              <w:pStyle w:val="TableBullet"/>
              <w:rPr>
                <w:rFonts w:cs="Arial"/>
              </w:rPr>
            </w:pPr>
            <w:r w:rsidRPr="003272C7">
              <w:rPr>
                <w:rFonts w:cs="Arial"/>
              </w:rPr>
              <w:t>An effective governance structure supported the extensive collaborative planning</w:t>
            </w:r>
            <w:r w:rsidR="000A1A4F" w:rsidRPr="003272C7">
              <w:rPr>
                <w:rFonts w:cs="Arial"/>
              </w:rPr>
              <w:t> </w:t>
            </w:r>
            <w:r w:rsidRPr="003272C7">
              <w:rPr>
                <w:rFonts w:cs="Arial"/>
              </w:rPr>
              <w:t>process for action and policy development as well as the</w:t>
            </w:r>
            <w:r w:rsidR="000A1A4F" w:rsidRPr="003272C7">
              <w:rPr>
                <w:rFonts w:cs="Arial"/>
              </w:rPr>
              <w:t> </w:t>
            </w:r>
            <w:r w:rsidRPr="003272C7">
              <w:rPr>
                <w:rFonts w:cs="Arial"/>
              </w:rPr>
              <w:t>engagement</w:t>
            </w:r>
            <w:r w:rsidR="000A1A4F" w:rsidRPr="003272C7">
              <w:rPr>
                <w:rFonts w:cs="Arial"/>
              </w:rPr>
              <w:t> </w:t>
            </w:r>
            <w:r w:rsidRPr="003272C7">
              <w:rPr>
                <w:rFonts w:cs="Arial"/>
              </w:rPr>
              <w:t>undertaken.</w:t>
            </w:r>
          </w:p>
          <w:p w14:paraId="0BE77A7A" w14:textId="77777777" w:rsidR="00142559" w:rsidRPr="003272C7" w:rsidRDefault="00B242C3" w:rsidP="00E04DB2">
            <w:pPr>
              <w:pStyle w:val="TableBullet"/>
              <w:rPr>
                <w:rFonts w:cs="Arial"/>
              </w:rPr>
            </w:pPr>
            <w:r w:rsidRPr="003272C7">
              <w:rPr>
                <w:rFonts w:cs="Arial"/>
              </w:rPr>
              <w:t xml:space="preserve">The Independent Panel Report made under section 22F(3) of the Water Act 1989 was published to the community in August 2022, with key findings addressed by DEECA. The Final Report found that the </w:t>
            </w:r>
            <w:r w:rsidR="00DD4B3C" w:rsidRPr="003272C7">
              <w:rPr>
                <w:rFonts w:cs="Arial"/>
              </w:rPr>
              <w:t xml:space="preserve">CGRSWS </w:t>
            </w:r>
            <w:r w:rsidRPr="003272C7">
              <w:rPr>
                <w:rFonts w:cs="Arial"/>
              </w:rPr>
              <w:t xml:space="preserve">is a significant body of work but does have limitations. Some of the limitations noted were outside of the scope of the </w:t>
            </w:r>
            <w:r w:rsidR="00DD4B3C" w:rsidRPr="003272C7">
              <w:rPr>
                <w:rFonts w:cs="Arial"/>
              </w:rPr>
              <w:t xml:space="preserve">CGRSWS </w:t>
            </w:r>
            <w:r w:rsidRPr="003272C7">
              <w:rPr>
                <w:rFonts w:cs="Arial"/>
              </w:rPr>
              <w:t xml:space="preserve">(such as challenges relating to groundwater, which fall under a separate body of work – </w:t>
            </w:r>
            <w:r w:rsidR="00DD4B3C" w:rsidRPr="003272C7">
              <w:rPr>
                <w:rFonts w:cs="Arial"/>
              </w:rPr>
              <w:t>GM</w:t>
            </w:r>
            <w:r w:rsidRPr="003272C7">
              <w:rPr>
                <w:rFonts w:cs="Arial"/>
              </w:rPr>
              <w:t xml:space="preserve">2030, or limitations of the planning framework itself). DEECA continues to build on detailed analysis for business case development in response to the Panel’s findings that the </w:t>
            </w:r>
            <w:r w:rsidR="00DD4B3C" w:rsidRPr="003272C7">
              <w:rPr>
                <w:rFonts w:cs="Arial"/>
              </w:rPr>
              <w:t xml:space="preserve">CGRSWS </w:t>
            </w:r>
            <w:r w:rsidRPr="003272C7">
              <w:rPr>
                <w:rFonts w:cs="Arial"/>
              </w:rPr>
              <w:t>lacks objective analysis for actions as well as the Panels highlight that there is a need to make fundamental changes to the water planning regime.</w:t>
            </w:r>
          </w:p>
          <w:p w14:paraId="269B10F0" w14:textId="5A0EFC07" w:rsidR="00B242C3" w:rsidRPr="003272C7" w:rsidRDefault="00B242C3" w:rsidP="00E04DB2">
            <w:pPr>
              <w:pStyle w:val="TableBullet"/>
              <w:rPr>
                <w:rFonts w:cs="Arial"/>
              </w:rPr>
            </w:pPr>
            <w:r w:rsidRPr="003272C7">
              <w:rPr>
                <w:rFonts w:cs="Arial"/>
              </w:rPr>
              <w:t xml:space="preserve">The Independent Panel also noted that the water supply outcomes described in the </w:t>
            </w:r>
            <w:r w:rsidR="00DD4B3C" w:rsidRPr="003272C7">
              <w:rPr>
                <w:rFonts w:cs="Arial"/>
              </w:rPr>
              <w:t xml:space="preserve">CGRSWS </w:t>
            </w:r>
            <w:r w:rsidRPr="003272C7">
              <w:rPr>
                <w:rFonts w:cs="Arial"/>
              </w:rPr>
              <w:t>are contingent on future funding being made available.</w:t>
            </w:r>
          </w:p>
        </w:tc>
      </w:tr>
      <w:tr w:rsidR="00B242C3" w:rsidRPr="003272C7" w14:paraId="3E54B1F3" w14:textId="77777777" w:rsidTr="008210E5">
        <w:trPr>
          <w:trHeight w:val="259"/>
        </w:trPr>
        <w:tc>
          <w:tcPr>
            <w:tcW w:w="979" w:type="pct"/>
            <w:shd w:val="clear" w:color="auto" w:fill="231EDC" w:themeFill="accent1"/>
          </w:tcPr>
          <w:p w14:paraId="71770838" w14:textId="77777777" w:rsidR="00B242C3" w:rsidRPr="003272C7" w:rsidRDefault="00B242C3" w:rsidP="00E04DB2">
            <w:pPr>
              <w:pStyle w:val="TableText"/>
              <w:rPr>
                <w:rFonts w:cs="Arial"/>
                <w:b/>
                <w:bCs/>
              </w:rPr>
            </w:pPr>
            <w:r w:rsidRPr="003272C7">
              <w:rPr>
                <w:rFonts w:cs="Arial"/>
                <w:b/>
                <w:bCs/>
              </w:rPr>
              <w:lastRenderedPageBreak/>
              <w:t>Efficiency</w:t>
            </w:r>
          </w:p>
        </w:tc>
        <w:tc>
          <w:tcPr>
            <w:tcW w:w="4021" w:type="pct"/>
          </w:tcPr>
          <w:p w14:paraId="7068FA8E" w14:textId="77777777" w:rsidR="00142559" w:rsidRPr="003272C7" w:rsidRDefault="00B242C3" w:rsidP="00E04DB2">
            <w:pPr>
              <w:pStyle w:val="TableBullet"/>
              <w:rPr>
                <w:rFonts w:cs="Arial"/>
              </w:rPr>
            </w:pPr>
            <w:r w:rsidRPr="003272C7">
              <w:rPr>
                <w:rFonts w:cs="Arial"/>
              </w:rPr>
              <w:t>Delivery the CGRSWS draft and final reports were completed within the timeline and budget specified. The Final Strategy was endorsed by Cabinet and released to the community in September 2022.</w:t>
            </w:r>
          </w:p>
          <w:p w14:paraId="0A7ED241" w14:textId="2606DD6A" w:rsidR="00B242C3" w:rsidRPr="003272C7" w:rsidRDefault="00B242C3" w:rsidP="00E04DB2">
            <w:pPr>
              <w:pStyle w:val="TableBullet"/>
              <w:rPr>
                <w:rFonts w:cs="Arial"/>
              </w:rPr>
            </w:pPr>
            <w:r w:rsidRPr="003272C7">
              <w:rPr>
                <w:rFonts w:cs="Arial"/>
              </w:rPr>
              <w:t xml:space="preserve">The project relied on EC5 funding for its development and secured approximately an additional $58 </w:t>
            </w:r>
            <w:r w:rsidR="00DD4B3C" w:rsidRPr="003272C7">
              <w:rPr>
                <w:rFonts w:cs="Arial"/>
              </w:rPr>
              <w:t>m</w:t>
            </w:r>
            <w:r w:rsidRPr="003272C7">
              <w:rPr>
                <w:rFonts w:cs="Arial"/>
              </w:rPr>
              <w:t>illion for early implementation of the 10-year strategy (Phase 1: $56.58</w:t>
            </w:r>
            <w:r w:rsidR="00DD4B3C" w:rsidRPr="003272C7">
              <w:rPr>
                <w:rFonts w:cs="Arial"/>
              </w:rPr>
              <w:t xml:space="preserve"> m</w:t>
            </w:r>
            <w:r w:rsidRPr="003272C7">
              <w:rPr>
                <w:rFonts w:cs="Arial"/>
              </w:rPr>
              <w:t xml:space="preserve">illion and Phase 2: $1.184 </w:t>
            </w:r>
            <w:r w:rsidR="00DD4B3C" w:rsidRPr="003272C7">
              <w:rPr>
                <w:rFonts w:cs="Arial"/>
              </w:rPr>
              <w:t>m</w:t>
            </w:r>
            <w:r w:rsidRPr="003272C7">
              <w:rPr>
                <w:rFonts w:cs="Arial"/>
              </w:rPr>
              <w:t xml:space="preserve">illion). Funding for the remaining </w:t>
            </w:r>
            <w:r w:rsidR="00DD4B3C" w:rsidRPr="003272C7">
              <w:rPr>
                <w:rFonts w:cs="Arial"/>
              </w:rPr>
              <w:t>8</w:t>
            </w:r>
            <w:r w:rsidRPr="003272C7">
              <w:rPr>
                <w:rFonts w:cs="Arial"/>
              </w:rPr>
              <w:t xml:space="preserve"> years of implementation is subject to future budget bids. </w:t>
            </w:r>
          </w:p>
        </w:tc>
      </w:tr>
      <w:tr w:rsidR="00B242C3" w:rsidRPr="003272C7" w14:paraId="4B182AC9" w14:textId="77777777" w:rsidTr="008210E5">
        <w:trPr>
          <w:trHeight w:val="259"/>
        </w:trPr>
        <w:tc>
          <w:tcPr>
            <w:tcW w:w="979" w:type="pct"/>
            <w:shd w:val="clear" w:color="auto" w:fill="231EDC" w:themeFill="accent1"/>
          </w:tcPr>
          <w:p w14:paraId="523B82CE" w14:textId="77777777" w:rsidR="00B242C3" w:rsidRPr="003272C7" w:rsidRDefault="00B242C3" w:rsidP="00E04DB2">
            <w:pPr>
              <w:pStyle w:val="TableText"/>
              <w:rPr>
                <w:rFonts w:cs="Arial"/>
                <w:b/>
                <w:bCs/>
              </w:rPr>
            </w:pPr>
            <w:r w:rsidRPr="003272C7">
              <w:rPr>
                <w:rFonts w:cs="Arial"/>
                <w:b/>
                <w:bCs/>
              </w:rPr>
              <w:t>Legacy</w:t>
            </w:r>
          </w:p>
        </w:tc>
        <w:tc>
          <w:tcPr>
            <w:tcW w:w="4021" w:type="pct"/>
          </w:tcPr>
          <w:p w14:paraId="78EC2A00" w14:textId="77777777" w:rsidR="00142559" w:rsidRPr="003272C7" w:rsidRDefault="00B242C3" w:rsidP="00E04DB2">
            <w:pPr>
              <w:pStyle w:val="TableBullet"/>
              <w:rPr>
                <w:rFonts w:cs="Arial"/>
              </w:rPr>
            </w:pPr>
            <w:r w:rsidRPr="003272C7">
              <w:rPr>
                <w:rFonts w:cs="Arial"/>
              </w:rPr>
              <w:t xml:space="preserve">The Traditional Owner Partnership, established to support the development of the </w:t>
            </w:r>
            <w:r w:rsidR="00DD4B3C" w:rsidRPr="003272C7">
              <w:rPr>
                <w:rFonts w:cs="Arial"/>
              </w:rPr>
              <w:t>CGRSWS</w:t>
            </w:r>
            <w:r w:rsidRPr="003272C7">
              <w:rPr>
                <w:rFonts w:cs="Arial"/>
              </w:rPr>
              <w:t>, have requested to continue through the implementation phase of the project, to support self-determination and address collective issues in a culturally safe way.</w:t>
            </w:r>
          </w:p>
          <w:p w14:paraId="7595A24F" w14:textId="4DDB80E2" w:rsidR="00B242C3" w:rsidRPr="003272C7" w:rsidRDefault="00B242C3" w:rsidP="00E04DB2">
            <w:pPr>
              <w:pStyle w:val="TableBullet"/>
              <w:rPr>
                <w:rFonts w:cs="Arial"/>
              </w:rPr>
            </w:pPr>
            <w:r w:rsidRPr="003272C7">
              <w:rPr>
                <w:rFonts w:cs="Arial"/>
              </w:rPr>
              <w:t xml:space="preserve">The Consultative Committee, as a result of the process, structure and membership that lead to positive collaboration and meaningful policy changes; requested to continue to meet annually to ensure </w:t>
            </w:r>
            <w:r w:rsidR="1BEB3410" w:rsidRPr="003272C7">
              <w:rPr>
                <w:rFonts w:cs="Arial"/>
              </w:rPr>
              <w:t>i</w:t>
            </w:r>
            <w:r w:rsidRPr="003272C7">
              <w:rPr>
                <w:rFonts w:cs="Arial"/>
              </w:rPr>
              <w:t>mplementation of the CGRSWS. This has now occurred.</w:t>
            </w:r>
          </w:p>
          <w:p w14:paraId="0880AA76" w14:textId="77777777" w:rsidR="00B242C3" w:rsidRPr="003272C7" w:rsidRDefault="00B242C3" w:rsidP="00E04DB2">
            <w:pPr>
              <w:pStyle w:val="TableBullet"/>
              <w:rPr>
                <w:rFonts w:cs="Arial"/>
              </w:rPr>
            </w:pPr>
            <w:r w:rsidRPr="003272C7">
              <w:rPr>
                <w:rFonts w:cs="Arial"/>
              </w:rPr>
              <w:t xml:space="preserve">The strategy itself provides a legacy for future implementation of the 96 actions and 41 policies and is focused on actions to improve long-term outcomes. </w:t>
            </w:r>
          </w:p>
        </w:tc>
      </w:tr>
      <w:tr w:rsidR="00B242C3" w:rsidRPr="003272C7" w14:paraId="6AF95C37" w14:textId="77777777" w:rsidTr="008210E5">
        <w:trPr>
          <w:trHeight w:val="259"/>
        </w:trPr>
        <w:tc>
          <w:tcPr>
            <w:tcW w:w="979" w:type="pct"/>
            <w:shd w:val="clear" w:color="auto" w:fill="231EDC" w:themeFill="accent1"/>
          </w:tcPr>
          <w:p w14:paraId="792E4A84" w14:textId="77777777" w:rsidR="00B242C3" w:rsidRPr="003272C7" w:rsidRDefault="00B242C3" w:rsidP="00E04DB2">
            <w:pPr>
              <w:pStyle w:val="TableText"/>
              <w:rPr>
                <w:rFonts w:cs="Arial"/>
                <w:b/>
                <w:bCs/>
              </w:rPr>
            </w:pPr>
            <w:r w:rsidRPr="003272C7">
              <w:rPr>
                <w:rFonts w:cs="Arial"/>
                <w:b/>
                <w:bCs/>
              </w:rPr>
              <w:t>Future priorities</w:t>
            </w:r>
          </w:p>
        </w:tc>
        <w:tc>
          <w:tcPr>
            <w:tcW w:w="4021" w:type="pct"/>
          </w:tcPr>
          <w:p w14:paraId="217376F8" w14:textId="77777777" w:rsidR="00142559" w:rsidRPr="003272C7" w:rsidRDefault="00B242C3" w:rsidP="00E04DB2">
            <w:pPr>
              <w:pStyle w:val="TableBullet"/>
              <w:rPr>
                <w:rFonts w:cs="Arial"/>
              </w:rPr>
            </w:pPr>
            <w:r w:rsidRPr="003272C7">
              <w:rPr>
                <w:rFonts w:cs="Arial"/>
              </w:rPr>
              <w:t>Funding for action delivery. There are 96 actions and 41 policies. While many actions have commenced under funding secured from Phase 1 and Phase 2 EC5 funding, additional funding is required over the next 10 years.</w:t>
            </w:r>
          </w:p>
          <w:p w14:paraId="45590355" w14:textId="77777777" w:rsidR="00142559" w:rsidRPr="003272C7" w:rsidRDefault="00B242C3" w:rsidP="00E04DB2">
            <w:pPr>
              <w:pStyle w:val="TableBullet"/>
              <w:rPr>
                <w:rFonts w:cs="Arial"/>
              </w:rPr>
            </w:pPr>
            <w:r w:rsidRPr="003272C7">
              <w:rPr>
                <w:rFonts w:cs="Arial"/>
              </w:rPr>
              <w:t>Funding to Continue the Traditional Owner Partnership to support self-determination through implementation of the Strategy.</w:t>
            </w:r>
          </w:p>
          <w:p w14:paraId="56B49C38" w14:textId="04563D30" w:rsidR="00B242C3" w:rsidRPr="003272C7" w:rsidRDefault="00B242C3" w:rsidP="00E04DB2">
            <w:pPr>
              <w:pStyle w:val="TableBullet"/>
              <w:rPr>
                <w:rFonts w:cs="Arial"/>
              </w:rPr>
            </w:pPr>
            <w:r w:rsidRPr="003272C7">
              <w:rPr>
                <w:rFonts w:cs="Arial"/>
              </w:rPr>
              <w:t>Coordination of action delivery by focusing on areas that require a high level of collaboration where new policy directions have been set, including findings ways to return water to traditional owners, increasing the supply of Manufactured water, involving integration and coordination with the Water Grid planning process and increasing the environmental water reserve via water recovery targets set in the</w:t>
            </w:r>
            <w:r w:rsidR="000A1A4F" w:rsidRPr="003272C7">
              <w:rPr>
                <w:rFonts w:cs="Arial"/>
              </w:rPr>
              <w:t> </w:t>
            </w:r>
            <w:r w:rsidRPr="003272C7">
              <w:rPr>
                <w:rFonts w:cs="Arial"/>
              </w:rPr>
              <w:t>Strategy.</w:t>
            </w:r>
          </w:p>
          <w:p w14:paraId="69D9FE30" w14:textId="1B94131F" w:rsidR="00B242C3" w:rsidRPr="003272C7" w:rsidRDefault="00B242C3" w:rsidP="00E04DB2">
            <w:pPr>
              <w:pStyle w:val="TableBullet"/>
              <w:rPr>
                <w:rFonts w:cs="Arial"/>
              </w:rPr>
            </w:pPr>
            <w:r w:rsidRPr="003272C7">
              <w:rPr>
                <w:rFonts w:cs="Arial"/>
              </w:rPr>
              <w:t>In the future, funding will be required to support future Reviews and new Sustainable Water Strategies</w:t>
            </w:r>
            <w:r w:rsidR="00062AD4" w:rsidRPr="003272C7">
              <w:rPr>
                <w:rFonts w:cs="Arial"/>
              </w:rPr>
              <w:t>.</w:t>
            </w:r>
          </w:p>
        </w:tc>
      </w:tr>
    </w:tbl>
    <w:p w14:paraId="4FB82CA8" w14:textId="3D080EC0" w:rsidR="00B242C3" w:rsidRPr="003272C7" w:rsidRDefault="00B242C3" w:rsidP="00B242C3">
      <w:pPr>
        <w:pStyle w:val="Heading2"/>
        <w:rPr>
          <w:rFonts w:cs="Arial"/>
        </w:rPr>
      </w:pPr>
      <w:bookmarkStart w:id="61" w:name="_Toc147410796"/>
      <w:bookmarkStart w:id="62" w:name="_Toc183777804"/>
      <w:r w:rsidRPr="003272C7">
        <w:rPr>
          <w:rFonts w:cs="Arial"/>
        </w:rPr>
        <w:lastRenderedPageBreak/>
        <w:t xml:space="preserve">PSP3: Mitigating the </w:t>
      </w:r>
      <w:r w:rsidR="00271AE7" w:rsidRPr="003272C7">
        <w:rPr>
          <w:rFonts w:cs="Arial"/>
        </w:rPr>
        <w:t>R</w:t>
      </w:r>
      <w:r w:rsidRPr="003272C7">
        <w:rPr>
          <w:rFonts w:cs="Arial"/>
        </w:rPr>
        <w:t xml:space="preserve">isks of </w:t>
      </w:r>
      <w:r w:rsidR="00271AE7" w:rsidRPr="003272C7">
        <w:rPr>
          <w:rFonts w:cs="Arial"/>
        </w:rPr>
        <w:t>S</w:t>
      </w:r>
      <w:r w:rsidRPr="003272C7">
        <w:rPr>
          <w:rFonts w:cs="Arial"/>
        </w:rPr>
        <w:t xml:space="preserve">mall </w:t>
      </w:r>
      <w:r w:rsidR="00271AE7" w:rsidRPr="003272C7">
        <w:rPr>
          <w:rFonts w:cs="Arial"/>
        </w:rPr>
        <w:t>D</w:t>
      </w:r>
      <w:r w:rsidRPr="003272C7">
        <w:rPr>
          <w:rFonts w:cs="Arial"/>
        </w:rPr>
        <w:t>ams</w:t>
      </w:r>
      <w:bookmarkEnd w:id="61"/>
      <w:bookmarkEnd w:id="6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7BB6E9F6" w14:textId="77777777" w:rsidTr="008210E5">
        <w:trPr>
          <w:trHeight w:val="395"/>
        </w:trPr>
        <w:tc>
          <w:tcPr>
            <w:tcW w:w="979" w:type="pct"/>
            <w:shd w:val="clear" w:color="auto" w:fill="231EDC" w:themeFill="accent1"/>
          </w:tcPr>
          <w:p w14:paraId="679607AA" w14:textId="7C04591C" w:rsidR="00B242C3" w:rsidRPr="003272C7" w:rsidRDefault="00C412A9" w:rsidP="000A1A4F">
            <w:pPr>
              <w:pStyle w:val="TableHeading"/>
              <w:keepLines/>
              <w:rPr>
                <w:rFonts w:cs="Arial"/>
              </w:rPr>
            </w:pPr>
            <w:r w:rsidRPr="003272C7">
              <w:rPr>
                <w:rFonts w:cs="Arial"/>
              </w:rPr>
              <w:t>Initiative</w:t>
            </w:r>
          </w:p>
        </w:tc>
        <w:tc>
          <w:tcPr>
            <w:tcW w:w="4021" w:type="pct"/>
            <w:shd w:val="clear" w:color="auto" w:fill="231EDC" w:themeFill="accent1"/>
          </w:tcPr>
          <w:p w14:paraId="01B0EE69" w14:textId="77777777" w:rsidR="00B242C3" w:rsidRPr="003272C7" w:rsidRDefault="00B242C3" w:rsidP="000A1A4F">
            <w:pPr>
              <w:pStyle w:val="TableHeading"/>
              <w:keepLines/>
              <w:rPr>
                <w:rFonts w:cs="Arial"/>
              </w:rPr>
            </w:pPr>
            <w:r w:rsidRPr="003272C7">
              <w:rPr>
                <w:rFonts w:cs="Arial"/>
              </w:rPr>
              <w:t>8.Building a Sustainable Water Sector – Water Security, Resilience and Oversight of Strategic Investments</w:t>
            </w:r>
          </w:p>
        </w:tc>
      </w:tr>
      <w:tr w:rsidR="00B242C3" w:rsidRPr="003272C7" w14:paraId="1CF073A3" w14:textId="77777777" w:rsidTr="008210E5">
        <w:trPr>
          <w:trHeight w:val="341"/>
        </w:trPr>
        <w:tc>
          <w:tcPr>
            <w:tcW w:w="979" w:type="pct"/>
            <w:shd w:val="clear" w:color="auto" w:fill="231EDC" w:themeFill="accent1"/>
          </w:tcPr>
          <w:p w14:paraId="333A8EF0" w14:textId="77777777" w:rsidR="00B242C3" w:rsidRPr="003272C7" w:rsidRDefault="00B242C3" w:rsidP="000A1A4F">
            <w:pPr>
              <w:pStyle w:val="TableText"/>
              <w:keepNext/>
              <w:keepLines/>
              <w:rPr>
                <w:rFonts w:cs="Arial"/>
                <w:b/>
              </w:rPr>
            </w:pPr>
            <w:r w:rsidRPr="003272C7">
              <w:rPr>
                <w:rFonts w:cs="Arial"/>
                <w:b/>
              </w:rPr>
              <w:t>Project</w:t>
            </w:r>
          </w:p>
        </w:tc>
        <w:tc>
          <w:tcPr>
            <w:tcW w:w="4021" w:type="pct"/>
          </w:tcPr>
          <w:p w14:paraId="688A4E73" w14:textId="77777777" w:rsidR="00B242C3" w:rsidRPr="003272C7" w:rsidRDefault="00B242C3" w:rsidP="000A1A4F">
            <w:pPr>
              <w:pStyle w:val="TableText"/>
              <w:keepNext/>
              <w:keepLines/>
              <w:rPr>
                <w:rFonts w:cs="Arial"/>
              </w:rPr>
            </w:pPr>
            <w:r w:rsidRPr="003272C7">
              <w:rPr>
                <w:rFonts w:cs="Arial"/>
              </w:rPr>
              <w:t>PSP3: Mitigating the risks of small dams</w:t>
            </w:r>
          </w:p>
        </w:tc>
      </w:tr>
      <w:tr w:rsidR="00B242C3" w:rsidRPr="003272C7" w14:paraId="53E2C12C" w14:textId="77777777" w:rsidTr="008210E5">
        <w:trPr>
          <w:trHeight w:val="259"/>
        </w:trPr>
        <w:tc>
          <w:tcPr>
            <w:tcW w:w="979" w:type="pct"/>
            <w:shd w:val="clear" w:color="auto" w:fill="231EDC" w:themeFill="accent1"/>
          </w:tcPr>
          <w:p w14:paraId="4F90F03B" w14:textId="77777777" w:rsidR="00B242C3" w:rsidRPr="003272C7" w:rsidRDefault="00B242C3" w:rsidP="000A1A4F">
            <w:pPr>
              <w:pStyle w:val="TableText"/>
              <w:keepNext/>
              <w:keepLines/>
              <w:rPr>
                <w:rFonts w:cs="Arial"/>
                <w:b/>
              </w:rPr>
            </w:pPr>
            <w:r w:rsidRPr="003272C7">
              <w:rPr>
                <w:rFonts w:cs="Arial"/>
                <w:b/>
              </w:rPr>
              <w:t>Description</w:t>
            </w:r>
          </w:p>
          <w:p w14:paraId="065CF43C" w14:textId="77777777" w:rsidR="00B242C3" w:rsidRPr="003272C7" w:rsidRDefault="00B242C3" w:rsidP="000A1A4F">
            <w:pPr>
              <w:pStyle w:val="TableText"/>
              <w:keepNext/>
              <w:keepLines/>
              <w:rPr>
                <w:rFonts w:cs="Arial"/>
                <w:b/>
              </w:rPr>
            </w:pPr>
          </w:p>
        </w:tc>
        <w:tc>
          <w:tcPr>
            <w:tcW w:w="4021" w:type="pct"/>
          </w:tcPr>
          <w:p w14:paraId="37124B62" w14:textId="7955DACF" w:rsidR="00B242C3" w:rsidRPr="003272C7" w:rsidRDefault="00B242C3" w:rsidP="000A1A4F">
            <w:pPr>
              <w:pStyle w:val="TableText"/>
              <w:keepNext/>
              <w:keepLines/>
              <w:rPr>
                <w:rFonts w:cs="Arial"/>
              </w:rPr>
            </w:pPr>
            <w:r w:rsidRPr="003272C7">
              <w:rPr>
                <w:rFonts w:cs="Arial"/>
              </w:rPr>
              <w:t xml:space="preserve">The purpose of the project </w:t>
            </w:r>
            <w:r w:rsidR="00601C52" w:rsidRPr="003272C7">
              <w:rPr>
                <w:rFonts w:cs="Arial"/>
              </w:rPr>
              <w:t xml:space="preserve">was </w:t>
            </w:r>
            <w:r w:rsidRPr="003272C7">
              <w:rPr>
                <w:rFonts w:cs="Arial"/>
              </w:rPr>
              <w:t xml:space="preserve">to assist </w:t>
            </w:r>
            <w:r w:rsidR="00DD4B3C" w:rsidRPr="003272C7">
              <w:rPr>
                <w:rFonts w:cs="Arial"/>
              </w:rPr>
              <w:t>l</w:t>
            </w:r>
            <w:r w:rsidRPr="003272C7">
              <w:rPr>
                <w:rFonts w:cs="Arial"/>
              </w:rPr>
              <w:t xml:space="preserve">ocal </w:t>
            </w:r>
            <w:r w:rsidR="00DD4B3C" w:rsidRPr="003272C7">
              <w:rPr>
                <w:rFonts w:cs="Arial"/>
              </w:rPr>
              <w:t>g</w:t>
            </w:r>
            <w:r w:rsidRPr="003272C7">
              <w:rPr>
                <w:rFonts w:cs="Arial"/>
              </w:rPr>
              <w:t xml:space="preserve">overnment </w:t>
            </w:r>
            <w:r w:rsidR="00DD4B3C" w:rsidRPr="003272C7">
              <w:rPr>
                <w:rFonts w:cs="Arial"/>
              </w:rPr>
              <w:t>a</w:t>
            </w:r>
            <w:r w:rsidRPr="003272C7">
              <w:rPr>
                <w:rFonts w:cs="Arial"/>
              </w:rPr>
              <w:t xml:space="preserve">uthorities to reduce emergency risks and improve the safety of small dams in Victoria. The project will improve the long-term resilience and safety of </w:t>
            </w:r>
            <w:r w:rsidR="00DD4B3C" w:rsidRPr="003272C7">
              <w:rPr>
                <w:rFonts w:cs="Arial"/>
              </w:rPr>
              <w:t xml:space="preserve">local government authority </w:t>
            </w:r>
            <w:r w:rsidRPr="003272C7">
              <w:rPr>
                <w:rFonts w:cs="Arial"/>
              </w:rPr>
              <w:t xml:space="preserve">operated dams and make recreational areas and public amenities safer for communities. It </w:t>
            </w:r>
            <w:r w:rsidR="00377977" w:rsidRPr="003272C7">
              <w:rPr>
                <w:rFonts w:cs="Arial"/>
              </w:rPr>
              <w:t xml:space="preserve">was </w:t>
            </w:r>
            <w:r w:rsidRPr="003272C7">
              <w:rPr>
                <w:rFonts w:cs="Arial"/>
              </w:rPr>
              <w:t xml:space="preserve">also </w:t>
            </w:r>
            <w:r w:rsidR="00377977" w:rsidRPr="003272C7">
              <w:rPr>
                <w:rFonts w:cs="Arial"/>
              </w:rPr>
              <w:t>intended to</w:t>
            </w:r>
            <w:r w:rsidRPr="003272C7">
              <w:rPr>
                <w:rFonts w:cs="Arial"/>
              </w:rPr>
              <w:t xml:space="preserve"> provide the Victorian Government with a level of assurance that these high–risk structures are managed according to current standards and practices, improving emergency preparedness and response, and thereby reducing </w:t>
            </w:r>
            <w:r w:rsidR="00377977" w:rsidRPr="003272C7">
              <w:rPr>
                <w:rFonts w:cs="Arial"/>
              </w:rPr>
              <w:t xml:space="preserve">the </w:t>
            </w:r>
            <w:r w:rsidRPr="003272C7">
              <w:rPr>
                <w:rFonts w:cs="Arial"/>
              </w:rPr>
              <w:t>burden on emergency agencies.</w:t>
            </w:r>
          </w:p>
        </w:tc>
      </w:tr>
      <w:tr w:rsidR="00B242C3" w:rsidRPr="003272C7" w14:paraId="2BAC9C4D" w14:textId="77777777" w:rsidTr="008210E5">
        <w:trPr>
          <w:trHeight w:val="259"/>
        </w:trPr>
        <w:tc>
          <w:tcPr>
            <w:tcW w:w="979" w:type="pct"/>
            <w:shd w:val="clear" w:color="auto" w:fill="231EDC" w:themeFill="accent1"/>
          </w:tcPr>
          <w:p w14:paraId="3D199545" w14:textId="77777777" w:rsidR="00B242C3" w:rsidRPr="003272C7" w:rsidRDefault="00B242C3" w:rsidP="00E04DB2">
            <w:pPr>
              <w:pStyle w:val="TableText"/>
              <w:rPr>
                <w:rFonts w:cs="Arial"/>
                <w:b/>
              </w:rPr>
            </w:pPr>
            <w:r w:rsidRPr="003272C7">
              <w:rPr>
                <w:rFonts w:cs="Arial"/>
                <w:b/>
              </w:rPr>
              <w:t>Outputs</w:t>
            </w:r>
          </w:p>
        </w:tc>
        <w:tc>
          <w:tcPr>
            <w:tcW w:w="4021" w:type="pct"/>
          </w:tcPr>
          <w:p w14:paraId="19803B34" w14:textId="45D26556" w:rsidR="00B242C3" w:rsidRPr="003272C7" w:rsidRDefault="00377977" w:rsidP="00E04DB2">
            <w:pPr>
              <w:pStyle w:val="TableTextBold"/>
              <w:rPr>
                <w:rFonts w:cs="Arial"/>
              </w:rPr>
            </w:pPr>
            <w:r w:rsidRPr="003272C7">
              <w:rPr>
                <w:rFonts w:cs="Arial"/>
              </w:rPr>
              <w:t>R</w:t>
            </w:r>
            <w:r w:rsidR="00B242C3" w:rsidRPr="003272C7">
              <w:rPr>
                <w:rFonts w:cs="Arial"/>
              </w:rPr>
              <w:t>ehabilitate structures</w:t>
            </w:r>
            <w:r w:rsidR="00DD4B3C" w:rsidRPr="003272C7">
              <w:rPr>
                <w:rFonts w:cs="Arial"/>
              </w:rPr>
              <w:t>:</w:t>
            </w:r>
          </w:p>
          <w:p w14:paraId="5FEE74C8" w14:textId="77777777" w:rsidR="00142559" w:rsidRPr="003272C7" w:rsidRDefault="00FC4B93" w:rsidP="00E04DB2">
            <w:pPr>
              <w:pStyle w:val="TableBullet"/>
              <w:rPr>
                <w:rFonts w:cs="Arial"/>
              </w:rPr>
            </w:pPr>
            <w:r w:rsidRPr="003272C7">
              <w:rPr>
                <w:rFonts w:cs="Arial"/>
              </w:rPr>
              <w:t>The rehabilitation works for the Goldfields Dam, owned by the Central Goldfields Shire Council, have been successfully completed. The upgrade involved remediating both the dam embankment and the spillway, with a total project cost of $1,100,000. Funding for the project has been fully disbursed to the Central Goldfields Shire Council.</w:t>
            </w:r>
          </w:p>
          <w:p w14:paraId="270BBDA2" w14:textId="26590C17" w:rsidR="00142559" w:rsidRPr="003272C7" w:rsidRDefault="00FC4B93" w:rsidP="00E04DB2">
            <w:pPr>
              <w:pStyle w:val="TableBullet"/>
              <w:rPr>
                <w:rFonts w:cs="Arial"/>
              </w:rPr>
            </w:pPr>
            <w:r w:rsidRPr="003272C7">
              <w:rPr>
                <w:rFonts w:cs="Arial"/>
              </w:rPr>
              <w:t>The rehabilitation works for Baxter Park dam owned by the Frankston City Council have been successfully completed. The upgrade involved remediating both the dam embankment and outlet works, with a total project cost of $1,000,000. Funding for the project has been fully disbursed to the Frankston City</w:t>
            </w:r>
            <w:r w:rsidR="000A1A4F" w:rsidRPr="003272C7">
              <w:rPr>
                <w:rFonts w:cs="Arial"/>
              </w:rPr>
              <w:t> </w:t>
            </w:r>
            <w:r w:rsidRPr="003272C7">
              <w:rPr>
                <w:rFonts w:cs="Arial"/>
              </w:rPr>
              <w:t>Council.</w:t>
            </w:r>
          </w:p>
          <w:p w14:paraId="109127B2" w14:textId="28593FFC" w:rsidR="00B242C3" w:rsidRPr="003272C7" w:rsidRDefault="00FC4B93" w:rsidP="00E04DB2">
            <w:pPr>
              <w:pStyle w:val="TableBullet"/>
              <w:rPr>
                <w:rFonts w:cs="Arial"/>
              </w:rPr>
            </w:pPr>
            <w:r w:rsidRPr="003272C7">
              <w:rPr>
                <w:rFonts w:cs="Arial"/>
              </w:rPr>
              <w:t>The rehabilitation works for Traralgon Reserve Large dam owned by the Latrobe City Council have been successfully completed. The upgrade involved remediating both the dam embankment and outlet works, with a total project cost of $1,100,000.</w:t>
            </w:r>
            <w:r w:rsidR="00142559" w:rsidRPr="003272C7">
              <w:rPr>
                <w:rFonts w:cs="Arial"/>
              </w:rPr>
              <w:t xml:space="preserve"> </w:t>
            </w:r>
            <w:r w:rsidRPr="003272C7">
              <w:rPr>
                <w:rFonts w:cs="Arial"/>
              </w:rPr>
              <w:t>Funding for the project has been fully disbursed to the Latrobe City</w:t>
            </w:r>
            <w:r w:rsidR="000A1A4F" w:rsidRPr="003272C7">
              <w:rPr>
                <w:rFonts w:cs="Arial"/>
              </w:rPr>
              <w:t> </w:t>
            </w:r>
            <w:r w:rsidRPr="003272C7">
              <w:rPr>
                <w:rFonts w:cs="Arial"/>
              </w:rPr>
              <w:t xml:space="preserve">Council. </w:t>
            </w:r>
          </w:p>
        </w:tc>
      </w:tr>
      <w:tr w:rsidR="00B242C3" w:rsidRPr="003272C7" w14:paraId="2BE0191A" w14:textId="77777777" w:rsidTr="005229E9">
        <w:trPr>
          <w:trHeight w:val="259"/>
        </w:trPr>
        <w:tc>
          <w:tcPr>
            <w:tcW w:w="5000" w:type="pct"/>
            <w:gridSpan w:val="2"/>
            <w:shd w:val="clear" w:color="auto" w:fill="231EDC" w:themeFill="accent1"/>
          </w:tcPr>
          <w:p w14:paraId="17F4F823" w14:textId="77777777" w:rsidR="00B242C3" w:rsidRPr="003272C7" w:rsidRDefault="00B242C3" w:rsidP="005229E9">
            <w:pPr>
              <w:pStyle w:val="TableText"/>
              <w:rPr>
                <w:rFonts w:cs="Arial"/>
                <w:b/>
                <w:bCs/>
              </w:rPr>
            </w:pPr>
            <w:r w:rsidRPr="003272C7">
              <w:rPr>
                <w:rFonts w:cs="Arial"/>
                <w:b/>
                <w:bCs/>
              </w:rPr>
              <w:t>Summary against evaluation domains</w:t>
            </w:r>
          </w:p>
        </w:tc>
      </w:tr>
      <w:tr w:rsidR="00B242C3" w:rsidRPr="003272C7" w14:paraId="0CB9A9DB" w14:textId="77777777" w:rsidTr="008210E5">
        <w:trPr>
          <w:trHeight w:val="259"/>
        </w:trPr>
        <w:tc>
          <w:tcPr>
            <w:tcW w:w="979" w:type="pct"/>
            <w:shd w:val="clear" w:color="auto" w:fill="231EDC" w:themeFill="accent1"/>
          </w:tcPr>
          <w:p w14:paraId="4F2FD1BC" w14:textId="77777777" w:rsidR="00B242C3" w:rsidRPr="003272C7" w:rsidRDefault="00B242C3" w:rsidP="00E04DB2">
            <w:pPr>
              <w:pStyle w:val="TableText"/>
              <w:rPr>
                <w:rFonts w:cs="Arial"/>
                <w:b/>
                <w:bCs/>
              </w:rPr>
            </w:pPr>
            <w:r w:rsidRPr="003272C7">
              <w:rPr>
                <w:rFonts w:cs="Arial"/>
                <w:b/>
                <w:bCs/>
              </w:rPr>
              <w:t>Impact</w:t>
            </w:r>
          </w:p>
        </w:tc>
        <w:tc>
          <w:tcPr>
            <w:tcW w:w="4021" w:type="pct"/>
          </w:tcPr>
          <w:p w14:paraId="2E76B323" w14:textId="77777777" w:rsidR="00142559" w:rsidRPr="003272C7" w:rsidRDefault="00B242C3" w:rsidP="00E04DB2">
            <w:pPr>
              <w:pStyle w:val="TableTextBold"/>
              <w:rPr>
                <w:rFonts w:cs="Arial"/>
              </w:rPr>
            </w:pPr>
            <w:r w:rsidRPr="003272C7">
              <w:rPr>
                <w:rFonts w:cs="Arial"/>
              </w:rPr>
              <w:t>Improved response to dam safety incidents:</w:t>
            </w:r>
          </w:p>
          <w:p w14:paraId="7C390EE8" w14:textId="3695DE1C" w:rsidR="00B242C3" w:rsidRPr="003272C7" w:rsidRDefault="00FC4B93" w:rsidP="00E04DB2">
            <w:pPr>
              <w:pStyle w:val="TableBullet"/>
              <w:rPr>
                <w:rFonts w:cs="Arial"/>
              </w:rPr>
            </w:pPr>
            <w:r w:rsidRPr="003272C7">
              <w:rPr>
                <w:rFonts w:cs="Arial"/>
              </w:rPr>
              <w:t>Dam failure r</w:t>
            </w:r>
            <w:r w:rsidR="00B242C3" w:rsidRPr="003272C7">
              <w:rPr>
                <w:rFonts w:cs="Arial"/>
              </w:rPr>
              <w:t xml:space="preserve">isks posed by the three highest risk </w:t>
            </w:r>
            <w:r w:rsidR="00DD4B3C" w:rsidRPr="003272C7">
              <w:rPr>
                <w:rFonts w:cs="Arial"/>
              </w:rPr>
              <w:t xml:space="preserve">local government authority </w:t>
            </w:r>
            <w:r w:rsidR="00B242C3" w:rsidRPr="003272C7">
              <w:rPr>
                <w:rFonts w:cs="Arial"/>
              </w:rPr>
              <w:t>structures will be reduced with the rehabilitation works undertaken through this Program</w:t>
            </w:r>
            <w:r w:rsidRPr="003272C7">
              <w:rPr>
                <w:rFonts w:cs="Arial"/>
              </w:rPr>
              <w:t>, safeguarding the downstream community, property and the environment</w:t>
            </w:r>
            <w:r w:rsidR="00B242C3" w:rsidRPr="003272C7">
              <w:rPr>
                <w:rFonts w:cs="Arial"/>
              </w:rPr>
              <w:t xml:space="preserve">. Furthermore, operations and maintenance plans, surveillance plans and dam safety emergency plans </w:t>
            </w:r>
            <w:r w:rsidR="006E159A" w:rsidRPr="003272C7">
              <w:rPr>
                <w:rFonts w:cs="Arial"/>
              </w:rPr>
              <w:t>were</w:t>
            </w:r>
            <w:r w:rsidR="00B242C3" w:rsidRPr="003272C7">
              <w:rPr>
                <w:rFonts w:cs="Arial"/>
              </w:rPr>
              <w:t xml:space="preserve"> developed or updated during this project</w:t>
            </w:r>
            <w:r w:rsidR="006E159A" w:rsidRPr="003272C7">
              <w:rPr>
                <w:rFonts w:cs="Arial"/>
              </w:rPr>
              <w:t xml:space="preserve"> for improved ongoing management of these structures</w:t>
            </w:r>
            <w:r w:rsidR="00B242C3" w:rsidRPr="003272C7">
              <w:rPr>
                <w:rFonts w:cs="Arial"/>
              </w:rPr>
              <w:t>.</w:t>
            </w:r>
          </w:p>
          <w:p w14:paraId="3E2776AF" w14:textId="77777777" w:rsidR="00142559" w:rsidRPr="003272C7" w:rsidRDefault="00B242C3" w:rsidP="00E04DB2">
            <w:pPr>
              <w:pStyle w:val="TableBullet"/>
              <w:rPr>
                <w:rFonts w:cs="Arial"/>
              </w:rPr>
            </w:pPr>
            <w:r w:rsidRPr="003272C7">
              <w:rPr>
                <w:rFonts w:cs="Arial"/>
              </w:rPr>
              <w:t xml:space="preserve">Several dam safety training </w:t>
            </w:r>
            <w:r w:rsidR="000E0179" w:rsidRPr="003272C7">
              <w:rPr>
                <w:rFonts w:cs="Arial"/>
              </w:rPr>
              <w:t>p</w:t>
            </w:r>
            <w:r w:rsidRPr="003272C7">
              <w:rPr>
                <w:rFonts w:cs="Arial"/>
              </w:rPr>
              <w:t xml:space="preserve">rograms have been conducted for local government staff over the past </w:t>
            </w:r>
            <w:r w:rsidR="000E0179" w:rsidRPr="003272C7">
              <w:rPr>
                <w:rFonts w:cs="Arial"/>
              </w:rPr>
              <w:t xml:space="preserve">three </w:t>
            </w:r>
            <w:r w:rsidRPr="003272C7">
              <w:rPr>
                <w:rFonts w:cs="Arial"/>
              </w:rPr>
              <w:t>years and they have been well attended (</w:t>
            </w:r>
            <w:r w:rsidR="000E0179" w:rsidRPr="003272C7">
              <w:rPr>
                <w:rFonts w:cs="Arial"/>
              </w:rPr>
              <w:t xml:space="preserve">over </w:t>
            </w:r>
            <w:r w:rsidRPr="003272C7">
              <w:rPr>
                <w:rFonts w:cs="Arial"/>
              </w:rPr>
              <w:t xml:space="preserve">60 </w:t>
            </w:r>
            <w:r w:rsidR="00DD4B3C" w:rsidRPr="003272C7">
              <w:rPr>
                <w:rFonts w:cs="Arial"/>
              </w:rPr>
              <w:t xml:space="preserve">local government authority </w:t>
            </w:r>
            <w:r w:rsidRPr="003272C7">
              <w:rPr>
                <w:rFonts w:cs="Arial"/>
              </w:rPr>
              <w:t xml:space="preserve">staff members attended </w:t>
            </w:r>
            <w:r w:rsidR="00752E1E" w:rsidRPr="003272C7">
              <w:rPr>
                <w:rFonts w:cs="Arial"/>
              </w:rPr>
              <w:t xml:space="preserve">the </w:t>
            </w:r>
            <w:r w:rsidRPr="003272C7">
              <w:rPr>
                <w:rFonts w:cs="Arial"/>
              </w:rPr>
              <w:t>training sessions). All attendees provided valuable feedback to DEECA.</w:t>
            </w:r>
          </w:p>
          <w:p w14:paraId="7A5FB746" w14:textId="77777777" w:rsidR="00142559" w:rsidRPr="003272C7" w:rsidRDefault="00B242C3" w:rsidP="00E04DB2">
            <w:pPr>
              <w:pStyle w:val="TableBullet"/>
              <w:rPr>
                <w:rFonts w:cs="Arial"/>
              </w:rPr>
            </w:pPr>
            <w:r w:rsidRPr="003272C7">
              <w:rPr>
                <w:rFonts w:cs="Arial"/>
              </w:rPr>
              <w:t xml:space="preserve">Some </w:t>
            </w:r>
            <w:r w:rsidR="00DD4B3C" w:rsidRPr="003272C7">
              <w:rPr>
                <w:rFonts w:cs="Arial"/>
              </w:rPr>
              <w:t xml:space="preserve">local government authorities </w:t>
            </w:r>
            <w:r w:rsidRPr="003272C7">
              <w:rPr>
                <w:rFonts w:cs="Arial"/>
              </w:rPr>
              <w:t xml:space="preserve">have outsourced dam safety annual inspections to external consultants due to lack of internal dam safety expertise. </w:t>
            </w:r>
            <w:r w:rsidR="00DD4B3C" w:rsidRPr="003272C7">
              <w:rPr>
                <w:rFonts w:cs="Arial"/>
              </w:rPr>
              <w:t xml:space="preserve">Local government authority </w:t>
            </w:r>
            <w:r w:rsidRPr="003272C7">
              <w:rPr>
                <w:rFonts w:cs="Arial"/>
              </w:rPr>
              <w:t>staff members also attend these inspections with the</w:t>
            </w:r>
            <w:r w:rsidR="00752E1E" w:rsidRPr="003272C7">
              <w:rPr>
                <w:rFonts w:cs="Arial"/>
              </w:rPr>
              <w:t>ir</w:t>
            </w:r>
            <w:r w:rsidRPr="003272C7">
              <w:rPr>
                <w:rFonts w:cs="Arial"/>
              </w:rPr>
              <w:t xml:space="preserve"> consultants. This is a </w:t>
            </w:r>
            <w:r w:rsidR="00C6380F" w:rsidRPr="003272C7">
              <w:rPr>
                <w:rFonts w:cs="Arial"/>
              </w:rPr>
              <w:t xml:space="preserve">good </w:t>
            </w:r>
            <w:r w:rsidRPr="003272C7">
              <w:rPr>
                <w:rFonts w:cs="Arial"/>
              </w:rPr>
              <w:t xml:space="preserve">opportunity for </w:t>
            </w:r>
            <w:r w:rsidR="00DD4B3C" w:rsidRPr="003272C7">
              <w:rPr>
                <w:rFonts w:cs="Arial"/>
              </w:rPr>
              <w:t xml:space="preserve">local government authority </w:t>
            </w:r>
            <w:r w:rsidRPr="003272C7">
              <w:rPr>
                <w:rFonts w:cs="Arial"/>
              </w:rPr>
              <w:t>staff to gain hands on experience in dams.</w:t>
            </w:r>
          </w:p>
          <w:p w14:paraId="69AF8D72" w14:textId="77777777" w:rsidR="00142559" w:rsidRPr="003272C7" w:rsidRDefault="00B242C3" w:rsidP="008210E5">
            <w:pPr>
              <w:pStyle w:val="TableTextBold"/>
              <w:keepNext/>
              <w:keepLines/>
              <w:rPr>
                <w:rFonts w:cs="Arial"/>
              </w:rPr>
            </w:pPr>
            <w:r w:rsidRPr="003272C7">
              <w:rPr>
                <w:rFonts w:cs="Arial"/>
              </w:rPr>
              <w:t>Better planning and decision-making:</w:t>
            </w:r>
          </w:p>
          <w:p w14:paraId="0B033BEF" w14:textId="77777777" w:rsidR="00142559" w:rsidRPr="003272C7" w:rsidRDefault="00C6380F" w:rsidP="008210E5">
            <w:pPr>
              <w:pStyle w:val="TableBullet"/>
              <w:keepNext/>
              <w:keepLines/>
              <w:rPr>
                <w:rFonts w:cs="Arial"/>
              </w:rPr>
            </w:pPr>
            <w:r w:rsidRPr="003272C7">
              <w:rPr>
                <w:rFonts w:cs="Arial"/>
              </w:rPr>
              <w:t xml:space="preserve">DEECA’s </w:t>
            </w:r>
            <w:r w:rsidR="00B242C3" w:rsidRPr="003272C7">
              <w:rPr>
                <w:rFonts w:cs="Arial"/>
              </w:rPr>
              <w:t xml:space="preserve">Dam Safety Portal will be upgraded to include local government dams. This will enable better planning and decision-making for DEECA and other </w:t>
            </w:r>
            <w:r w:rsidRPr="003272C7">
              <w:rPr>
                <w:rFonts w:cs="Arial"/>
              </w:rPr>
              <w:t xml:space="preserve">partner </w:t>
            </w:r>
            <w:r w:rsidR="00B242C3" w:rsidRPr="003272C7">
              <w:rPr>
                <w:rFonts w:cs="Arial"/>
              </w:rPr>
              <w:t>agencies.</w:t>
            </w:r>
          </w:p>
          <w:p w14:paraId="4D51535B" w14:textId="6597C8E7" w:rsidR="00B242C3" w:rsidRPr="003272C7" w:rsidRDefault="00C6380F" w:rsidP="00E04DB2">
            <w:pPr>
              <w:pStyle w:val="TableBullet"/>
              <w:rPr>
                <w:rFonts w:cs="Arial"/>
              </w:rPr>
            </w:pPr>
            <w:r w:rsidRPr="003272C7">
              <w:rPr>
                <w:rFonts w:cs="Arial"/>
              </w:rPr>
              <w:t>Better access to</w:t>
            </w:r>
            <w:r w:rsidR="00B242C3" w:rsidRPr="003272C7">
              <w:rPr>
                <w:rFonts w:cs="Arial"/>
              </w:rPr>
              <w:t xml:space="preserve"> information on local government dam safety risks will be available to authorised users 24/7, 365 days a year.</w:t>
            </w:r>
          </w:p>
          <w:p w14:paraId="43F7991C" w14:textId="77777777" w:rsidR="00B242C3" w:rsidRPr="003272C7" w:rsidRDefault="00B242C3" w:rsidP="00E04DB2">
            <w:pPr>
              <w:pStyle w:val="TableBullet"/>
              <w:rPr>
                <w:rFonts w:cs="Arial"/>
              </w:rPr>
            </w:pPr>
            <w:r w:rsidRPr="003272C7">
              <w:rPr>
                <w:rFonts w:cs="Arial"/>
              </w:rPr>
              <w:t>Easier and better presentation of information on key local government sector dam safety risks with improved visual representation of locations of dams will be available in the future.</w:t>
            </w:r>
          </w:p>
        </w:tc>
      </w:tr>
      <w:tr w:rsidR="00B242C3" w:rsidRPr="003272C7" w14:paraId="7A3DB095" w14:textId="77777777" w:rsidTr="008210E5">
        <w:trPr>
          <w:trHeight w:val="259"/>
        </w:trPr>
        <w:tc>
          <w:tcPr>
            <w:tcW w:w="979" w:type="pct"/>
            <w:shd w:val="clear" w:color="auto" w:fill="231EDC" w:themeFill="accent1"/>
          </w:tcPr>
          <w:p w14:paraId="49B5F280" w14:textId="77777777" w:rsidR="00B242C3" w:rsidRPr="003272C7" w:rsidRDefault="00B242C3" w:rsidP="00E04DB2">
            <w:pPr>
              <w:pStyle w:val="TableText"/>
              <w:rPr>
                <w:rFonts w:cs="Arial"/>
                <w:b/>
                <w:bCs/>
              </w:rPr>
            </w:pPr>
            <w:r w:rsidRPr="003272C7">
              <w:rPr>
                <w:rFonts w:cs="Arial"/>
                <w:b/>
                <w:bCs/>
              </w:rPr>
              <w:lastRenderedPageBreak/>
              <w:t>Effectiveness</w:t>
            </w:r>
          </w:p>
        </w:tc>
        <w:tc>
          <w:tcPr>
            <w:tcW w:w="4021" w:type="pct"/>
          </w:tcPr>
          <w:p w14:paraId="6424FE53" w14:textId="77777777" w:rsidR="00B242C3" w:rsidRPr="003272C7" w:rsidRDefault="00B242C3" w:rsidP="00E04DB2">
            <w:pPr>
              <w:pStyle w:val="TableText"/>
              <w:rPr>
                <w:rFonts w:cs="Arial"/>
              </w:rPr>
            </w:pPr>
            <w:r w:rsidRPr="003272C7">
              <w:rPr>
                <w:rFonts w:cs="Arial"/>
              </w:rPr>
              <w:t>Effectiveness indicated through delivery in line with workplan</w:t>
            </w:r>
          </w:p>
        </w:tc>
      </w:tr>
      <w:tr w:rsidR="00B242C3" w:rsidRPr="003272C7" w14:paraId="02ADE99D" w14:textId="77777777" w:rsidTr="008210E5">
        <w:trPr>
          <w:trHeight w:val="259"/>
        </w:trPr>
        <w:tc>
          <w:tcPr>
            <w:tcW w:w="979" w:type="pct"/>
            <w:shd w:val="clear" w:color="auto" w:fill="231EDC" w:themeFill="accent1"/>
          </w:tcPr>
          <w:p w14:paraId="2BAC3CB1" w14:textId="77777777" w:rsidR="00B242C3" w:rsidRPr="003272C7" w:rsidRDefault="00B242C3" w:rsidP="00E04DB2">
            <w:pPr>
              <w:pStyle w:val="TableText"/>
              <w:rPr>
                <w:rFonts w:cs="Arial"/>
                <w:b/>
                <w:bCs/>
              </w:rPr>
            </w:pPr>
            <w:r w:rsidRPr="003272C7">
              <w:rPr>
                <w:rFonts w:cs="Arial"/>
                <w:b/>
                <w:bCs/>
              </w:rPr>
              <w:t>Appropriateness</w:t>
            </w:r>
          </w:p>
        </w:tc>
        <w:tc>
          <w:tcPr>
            <w:tcW w:w="4021" w:type="pct"/>
          </w:tcPr>
          <w:p w14:paraId="09A10FD2" w14:textId="1EA161A3" w:rsidR="00B242C3" w:rsidRPr="003272C7" w:rsidRDefault="00B242C3" w:rsidP="00E04DB2">
            <w:pPr>
              <w:pStyle w:val="TableText"/>
              <w:rPr>
                <w:rFonts w:cs="Arial"/>
              </w:rPr>
            </w:pPr>
            <w:r w:rsidRPr="003272C7">
              <w:rPr>
                <w:rFonts w:cs="Arial"/>
              </w:rPr>
              <w:t xml:space="preserve">The </w:t>
            </w:r>
            <w:r w:rsidR="00445736" w:rsidRPr="003272C7">
              <w:rPr>
                <w:rFonts w:cs="Arial"/>
              </w:rPr>
              <w:t>project</w:t>
            </w:r>
            <w:r w:rsidRPr="003272C7">
              <w:rPr>
                <w:rFonts w:cs="Arial"/>
              </w:rPr>
              <w:t>s are consistent with the objectives of environmental contributions as well as the following:</w:t>
            </w:r>
          </w:p>
          <w:p w14:paraId="02E8A3A4" w14:textId="77777777" w:rsidR="00B242C3" w:rsidRPr="003272C7" w:rsidRDefault="00B242C3" w:rsidP="00E04DB2">
            <w:pPr>
              <w:pStyle w:val="TableBullet"/>
              <w:rPr>
                <w:rFonts w:cs="Arial"/>
              </w:rPr>
            </w:pPr>
            <w:r w:rsidRPr="003272C7">
              <w:rPr>
                <w:rFonts w:cs="Arial"/>
              </w:rPr>
              <w:t>Water for Victoria – Action 10.12</w:t>
            </w:r>
          </w:p>
          <w:p w14:paraId="31DA6E78" w14:textId="77777777" w:rsidR="00B242C3" w:rsidRPr="003272C7" w:rsidRDefault="00B242C3" w:rsidP="00E04DB2">
            <w:pPr>
              <w:pStyle w:val="TableBullet"/>
              <w:rPr>
                <w:rFonts w:cs="Arial"/>
              </w:rPr>
            </w:pPr>
            <w:r w:rsidRPr="003272C7">
              <w:rPr>
                <w:rFonts w:cs="Arial"/>
              </w:rPr>
              <w:t>DELWP 2020 Strategic Priority</w:t>
            </w:r>
          </w:p>
          <w:p w14:paraId="23CCCBA9" w14:textId="6496CB08" w:rsidR="00B242C3" w:rsidRPr="003272C7" w:rsidRDefault="00B242C3" w:rsidP="00E04DB2">
            <w:pPr>
              <w:pStyle w:val="TableBullet"/>
              <w:rPr>
                <w:rFonts w:cs="Arial"/>
              </w:rPr>
            </w:pPr>
            <w:r w:rsidRPr="003272C7">
              <w:rPr>
                <w:rFonts w:cs="Arial"/>
              </w:rPr>
              <w:t>Water Act 1989, Emergency Management Act 2013, Emergency Management Manual of Victoria</w:t>
            </w:r>
          </w:p>
        </w:tc>
      </w:tr>
      <w:tr w:rsidR="00B242C3" w:rsidRPr="003272C7" w14:paraId="3F89C783" w14:textId="77777777" w:rsidTr="008210E5">
        <w:trPr>
          <w:trHeight w:val="259"/>
        </w:trPr>
        <w:tc>
          <w:tcPr>
            <w:tcW w:w="979" w:type="pct"/>
            <w:shd w:val="clear" w:color="auto" w:fill="231EDC" w:themeFill="accent1"/>
          </w:tcPr>
          <w:p w14:paraId="64E7EFFE" w14:textId="77777777" w:rsidR="00B242C3" w:rsidRPr="003272C7" w:rsidRDefault="00B242C3" w:rsidP="00E04DB2">
            <w:pPr>
              <w:pStyle w:val="TableText"/>
              <w:rPr>
                <w:rFonts w:cs="Arial"/>
                <w:b/>
                <w:bCs/>
              </w:rPr>
            </w:pPr>
            <w:r w:rsidRPr="003272C7">
              <w:rPr>
                <w:rFonts w:cs="Arial"/>
                <w:b/>
                <w:bCs/>
              </w:rPr>
              <w:t>Efficiency</w:t>
            </w:r>
          </w:p>
        </w:tc>
        <w:tc>
          <w:tcPr>
            <w:tcW w:w="4021" w:type="pct"/>
          </w:tcPr>
          <w:p w14:paraId="30EED9D0" w14:textId="23AD536B" w:rsidR="00B242C3" w:rsidRPr="003272C7" w:rsidRDefault="00B242C3" w:rsidP="00E04DB2">
            <w:pPr>
              <w:pStyle w:val="TableText"/>
              <w:rPr>
                <w:rFonts w:cs="Arial"/>
              </w:rPr>
            </w:pPr>
            <w:r w:rsidRPr="003272C7">
              <w:rPr>
                <w:rFonts w:cs="Arial"/>
              </w:rPr>
              <w:t xml:space="preserve">Under this funding </w:t>
            </w:r>
            <w:r w:rsidR="00DD4B3C" w:rsidRPr="003272C7">
              <w:rPr>
                <w:rFonts w:cs="Arial"/>
              </w:rPr>
              <w:t>p</w:t>
            </w:r>
            <w:r w:rsidRPr="003272C7">
              <w:rPr>
                <w:rFonts w:cs="Arial"/>
              </w:rPr>
              <w:t xml:space="preserve">rogram, grant funding was provided to the following </w:t>
            </w:r>
            <w:r w:rsidR="00DD4B3C" w:rsidRPr="003272C7">
              <w:rPr>
                <w:rFonts w:cs="Arial"/>
              </w:rPr>
              <w:t>local government authorities:</w:t>
            </w:r>
          </w:p>
          <w:p w14:paraId="5626D8AD" w14:textId="62A6868B" w:rsidR="00B242C3" w:rsidRPr="003272C7" w:rsidRDefault="00B242C3" w:rsidP="00E04DB2">
            <w:pPr>
              <w:pStyle w:val="TableBullet"/>
              <w:rPr>
                <w:rFonts w:cs="Arial"/>
              </w:rPr>
            </w:pPr>
            <w:r w:rsidRPr="003272C7">
              <w:rPr>
                <w:rFonts w:cs="Arial"/>
              </w:rPr>
              <w:t xml:space="preserve">Central Goldfields Shire Council – to remediate Goldfields Dam (grant funding of $ 930,000 provided with contribution of $ 170,000 in kind by </w:t>
            </w:r>
            <w:r w:rsidR="00DD4B3C" w:rsidRPr="003272C7">
              <w:rPr>
                <w:rFonts w:cs="Arial"/>
              </w:rPr>
              <w:t>local government authority</w:t>
            </w:r>
            <w:r w:rsidRPr="003272C7">
              <w:rPr>
                <w:rFonts w:cs="Arial"/>
              </w:rPr>
              <w:t>)</w:t>
            </w:r>
          </w:p>
          <w:p w14:paraId="2B535611" w14:textId="3F445E9E" w:rsidR="00B242C3" w:rsidRPr="003272C7" w:rsidRDefault="00B242C3" w:rsidP="00E04DB2">
            <w:pPr>
              <w:pStyle w:val="TableBullet"/>
              <w:rPr>
                <w:rFonts w:cs="Arial"/>
              </w:rPr>
            </w:pPr>
            <w:r w:rsidRPr="003272C7">
              <w:rPr>
                <w:rFonts w:cs="Arial"/>
              </w:rPr>
              <w:t xml:space="preserve">Frankston City Council – to remediate Baxter Park Dam (grant funding of $923,000 provided with contribution of $77,000 in kind by </w:t>
            </w:r>
            <w:r w:rsidR="00DD4B3C" w:rsidRPr="003272C7">
              <w:rPr>
                <w:rFonts w:cs="Arial"/>
              </w:rPr>
              <w:t>local government authority</w:t>
            </w:r>
            <w:r w:rsidRPr="003272C7">
              <w:rPr>
                <w:rFonts w:cs="Arial"/>
              </w:rPr>
              <w:t>)</w:t>
            </w:r>
          </w:p>
          <w:p w14:paraId="37198F43" w14:textId="1B3C996B" w:rsidR="00B242C3" w:rsidRPr="003272C7" w:rsidRDefault="00B242C3" w:rsidP="00E04DB2">
            <w:pPr>
              <w:pStyle w:val="TableBullet"/>
              <w:rPr>
                <w:rFonts w:cs="Arial"/>
              </w:rPr>
            </w:pPr>
            <w:r w:rsidRPr="003272C7">
              <w:rPr>
                <w:rFonts w:cs="Arial"/>
              </w:rPr>
              <w:t xml:space="preserve">Latrobe City Council – to remediate Old Inglewood Dam (grant funding of $927,000 provided contribution of $173,000 in kind by </w:t>
            </w:r>
            <w:r w:rsidR="00DD4B3C" w:rsidRPr="003272C7">
              <w:rPr>
                <w:rFonts w:cs="Arial"/>
              </w:rPr>
              <w:t>local government authority</w:t>
            </w:r>
            <w:r w:rsidRPr="003272C7">
              <w:rPr>
                <w:rFonts w:cs="Arial"/>
              </w:rPr>
              <w:t>)</w:t>
            </w:r>
          </w:p>
          <w:p w14:paraId="6A99C2F2" w14:textId="3F312D83" w:rsidR="00B242C3" w:rsidRPr="003272C7" w:rsidRDefault="00B242C3" w:rsidP="00E04DB2">
            <w:pPr>
              <w:pStyle w:val="TableText"/>
              <w:rPr>
                <w:rFonts w:cs="Arial"/>
              </w:rPr>
            </w:pPr>
            <w:r w:rsidRPr="003272C7">
              <w:rPr>
                <w:rFonts w:cs="Arial"/>
              </w:rPr>
              <w:t xml:space="preserve">The </w:t>
            </w:r>
            <w:r w:rsidR="00DD4B3C" w:rsidRPr="003272C7">
              <w:rPr>
                <w:rFonts w:cs="Arial"/>
              </w:rPr>
              <w:t>p</w:t>
            </w:r>
            <w:r w:rsidRPr="003272C7">
              <w:rPr>
                <w:rFonts w:cs="Arial"/>
              </w:rPr>
              <w:t xml:space="preserve">rogram will be delivered on time and within budget. Inputs into the </w:t>
            </w:r>
            <w:r w:rsidR="00DD4B3C" w:rsidRPr="003272C7">
              <w:rPr>
                <w:rFonts w:cs="Arial"/>
              </w:rPr>
              <w:t>p</w:t>
            </w:r>
            <w:r w:rsidRPr="003272C7">
              <w:rPr>
                <w:rFonts w:cs="Arial"/>
              </w:rPr>
              <w:t xml:space="preserve">rogram were applied well to produce expected outputs. The Program budgets were fully expended annually, reflecting the </w:t>
            </w:r>
            <w:r w:rsidR="00CA02B5" w:rsidRPr="003272C7">
              <w:rPr>
                <w:rFonts w:cs="Arial"/>
              </w:rPr>
              <w:t xml:space="preserve">effective and </w:t>
            </w:r>
            <w:r w:rsidRPr="003272C7">
              <w:rPr>
                <w:rFonts w:cs="Arial"/>
              </w:rPr>
              <w:t>careful planning that went into establishing the Program.</w:t>
            </w:r>
          </w:p>
          <w:p w14:paraId="25249CD3" w14:textId="77777777" w:rsidR="00142559" w:rsidRPr="003272C7" w:rsidRDefault="001C32F7" w:rsidP="00E04DB2">
            <w:pPr>
              <w:pStyle w:val="TableText"/>
              <w:rPr>
                <w:rFonts w:cs="Arial"/>
              </w:rPr>
            </w:pPr>
            <w:r w:rsidRPr="003272C7">
              <w:rPr>
                <w:rFonts w:cs="Arial"/>
              </w:rPr>
              <w:t xml:space="preserve">Most of the funds in the </w:t>
            </w:r>
            <w:r w:rsidR="00445736" w:rsidRPr="003272C7">
              <w:rPr>
                <w:rFonts w:cs="Arial"/>
              </w:rPr>
              <w:t>project</w:t>
            </w:r>
            <w:r w:rsidRPr="003272C7">
              <w:rPr>
                <w:rFonts w:cs="Arial"/>
              </w:rPr>
              <w:t xml:space="preserve"> to mitigate risks on small dams were spent as grants with our lead delivery partners, </w:t>
            </w:r>
            <w:r w:rsidR="00DD4B3C" w:rsidRPr="003272C7">
              <w:rPr>
                <w:rFonts w:cs="Arial"/>
              </w:rPr>
              <w:t>local government authorities</w:t>
            </w:r>
            <w:r w:rsidRPr="003272C7">
              <w:rPr>
                <w:rFonts w:cs="Arial"/>
              </w:rPr>
              <w:t>, to deliver the remediation of the identified high-risk structures. DEECA</w:t>
            </w:r>
            <w:r w:rsidR="00DD4B3C" w:rsidRPr="003272C7">
              <w:rPr>
                <w:rFonts w:cs="Arial"/>
              </w:rPr>
              <w:t>’</w:t>
            </w:r>
            <w:r w:rsidRPr="003272C7">
              <w:rPr>
                <w:rFonts w:cs="Arial"/>
              </w:rPr>
              <w:t xml:space="preserve">s enterprise Grants Management System was used to administer these funding agreements. The </w:t>
            </w:r>
            <w:r w:rsidR="00DD4B3C" w:rsidRPr="003272C7">
              <w:rPr>
                <w:rFonts w:cs="Arial"/>
              </w:rPr>
              <w:t xml:space="preserve">Grants Management System </w:t>
            </w:r>
            <w:r w:rsidRPr="003272C7">
              <w:rPr>
                <w:rFonts w:cs="Arial"/>
              </w:rPr>
              <w:t>allows for tracking, approvals, progress and final reports, evaluations.</w:t>
            </w:r>
          </w:p>
          <w:p w14:paraId="27D8B44D" w14:textId="1B0836A2" w:rsidR="00B242C3" w:rsidRPr="003272C7" w:rsidRDefault="001C32F7" w:rsidP="00E04DB2">
            <w:pPr>
              <w:pStyle w:val="TableText"/>
              <w:rPr>
                <w:rFonts w:cs="Arial"/>
              </w:rPr>
            </w:pPr>
            <w:r w:rsidRPr="003272C7">
              <w:rPr>
                <w:rFonts w:cs="Arial"/>
              </w:rPr>
              <w:t>Local contractors were used for construction work. While providing local employment, local industries and businesses gained significant exposure.</w:t>
            </w:r>
          </w:p>
        </w:tc>
      </w:tr>
      <w:tr w:rsidR="00B242C3" w:rsidRPr="003272C7" w14:paraId="755D8AF0" w14:textId="77777777" w:rsidTr="008210E5">
        <w:trPr>
          <w:trHeight w:val="259"/>
        </w:trPr>
        <w:tc>
          <w:tcPr>
            <w:tcW w:w="979" w:type="pct"/>
            <w:shd w:val="clear" w:color="auto" w:fill="231EDC" w:themeFill="accent1"/>
          </w:tcPr>
          <w:p w14:paraId="23B7C8C1" w14:textId="77777777" w:rsidR="00B242C3" w:rsidRPr="003272C7" w:rsidRDefault="00B242C3" w:rsidP="00E04DB2">
            <w:pPr>
              <w:pStyle w:val="TableText"/>
              <w:rPr>
                <w:rFonts w:cs="Arial"/>
                <w:b/>
                <w:bCs/>
              </w:rPr>
            </w:pPr>
            <w:r w:rsidRPr="003272C7">
              <w:rPr>
                <w:rFonts w:cs="Arial"/>
                <w:b/>
                <w:bCs/>
              </w:rPr>
              <w:t>Legacy</w:t>
            </w:r>
          </w:p>
        </w:tc>
        <w:tc>
          <w:tcPr>
            <w:tcW w:w="4021" w:type="pct"/>
          </w:tcPr>
          <w:p w14:paraId="5C9D579F" w14:textId="411D7027" w:rsidR="00B242C3" w:rsidRPr="003272C7" w:rsidRDefault="00B242C3" w:rsidP="00E04DB2">
            <w:pPr>
              <w:pStyle w:val="TableText"/>
              <w:rPr>
                <w:rFonts w:cs="Arial"/>
              </w:rPr>
            </w:pPr>
            <w:r w:rsidRPr="003272C7">
              <w:rPr>
                <w:rFonts w:cs="Arial"/>
              </w:rPr>
              <w:t xml:space="preserve">These </w:t>
            </w:r>
            <w:r w:rsidR="00445736" w:rsidRPr="003272C7">
              <w:rPr>
                <w:rFonts w:cs="Arial"/>
              </w:rPr>
              <w:t>project</w:t>
            </w:r>
            <w:r w:rsidRPr="003272C7">
              <w:rPr>
                <w:rFonts w:cs="Arial"/>
              </w:rPr>
              <w:t>s have assisted in putting in place well established systems, processes and practices to support Victoria’s emergency sector for local government dam safety related emergencies, contributing to:</w:t>
            </w:r>
          </w:p>
          <w:p w14:paraId="1B3761DB" w14:textId="47623CDA" w:rsidR="00B242C3" w:rsidRPr="003272C7" w:rsidRDefault="00DD4B3C" w:rsidP="00E04DB2">
            <w:pPr>
              <w:pStyle w:val="TableBullet"/>
              <w:rPr>
                <w:rFonts w:cs="Arial"/>
              </w:rPr>
            </w:pPr>
            <w:r w:rsidRPr="003272C7">
              <w:rPr>
                <w:rFonts w:cs="Arial"/>
              </w:rPr>
              <w:t>T</w:t>
            </w:r>
            <w:r w:rsidR="00B242C3" w:rsidRPr="003272C7">
              <w:rPr>
                <w:rFonts w:cs="Arial"/>
              </w:rPr>
              <w:t>he ongoing</w:t>
            </w:r>
            <w:r w:rsidRPr="003272C7">
              <w:rPr>
                <w:rFonts w:cs="Arial"/>
              </w:rPr>
              <w:t xml:space="preserve"> p</w:t>
            </w:r>
            <w:r w:rsidR="00B242C3" w:rsidRPr="003272C7">
              <w:rPr>
                <w:rFonts w:cs="Arial"/>
              </w:rPr>
              <w:t>rogram of information sessions for local government authorities that own dams in dam safety management</w:t>
            </w:r>
            <w:r w:rsidRPr="003272C7">
              <w:rPr>
                <w:rFonts w:cs="Arial"/>
              </w:rPr>
              <w:t>.</w:t>
            </w:r>
          </w:p>
          <w:p w14:paraId="4EB0F16A" w14:textId="77777777" w:rsidR="00142559" w:rsidRPr="003272C7" w:rsidRDefault="00B242C3" w:rsidP="00E04DB2">
            <w:pPr>
              <w:pStyle w:val="TableBullet"/>
              <w:rPr>
                <w:rFonts w:cs="Arial"/>
              </w:rPr>
            </w:pPr>
            <w:r w:rsidRPr="003272C7">
              <w:rPr>
                <w:rFonts w:cs="Arial"/>
              </w:rPr>
              <w:t>DEECA assisting the local government sector in undertaking annual emergency exercises with relevant stakeholders.</w:t>
            </w:r>
          </w:p>
          <w:p w14:paraId="5C6DA4F1" w14:textId="6A04A168" w:rsidR="00B242C3" w:rsidRPr="003272C7" w:rsidRDefault="00DD4B3C" w:rsidP="00E04DB2">
            <w:pPr>
              <w:pStyle w:val="TableBullet"/>
              <w:rPr>
                <w:rFonts w:cs="Arial"/>
              </w:rPr>
            </w:pPr>
            <w:r w:rsidRPr="003272C7">
              <w:rPr>
                <w:rFonts w:cs="Arial"/>
              </w:rPr>
              <w:t>L</w:t>
            </w:r>
            <w:r w:rsidR="00B242C3" w:rsidRPr="003272C7">
              <w:rPr>
                <w:rFonts w:cs="Arial"/>
              </w:rPr>
              <w:t xml:space="preserve">ocal government dam safety information will be uploaded into DEECA’s dam safety portal during this year. </w:t>
            </w:r>
            <w:r w:rsidRPr="003272C7">
              <w:rPr>
                <w:rFonts w:cs="Arial"/>
              </w:rPr>
              <w:t>Local government authority dam</w:t>
            </w:r>
            <w:r w:rsidR="00B242C3" w:rsidRPr="003272C7">
              <w:rPr>
                <w:rFonts w:cs="Arial"/>
              </w:rPr>
              <w:t xml:space="preserve"> safety information </w:t>
            </w:r>
            <w:r w:rsidR="00853BEA" w:rsidRPr="003272C7">
              <w:rPr>
                <w:rFonts w:cs="Arial"/>
              </w:rPr>
              <w:t>is now</w:t>
            </w:r>
            <w:r w:rsidR="00B242C3" w:rsidRPr="003272C7">
              <w:rPr>
                <w:rFonts w:cs="Arial"/>
              </w:rPr>
              <w:t xml:space="preserve"> available during and after emergencies.</w:t>
            </w:r>
          </w:p>
        </w:tc>
      </w:tr>
      <w:tr w:rsidR="00B242C3" w:rsidRPr="003272C7" w14:paraId="35893356" w14:textId="77777777" w:rsidTr="008210E5">
        <w:trPr>
          <w:trHeight w:val="259"/>
        </w:trPr>
        <w:tc>
          <w:tcPr>
            <w:tcW w:w="979" w:type="pct"/>
            <w:shd w:val="clear" w:color="auto" w:fill="231EDC" w:themeFill="accent1"/>
          </w:tcPr>
          <w:p w14:paraId="20A80DC7" w14:textId="77777777" w:rsidR="00B242C3" w:rsidRPr="003272C7" w:rsidRDefault="00B242C3" w:rsidP="00E04DB2">
            <w:pPr>
              <w:pStyle w:val="TableText"/>
              <w:rPr>
                <w:rFonts w:cs="Arial"/>
                <w:b/>
                <w:bCs/>
              </w:rPr>
            </w:pPr>
            <w:r w:rsidRPr="003272C7">
              <w:rPr>
                <w:rFonts w:cs="Arial"/>
                <w:b/>
                <w:bCs/>
              </w:rPr>
              <w:t>Future priorities</w:t>
            </w:r>
          </w:p>
        </w:tc>
        <w:tc>
          <w:tcPr>
            <w:tcW w:w="4021" w:type="pct"/>
          </w:tcPr>
          <w:p w14:paraId="6A25570B" w14:textId="7A4A4FE1" w:rsidR="00B242C3" w:rsidRPr="003272C7" w:rsidRDefault="00815747" w:rsidP="00E04DB2">
            <w:pPr>
              <w:pStyle w:val="TableText"/>
              <w:rPr>
                <w:rFonts w:cs="Arial"/>
              </w:rPr>
            </w:pPr>
            <w:r w:rsidRPr="003272C7">
              <w:rPr>
                <w:rFonts w:cs="Arial"/>
              </w:rPr>
              <w:t xml:space="preserve">This program has highlighted the importance and the obligations of managing dams by </w:t>
            </w:r>
            <w:r w:rsidR="00DD4B3C" w:rsidRPr="003272C7">
              <w:rPr>
                <w:rFonts w:cs="Arial"/>
              </w:rPr>
              <w:t>local government authorities</w:t>
            </w:r>
            <w:r w:rsidRPr="003272C7">
              <w:rPr>
                <w:rFonts w:cs="Arial"/>
              </w:rPr>
              <w:t>. It is important to continue collecting relevant information and assessing risks associated with small council dams in Victoria, and where possible providing funding as a catalyst to manage the risks</w:t>
            </w:r>
            <w:r w:rsidR="00B955A2" w:rsidRPr="003272C7">
              <w:rPr>
                <w:rFonts w:cs="Arial"/>
              </w:rPr>
              <w:t>.</w:t>
            </w:r>
          </w:p>
        </w:tc>
      </w:tr>
    </w:tbl>
    <w:p w14:paraId="26E5DF25" w14:textId="4FA6DECB" w:rsidR="00B242C3" w:rsidRPr="003272C7" w:rsidRDefault="00B242C3" w:rsidP="00B242C3">
      <w:pPr>
        <w:pStyle w:val="Heading2"/>
        <w:rPr>
          <w:rFonts w:cs="Arial"/>
        </w:rPr>
      </w:pPr>
      <w:bookmarkStart w:id="63" w:name="_Toc147410797"/>
      <w:bookmarkStart w:id="64" w:name="_Toc183777805"/>
      <w:r w:rsidRPr="003272C7">
        <w:rPr>
          <w:rFonts w:cs="Arial"/>
        </w:rPr>
        <w:t xml:space="preserve">CWCT07: CGRSWS </w:t>
      </w:r>
      <w:r w:rsidR="00DD4B3C" w:rsidRPr="003272C7">
        <w:rPr>
          <w:rFonts w:cs="Arial"/>
        </w:rPr>
        <w:t xml:space="preserve">Funding </w:t>
      </w:r>
      <w:r w:rsidRPr="003272C7">
        <w:rPr>
          <w:rFonts w:cs="Arial"/>
        </w:rPr>
        <w:t xml:space="preserve">Stream 2 Diversify </w:t>
      </w:r>
      <w:r w:rsidR="00271AE7" w:rsidRPr="003272C7">
        <w:rPr>
          <w:rFonts w:cs="Arial"/>
        </w:rPr>
        <w:t>W</w:t>
      </w:r>
      <w:r w:rsidRPr="003272C7">
        <w:rPr>
          <w:rFonts w:cs="Arial"/>
        </w:rPr>
        <w:t xml:space="preserve">ater </w:t>
      </w:r>
      <w:r w:rsidR="00271AE7" w:rsidRPr="003272C7">
        <w:rPr>
          <w:rFonts w:cs="Arial"/>
        </w:rPr>
        <w:t>S</w:t>
      </w:r>
      <w:r w:rsidRPr="003272C7">
        <w:rPr>
          <w:rFonts w:cs="Arial"/>
        </w:rPr>
        <w:t xml:space="preserve">ources and </w:t>
      </w:r>
      <w:r w:rsidR="00271AE7" w:rsidRPr="003272C7">
        <w:rPr>
          <w:rFonts w:cs="Arial"/>
        </w:rPr>
        <w:t>I</w:t>
      </w:r>
      <w:r w:rsidRPr="003272C7">
        <w:rPr>
          <w:rFonts w:cs="Arial"/>
        </w:rPr>
        <w:t xml:space="preserve">ncrease </w:t>
      </w:r>
      <w:r w:rsidR="00271AE7" w:rsidRPr="003272C7">
        <w:rPr>
          <w:rFonts w:cs="Arial"/>
        </w:rPr>
        <w:t>W</w:t>
      </w:r>
      <w:r w:rsidRPr="003272C7">
        <w:rPr>
          <w:rFonts w:cs="Arial"/>
        </w:rPr>
        <w:t xml:space="preserve">ater </w:t>
      </w:r>
      <w:r w:rsidR="00271AE7" w:rsidRPr="003272C7">
        <w:rPr>
          <w:rFonts w:cs="Arial"/>
        </w:rPr>
        <w:t>E</w:t>
      </w:r>
      <w:r w:rsidRPr="003272C7">
        <w:rPr>
          <w:rFonts w:cs="Arial"/>
        </w:rPr>
        <w:t>fficiency</w:t>
      </w:r>
      <w:bookmarkEnd w:id="63"/>
      <w:bookmarkEnd w:id="6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B126B88" w14:textId="77777777" w:rsidTr="00A26904">
        <w:trPr>
          <w:trHeight w:val="395"/>
        </w:trPr>
        <w:tc>
          <w:tcPr>
            <w:tcW w:w="979" w:type="pct"/>
            <w:shd w:val="clear" w:color="auto" w:fill="231EDC" w:themeFill="accent1"/>
          </w:tcPr>
          <w:p w14:paraId="5BAE6415" w14:textId="4DDB8AF8" w:rsidR="00B242C3" w:rsidRPr="003272C7" w:rsidRDefault="00C412A9" w:rsidP="00E04DB2">
            <w:pPr>
              <w:pStyle w:val="TableHeading"/>
              <w:rPr>
                <w:rFonts w:cs="Arial"/>
              </w:rPr>
            </w:pPr>
            <w:r w:rsidRPr="003272C7">
              <w:rPr>
                <w:rFonts w:cs="Arial"/>
              </w:rPr>
              <w:t>Initiative</w:t>
            </w:r>
          </w:p>
        </w:tc>
        <w:tc>
          <w:tcPr>
            <w:tcW w:w="4021" w:type="pct"/>
            <w:shd w:val="clear" w:color="auto" w:fill="231EDC" w:themeFill="accent1"/>
          </w:tcPr>
          <w:p w14:paraId="4C426B12" w14:textId="77777777" w:rsidR="00B242C3" w:rsidRPr="003272C7" w:rsidRDefault="00B242C3" w:rsidP="00E04DB2">
            <w:pPr>
              <w:pStyle w:val="TableHeading"/>
              <w:rPr>
                <w:rFonts w:cs="Arial"/>
              </w:rPr>
            </w:pPr>
            <w:r w:rsidRPr="003272C7">
              <w:rPr>
                <w:rFonts w:cs="Arial"/>
              </w:rPr>
              <w:t>9. Phase One Implementation of the Central and Gippsland Region Sustainable Water Strategy</w:t>
            </w:r>
          </w:p>
        </w:tc>
      </w:tr>
      <w:tr w:rsidR="00B242C3" w:rsidRPr="003272C7" w14:paraId="24F8BCFA" w14:textId="77777777" w:rsidTr="00A26904">
        <w:trPr>
          <w:trHeight w:val="341"/>
        </w:trPr>
        <w:tc>
          <w:tcPr>
            <w:tcW w:w="979" w:type="pct"/>
            <w:shd w:val="clear" w:color="auto" w:fill="231EDC" w:themeFill="accent1"/>
          </w:tcPr>
          <w:p w14:paraId="7CB3F9A6" w14:textId="77777777" w:rsidR="00B242C3" w:rsidRPr="003272C7" w:rsidRDefault="00B242C3" w:rsidP="00E04DB2">
            <w:pPr>
              <w:pStyle w:val="TableText"/>
              <w:rPr>
                <w:rFonts w:cs="Arial"/>
                <w:b/>
                <w:bCs/>
              </w:rPr>
            </w:pPr>
            <w:r w:rsidRPr="003272C7">
              <w:rPr>
                <w:rFonts w:cs="Arial"/>
                <w:b/>
                <w:bCs/>
              </w:rPr>
              <w:t>Project</w:t>
            </w:r>
          </w:p>
        </w:tc>
        <w:tc>
          <w:tcPr>
            <w:tcW w:w="4021" w:type="pct"/>
          </w:tcPr>
          <w:p w14:paraId="1F7D4CD1" w14:textId="10FAD7CE" w:rsidR="00B242C3" w:rsidRPr="003272C7" w:rsidRDefault="00B242C3" w:rsidP="00E04DB2">
            <w:pPr>
              <w:pStyle w:val="TableText"/>
              <w:rPr>
                <w:rFonts w:cs="Arial"/>
              </w:rPr>
            </w:pPr>
            <w:r w:rsidRPr="003272C7">
              <w:rPr>
                <w:rFonts w:cs="Arial"/>
              </w:rPr>
              <w:t xml:space="preserve">CWCT07: CGRSWS </w:t>
            </w:r>
            <w:r w:rsidR="00DD4B3C" w:rsidRPr="003272C7">
              <w:rPr>
                <w:rFonts w:cs="Arial"/>
              </w:rPr>
              <w:t xml:space="preserve">Funding </w:t>
            </w:r>
            <w:r w:rsidRPr="003272C7">
              <w:rPr>
                <w:rFonts w:cs="Arial"/>
              </w:rPr>
              <w:t>Stream 2 Diversify water sources and increase water</w:t>
            </w:r>
            <w:r w:rsidR="000A1A4F" w:rsidRPr="003272C7">
              <w:rPr>
                <w:rFonts w:cs="Arial"/>
              </w:rPr>
              <w:t> </w:t>
            </w:r>
            <w:r w:rsidRPr="003272C7">
              <w:rPr>
                <w:rFonts w:cs="Arial"/>
              </w:rPr>
              <w:t>efficiency</w:t>
            </w:r>
          </w:p>
        </w:tc>
      </w:tr>
      <w:tr w:rsidR="00B242C3" w:rsidRPr="003272C7" w14:paraId="4E11FB13" w14:textId="77777777" w:rsidTr="00A26904">
        <w:trPr>
          <w:trHeight w:val="259"/>
        </w:trPr>
        <w:tc>
          <w:tcPr>
            <w:tcW w:w="979" w:type="pct"/>
            <w:shd w:val="clear" w:color="auto" w:fill="231EDC" w:themeFill="accent1"/>
          </w:tcPr>
          <w:p w14:paraId="75768E7F" w14:textId="77777777" w:rsidR="00B242C3" w:rsidRPr="003272C7" w:rsidRDefault="00B242C3" w:rsidP="00E04DB2">
            <w:pPr>
              <w:pStyle w:val="TableText"/>
              <w:rPr>
                <w:rFonts w:cs="Arial"/>
                <w:b/>
                <w:bCs/>
              </w:rPr>
            </w:pPr>
            <w:r w:rsidRPr="003272C7">
              <w:rPr>
                <w:rFonts w:cs="Arial"/>
                <w:b/>
                <w:bCs/>
              </w:rPr>
              <w:t>Description</w:t>
            </w:r>
          </w:p>
          <w:p w14:paraId="60458982" w14:textId="77777777" w:rsidR="00B242C3" w:rsidRPr="003272C7" w:rsidRDefault="00B242C3" w:rsidP="00E04DB2">
            <w:pPr>
              <w:pStyle w:val="TableText"/>
              <w:rPr>
                <w:rFonts w:cs="Arial"/>
                <w:b/>
                <w:bCs/>
              </w:rPr>
            </w:pPr>
          </w:p>
        </w:tc>
        <w:tc>
          <w:tcPr>
            <w:tcW w:w="4021" w:type="pct"/>
          </w:tcPr>
          <w:p w14:paraId="66B9254E" w14:textId="77777777" w:rsidR="00B242C3" w:rsidRPr="003272C7" w:rsidRDefault="00B242C3" w:rsidP="00E04DB2">
            <w:pPr>
              <w:pStyle w:val="TableBullet"/>
              <w:rPr>
                <w:rFonts w:cs="Arial"/>
              </w:rPr>
            </w:pPr>
            <w:r w:rsidRPr="003272C7">
              <w:rPr>
                <w:rFonts w:cs="Arial"/>
              </w:rPr>
              <w:t xml:space="preserve">Water-related climate challenges are particularly evident in the Central and Gippsland region. The region’s water supply will need to double over the next 50 years to meet growing demands and because there is less water flowing into our </w:t>
            </w:r>
            <w:r w:rsidRPr="003272C7">
              <w:rPr>
                <w:rFonts w:cs="Arial"/>
              </w:rPr>
              <w:lastRenderedPageBreak/>
              <w:t>rivers and dams. We need to apply an integrated water management approach to understand how new sources of water such as stormwater and recycled water can be used to meet the region’s water needs as well as help reduce the environmental impacts of urbanisation on receiving waterways.</w:t>
            </w:r>
          </w:p>
          <w:p w14:paraId="01922D12" w14:textId="77777777" w:rsidR="00142559" w:rsidRPr="003272C7" w:rsidRDefault="00B242C3" w:rsidP="00E04DB2">
            <w:pPr>
              <w:pStyle w:val="TableBullet"/>
              <w:rPr>
                <w:rFonts w:cs="Arial"/>
              </w:rPr>
            </w:pPr>
            <w:r w:rsidRPr="003272C7">
              <w:rPr>
                <w:rFonts w:cs="Arial"/>
              </w:rPr>
              <w:t>This early implementation of the strategy is drawing on the systems and governance in place from the IWM Program and the Water Efficiency Program. The project objective was expected be achieved through the IWM Water Efficiency Programs by:</w:t>
            </w:r>
          </w:p>
          <w:p w14:paraId="0FF7553B" w14:textId="669F1FC1" w:rsidR="00162757" w:rsidRPr="003272C7" w:rsidRDefault="00162757" w:rsidP="00E04DB2">
            <w:pPr>
              <w:pStyle w:val="TableBullet2"/>
              <w:rPr>
                <w:rFonts w:cs="Arial"/>
              </w:rPr>
            </w:pPr>
            <w:r w:rsidRPr="003272C7">
              <w:rPr>
                <w:rFonts w:cs="Arial"/>
              </w:rPr>
              <w:t>Identifying and co-investing $5.7 million in place-based priority projects to increase the use of rainwater, stormwater and recycled water across the CGRSWS region.</w:t>
            </w:r>
          </w:p>
          <w:p w14:paraId="1F35160C" w14:textId="77777777" w:rsidR="00142559" w:rsidRPr="003272C7" w:rsidRDefault="00B242C3" w:rsidP="00E04DB2">
            <w:pPr>
              <w:pStyle w:val="TableBullet2"/>
              <w:rPr>
                <w:rFonts w:cs="Arial"/>
              </w:rPr>
            </w:pPr>
            <w:r w:rsidRPr="003272C7">
              <w:rPr>
                <w:rFonts w:cs="Arial"/>
              </w:rPr>
              <w:t>Co-investing $1.2 million in the Jan Juc Creek Daylighting project ($0.7million) and Winchelsea IWM stormwater capital works project ($0.5 million).</w:t>
            </w:r>
          </w:p>
          <w:p w14:paraId="793814AF" w14:textId="77777777" w:rsidR="00142559" w:rsidRPr="003272C7" w:rsidRDefault="00B242C3" w:rsidP="00E04DB2">
            <w:pPr>
              <w:pStyle w:val="TableBullet2"/>
              <w:rPr>
                <w:rFonts w:cs="Arial"/>
              </w:rPr>
            </w:pPr>
            <w:r w:rsidRPr="003272C7">
              <w:rPr>
                <w:rFonts w:cs="Arial"/>
              </w:rPr>
              <w:t>Co-investing $24.829 million in the construction of a recycled water network to deliver recycled water to public open space, golf courses, horticulture and nurseries in the Kingston, Bayside and Monash municipalities.</w:t>
            </w:r>
          </w:p>
          <w:p w14:paraId="5A56C6B5" w14:textId="54E53BE8" w:rsidR="00B242C3" w:rsidRPr="003272C7" w:rsidRDefault="00B242C3" w:rsidP="00E04DB2">
            <w:pPr>
              <w:pStyle w:val="TableBullet2"/>
              <w:rPr>
                <w:rFonts w:cs="Arial"/>
              </w:rPr>
            </w:pPr>
            <w:r w:rsidRPr="003272C7">
              <w:rPr>
                <w:rFonts w:cs="Arial"/>
              </w:rPr>
              <w:t>Providing $7.3 million in support for businesses and councils to save water and maintain green open spaces through water efficiency audits, rebates, digital metering and to invest in behaviour change measures</w:t>
            </w:r>
            <w:r w:rsidR="00DD4B3C" w:rsidRPr="003272C7">
              <w:rPr>
                <w:rFonts w:cs="Arial"/>
              </w:rPr>
              <w:t>.</w:t>
            </w:r>
          </w:p>
        </w:tc>
      </w:tr>
      <w:tr w:rsidR="00B242C3" w:rsidRPr="003272C7" w14:paraId="57225580" w14:textId="77777777" w:rsidTr="00A26904">
        <w:trPr>
          <w:trHeight w:val="259"/>
        </w:trPr>
        <w:tc>
          <w:tcPr>
            <w:tcW w:w="979" w:type="pct"/>
            <w:shd w:val="clear" w:color="auto" w:fill="231EDC" w:themeFill="accent1"/>
          </w:tcPr>
          <w:p w14:paraId="22D9E245" w14:textId="77777777" w:rsidR="00B242C3" w:rsidRPr="003272C7" w:rsidRDefault="00B242C3" w:rsidP="00E04DB2">
            <w:pPr>
              <w:pStyle w:val="TableText"/>
              <w:rPr>
                <w:rFonts w:cs="Arial"/>
                <w:b/>
                <w:bCs/>
              </w:rPr>
            </w:pPr>
            <w:r w:rsidRPr="003272C7">
              <w:rPr>
                <w:rFonts w:cs="Arial"/>
                <w:b/>
                <w:bCs/>
              </w:rPr>
              <w:lastRenderedPageBreak/>
              <w:t>Outputs</w:t>
            </w:r>
          </w:p>
        </w:tc>
        <w:tc>
          <w:tcPr>
            <w:tcW w:w="4021" w:type="pct"/>
          </w:tcPr>
          <w:p w14:paraId="1BCA26CB" w14:textId="7940A999" w:rsidR="00B242C3" w:rsidRPr="003272C7" w:rsidRDefault="00B242C3" w:rsidP="00E04DB2">
            <w:pPr>
              <w:pStyle w:val="TableHeading"/>
              <w:rPr>
                <w:rFonts w:cs="Arial"/>
              </w:rPr>
            </w:pPr>
            <w:r w:rsidRPr="003272C7">
              <w:rPr>
                <w:rFonts w:cs="Arial"/>
              </w:rPr>
              <w:t xml:space="preserve">Outputs delivered under IWM </w:t>
            </w:r>
            <w:r w:rsidR="00445736" w:rsidRPr="003272C7">
              <w:rPr>
                <w:rFonts w:cs="Arial"/>
              </w:rPr>
              <w:t>project</w:t>
            </w:r>
            <w:r w:rsidRPr="003272C7">
              <w:rPr>
                <w:rFonts w:cs="Arial"/>
              </w:rPr>
              <w:t>s:</w:t>
            </w:r>
          </w:p>
          <w:p w14:paraId="353EF64A" w14:textId="2E10B66A" w:rsidR="00B242C3" w:rsidRPr="003272C7" w:rsidRDefault="00B242C3" w:rsidP="00E04DB2">
            <w:pPr>
              <w:pStyle w:val="TableBullet"/>
              <w:rPr>
                <w:rFonts w:cs="Arial"/>
              </w:rPr>
            </w:pPr>
            <w:r w:rsidRPr="003272C7">
              <w:rPr>
                <w:rFonts w:cs="Arial"/>
              </w:rPr>
              <w:t xml:space="preserve">$31.729 million co-invested in </w:t>
            </w:r>
            <w:r w:rsidR="00162757" w:rsidRPr="003272C7">
              <w:rPr>
                <w:rFonts w:cs="Arial"/>
              </w:rPr>
              <w:t xml:space="preserve">17 </w:t>
            </w:r>
            <w:r w:rsidRPr="003272C7">
              <w:rPr>
                <w:rFonts w:cs="Arial"/>
              </w:rPr>
              <w:t>IWM projects throughout the Central and Gippsland region. Outputs from these projects include:</w:t>
            </w:r>
          </w:p>
          <w:p w14:paraId="4B7B45BB" w14:textId="1C6B4E3C" w:rsidR="00B242C3" w:rsidRPr="003272C7" w:rsidRDefault="00B242C3" w:rsidP="00E04DB2">
            <w:pPr>
              <w:pStyle w:val="TableBullet"/>
              <w:rPr>
                <w:rFonts w:cs="Arial"/>
              </w:rPr>
            </w:pPr>
            <w:r w:rsidRPr="003272C7">
              <w:rPr>
                <w:rFonts w:cs="Arial"/>
              </w:rPr>
              <w:t xml:space="preserve">An estimated </w:t>
            </w:r>
            <w:r w:rsidR="00984D12" w:rsidRPr="003272C7">
              <w:rPr>
                <w:rFonts w:cs="Arial"/>
              </w:rPr>
              <w:t>2,078</w:t>
            </w:r>
            <w:r w:rsidRPr="003272C7">
              <w:rPr>
                <w:rFonts w:cs="Arial"/>
              </w:rPr>
              <w:t> ML/y</w:t>
            </w:r>
            <w:r w:rsidR="00DD4B3C" w:rsidRPr="003272C7">
              <w:rPr>
                <w:rFonts w:cs="Arial"/>
              </w:rPr>
              <w:t>ea</w:t>
            </w:r>
            <w:r w:rsidRPr="003272C7">
              <w:rPr>
                <w:rFonts w:cs="Arial"/>
              </w:rPr>
              <w:t xml:space="preserve">r of alternative water produced for use from the </w:t>
            </w:r>
            <w:r w:rsidR="00984D12" w:rsidRPr="003272C7">
              <w:rPr>
                <w:rFonts w:cs="Arial"/>
              </w:rPr>
              <w:t xml:space="preserve">8 </w:t>
            </w:r>
            <w:r w:rsidRPr="003272C7">
              <w:rPr>
                <w:rFonts w:cs="Arial"/>
              </w:rPr>
              <w:t>capital on-ground projects</w:t>
            </w:r>
            <w:r w:rsidR="00DD4B3C" w:rsidRPr="003272C7">
              <w:rPr>
                <w:rFonts w:cs="Arial"/>
              </w:rPr>
              <w:t>.</w:t>
            </w:r>
          </w:p>
          <w:p w14:paraId="532EF066" w14:textId="3643FE1D" w:rsidR="00B242C3" w:rsidRPr="003272C7" w:rsidRDefault="00B242C3" w:rsidP="00E04DB2">
            <w:pPr>
              <w:pStyle w:val="TableBullet"/>
              <w:rPr>
                <w:rFonts w:cs="Arial"/>
              </w:rPr>
            </w:pPr>
            <w:r w:rsidRPr="003272C7">
              <w:rPr>
                <w:rFonts w:cs="Arial"/>
              </w:rPr>
              <w:t>Nine feasibility studies, business cases or concept designs for alternative water projects and large-scale alternative water planning</w:t>
            </w:r>
            <w:r w:rsidR="00DD4B3C" w:rsidRPr="003272C7">
              <w:rPr>
                <w:rFonts w:cs="Arial"/>
              </w:rPr>
              <w:t>.</w:t>
            </w:r>
          </w:p>
          <w:p w14:paraId="4AC94E3F" w14:textId="77777777" w:rsidR="00B242C3" w:rsidRPr="003272C7" w:rsidRDefault="00B242C3" w:rsidP="00E04DB2">
            <w:pPr>
              <w:pStyle w:val="TableHeading"/>
              <w:rPr>
                <w:rFonts w:cs="Arial"/>
              </w:rPr>
            </w:pPr>
            <w:r w:rsidRPr="003272C7">
              <w:rPr>
                <w:rFonts w:cs="Arial"/>
              </w:rPr>
              <w:t>Outputs from the $7.3 million water efficiency component are:</w:t>
            </w:r>
          </w:p>
          <w:p w14:paraId="27CBB4E2" w14:textId="78EC8566" w:rsidR="00B242C3" w:rsidRPr="003272C7" w:rsidRDefault="00B242C3" w:rsidP="00E04DB2">
            <w:pPr>
              <w:pStyle w:val="TableBullet"/>
              <w:rPr>
                <w:rFonts w:cs="Arial"/>
              </w:rPr>
            </w:pPr>
            <w:r w:rsidRPr="003272C7">
              <w:rPr>
                <w:rFonts w:cs="Arial"/>
              </w:rPr>
              <w:t xml:space="preserve">Delivery of WaterSmart across all 10 CGRSWS urban water corporations, assisting a minimum of 370 large and medium non-residential customers to implement </w:t>
            </w:r>
            <w:r w:rsidR="00984D12" w:rsidRPr="003272C7">
              <w:rPr>
                <w:rFonts w:cs="Arial"/>
              </w:rPr>
              <w:t>on-site</w:t>
            </w:r>
            <w:r w:rsidRPr="003272C7">
              <w:rPr>
                <w:rFonts w:cs="Arial"/>
              </w:rPr>
              <w:t xml:space="preserve"> water use monitoring and/or undertake water efficiency audits.</w:t>
            </w:r>
            <w:r w:rsidR="00142559" w:rsidRPr="003272C7">
              <w:rPr>
                <w:rFonts w:cs="Arial"/>
              </w:rPr>
              <w:t xml:space="preserve"> </w:t>
            </w:r>
            <w:r w:rsidR="00984D12" w:rsidRPr="00623380">
              <w:rPr>
                <w:rFonts w:cs="Arial"/>
              </w:rPr>
              <w:t>(two-year delivery period from September 2023 to September 2025). At 30 June 2024, the program had assisted 408 customer sites, exceeding the minimum target of 370.</w:t>
            </w:r>
          </w:p>
          <w:p w14:paraId="4CE70E74" w14:textId="6C3965CE" w:rsidR="00B242C3" w:rsidRPr="003272C7" w:rsidRDefault="00984D12" w:rsidP="00E04DB2">
            <w:pPr>
              <w:pStyle w:val="TableBullet"/>
              <w:rPr>
                <w:rFonts w:cs="Arial"/>
              </w:rPr>
            </w:pPr>
            <w:r w:rsidRPr="003272C7">
              <w:rPr>
                <w:rFonts w:cs="Arial"/>
              </w:rPr>
              <w:t>A</w:t>
            </w:r>
            <w:r w:rsidR="00B242C3" w:rsidRPr="003272C7">
              <w:rPr>
                <w:rFonts w:cs="Arial"/>
              </w:rPr>
              <w:t xml:space="preserve"> </w:t>
            </w:r>
            <w:r w:rsidRPr="003272C7">
              <w:rPr>
                <w:rFonts w:cs="Arial"/>
              </w:rPr>
              <w:t>synthesis of existing and planned</w:t>
            </w:r>
            <w:r w:rsidR="00B242C3" w:rsidRPr="003272C7">
              <w:rPr>
                <w:rFonts w:cs="Arial"/>
              </w:rPr>
              <w:t xml:space="preserve"> water efficiency behaviour change </w:t>
            </w:r>
            <w:r w:rsidR="00445736" w:rsidRPr="003272C7">
              <w:rPr>
                <w:rFonts w:cs="Arial"/>
              </w:rPr>
              <w:t>project</w:t>
            </w:r>
            <w:r w:rsidR="00B242C3" w:rsidRPr="003272C7">
              <w:rPr>
                <w:rFonts w:cs="Arial"/>
              </w:rPr>
              <w:t xml:space="preserve">s </w:t>
            </w:r>
            <w:r w:rsidR="00F81FB1" w:rsidRPr="003272C7">
              <w:rPr>
                <w:rFonts w:cs="Arial"/>
              </w:rPr>
              <w:t xml:space="preserve">in </w:t>
            </w:r>
            <w:r w:rsidR="00B242C3" w:rsidRPr="003272C7">
              <w:rPr>
                <w:rFonts w:cs="Arial"/>
              </w:rPr>
              <w:t>Victoria and other jurisdictions</w:t>
            </w:r>
            <w:r w:rsidR="00F81FB1" w:rsidRPr="00623380">
              <w:rPr>
                <w:rFonts w:cs="Arial"/>
              </w:rPr>
              <w:t xml:space="preserve">, to identify gaps and opportunities for collaboration (Final report Victorian urban water efficiency behaviour change </w:t>
            </w:r>
            <w:r w:rsidR="00445736" w:rsidRPr="00623380">
              <w:rPr>
                <w:rFonts w:cs="Arial"/>
              </w:rPr>
              <w:t>project</w:t>
            </w:r>
            <w:r w:rsidR="00F81FB1" w:rsidRPr="00623380">
              <w:rPr>
                <w:rFonts w:cs="Arial"/>
              </w:rPr>
              <w:t>s completed in September 2023). </w:t>
            </w:r>
          </w:p>
        </w:tc>
      </w:tr>
      <w:tr w:rsidR="00B242C3" w:rsidRPr="003272C7" w14:paraId="667FAACF" w14:textId="77777777" w:rsidTr="00523526">
        <w:trPr>
          <w:trHeight w:val="259"/>
        </w:trPr>
        <w:tc>
          <w:tcPr>
            <w:tcW w:w="5000" w:type="pct"/>
            <w:gridSpan w:val="2"/>
            <w:shd w:val="clear" w:color="auto" w:fill="231EDC" w:themeFill="accent1"/>
          </w:tcPr>
          <w:p w14:paraId="5B36F5C7" w14:textId="77777777" w:rsidR="00B242C3" w:rsidRPr="003272C7" w:rsidRDefault="00B242C3" w:rsidP="00523526">
            <w:pPr>
              <w:pStyle w:val="TableText"/>
              <w:rPr>
                <w:rFonts w:cs="Arial"/>
                <w:b/>
                <w:bCs/>
              </w:rPr>
            </w:pPr>
            <w:r w:rsidRPr="003272C7">
              <w:rPr>
                <w:rFonts w:cs="Arial"/>
                <w:b/>
                <w:bCs/>
              </w:rPr>
              <w:t>Summary against evaluation domains</w:t>
            </w:r>
          </w:p>
        </w:tc>
      </w:tr>
      <w:tr w:rsidR="00B242C3" w:rsidRPr="003272C7" w14:paraId="4D4492AE" w14:textId="77777777" w:rsidTr="00A26904">
        <w:trPr>
          <w:trHeight w:val="259"/>
        </w:trPr>
        <w:tc>
          <w:tcPr>
            <w:tcW w:w="979" w:type="pct"/>
            <w:shd w:val="clear" w:color="auto" w:fill="231EDC" w:themeFill="accent1"/>
          </w:tcPr>
          <w:p w14:paraId="4AC8A708" w14:textId="77777777" w:rsidR="00B242C3" w:rsidRPr="003272C7" w:rsidRDefault="00B242C3" w:rsidP="00E04DB2">
            <w:pPr>
              <w:pStyle w:val="TableText"/>
              <w:rPr>
                <w:rFonts w:cs="Arial"/>
                <w:b/>
                <w:bCs/>
              </w:rPr>
            </w:pPr>
            <w:r w:rsidRPr="003272C7">
              <w:rPr>
                <w:rFonts w:cs="Arial"/>
                <w:b/>
                <w:bCs/>
              </w:rPr>
              <w:t>Impact</w:t>
            </w:r>
          </w:p>
        </w:tc>
        <w:tc>
          <w:tcPr>
            <w:tcW w:w="4021" w:type="pct"/>
          </w:tcPr>
          <w:p w14:paraId="0EBCC3F6" w14:textId="77777777" w:rsidR="00B242C3" w:rsidRPr="003272C7" w:rsidRDefault="00B242C3" w:rsidP="00E04DB2">
            <w:pPr>
              <w:pStyle w:val="TableHeading"/>
              <w:rPr>
                <w:rFonts w:cs="Arial"/>
              </w:rPr>
            </w:pPr>
            <w:r w:rsidRPr="003272C7">
              <w:rPr>
                <w:rFonts w:cs="Arial"/>
              </w:rPr>
              <w:t>Improved efficiency in non-residential orgs: Water Efficiency component</w:t>
            </w:r>
          </w:p>
          <w:p w14:paraId="4B7CC009" w14:textId="77777777" w:rsidR="00142559" w:rsidRPr="003272C7" w:rsidRDefault="00D35E6B" w:rsidP="00E04DB2">
            <w:pPr>
              <w:pStyle w:val="TableBullet"/>
              <w:rPr>
                <w:rFonts w:cs="Arial"/>
              </w:rPr>
            </w:pPr>
            <w:r w:rsidRPr="00623380">
              <w:rPr>
                <w:rFonts w:cs="Arial"/>
              </w:rPr>
              <w:t xml:space="preserve">WaterSmart launched in September 2023 and at 30 June 2024, 408 non-residential customer sites were assisted to install digital water use monitoring. Water use monitoring provides essential data to customers and helps them to identify high water usage which can lead to early rectification of leaks and faulty equipment. In EC5 WaterSmart saved participating customers a total of 16.7 </w:t>
            </w:r>
            <w:r w:rsidR="00DD4B3C" w:rsidRPr="003272C7">
              <w:rPr>
                <w:rFonts w:cs="Arial"/>
              </w:rPr>
              <w:t>ML</w:t>
            </w:r>
            <w:r w:rsidRPr="00623380">
              <w:rPr>
                <w:rFonts w:cs="Arial"/>
              </w:rPr>
              <w:t xml:space="preserve"> in avoided potable water usage through early leak detection and customised alerts. The program will continue for a full 2 years through to September 2025.</w:t>
            </w:r>
          </w:p>
          <w:p w14:paraId="2645D990" w14:textId="77777777" w:rsidR="00142559" w:rsidRPr="003272C7" w:rsidRDefault="00B242C3" w:rsidP="00E04DB2">
            <w:pPr>
              <w:pStyle w:val="TableHeading"/>
              <w:rPr>
                <w:rFonts w:cs="Arial"/>
              </w:rPr>
            </w:pPr>
            <w:r w:rsidRPr="003272C7">
              <w:rPr>
                <w:rFonts w:cs="Arial"/>
              </w:rPr>
              <w:t>Increased diversification of water sources:</w:t>
            </w:r>
          </w:p>
          <w:p w14:paraId="7484152A" w14:textId="62AB0330" w:rsidR="00142559" w:rsidRPr="003272C7" w:rsidRDefault="00B242C3" w:rsidP="00E04DB2">
            <w:pPr>
              <w:pStyle w:val="TableBullet"/>
              <w:rPr>
                <w:rFonts w:cs="Arial"/>
              </w:rPr>
            </w:pPr>
            <w:r w:rsidRPr="003272C7">
              <w:rPr>
                <w:rFonts w:cs="Arial"/>
              </w:rPr>
              <w:t xml:space="preserve">IWM Program has co-invested in nine capital projects which will ultimately harness an estimated </w:t>
            </w:r>
            <w:r w:rsidR="00BF3207" w:rsidRPr="003272C7">
              <w:rPr>
                <w:rFonts w:cs="Arial"/>
              </w:rPr>
              <w:t xml:space="preserve">2099 </w:t>
            </w:r>
            <w:r w:rsidRPr="003272C7">
              <w:rPr>
                <w:rFonts w:cs="Arial"/>
              </w:rPr>
              <w:t xml:space="preserve">megalitres of recycled water and stormwater. For example, Dingley Recycled Water Scheme: 42 km of trunk and distribution mains and reticulation network to </w:t>
            </w:r>
            <w:r w:rsidR="00BF3207" w:rsidRPr="003272C7">
              <w:rPr>
                <w:rFonts w:cs="Arial"/>
              </w:rPr>
              <w:t xml:space="preserve">40 </w:t>
            </w:r>
            <w:r w:rsidRPr="003272C7">
              <w:rPr>
                <w:rFonts w:cs="Arial"/>
              </w:rPr>
              <w:t xml:space="preserve">public and private sites, which will deliver 1800 ML annually of Class A recycled water from the Eastern Treatment Plant to these sites and can save up to 300 ML per year of potable water and reduce the drawdown on local groundwater. There is an opportunity for the Dingley network </w:t>
            </w:r>
            <w:r w:rsidRPr="003272C7">
              <w:rPr>
                <w:rFonts w:cs="Arial"/>
              </w:rPr>
              <w:lastRenderedPageBreak/>
              <w:t>to be expanded to support the future populations of the Suburban Rail Loop</w:t>
            </w:r>
            <w:r w:rsidR="000A1A4F" w:rsidRPr="003272C7">
              <w:rPr>
                <w:rFonts w:cs="Arial"/>
              </w:rPr>
              <w:t> </w:t>
            </w:r>
            <w:r w:rsidRPr="003272C7">
              <w:rPr>
                <w:rFonts w:cs="Arial"/>
              </w:rPr>
              <w:t>Precincts.</w:t>
            </w:r>
          </w:p>
          <w:p w14:paraId="0E1D4BC8" w14:textId="05ED1D27" w:rsidR="00B242C3" w:rsidRPr="003272C7" w:rsidRDefault="00B242C3" w:rsidP="00E04DB2">
            <w:pPr>
              <w:pStyle w:val="TableBullet"/>
              <w:rPr>
                <w:rFonts w:cs="Arial"/>
              </w:rPr>
            </w:pPr>
            <w:r w:rsidRPr="003272C7">
              <w:rPr>
                <w:rFonts w:cs="Arial"/>
              </w:rPr>
              <w:t>Nine feasibility studies, business cases or concept designs for alternative water projects and large-scale alternative water planning are exploring significant additional volumes of alternative water. The Werribee reconfiguration project is exploring substituting recycled water volumes in the order of 16 GL/year</w:t>
            </w:r>
            <w:r w:rsidR="00DD4B3C" w:rsidRPr="003272C7">
              <w:rPr>
                <w:rFonts w:cs="Arial"/>
              </w:rPr>
              <w:t>.</w:t>
            </w:r>
          </w:p>
          <w:p w14:paraId="6043D9E0" w14:textId="77777777" w:rsidR="00142559" w:rsidRPr="003272C7" w:rsidRDefault="00B242C3" w:rsidP="00E04DB2">
            <w:pPr>
              <w:pStyle w:val="TableHeading"/>
              <w:rPr>
                <w:rFonts w:cs="Arial"/>
              </w:rPr>
            </w:pPr>
            <w:r w:rsidRPr="003272C7">
              <w:rPr>
                <w:rFonts w:cs="Arial"/>
              </w:rPr>
              <w:t>Return of water to Traditional Owners and the environment:</w:t>
            </w:r>
          </w:p>
          <w:p w14:paraId="79FD8312" w14:textId="667FECC9" w:rsidR="00B242C3" w:rsidRPr="003272C7" w:rsidRDefault="00B242C3" w:rsidP="00E04DB2">
            <w:pPr>
              <w:pStyle w:val="TableBullet"/>
              <w:rPr>
                <w:rFonts w:cs="Arial"/>
              </w:rPr>
            </w:pPr>
            <w:r w:rsidRPr="003272C7">
              <w:rPr>
                <w:rFonts w:cs="Arial"/>
              </w:rPr>
              <w:t>The Werribee Reconfiguration Project (exploring substituting recycled water volumes in the order of 16 GL/year)</w:t>
            </w:r>
            <w:r w:rsidR="00DD4B3C" w:rsidRPr="003272C7">
              <w:rPr>
                <w:rFonts w:cs="Arial"/>
              </w:rPr>
              <w:t xml:space="preserve"> </w:t>
            </w:r>
            <w:r w:rsidRPr="003272C7">
              <w:rPr>
                <w:rFonts w:cs="Arial"/>
              </w:rPr>
              <w:t>for water return to Traditional Owners and the</w:t>
            </w:r>
            <w:r w:rsidR="000A1A4F" w:rsidRPr="003272C7">
              <w:rPr>
                <w:rFonts w:cs="Arial"/>
              </w:rPr>
              <w:t> </w:t>
            </w:r>
            <w:r w:rsidRPr="003272C7">
              <w:rPr>
                <w:rFonts w:cs="Arial"/>
              </w:rPr>
              <w:t>Environment</w:t>
            </w:r>
            <w:r w:rsidR="00DD4B3C" w:rsidRPr="003272C7">
              <w:rPr>
                <w:rFonts w:cs="Arial"/>
              </w:rPr>
              <w:t>.</w:t>
            </w:r>
          </w:p>
          <w:p w14:paraId="748300EE" w14:textId="77777777" w:rsidR="00142559" w:rsidRPr="003272C7" w:rsidRDefault="00B242C3" w:rsidP="00E04DB2">
            <w:pPr>
              <w:pStyle w:val="TableHeading"/>
              <w:rPr>
                <w:rFonts w:cs="Arial"/>
              </w:rPr>
            </w:pPr>
            <w:r w:rsidRPr="003272C7">
              <w:rPr>
                <w:rFonts w:cs="Arial"/>
              </w:rPr>
              <w:t>Contribution to waterway health:</w:t>
            </w:r>
          </w:p>
          <w:p w14:paraId="528196B6" w14:textId="5F1D15DA" w:rsidR="00142559" w:rsidRPr="003272C7" w:rsidRDefault="00B242C3" w:rsidP="00E04DB2">
            <w:pPr>
              <w:pStyle w:val="TableBullet"/>
              <w:rPr>
                <w:rFonts w:cs="Arial"/>
              </w:rPr>
            </w:pPr>
            <w:r w:rsidRPr="003272C7">
              <w:rPr>
                <w:rFonts w:cs="Arial"/>
              </w:rPr>
              <w:t>Jan Juc daylighting project has the objective of returning the highly disturbed urban waterway to a more natural state. This includes recreating habitat, biodiversity and amenity values as well as delivering significant stormwater quality objectives to an older urban catchment that drains to a popular beach</w:t>
            </w:r>
            <w:r w:rsidR="000A1A4F" w:rsidRPr="003272C7">
              <w:rPr>
                <w:rFonts w:cs="Arial"/>
              </w:rPr>
              <w:t> </w:t>
            </w:r>
            <w:r w:rsidRPr="003272C7">
              <w:rPr>
                <w:rFonts w:cs="Arial"/>
              </w:rPr>
              <w:t>location.</w:t>
            </w:r>
          </w:p>
          <w:p w14:paraId="31EB87F8" w14:textId="77777777" w:rsidR="00142559" w:rsidRPr="003272C7" w:rsidRDefault="00B242C3" w:rsidP="00E04DB2">
            <w:pPr>
              <w:pStyle w:val="TableBullet"/>
              <w:rPr>
                <w:rFonts w:cs="Arial"/>
              </w:rPr>
            </w:pPr>
            <w:r w:rsidRPr="003272C7">
              <w:rPr>
                <w:rFonts w:cs="Arial"/>
              </w:rPr>
              <w:t>The stormwater harvesting concept design for the Northern and Western Geelong Growth Areas could be the only feasible way of protecting the waterways and bay in the region from significant adverse impacts of stormwater from this large-scale urban development.</w:t>
            </w:r>
          </w:p>
          <w:p w14:paraId="10D50B39" w14:textId="60838E00" w:rsidR="00B242C3" w:rsidRPr="003272C7" w:rsidRDefault="00B242C3" w:rsidP="00E04DB2">
            <w:pPr>
              <w:pStyle w:val="TableBullet"/>
              <w:rPr>
                <w:rFonts w:cs="Arial"/>
              </w:rPr>
            </w:pPr>
            <w:r w:rsidRPr="003272C7">
              <w:rPr>
                <w:rFonts w:cs="Arial"/>
              </w:rPr>
              <w:t>Werribee Reconfiguration project could have a significant impact on the Werribee River’s waterway health through return of water to the environment and improvements in the flow regime.</w:t>
            </w:r>
          </w:p>
          <w:p w14:paraId="581C35B0" w14:textId="77777777" w:rsidR="00B242C3" w:rsidRPr="003272C7" w:rsidRDefault="00B242C3" w:rsidP="00E04DB2">
            <w:pPr>
              <w:pStyle w:val="TableBullet"/>
              <w:rPr>
                <w:rFonts w:cs="Arial"/>
              </w:rPr>
            </w:pPr>
            <w:r w:rsidRPr="003272C7">
              <w:rPr>
                <w:rFonts w:cs="Arial"/>
              </w:rPr>
              <w:t>The three stormwater projects funded will have the beneficial impact of reducing the adverse impacts of stormwater to the waterways.</w:t>
            </w:r>
          </w:p>
        </w:tc>
      </w:tr>
      <w:tr w:rsidR="00B242C3" w:rsidRPr="003272C7" w14:paraId="7A8C0A2B" w14:textId="77777777" w:rsidTr="00A26904">
        <w:trPr>
          <w:trHeight w:val="259"/>
        </w:trPr>
        <w:tc>
          <w:tcPr>
            <w:tcW w:w="979" w:type="pct"/>
            <w:shd w:val="clear" w:color="auto" w:fill="231EDC" w:themeFill="accent1"/>
          </w:tcPr>
          <w:p w14:paraId="5ABBECB5" w14:textId="77777777" w:rsidR="00B242C3" w:rsidRPr="003272C7" w:rsidRDefault="00B242C3" w:rsidP="00E04DB2">
            <w:pPr>
              <w:pStyle w:val="TableText"/>
              <w:rPr>
                <w:rFonts w:cs="Arial"/>
                <w:b/>
                <w:bCs/>
              </w:rPr>
            </w:pPr>
            <w:r w:rsidRPr="003272C7">
              <w:rPr>
                <w:rFonts w:cs="Arial"/>
                <w:b/>
                <w:bCs/>
              </w:rPr>
              <w:lastRenderedPageBreak/>
              <w:t>Effectiveness</w:t>
            </w:r>
          </w:p>
        </w:tc>
        <w:tc>
          <w:tcPr>
            <w:tcW w:w="4021" w:type="pct"/>
          </w:tcPr>
          <w:p w14:paraId="7674D13D" w14:textId="3FA26C19" w:rsidR="00B242C3" w:rsidRPr="003272C7" w:rsidRDefault="00B242C3" w:rsidP="00E04DB2">
            <w:pPr>
              <w:pStyle w:val="TableText"/>
              <w:rPr>
                <w:rFonts w:cs="Arial"/>
              </w:rPr>
            </w:pPr>
            <w:r w:rsidRPr="003272C7">
              <w:rPr>
                <w:rFonts w:cs="Arial"/>
              </w:rPr>
              <w:t>Effectiveness indicated through delivery in line with workplan</w:t>
            </w:r>
            <w:r w:rsidR="00DD4B3C" w:rsidRPr="003272C7">
              <w:rPr>
                <w:rFonts w:cs="Arial"/>
              </w:rPr>
              <w:t>.</w:t>
            </w:r>
          </w:p>
        </w:tc>
      </w:tr>
      <w:tr w:rsidR="00B242C3" w:rsidRPr="003272C7" w14:paraId="7B9264A7" w14:textId="77777777" w:rsidTr="00A26904">
        <w:trPr>
          <w:trHeight w:val="259"/>
        </w:trPr>
        <w:tc>
          <w:tcPr>
            <w:tcW w:w="979" w:type="pct"/>
            <w:shd w:val="clear" w:color="auto" w:fill="231EDC" w:themeFill="accent1"/>
          </w:tcPr>
          <w:p w14:paraId="696EFAF2" w14:textId="77777777" w:rsidR="00B242C3" w:rsidRPr="003272C7" w:rsidRDefault="00B242C3" w:rsidP="00E04DB2">
            <w:pPr>
              <w:pStyle w:val="TableText"/>
              <w:rPr>
                <w:rFonts w:cs="Arial"/>
                <w:b/>
                <w:bCs/>
              </w:rPr>
            </w:pPr>
            <w:r w:rsidRPr="003272C7">
              <w:rPr>
                <w:rFonts w:cs="Arial"/>
                <w:b/>
                <w:bCs/>
              </w:rPr>
              <w:t>Appropriateness</w:t>
            </w:r>
          </w:p>
        </w:tc>
        <w:tc>
          <w:tcPr>
            <w:tcW w:w="4021" w:type="pct"/>
          </w:tcPr>
          <w:p w14:paraId="619E0255" w14:textId="0597156B" w:rsidR="00B242C3" w:rsidRPr="003272C7" w:rsidRDefault="00B242C3" w:rsidP="00E04DB2">
            <w:pPr>
              <w:pStyle w:val="TableText"/>
              <w:rPr>
                <w:rFonts w:cs="Arial"/>
              </w:rPr>
            </w:pPr>
            <w:r w:rsidRPr="003272C7">
              <w:rPr>
                <w:rFonts w:cs="Arial"/>
              </w:rPr>
              <w:t>In 2022, a new CGRSWS was released. The CGRSWS sets-out a range of management actions to ensure we have enough water to fully meet future needs for all users over the next 10 years. The CGRSWS had IWM and water efficiency as a central plank in meeting the forecast shortfall, together with large scale augmentation, with up to one third of the 600 GL shortfall anticipated by 2070, to be met with IWM solutions.</w:t>
            </w:r>
          </w:p>
          <w:p w14:paraId="05CC70B7" w14:textId="06D9793A" w:rsidR="00B242C3" w:rsidRPr="003272C7" w:rsidRDefault="00B242C3" w:rsidP="00E04DB2">
            <w:pPr>
              <w:pStyle w:val="TableBullet"/>
              <w:rPr>
                <w:rFonts w:cs="Arial"/>
              </w:rPr>
            </w:pPr>
            <w:r w:rsidRPr="003272C7">
              <w:rPr>
                <w:rFonts w:cs="Arial"/>
              </w:rPr>
              <w:t>This project focuses on early implementation of some components of the following actions identified in the CGRSWS (actions 3-4, 3-5, 3-8, 4-10, 2-1, 2</w:t>
            </w:r>
            <w:r w:rsidR="000A1A4F" w:rsidRPr="003272C7">
              <w:rPr>
                <w:rFonts w:cs="Arial"/>
              </w:rPr>
              <w:t> </w:t>
            </w:r>
            <w:r w:rsidRPr="003272C7">
              <w:rPr>
                <w:rFonts w:cs="Arial"/>
              </w:rPr>
              <w:t>-</w:t>
            </w:r>
            <w:r w:rsidR="000A1A4F" w:rsidRPr="003272C7">
              <w:rPr>
                <w:rFonts w:cs="Arial"/>
              </w:rPr>
              <w:t> </w:t>
            </w:r>
            <w:r w:rsidRPr="003272C7">
              <w:rPr>
                <w:rFonts w:cs="Arial"/>
              </w:rPr>
              <w:t>7,</w:t>
            </w:r>
            <w:r w:rsidR="000A1A4F" w:rsidRPr="003272C7">
              <w:rPr>
                <w:rFonts w:cs="Arial"/>
              </w:rPr>
              <w:t> </w:t>
            </w:r>
            <w:r w:rsidRPr="003272C7">
              <w:rPr>
                <w:rFonts w:cs="Arial"/>
              </w:rPr>
              <w:t>3-8)</w:t>
            </w:r>
          </w:p>
          <w:p w14:paraId="0F0CDD4C" w14:textId="443026BA" w:rsidR="00B242C3" w:rsidRPr="003272C7" w:rsidRDefault="00B242C3" w:rsidP="00E04DB2">
            <w:pPr>
              <w:pStyle w:val="TableBullet"/>
              <w:rPr>
                <w:rFonts w:cs="Arial"/>
              </w:rPr>
            </w:pPr>
            <w:r w:rsidRPr="003272C7">
              <w:rPr>
                <w:rFonts w:cs="Arial"/>
              </w:rPr>
              <w:t xml:space="preserve">This Program has directly addressed the identified need to diversify water sources as set out in the </w:t>
            </w:r>
            <w:r w:rsidR="000B0D2F" w:rsidRPr="003272C7">
              <w:rPr>
                <w:rFonts w:cs="Arial"/>
              </w:rPr>
              <w:t>CGRSWS</w:t>
            </w:r>
            <w:r w:rsidRPr="003272C7">
              <w:rPr>
                <w:rFonts w:cs="Arial"/>
              </w:rPr>
              <w:t>.</w:t>
            </w:r>
          </w:p>
        </w:tc>
      </w:tr>
      <w:tr w:rsidR="00B242C3" w:rsidRPr="003272C7" w14:paraId="6B0D52DD" w14:textId="77777777" w:rsidTr="00A26904">
        <w:trPr>
          <w:trHeight w:val="259"/>
        </w:trPr>
        <w:tc>
          <w:tcPr>
            <w:tcW w:w="979" w:type="pct"/>
            <w:shd w:val="clear" w:color="auto" w:fill="231EDC" w:themeFill="accent1"/>
          </w:tcPr>
          <w:p w14:paraId="3A2C55C7" w14:textId="77777777" w:rsidR="00B242C3" w:rsidRPr="003272C7" w:rsidRDefault="00B242C3" w:rsidP="00E04DB2">
            <w:pPr>
              <w:pStyle w:val="TableText"/>
              <w:rPr>
                <w:rFonts w:cs="Arial"/>
                <w:b/>
                <w:bCs/>
              </w:rPr>
            </w:pPr>
            <w:r w:rsidRPr="003272C7">
              <w:rPr>
                <w:rFonts w:cs="Arial"/>
                <w:b/>
                <w:bCs/>
              </w:rPr>
              <w:t>Efficiency</w:t>
            </w:r>
          </w:p>
        </w:tc>
        <w:tc>
          <w:tcPr>
            <w:tcW w:w="4021" w:type="pct"/>
          </w:tcPr>
          <w:p w14:paraId="73923EC6" w14:textId="5BF7EF10" w:rsidR="00126CE0" w:rsidRPr="003272C7" w:rsidRDefault="00B242C3" w:rsidP="00E04DB2">
            <w:pPr>
              <w:pStyle w:val="TableTextBold"/>
              <w:rPr>
                <w:rFonts w:cs="Arial"/>
              </w:rPr>
            </w:pPr>
            <w:r w:rsidRPr="003272C7">
              <w:rPr>
                <w:rFonts w:cs="Arial"/>
              </w:rPr>
              <w:t>Water Efficiency component</w:t>
            </w:r>
            <w:r w:rsidR="00DD4B3C" w:rsidRPr="003272C7">
              <w:rPr>
                <w:rFonts w:cs="Arial"/>
              </w:rPr>
              <w:t>:</w:t>
            </w:r>
          </w:p>
          <w:p w14:paraId="51E3778D" w14:textId="59072819" w:rsidR="00B242C3" w:rsidRPr="003272C7" w:rsidRDefault="00126CE0" w:rsidP="00E04DB2">
            <w:pPr>
              <w:pStyle w:val="TableBullet"/>
              <w:rPr>
                <w:rFonts w:cs="Arial"/>
              </w:rPr>
            </w:pPr>
            <w:r w:rsidRPr="003272C7">
              <w:rPr>
                <w:rFonts w:cs="Arial"/>
              </w:rPr>
              <w:t>W</w:t>
            </w:r>
            <w:r w:rsidRPr="00623380">
              <w:rPr>
                <w:rFonts w:cs="Arial"/>
              </w:rPr>
              <w:t>aterSmart is delivered by the 10 CGRSWS water corporations direct to their non-residential water customers. This is the most efficiency method of delivery as water corporations already have existing relationships with each customer. Program funds were allocated in consultation with water corporations and based on the percentage of high-water using non-residential customers. Audits targeted at outdoor sporting grounds leverage water corporation</w:t>
            </w:r>
            <w:r w:rsidR="00DD4B3C" w:rsidRPr="003272C7">
              <w:rPr>
                <w:rFonts w:cs="Arial"/>
              </w:rPr>
              <w:t>s’</w:t>
            </w:r>
            <w:r w:rsidRPr="00623380">
              <w:rPr>
                <w:rFonts w:cs="Arial"/>
              </w:rPr>
              <w:t xml:space="preserve"> existing relationships with local councils and shires and prioritise sites that have already been identified</w:t>
            </w:r>
            <w:r w:rsidR="00966D06" w:rsidRPr="003272C7">
              <w:rPr>
                <w:rFonts w:cs="Arial"/>
              </w:rPr>
              <w:t> </w:t>
            </w:r>
            <w:r w:rsidRPr="00623380">
              <w:rPr>
                <w:rFonts w:cs="Arial"/>
              </w:rPr>
              <w:t>through place-based decision-making frameworks such as drought preparedness plans.</w:t>
            </w:r>
          </w:p>
          <w:p w14:paraId="0039030C" w14:textId="77777777" w:rsidR="00142559" w:rsidRPr="003272C7" w:rsidRDefault="00B242C3" w:rsidP="00E04DB2">
            <w:pPr>
              <w:pStyle w:val="TableTextBold"/>
              <w:rPr>
                <w:rFonts w:cs="Arial"/>
              </w:rPr>
            </w:pPr>
            <w:r w:rsidRPr="003272C7">
              <w:rPr>
                <w:rFonts w:cs="Arial"/>
              </w:rPr>
              <w:t>IWM component:</w:t>
            </w:r>
          </w:p>
          <w:p w14:paraId="1E6E4846" w14:textId="27584418" w:rsidR="00B242C3" w:rsidRPr="003272C7" w:rsidRDefault="00B242C3" w:rsidP="00E04DB2">
            <w:pPr>
              <w:pStyle w:val="TableBullet"/>
              <w:rPr>
                <w:rFonts w:cs="Arial"/>
              </w:rPr>
            </w:pPr>
            <w:r w:rsidRPr="003272C7">
              <w:rPr>
                <w:rFonts w:cs="Arial"/>
              </w:rPr>
              <w:t xml:space="preserve">The funds have been carefully allocated to value for money projects identified through IWM Forum strategic processes. The management of the grants including the funding agreements are designed to ensure that funds are delivered in line with original scope. The funds have been expended in line with the original scope of this funding </w:t>
            </w:r>
            <w:r w:rsidR="00445736" w:rsidRPr="003272C7">
              <w:rPr>
                <w:rFonts w:cs="Arial"/>
              </w:rPr>
              <w:t>project</w:t>
            </w:r>
            <w:r w:rsidRPr="003272C7">
              <w:rPr>
                <w:rFonts w:cs="Arial"/>
              </w:rPr>
              <w:t>.</w:t>
            </w:r>
          </w:p>
          <w:p w14:paraId="0B3974B7" w14:textId="77777777" w:rsidR="00142559" w:rsidRPr="003272C7" w:rsidRDefault="00E20600" w:rsidP="00E04DB2">
            <w:pPr>
              <w:pStyle w:val="TableBullet"/>
              <w:rPr>
                <w:rFonts w:cs="Arial"/>
              </w:rPr>
            </w:pPr>
            <w:r w:rsidRPr="00623380">
              <w:rPr>
                <w:rFonts w:cs="Arial"/>
              </w:rPr>
              <w:t>The project demonstrated efficiency by utilising existing networks and resources, especially through IWM Forums.</w:t>
            </w:r>
          </w:p>
          <w:p w14:paraId="07D75610" w14:textId="5DFB42AB" w:rsidR="00B242C3" w:rsidRPr="003272C7" w:rsidRDefault="00B242C3" w:rsidP="00E04DB2">
            <w:pPr>
              <w:pStyle w:val="TableBullet"/>
              <w:rPr>
                <w:rFonts w:cs="Arial"/>
              </w:rPr>
            </w:pPr>
            <w:r w:rsidRPr="003272C7">
              <w:rPr>
                <w:rFonts w:cs="Arial"/>
              </w:rPr>
              <w:lastRenderedPageBreak/>
              <w:t>For the IWM component the value of investment is considerable with $31.729 million leveraging in excess of $83.571 million in cash contributions and even more from in kind contributions. No methods for more productive or efficient use of the resources has been identified.</w:t>
            </w:r>
          </w:p>
        </w:tc>
      </w:tr>
      <w:tr w:rsidR="00B242C3" w:rsidRPr="003272C7" w14:paraId="251D6B21" w14:textId="77777777" w:rsidTr="00A26904">
        <w:trPr>
          <w:trHeight w:val="259"/>
        </w:trPr>
        <w:tc>
          <w:tcPr>
            <w:tcW w:w="979" w:type="pct"/>
            <w:shd w:val="clear" w:color="auto" w:fill="231EDC" w:themeFill="accent1"/>
          </w:tcPr>
          <w:p w14:paraId="7930EB2F" w14:textId="77777777" w:rsidR="00B242C3" w:rsidRPr="003272C7" w:rsidRDefault="00B242C3" w:rsidP="00E04DB2">
            <w:pPr>
              <w:pStyle w:val="TableText"/>
              <w:rPr>
                <w:rFonts w:cs="Arial"/>
                <w:b/>
                <w:bCs/>
              </w:rPr>
            </w:pPr>
            <w:r w:rsidRPr="003272C7">
              <w:rPr>
                <w:rFonts w:cs="Arial"/>
                <w:b/>
                <w:bCs/>
              </w:rPr>
              <w:lastRenderedPageBreak/>
              <w:t>Legacy</w:t>
            </w:r>
          </w:p>
        </w:tc>
        <w:tc>
          <w:tcPr>
            <w:tcW w:w="4021" w:type="pct"/>
          </w:tcPr>
          <w:p w14:paraId="33EC5E3A" w14:textId="77777777" w:rsidR="00142559" w:rsidRPr="003272C7" w:rsidRDefault="00B242C3" w:rsidP="00E04DB2">
            <w:pPr>
              <w:pStyle w:val="TableTextBold"/>
              <w:rPr>
                <w:rFonts w:cs="Arial"/>
              </w:rPr>
            </w:pPr>
            <w:r w:rsidRPr="003272C7">
              <w:rPr>
                <w:rFonts w:cs="Arial"/>
              </w:rPr>
              <w:t>Water efficiency</w:t>
            </w:r>
            <w:r w:rsidR="00D82E58" w:rsidRPr="003272C7">
              <w:rPr>
                <w:rFonts w:cs="Arial"/>
              </w:rPr>
              <w:t xml:space="preserve"> component</w:t>
            </w:r>
            <w:r w:rsidRPr="003272C7">
              <w:rPr>
                <w:rFonts w:cs="Arial"/>
              </w:rPr>
              <w:t>:</w:t>
            </w:r>
          </w:p>
          <w:p w14:paraId="052B3C1E" w14:textId="77777777" w:rsidR="00142559" w:rsidRPr="003272C7" w:rsidRDefault="00B242C3" w:rsidP="00E04DB2">
            <w:pPr>
              <w:pStyle w:val="TableBullet"/>
              <w:rPr>
                <w:rFonts w:cs="Arial"/>
              </w:rPr>
            </w:pPr>
            <w:r w:rsidRPr="003272C7">
              <w:rPr>
                <w:rFonts w:cs="Arial"/>
              </w:rPr>
              <w:t>The financial savings associated with early identification of leaks allows customers to take early action to fix the leaks and equipment; this benefits not only the business but local economies into the future (as this money saved from avoided water bills can be invested elsewhere). Equipment upgrades implemented as a result of audits will continue to save water over the effective life of the equipment.</w:t>
            </w:r>
          </w:p>
          <w:p w14:paraId="4F13495B" w14:textId="77777777" w:rsidR="00142559" w:rsidRPr="003272C7" w:rsidRDefault="00D82E58" w:rsidP="00E04DB2">
            <w:pPr>
              <w:pStyle w:val="TableBullet"/>
              <w:rPr>
                <w:rFonts w:cs="Arial"/>
              </w:rPr>
            </w:pPr>
            <w:r w:rsidRPr="00623380">
              <w:rPr>
                <w:rFonts w:cs="Arial"/>
              </w:rPr>
              <w:t>Centralised water efficiency communications will facilitate greater collaboration among urban water corporations, achieve efficiencies of scale, and ensure consistent messaging across the state.</w:t>
            </w:r>
          </w:p>
          <w:p w14:paraId="22E83F0D" w14:textId="77777777" w:rsidR="00142559" w:rsidRPr="003272C7" w:rsidRDefault="00B242C3" w:rsidP="00E04DB2">
            <w:pPr>
              <w:pStyle w:val="TableTextBold"/>
              <w:rPr>
                <w:rFonts w:cs="Arial"/>
              </w:rPr>
            </w:pPr>
            <w:r w:rsidRPr="003272C7">
              <w:rPr>
                <w:rFonts w:cs="Arial"/>
              </w:rPr>
              <w:t>IWM component:</w:t>
            </w:r>
          </w:p>
          <w:p w14:paraId="22875384" w14:textId="77777777" w:rsidR="00142559" w:rsidRPr="003272C7" w:rsidRDefault="00D82E58" w:rsidP="00E04DB2">
            <w:pPr>
              <w:pStyle w:val="TableBullet"/>
              <w:rPr>
                <w:rFonts w:cs="Arial"/>
              </w:rPr>
            </w:pPr>
            <w:r w:rsidRPr="003272C7">
              <w:rPr>
                <w:rFonts w:cs="Arial"/>
              </w:rPr>
              <w:t xml:space="preserve">Infrastructure </w:t>
            </w:r>
            <w:r w:rsidR="00B242C3" w:rsidRPr="003272C7">
              <w:rPr>
                <w:rFonts w:cs="Arial"/>
              </w:rPr>
              <w:t>projects have very long design lives – they are designed to continue on into the future.</w:t>
            </w:r>
          </w:p>
          <w:p w14:paraId="00297432" w14:textId="77777777" w:rsidR="00142559" w:rsidRPr="003272C7" w:rsidRDefault="00B242C3" w:rsidP="00E04DB2">
            <w:pPr>
              <w:pStyle w:val="TableBullet"/>
              <w:rPr>
                <w:rFonts w:cs="Arial"/>
              </w:rPr>
            </w:pPr>
            <w:r w:rsidRPr="003272C7">
              <w:rPr>
                <w:rFonts w:cs="Arial"/>
              </w:rPr>
              <w:t xml:space="preserve">The IWM Forum process is designed to continue to identify and deliver these types of projects across the state. With each project delivered, more expertise across the industry is developed. The funding from this </w:t>
            </w:r>
            <w:r w:rsidR="00445736" w:rsidRPr="003272C7">
              <w:rPr>
                <w:rFonts w:cs="Arial"/>
              </w:rPr>
              <w:t>project</w:t>
            </w:r>
            <w:r w:rsidRPr="003272C7">
              <w:rPr>
                <w:rFonts w:cs="Arial"/>
              </w:rPr>
              <w:t xml:space="preserve"> has been an important contribution with the </w:t>
            </w:r>
            <w:r w:rsidR="00D82E58" w:rsidRPr="003272C7">
              <w:rPr>
                <w:rFonts w:cs="Arial"/>
              </w:rPr>
              <w:t xml:space="preserve">17 </w:t>
            </w:r>
            <w:r w:rsidRPr="003272C7">
              <w:rPr>
                <w:rFonts w:cs="Arial"/>
              </w:rPr>
              <w:t>diverse projects funded.</w:t>
            </w:r>
          </w:p>
          <w:p w14:paraId="49CEFF1A" w14:textId="0EB63C06" w:rsidR="00B242C3" w:rsidRPr="003272C7" w:rsidRDefault="0071146A" w:rsidP="00E04DB2">
            <w:pPr>
              <w:pStyle w:val="TableBullet"/>
              <w:rPr>
                <w:rFonts w:cs="Arial"/>
              </w:rPr>
            </w:pPr>
            <w:r w:rsidRPr="00623380">
              <w:rPr>
                <w:rFonts w:cs="Arial"/>
              </w:rPr>
              <w:t>Many of the project</w:t>
            </w:r>
            <w:r w:rsidR="00DD4B3C" w:rsidRPr="003272C7">
              <w:rPr>
                <w:rFonts w:cs="Arial"/>
              </w:rPr>
              <w:t>’</w:t>
            </w:r>
            <w:r w:rsidRPr="00623380">
              <w:rPr>
                <w:rFonts w:cs="Arial"/>
              </w:rPr>
              <w:t>s outcomes, such as improved stormwater management and use, enhanced water recycling systems, waterway improvements and greening, provide long-term environmental benefits. These projects not only address immediate challenges but also contribute to the resilience of urban and regional environments against climate change.</w:t>
            </w:r>
          </w:p>
        </w:tc>
      </w:tr>
      <w:tr w:rsidR="00B242C3" w:rsidRPr="003272C7" w14:paraId="078B41A4" w14:textId="77777777" w:rsidTr="00A26904">
        <w:trPr>
          <w:trHeight w:val="259"/>
        </w:trPr>
        <w:tc>
          <w:tcPr>
            <w:tcW w:w="979" w:type="pct"/>
            <w:shd w:val="clear" w:color="auto" w:fill="231EDC" w:themeFill="accent1"/>
          </w:tcPr>
          <w:p w14:paraId="74A39864" w14:textId="77777777" w:rsidR="00B242C3" w:rsidRPr="003272C7" w:rsidRDefault="00B242C3" w:rsidP="00E04DB2">
            <w:pPr>
              <w:pStyle w:val="TableText"/>
              <w:rPr>
                <w:rFonts w:cs="Arial"/>
                <w:b/>
                <w:bCs/>
              </w:rPr>
            </w:pPr>
            <w:r w:rsidRPr="003272C7">
              <w:rPr>
                <w:rFonts w:cs="Arial"/>
                <w:b/>
                <w:bCs/>
              </w:rPr>
              <w:t>Future priorities</w:t>
            </w:r>
          </w:p>
        </w:tc>
        <w:tc>
          <w:tcPr>
            <w:tcW w:w="4021" w:type="pct"/>
          </w:tcPr>
          <w:p w14:paraId="3B12019C" w14:textId="77777777" w:rsidR="00142559" w:rsidRPr="003272C7" w:rsidRDefault="00B242C3" w:rsidP="00E04DB2">
            <w:pPr>
              <w:pStyle w:val="TableTextBold"/>
              <w:rPr>
                <w:rFonts w:cs="Arial"/>
              </w:rPr>
            </w:pPr>
            <w:r w:rsidRPr="003272C7">
              <w:rPr>
                <w:rFonts w:cs="Arial"/>
              </w:rPr>
              <w:t>Water Efficiency component:</w:t>
            </w:r>
          </w:p>
          <w:p w14:paraId="6859C5E5" w14:textId="77777777" w:rsidR="00142559" w:rsidRPr="003272C7" w:rsidRDefault="00AA0DFD" w:rsidP="00E04DB2">
            <w:pPr>
              <w:pStyle w:val="TableBullet"/>
              <w:rPr>
                <w:rFonts w:cs="Arial"/>
              </w:rPr>
            </w:pPr>
            <w:r w:rsidRPr="003272C7">
              <w:rPr>
                <w:rFonts w:cs="Arial"/>
              </w:rPr>
              <w:t>data from non-residential water use monitoring and water efficiency audits will identify industry-specific water use trends and aid sector-specific benchmarking and best practice guidance.</w:t>
            </w:r>
          </w:p>
          <w:p w14:paraId="53D0DC75" w14:textId="77777777" w:rsidR="00142559" w:rsidRPr="003272C7" w:rsidRDefault="00AA0DFD" w:rsidP="00E04DB2">
            <w:pPr>
              <w:pStyle w:val="TableBullet"/>
              <w:rPr>
                <w:rFonts w:cs="Arial"/>
              </w:rPr>
            </w:pPr>
            <w:r w:rsidRPr="003272C7">
              <w:rPr>
                <w:rFonts w:cs="Arial"/>
              </w:rPr>
              <w:t>The water monitoring component of WaterSmart requires customers to continue water use monitoring for three years; this allows water corporations to build and maintain strong relationships and encourage water efficiency actions across their highest water using customers.</w:t>
            </w:r>
          </w:p>
          <w:p w14:paraId="5CD85524" w14:textId="77777777" w:rsidR="00142559" w:rsidRPr="003272C7" w:rsidRDefault="00AA0DFD" w:rsidP="00E04DB2">
            <w:pPr>
              <w:pStyle w:val="TableBullet"/>
              <w:rPr>
                <w:rFonts w:cs="Arial"/>
              </w:rPr>
            </w:pPr>
            <w:r w:rsidRPr="003272C7">
              <w:rPr>
                <w:rFonts w:cs="Arial"/>
              </w:rPr>
              <w:t>The program will continue delivery through to 30 September 2025 with funds from CGRSWS</w:t>
            </w:r>
            <w:r w:rsidR="00DD4B3C" w:rsidRPr="003272C7">
              <w:rPr>
                <w:rFonts w:cs="Arial"/>
              </w:rPr>
              <w:t xml:space="preserve"> Funding</w:t>
            </w:r>
            <w:r w:rsidRPr="003272C7">
              <w:rPr>
                <w:rFonts w:cs="Arial"/>
              </w:rPr>
              <w:t xml:space="preserve"> Stream 2. In May 2024, the </w:t>
            </w:r>
            <w:r w:rsidR="00DD4B3C" w:rsidRPr="003272C7">
              <w:rPr>
                <w:rFonts w:cs="Arial"/>
              </w:rPr>
              <w:t>Victorian</w:t>
            </w:r>
            <w:r w:rsidRPr="003272C7">
              <w:rPr>
                <w:rFonts w:cs="Arial"/>
              </w:rPr>
              <w:t xml:space="preserve"> Budget allocated $4.67 million to WaterSmart; this will allow statewide expansion of the program (to all other non-CGRSWS water corporations), and support investigation of other </w:t>
            </w:r>
            <w:r w:rsidR="00445736" w:rsidRPr="003272C7">
              <w:rPr>
                <w:rFonts w:cs="Arial"/>
              </w:rPr>
              <w:t>project</w:t>
            </w:r>
            <w:r w:rsidRPr="003272C7">
              <w:rPr>
                <w:rFonts w:cs="Arial"/>
              </w:rPr>
              <w:t>s as raised in the CGRSWS such as industry benchmarking.</w:t>
            </w:r>
          </w:p>
          <w:p w14:paraId="4751B6CE" w14:textId="77777777" w:rsidR="00142559" w:rsidRPr="003272C7" w:rsidRDefault="00AA0DFD" w:rsidP="00E04DB2">
            <w:pPr>
              <w:pStyle w:val="TableBullet"/>
              <w:rPr>
                <w:rFonts w:cs="Arial"/>
              </w:rPr>
            </w:pPr>
            <w:r w:rsidRPr="00623380">
              <w:rPr>
                <w:rFonts w:cs="Arial"/>
              </w:rPr>
              <w:t xml:space="preserve">The </w:t>
            </w:r>
            <w:r w:rsidR="00876848" w:rsidRPr="003272C7">
              <w:rPr>
                <w:rFonts w:cs="Arial"/>
              </w:rPr>
              <w:t>Make Every Drop Count</w:t>
            </w:r>
            <w:r w:rsidR="00876848" w:rsidRPr="00623380">
              <w:rPr>
                <w:rFonts w:cs="Arial"/>
              </w:rPr>
              <w:t xml:space="preserve"> </w:t>
            </w:r>
            <w:r w:rsidRPr="00623380">
              <w:rPr>
                <w:rFonts w:cs="Arial"/>
              </w:rPr>
              <w:t>statewide expansion pilot project will continue to be delivered until 30 October 2026. Key future priorities of the project include:</w:t>
            </w:r>
          </w:p>
          <w:p w14:paraId="32733A70" w14:textId="612AF04D" w:rsidR="008525A2" w:rsidRPr="003272C7" w:rsidRDefault="00AA0DFD" w:rsidP="00E04DB2">
            <w:pPr>
              <w:pStyle w:val="TableBullet2"/>
              <w:rPr>
                <w:rFonts w:cs="Arial"/>
              </w:rPr>
            </w:pPr>
            <w:r w:rsidRPr="00623380">
              <w:rPr>
                <w:rFonts w:cs="Arial"/>
              </w:rPr>
              <w:t>engagement with all Victorian urban water corporations</w:t>
            </w:r>
            <w:r w:rsidR="00FB263F" w:rsidRPr="003272C7">
              <w:rPr>
                <w:rFonts w:cs="Arial"/>
              </w:rPr>
              <w:t>.</w:t>
            </w:r>
          </w:p>
          <w:p w14:paraId="2D7AB506" w14:textId="17FA71E0" w:rsidR="00FB263F" w:rsidRPr="003272C7" w:rsidRDefault="00AA0DFD" w:rsidP="00E04DB2">
            <w:pPr>
              <w:pStyle w:val="TableBullet2"/>
              <w:rPr>
                <w:rFonts w:cs="Arial"/>
              </w:rPr>
            </w:pPr>
            <w:r w:rsidRPr="00623380">
              <w:rPr>
                <w:rFonts w:cs="Arial"/>
              </w:rPr>
              <w:t xml:space="preserve">creation of a library with a suite of marketing and communications materials that leverage the existing </w:t>
            </w:r>
            <w:r w:rsidR="00FB263F" w:rsidRPr="003272C7">
              <w:rPr>
                <w:rFonts w:cs="Arial"/>
              </w:rPr>
              <w:t>Make Every Drop Count</w:t>
            </w:r>
            <w:r w:rsidR="00FB263F" w:rsidRPr="00623380">
              <w:rPr>
                <w:rFonts w:cs="Arial"/>
              </w:rPr>
              <w:t xml:space="preserve"> </w:t>
            </w:r>
            <w:r w:rsidRPr="00623380">
              <w:rPr>
                <w:rFonts w:cs="Arial"/>
              </w:rPr>
              <w:t>creative platform, but can also be used independently by individual urban water corporations as desired</w:t>
            </w:r>
            <w:r w:rsidR="00FB263F" w:rsidRPr="003272C7">
              <w:rPr>
                <w:rFonts w:cs="Arial"/>
              </w:rPr>
              <w:t>.</w:t>
            </w:r>
          </w:p>
          <w:p w14:paraId="25CF8CD5" w14:textId="77777777" w:rsidR="00142559" w:rsidRPr="003272C7" w:rsidRDefault="00AA0DFD" w:rsidP="00E04DB2">
            <w:pPr>
              <w:pStyle w:val="TableBullet2"/>
              <w:rPr>
                <w:rFonts w:cs="Arial"/>
              </w:rPr>
            </w:pPr>
            <w:r w:rsidRPr="00623380">
              <w:rPr>
                <w:rFonts w:cs="Arial"/>
              </w:rPr>
              <w:t>development of a governance framework that enables Victorian water corporations to participate in the future development of marketing materials.</w:t>
            </w:r>
          </w:p>
          <w:p w14:paraId="21D76DE6" w14:textId="77777777" w:rsidR="00142559" w:rsidRPr="003272C7" w:rsidRDefault="00B242C3" w:rsidP="00E04DB2">
            <w:pPr>
              <w:pStyle w:val="TableTextBold"/>
              <w:rPr>
                <w:rFonts w:cs="Arial"/>
              </w:rPr>
            </w:pPr>
            <w:r w:rsidRPr="003272C7">
              <w:rPr>
                <w:rFonts w:cs="Arial"/>
              </w:rPr>
              <w:t>IWM Program:</w:t>
            </w:r>
          </w:p>
          <w:p w14:paraId="55C053E7" w14:textId="56B4C90E" w:rsidR="00142559" w:rsidRPr="003272C7" w:rsidRDefault="00B242C3" w:rsidP="00E04DB2">
            <w:pPr>
              <w:pStyle w:val="TableNumber"/>
              <w:numPr>
                <w:ilvl w:val="0"/>
                <w:numId w:val="174"/>
              </w:numPr>
              <w:rPr>
                <w:rFonts w:cs="Arial"/>
              </w:rPr>
            </w:pPr>
            <w:r w:rsidRPr="003272C7">
              <w:rPr>
                <w:rFonts w:cs="Arial"/>
              </w:rPr>
              <w:t>IWM Forum and Policy development: Providing the IWM Forums as a collaborative platform to facilitate the identification, assessment, and implementation of IWM solutions that could directly address the problems in a place-based way, including supporting and developing relevant policy reforms</w:t>
            </w:r>
            <w:r w:rsidR="00966D06" w:rsidRPr="003272C7">
              <w:rPr>
                <w:rFonts w:cs="Arial"/>
              </w:rPr>
              <w:t> </w:t>
            </w:r>
            <w:r w:rsidRPr="003272C7">
              <w:rPr>
                <w:rFonts w:cs="Arial"/>
              </w:rPr>
              <w:t>and capacity building to facilitate the planning and implementation of the</w:t>
            </w:r>
            <w:r w:rsidR="00966D06" w:rsidRPr="003272C7">
              <w:rPr>
                <w:rFonts w:cs="Arial"/>
              </w:rPr>
              <w:t> </w:t>
            </w:r>
            <w:r w:rsidRPr="003272C7">
              <w:rPr>
                <w:rFonts w:cs="Arial"/>
              </w:rPr>
              <w:t>solutions.</w:t>
            </w:r>
          </w:p>
          <w:p w14:paraId="0EF30D27" w14:textId="77777777" w:rsidR="00142559" w:rsidRPr="003272C7" w:rsidRDefault="00B242C3" w:rsidP="00966D06">
            <w:pPr>
              <w:pStyle w:val="TableNumber"/>
              <w:keepNext/>
              <w:keepLines/>
              <w:rPr>
                <w:rFonts w:cs="Arial"/>
              </w:rPr>
            </w:pPr>
            <w:r w:rsidRPr="003272C7">
              <w:rPr>
                <w:rFonts w:cs="Arial"/>
              </w:rPr>
              <w:lastRenderedPageBreak/>
              <w:t>Co-investment: An IWM Grant Program that co-invests in the following:</w:t>
            </w:r>
          </w:p>
          <w:p w14:paraId="68288049" w14:textId="297F2D21" w:rsidR="00B242C3" w:rsidRPr="003272C7" w:rsidRDefault="00B242C3" w:rsidP="00966D06">
            <w:pPr>
              <w:pStyle w:val="TableBullet2"/>
              <w:keepNext/>
              <w:keepLines/>
              <w:rPr>
                <w:rFonts w:cs="Arial"/>
              </w:rPr>
            </w:pPr>
            <w:r w:rsidRPr="003272C7">
              <w:rPr>
                <w:rFonts w:cs="Arial"/>
              </w:rPr>
              <w:t>On-ground projects</w:t>
            </w:r>
          </w:p>
          <w:p w14:paraId="5E9CD32C" w14:textId="77777777" w:rsidR="00142559" w:rsidRPr="003272C7" w:rsidRDefault="00B242C3" w:rsidP="00E04DB2">
            <w:pPr>
              <w:pStyle w:val="TableBullet2"/>
              <w:rPr>
                <w:rFonts w:cs="Arial"/>
              </w:rPr>
            </w:pPr>
            <w:r w:rsidRPr="003272C7">
              <w:rPr>
                <w:rFonts w:cs="Arial"/>
              </w:rPr>
              <w:t>IWM plans, feasibility studies, designs, business cases</w:t>
            </w:r>
          </w:p>
          <w:p w14:paraId="2A0471B7" w14:textId="4E3B93AB" w:rsidR="00B242C3" w:rsidRPr="003272C7" w:rsidRDefault="00B242C3" w:rsidP="00E04DB2">
            <w:pPr>
              <w:pStyle w:val="TableBullet2"/>
              <w:rPr>
                <w:rFonts w:cs="Arial"/>
              </w:rPr>
            </w:pPr>
            <w:r w:rsidRPr="003272C7">
              <w:rPr>
                <w:rFonts w:cs="Arial"/>
              </w:rPr>
              <w:t>IWM officers in T</w:t>
            </w:r>
            <w:r w:rsidR="00A86FC6" w:rsidRPr="003272C7">
              <w:rPr>
                <w:rFonts w:cs="Arial"/>
              </w:rPr>
              <w:t xml:space="preserve">raditional </w:t>
            </w:r>
            <w:r w:rsidRPr="003272C7">
              <w:rPr>
                <w:rFonts w:cs="Arial"/>
              </w:rPr>
              <w:t>O</w:t>
            </w:r>
            <w:r w:rsidR="00A86FC6" w:rsidRPr="003272C7">
              <w:rPr>
                <w:rFonts w:cs="Arial"/>
              </w:rPr>
              <w:t>wner</w:t>
            </w:r>
            <w:r w:rsidRPr="003272C7">
              <w:rPr>
                <w:rFonts w:cs="Arial"/>
              </w:rPr>
              <w:t xml:space="preserve"> organisations and regional Victoria</w:t>
            </w:r>
          </w:p>
        </w:tc>
      </w:tr>
    </w:tbl>
    <w:p w14:paraId="3A00E410" w14:textId="294A96BA" w:rsidR="00B242C3" w:rsidRPr="003272C7" w:rsidRDefault="00B242C3" w:rsidP="00B242C3">
      <w:pPr>
        <w:pStyle w:val="Heading2"/>
        <w:rPr>
          <w:rFonts w:cs="Arial"/>
        </w:rPr>
      </w:pPr>
      <w:bookmarkStart w:id="65" w:name="_Toc147410798"/>
      <w:bookmarkStart w:id="66" w:name="_Toc183777806"/>
      <w:r w:rsidRPr="003272C7">
        <w:rPr>
          <w:rFonts w:cs="Arial"/>
        </w:rPr>
        <w:lastRenderedPageBreak/>
        <w:t xml:space="preserve">CWCT08: CGRSWS </w:t>
      </w:r>
      <w:r w:rsidR="00FB263F" w:rsidRPr="003272C7">
        <w:rPr>
          <w:rFonts w:cs="Arial"/>
        </w:rPr>
        <w:t>Funding</w:t>
      </w:r>
      <w:r w:rsidRPr="003272C7">
        <w:rPr>
          <w:rFonts w:cs="Arial"/>
        </w:rPr>
        <w:t xml:space="preserve"> Stream 3 Waterway Health </w:t>
      </w:r>
      <w:r w:rsidR="00271AE7" w:rsidRPr="003272C7">
        <w:rPr>
          <w:rFonts w:cs="Arial"/>
        </w:rPr>
        <w:t>C</w:t>
      </w:r>
      <w:r w:rsidRPr="003272C7">
        <w:rPr>
          <w:rFonts w:cs="Arial"/>
        </w:rPr>
        <w:t xml:space="preserve">omplementary </w:t>
      </w:r>
      <w:r w:rsidR="00271AE7" w:rsidRPr="003272C7">
        <w:rPr>
          <w:rFonts w:cs="Arial"/>
        </w:rPr>
        <w:t>M</w:t>
      </w:r>
      <w:r w:rsidRPr="003272C7">
        <w:rPr>
          <w:rFonts w:cs="Arial"/>
        </w:rPr>
        <w:t xml:space="preserve">easures and </w:t>
      </w:r>
      <w:r w:rsidR="00271AE7" w:rsidRPr="003272C7">
        <w:rPr>
          <w:rFonts w:cs="Arial"/>
        </w:rPr>
        <w:t>C</w:t>
      </w:r>
      <w:r w:rsidRPr="003272C7">
        <w:rPr>
          <w:rFonts w:cs="Arial"/>
        </w:rPr>
        <w:t xml:space="preserve">atchment </w:t>
      </w:r>
      <w:r w:rsidR="00271AE7" w:rsidRPr="003272C7">
        <w:rPr>
          <w:rFonts w:cs="Arial"/>
        </w:rPr>
        <w:t>M</w:t>
      </w:r>
      <w:r w:rsidRPr="003272C7">
        <w:rPr>
          <w:rFonts w:cs="Arial"/>
        </w:rPr>
        <w:t xml:space="preserve">anagement </w:t>
      </w:r>
      <w:r w:rsidR="00271AE7" w:rsidRPr="003272C7">
        <w:rPr>
          <w:rFonts w:cs="Arial"/>
        </w:rPr>
        <w:t>I</w:t>
      </w:r>
      <w:r w:rsidRPr="003272C7">
        <w:rPr>
          <w:rFonts w:cs="Arial"/>
        </w:rPr>
        <w:t>mprovement</w:t>
      </w:r>
      <w:bookmarkEnd w:id="65"/>
      <w:bookmarkEnd w:id="6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A0" w:firstRow="1" w:lastRow="0" w:firstColumn="1" w:lastColumn="0" w:noHBand="0" w:noVBand="1"/>
      </w:tblPr>
      <w:tblGrid>
        <w:gridCol w:w="1885"/>
        <w:gridCol w:w="7743"/>
      </w:tblGrid>
      <w:tr w:rsidR="00B242C3" w:rsidRPr="003272C7" w14:paraId="5FFEA1FF" w14:textId="77777777" w:rsidTr="00321DE0">
        <w:trPr>
          <w:trHeight w:val="395"/>
        </w:trPr>
        <w:tc>
          <w:tcPr>
            <w:tcW w:w="979" w:type="pct"/>
            <w:shd w:val="clear" w:color="auto" w:fill="231EDC" w:themeFill="accent1"/>
          </w:tcPr>
          <w:p w14:paraId="4F39FC59" w14:textId="7DEF543F" w:rsidR="00B242C3" w:rsidRPr="003272C7" w:rsidRDefault="00C412A9" w:rsidP="00E04DB2">
            <w:pPr>
              <w:pStyle w:val="TableHeading"/>
              <w:rPr>
                <w:rFonts w:cs="Arial"/>
              </w:rPr>
            </w:pPr>
            <w:r w:rsidRPr="003272C7">
              <w:rPr>
                <w:rFonts w:cs="Arial"/>
              </w:rPr>
              <w:t>Initiative</w:t>
            </w:r>
          </w:p>
        </w:tc>
        <w:tc>
          <w:tcPr>
            <w:tcW w:w="4021" w:type="pct"/>
            <w:shd w:val="clear" w:color="auto" w:fill="231EDC" w:themeFill="accent1"/>
          </w:tcPr>
          <w:p w14:paraId="7E92C78F" w14:textId="77777777" w:rsidR="00B242C3" w:rsidRPr="003272C7" w:rsidRDefault="00B242C3" w:rsidP="00E04DB2">
            <w:pPr>
              <w:pStyle w:val="TableHeading"/>
              <w:rPr>
                <w:rFonts w:cs="Arial"/>
              </w:rPr>
            </w:pPr>
            <w:r w:rsidRPr="003272C7">
              <w:rPr>
                <w:rFonts w:cs="Arial"/>
              </w:rPr>
              <w:t>9. Phase One Implementation of the Central and Gippsland Region Sustainable Water Strategy</w:t>
            </w:r>
          </w:p>
        </w:tc>
      </w:tr>
      <w:tr w:rsidR="00B242C3" w:rsidRPr="003272C7" w14:paraId="0762567E" w14:textId="77777777" w:rsidTr="00321DE0">
        <w:trPr>
          <w:trHeight w:val="341"/>
        </w:trPr>
        <w:tc>
          <w:tcPr>
            <w:tcW w:w="979" w:type="pct"/>
            <w:shd w:val="clear" w:color="auto" w:fill="231EDC" w:themeFill="accent1"/>
          </w:tcPr>
          <w:p w14:paraId="4699A6F4" w14:textId="77777777" w:rsidR="00B242C3" w:rsidRPr="003272C7" w:rsidRDefault="00B242C3" w:rsidP="00E04DB2">
            <w:pPr>
              <w:pStyle w:val="TableText"/>
              <w:rPr>
                <w:rFonts w:cs="Arial"/>
                <w:b/>
                <w:bCs/>
              </w:rPr>
            </w:pPr>
            <w:r w:rsidRPr="003272C7">
              <w:rPr>
                <w:rFonts w:cs="Arial"/>
                <w:b/>
                <w:bCs/>
              </w:rPr>
              <w:t>Project</w:t>
            </w:r>
          </w:p>
        </w:tc>
        <w:tc>
          <w:tcPr>
            <w:tcW w:w="4021" w:type="pct"/>
          </w:tcPr>
          <w:p w14:paraId="0FA6A706" w14:textId="543A4371" w:rsidR="00B242C3" w:rsidRPr="003272C7" w:rsidRDefault="00B242C3" w:rsidP="00E04DB2">
            <w:pPr>
              <w:pStyle w:val="TableText"/>
              <w:rPr>
                <w:rFonts w:cs="Arial"/>
              </w:rPr>
            </w:pPr>
            <w:r w:rsidRPr="003272C7">
              <w:rPr>
                <w:rFonts w:cs="Arial"/>
              </w:rPr>
              <w:t xml:space="preserve">CWCT08: CGRSWS </w:t>
            </w:r>
            <w:r w:rsidR="00BA193C" w:rsidRPr="003272C7">
              <w:rPr>
                <w:rFonts w:cs="Arial"/>
              </w:rPr>
              <w:t>Funding</w:t>
            </w:r>
            <w:r w:rsidRPr="003272C7">
              <w:rPr>
                <w:rFonts w:cs="Arial"/>
              </w:rPr>
              <w:t xml:space="preserve"> Stream 3 Waterway Health complementary measures and catchment management improvement</w:t>
            </w:r>
          </w:p>
        </w:tc>
      </w:tr>
      <w:tr w:rsidR="00B242C3" w:rsidRPr="003272C7" w14:paraId="7F031844" w14:textId="77777777" w:rsidTr="00321DE0">
        <w:trPr>
          <w:trHeight w:val="259"/>
        </w:trPr>
        <w:tc>
          <w:tcPr>
            <w:tcW w:w="979" w:type="pct"/>
            <w:shd w:val="clear" w:color="auto" w:fill="231EDC" w:themeFill="accent1"/>
          </w:tcPr>
          <w:p w14:paraId="629CD3EC" w14:textId="77777777" w:rsidR="00B242C3" w:rsidRPr="003272C7" w:rsidRDefault="00B242C3" w:rsidP="00E04DB2">
            <w:pPr>
              <w:pStyle w:val="TableText"/>
              <w:rPr>
                <w:rFonts w:cs="Arial"/>
                <w:b/>
                <w:bCs/>
              </w:rPr>
            </w:pPr>
            <w:r w:rsidRPr="003272C7">
              <w:rPr>
                <w:rFonts w:cs="Arial"/>
                <w:b/>
                <w:bCs/>
              </w:rPr>
              <w:t>Description</w:t>
            </w:r>
          </w:p>
          <w:p w14:paraId="357AEEC2" w14:textId="77777777" w:rsidR="00B242C3" w:rsidRPr="003272C7" w:rsidRDefault="00B242C3" w:rsidP="00E04DB2">
            <w:pPr>
              <w:pStyle w:val="TableText"/>
              <w:rPr>
                <w:rFonts w:cs="Arial"/>
                <w:b/>
                <w:bCs/>
              </w:rPr>
            </w:pPr>
          </w:p>
        </w:tc>
        <w:tc>
          <w:tcPr>
            <w:tcW w:w="4021" w:type="pct"/>
          </w:tcPr>
          <w:p w14:paraId="48266324" w14:textId="520252C3" w:rsidR="00B242C3" w:rsidRPr="003272C7" w:rsidRDefault="00B242C3" w:rsidP="00E04DB2">
            <w:pPr>
              <w:pStyle w:val="TableText"/>
              <w:rPr>
                <w:rFonts w:cs="Arial"/>
              </w:rPr>
            </w:pPr>
            <w:r w:rsidRPr="003272C7">
              <w:rPr>
                <w:rFonts w:cs="Arial"/>
              </w:rPr>
              <w:t xml:space="preserve">The CGRSWS has identified proposed complementary measures and catchment management actions to enable water users, water corporations, CMAs and Melbourne Water to manage and respond to water threats over the next 10 years. Complementary measures do not involve water recovery but can improve the overall health of the waterway. For example, installing a fishway </w:t>
            </w:r>
            <w:r w:rsidR="007D0657" w:rsidRPr="003272C7">
              <w:rPr>
                <w:rFonts w:cs="Arial"/>
              </w:rPr>
              <w:t>on a barrier to fish movement</w:t>
            </w:r>
            <w:r w:rsidRPr="003272C7">
              <w:rPr>
                <w:rFonts w:cs="Arial"/>
              </w:rPr>
              <w:t xml:space="preserve"> does not increase the volume of water available to the environment, but can </w:t>
            </w:r>
            <w:r w:rsidR="008847FB" w:rsidRPr="003272C7">
              <w:rPr>
                <w:rFonts w:cs="Arial"/>
              </w:rPr>
              <w:t>improve the benefits from environmental flows</w:t>
            </w:r>
            <w:r w:rsidRPr="003272C7">
              <w:rPr>
                <w:rFonts w:cs="Arial"/>
              </w:rPr>
              <w:t xml:space="preserve">. In some cases, the use of complementary measures can decrease the volume of water </w:t>
            </w:r>
            <w:r w:rsidR="00A4131C" w:rsidRPr="003272C7">
              <w:rPr>
                <w:rFonts w:cs="Arial"/>
              </w:rPr>
              <w:t xml:space="preserve">that needs </w:t>
            </w:r>
            <w:r w:rsidRPr="003272C7">
              <w:rPr>
                <w:rFonts w:cs="Arial"/>
              </w:rPr>
              <w:t xml:space="preserve">to be recovered </w:t>
            </w:r>
            <w:r w:rsidR="00A4131C" w:rsidRPr="003272C7">
              <w:rPr>
                <w:rFonts w:cs="Arial"/>
              </w:rPr>
              <w:t xml:space="preserve">to achieve ecological objectives, </w:t>
            </w:r>
            <w:r w:rsidRPr="003272C7">
              <w:rPr>
                <w:rFonts w:cs="Arial"/>
              </w:rPr>
              <w:t xml:space="preserve">or bring </w:t>
            </w:r>
            <w:r w:rsidR="00A4131C" w:rsidRPr="003272C7">
              <w:rPr>
                <w:rFonts w:cs="Arial"/>
              </w:rPr>
              <w:t xml:space="preserve">environmental </w:t>
            </w:r>
            <w:r w:rsidRPr="003272C7">
              <w:rPr>
                <w:rFonts w:cs="Arial"/>
              </w:rPr>
              <w:t>benefits that would otherwise not be feasible. Similarly, catchment management improvements such as increased community stewardship of local land can lead to better management of runoff and improvements in water quality</w:t>
            </w:r>
            <w:r w:rsidR="00BA193C" w:rsidRPr="003272C7">
              <w:rPr>
                <w:rFonts w:cs="Arial"/>
              </w:rPr>
              <w:t>.</w:t>
            </w:r>
          </w:p>
          <w:p w14:paraId="03B62DAE" w14:textId="3B6CFF37" w:rsidR="00B242C3" w:rsidRPr="003272C7" w:rsidRDefault="00B242C3" w:rsidP="00E04DB2">
            <w:pPr>
              <w:pStyle w:val="TableText"/>
              <w:rPr>
                <w:rFonts w:cs="Arial"/>
              </w:rPr>
            </w:pPr>
            <w:r w:rsidRPr="003272C7">
              <w:rPr>
                <w:rFonts w:cs="Arial"/>
              </w:rPr>
              <w:t xml:space="preserve">This investment funds targeted on-ground projects to support the health of the Lower Latrobe Wetlands and Macalister River, investigate options for future priority works in the Werribee and Moorabool rivers and implement other management improvements for waterways in the </w:t>
            </w:r>
            <w:r w:rsidR="00E37359" w:rsidRPr="003272C7">
              <w:rPr>
                <w:rFonts w:cs="Arial"/>
              </w:rPr>
              <w:t xml:space="preserve">Central and Gippsland </w:t>
            </w:r>
            <w:r w:rsidRPr="003272C7">
              <w:rPr>
                <w:rFonts w:cs="Arial"/>
              </w:rPr>
              <w:t>region</w:t>
            </w:r>
            <w:r w:rsidR="00E37359" w:rsidRPr="003272C7">
              <w:rPr>
                <w:rFonts w:cs="Arial"/>
              </w:rPr>
              <w:t>s</w:t>
            </w:r>
            <w:r w:rsidRPr="003272C7">
              <w:rPr>
                <w:rFonts w:cs="Arial"/>
              </w:rPr>
              <w:t>.</w:t>
            </w:r>
          </w:p>
        </w:tc>
      </w:tr>
      <w:tr w:rsidR="00B242C3" w:rsidRPr="003272C7" w14:paraId="7BE5FB67" w14:textId="77777777" w:rsidTr="00321DE0">
        <w:trPr>
          <w:trHeight w:val="259"/>
        </w:trPr>
        <w:tc>
          <w:tcPr>
            <w:tcW w:w="979" w:type="pct"/>
            <w:shd w:val="clear" w:color="auto" w:fill="231EDC" w:themeFill="accent1"/>
          </w:tcPr>
          <w:p w14:paraId="34C6E16A" w14:textId="77777777" w:rsidR="00B242C3" w:rsidRPr="003272C7" w:rsidRDefault="00B242C3" w:rsidP="00E04DB2">
            <w:pPr>
              <w:pStyle w:val="TableText"/>
              <w:rPr>
                <w:rFonts w:cs="Arial"/>
                <w:b/>
                <w:bCs/>
              </w:rPr>
            </w:pPr>
            <w:r w:rsidRPr="003272C7">
              <w:rPr>
                <w:rFonts w:cs="Arial"/>
                <w:b/>
                <w:bCs/>
              </w:rPr>
              <w:t>Outputs</w:t>
            </w:r>
          </w:p>
        </w:tc>
        <w:tc>
          <w:tcPr>
            <w:tcW w:w="4021" w:type="pct"/>
          </w:tcPr>
          <w:p w14:paraId="631025A3" w14:textId="77777777" w:rsidR="00142559" w:rsidRPr="003272C7" w:rsidRDefault="00B242C3" w:rsidP="00E04DB2">
            <w:pPr>
              <w:pStyle w:val="TableBullet"/>
              <w:rPr>
                <w:rFonts w:cs="Arial"/>
              </w:rPr>
            </w:pPr>
            <w:r w:rsidRPr="003272C7">
              <w:rPr>
                <w:rFonts w:cs="Arial"/>
              </w:rPr>
              <w:t>Lower Latrobe Wetlands, Maffra Weir Fishway, Moorabool channel lining and Werribee diversion weir activities: initial year of funding and resources were focussed on setting up the planning and governance of these projects, including revised detailed design and detailed costing for the Maffra Weir fishway, funding agreements signed, set up of working groups for Werribee diversion weir design.</w:t>
            </w:r>
          </w:p>
          <w:p w14:paraId="598E35D5" w14:textId="52E62B18" w:rsidR="00B242C3" w:rsidRPr="003272C7" w:rsidRDefault="00B242C3" w:rsidP="00E04DB2">
            <w:pPr>
              <w:pStyle w:val="TableBullet"/>
              <w:rPr>
                <w:rFonts w:cs="Arial"/>
              </w:rPr>
            </w:pPr>
            <w:r w:rsidRPr="003272C7">
              <w:rPr>
                <w:rFonts w:cs="Arial"/>
              </w:rPr>
              <w:t>Regional Catchment Strategy Outcomes: Much of the progress so far has focused on capacity building with increasing emphasis this year on providing grants to partners, Traditional Owners and community to leverage the support for targeted on-ground works</w:t>
            </w:r>
            <w:r w:rsidR="00BA193C" w:rsidRPr="003272C7">
              <w:rPr>
                <w:rFonts w:cs="Arial"/>
              </w:rPr>
              <w:t>.</w:t>
            </w:r>
          </w:p>
          <w:p w14:paraId="3FB41DBF" w14:textId="77777777" w:rsidR="00B242C3" w:rsidRPr="003272C7" w:rsidRDefault="00B242C3" w:rsidP="00E04DB2">
            <w:pPr>
              <w:pStyle w:val="TableBullet"/>
              <w:rPr>
                <w:rFonts w:cs="Arial"/>
              </w:rPr>
            </w:pPr>
            <w:r w:rsidRPr="003272C7">
              <w:rPr>
                <w:rFonts w:cs="Arial"/>
              </w:rPr>
              <w:t xml:space="preserve">Contribution to state-wide CMA priority activities: Preparation of the annual CMA Actions and Achievements Reports, support for the state-wide CMA climate change coordination role, active participation in networks, financial contributions to projects. </w:t>
            </w:r>
          </w:p>
        </w:tc>
      </w:tr>
      <w:tr w:rsidR="00B242C3" w:rsidRPr="003272C7" w14:paraId="054F7A71" w14:textId="77777777" w:rsidTr="00BD381C">
        <w:tblPrEx>
          <w:tblLook w:val="0420" w:firstRow="1" w:lastRow="0" w:firstColumn="0" w:lastColumn="0" w:noHBand="0" w:noVBand="1"/>
        </w:tblPrEx>
        <w:trPr>
          <w:trHeight w:val="259"/>
        </w:trPr>
        <w:tc>
          <w:tcPr>
            <w:tcW w:w="5000" w:type="pct"/>
            <w:gridSpan w:val="2"/>
            <w:shd w:val="clear" w:color="auto" w:fill="231EDC" w:themeFill="accent1"/>
          </w:tcPr>
          <w:p w14:paraId="40EAA883" w14:textId="77777777" w:rsidR="00B242C3" w:rsidRPr="003272C7" w:rsidRDefault="00B242C3" w:rsidP="00E04DB2">
            <w:pPr>
              <w:pStyle w:val="TableText"/>
              <w:rPr>
                <w:rFonts w:cs="Arial"/>
                <w:b/>
                <w:bCs/>
              </w:rPr>
            </w:pPr>
            <w:r w:rsidRPr="003272C7">
              <w:rPr>
                <w:rFonts w:cs="Arial"/>
                <w:b/>
                <w:bCs/>
              </w:rPr>
              <w:t>Summary against evaluation domains</w:t>
            </w:r>
          </w:p>
        </w:tc>
      </w:tr>
      <w:tr w:rsidR="00BA193C" w:rsidRPr="003272C7" w14:paraId="465AA37D" w14:textId="77777777" w:rsidTr="00321DE0">
        <w:trPr>
          <w:trHeight w:val="259"/>
        </w:trPr>
        <w:tc>
          <w:tcPr>
            <w:tcW w:w="979" w:type="pct"/>
            <w:shd w:val="clear" w:color="auto" w:fill="231EDC" w:themeFill="accent1"/>
          </w:tcPr>
          <w:p w14:paraId="5518F427" w14:textId="77777777" w:rsidR="00B242C3" w:rsidRPr="003272C7" w:rsidRDefault="00B242C3" w:rsidP="00E04DB2">
            <w:pPr>
              <w:pStyle w:val="TableText"/>
              <w:rPr>
                <w:rFonts w:cs="Arial"/>
                <w:b/>
                <w:bCs/>
              </w:rPr>
            </w:pPr>
            <w:r w:rsidRPr="003272C7">
              <w:rPr>
                <w:rFonts w:cs="Arial"/>
                <w:b/>
                <w:bCs/>
              </w:rPr>
              <w:t>Impact</w:t>
            </w:r>
          </w:p>
        </w:tc>
        <w:tc>
          <w:tcPr>
            <w:tcW w:w="4021" w:type="pct"/>
          </w:tcPr>
          <w:p w14:paraId="494A6652" w14:textId="4661505F" w:rsidR="00DA6173" w:rsidRPr="003272C7" w:rsidRDefault="00B242C3" w:rsidP="00E04DB2">
            <w:pPr>
              <w:pStyle w:val="TableText"/>
              <w:rPr>
                <w:rFonts w:cs="Arial"/>
              </w:rPr>
            </w:pPr>
            <w:r w:rsidRPr="003272C7">
              <w:rPr>
                <w:rFonts w:cs="Arial"/>
              </w:rPr>
              <w:t xml:space="preserve">Construction projects for fish barrier removal and </w:t>
            </w:r>
            <w:r w:rsidR="0025716F" w:rsidRPr="003272C7">
              <w:rPr>
                <w:rFonts w:cs="Arial"/>
              </w:rPr>
              <w:t>improving the effectiveness of</w:t>
            </w:r>
            <w:r w:rsidRPr="003272C7">
              <w:rPr>
                <w:rFonts w:cs="Arial"/>
              </w:rPr>
              <w:t xml:space="preserve"> water</w:t>
            </w:r>
            <w:r w:rsidR="0025716F" w:rsidRPr="003272C7">
              <w:rPr>
                <w:rFonts w:cs="Arial"/>
              </w:rPr>
              <w:t>ing</w:t>
            </w:r>
            <w:r w:rsidRPr="003272C7">
              <w:rPr>
                <w:rFonts w:cs="Arial"/>
              </w:rPr>
              <w:t xml:space="preserve"> infrastructure</w:t>
            </w:r>
            <w:r w:rsidR="00B34598" w:rsidRPr="003272C7">
              <w:rPr>
                <w:rFonts w:cs="Arial"/>
              </w:rPr>
              <w:t xml:space="preserve"> are </w:t>
            </w:r>
            <w:r w:rsidR="00BA193C" w:rsidRPr="003272C7">
              <w:rPr>
                <w:rFonts w:cs="Arial"/>
              </w:rPr>
              <w:t>underway, and</w:t>
            </w:r>
            <w:r w:rsidR="00B34598" w:rsidRPr="003272C7">
              <w:rPr>
                <w:rFonts w:cs="Arial"/>
              </w:rPr>
              <w:t>, when complete, will reduce risk to priority waterways as described below</w:t>
            </w:r>
            <w:r w:rsidR="00BA193C" w:rsidRPr="003272C7">
              <w:rPr>
                <w:rFonts w:cs="Arial"/>
              </w:rPr>
              <w:t>:</w:t>
            </w:r>
          </w:p>
          <w:p w14:paraId="56681260" w14:textId="4234A628" w:rsidR="00B34598" w:rsidRPr="003272C7" w:rsidRDefault="00650FDD" w:rsidP="00E04DB2">
            <w:pPr>
              <w:pStyle w:val="TableBullet"/>
              <w:rPr>
                <w:rFonts w:cs="Arial"/>
              </w:rPr>
            </w:pPr>
            <w:r w:rsidRPr="003272C7">
              <w:rPr>
                <w:rFonts w:cs="Arial"/>
              </w:rPr>
              <w:t>Lower Latrobe Wetlands regulators</w:t>
            </w:r>
            <w:r w:rsidR="00C01831" w:rsidRPr="003272C7">
              <w:rPr>
                <w:rFonts w:cs="Arial"/>
              </w:rPr>
              <w:t>.</w:t>
            </w:r>
            <w:r w:rsidRPr="003272C7">
              <w:rPr>
                <w:rFonts w:cs="Arial"/>
              </w:rPr>
              <w:t xml:space="preserve"> Progress on this project as outlined above will ensure that by 2027 regulators will be constructed on these high value wetlands that are part of the Gippsland Lakes Ramsar site. These regulators will improve watering regimes to preserve and strengthen freshwater-dependent values in these wetlands in the medium term, and allow time to plan for the long term (including climate change impacts), in accordance with Australia’s international obligations under the Ramsar Convention, and will reduce the hydrological risks to the wetlands from climate change and water shortages.</w:t>
            </w:r>
          </w:p>
          <w:p w14:paraId="49478435" w14:textId="77777777" w:rsidR="00142559" w:rsidRPr="003272C7" w:rsidRDefault="005D7A19" w:rsidP="00E04DB2">
            <w:pPr>
              <w:pStyle w:val="TableBullet"/>
              <w:rPr>
                <w:rFonts w:cs="Arial"/>
              </w:rPr>
            </w:pPr>
            <w:r w:rsidRPr="003272C7">
              <w:rPr>
                <w:rFonts w:cs="Arial"/>
              </w:rPr>
              <w:lastRenderedPageBreak/>
              <w:t>Maffra Weir Fishway. Progress on this project as outlined above will ensure that the Maffra Weir fishway will be completed by 2027, which will improve the abundance, distribution and diversity of native fish species in the Macalister River and broader Gippsland catchment. The Maffra weir needs to remain in the system to provide water to the Macalister Irrigation District</w:t>
            </w:r>
            <w:r w:rsidR="00BA193C" w:rsidRPr="003272C7">
              <w:rPr>
                <w:rFonts w:cs="Arial"/>
              </w:rPr>
              <w:t>,</w:t>
            </w:r>
            <w:r w:rsidRPr="003272C7">
              <w:rPr>
                <w:rFonts w:cs="Arial"/>
              </w:rPr>
              <w:t xml:space="preserve"> but is currently preventing migratory native fish species - including the </w:t>
            </w:r>
            <w:r w:rsidR="00BA193C" w:rsidRPr="003272C7">
              <w:rPr>
                <w:rFonts w:cs="Arial"/>
              </w:rPr>
              <w:t>Environment Protection and Biodiversity Act 1999</w:t>
            </w:r>
            <w:r w:rsidR="00C01831" w:rsidRPr="003272C7">
              <w:rPr>
                <w:rFonts w:cs="Arial"/>
              </w:rPr>
              <w:t xml:space="preserve"> </w:t>
            </w:r>
            <w:r w:rsidRPr="003272C7">
              <w:rPr>
                <w:rFonts w:cs="Arial"/>
              </w:rPr>
              <w:t xml:space="preserve">listed Australian grayling and culturally significant river blackfish – from accessing 34 </w:t>
            </w:r>
            <w:r w:rsidR="00BA193C" w:rsidRPr="003272C7">
              <w:rPr>
                <w:rFonts w:cs="Arial"/>
              </w:rPr>
              <w:t>km</w:t>
            </w:r>
            <w:r w:rsidRPr="003272C7">
              <w:rPr>
                <w:rFonts w:cs="Arial"/>
              </w:rPr>
              <w:t xml:space="preserve"> of high- quality habitat. The detailed modelling and design completed on this project will ensure the fishway will not interfere with the weir’s function of delivering irrigation water while simultaneously providing passage for the native fish to access the 34 </w:t>
            </w:r>
            <w:r w:rsidR="00BA193C" w:rsidRPr="003272C7">
              <w:rPr>
                <w:rFonts w:cs="Arial"/>
              </w:rPr>
              <w:t>km</w:t>
            </w:r>
            <w:r w:rsidRPr="003272C7">
              <w:rPr>
                <w:rFonts w:cs="Arial"/>
              </w:rPr>
              <w:t xml:space="preserve"> of high-quality habitat upstream of the weir. This habitat also receives regular watering from Lake Glenmaggie and will be a reliable drought refuge for native fish species therefore reducing the risk to key native fish species under climate change. This project will also maximise the benefits of the existing environmental entitlement and any future water recovery for the environment in this waterway.</w:t>
            </w:r>
          </w:p>
          <w:p w14:paraId="1EDE0076" w14:textId="73F641CE" w:rsidR="005D7A19" w:rsidRPr="003272C7" w:rsidRDefault="002D6EB2" w:rsidP="00E04DB2">
            <w:pPr>
              <w:pStyle w:val="TableBullet"/>
              <w:rPr>
                <w:rFonts w:cs="Arial"/>
              </w:rPr>
            </w:pPr>
            <w:r w:rsidRPr="003272C7">
              <w:rPr>
                <w:rFonts w:cs="Arial"/>
              </w:rPr>
              <w:t>Investigate the impacts to the Moorabool Yulluk from the closure of Batesford Quarry</w:t>
            </w:r>
            <w:r w:rsidR="003414AC" w:rsidRPr="003272C7">
              <w:rPr>
                <w:rFonts w:cs="Arial"/>
              </w:rPr>
              <w:t>.</w:t>
            </w:r>
            <w:r w:rsidRPr="003272C7">
              <w:rPr>
                <w:rFonts w:cs="Arial"/>
              </w:rPr>
              <w:t xml:space="preserve"> </w:t>
            </w:r>
            <w:r w:rsidR="00BB33F6" w:rsidRPr="003272C7">
              <w:rPr>
                <w:rFonts w:cs="Arial"/>
              </w:rPr>
              <w:t>Wadawurrung Traditional Owners Aboriginal Corporation</w:t>
            </w:r>
            <w:r w:rsidRPr="003272C7">
              <w:rPr>
                <w:rFonts w:cs="Arial"/>
              </w:rPr>
              <w:t xml:space="preserve"> has been engaged to lead Stage 1 of this investigation, which includes preliminary investigations to determine the best methods of restoring and rehabilitating the Moorabool River at Batesford Quarry and preventing flow losses. These investigations will consider environmental and Wadawurrung Traditional Owner cultural values and contribute to the resilience and liveability of the North and Western Geelong Growth Area neighbourhoods through integration of this work with the Integrated Water Management Plan. Wadawurrung Traditional Owners Corporation have engaged a consultant to determine impact to Moorabool Yulluk from the closure of Batesford Quarry and best methods of restoring and rehabilitating the river and preventing flow losses.</w:t>
            </w:r>
          </w:p>
          <w:p w14:paraId="7F544C14" w14:textId="1D444FCA" w:rsidR="00142559" w:rsidRPr="003272C7" w:rsidRDefault="00391C06" w:rsidP="00E04DB2">
            <w:pPr>
              <w:pStyle w:val="TableBullet"/>
              <w:rPr>
                <w:rFonts w:cs="Arial"/>
              </w:rPr>
            </w:pPr>
            <w:r w:rsidRPr="003272C7">
              <w:rPr>
                <w:rFonts w:cs="Arial"/>
              </w:rPr>
              <w:t xml:space="preserve">Lower Werribee Diversion Weir fishway. Currently the Lower Werribee Diversion Weir is both a barrier to fish passage and limits the range of environmental flows that can be delivered downstream of the weir due to a limited outlet capacity through the weir. The fishway currently undergoing detailed design will reduce risks to the ecological values of the Werribee river in two important aspects; 1) connect the estuary to important drought refuge habitat upstream of the diversion weir for native fish species, including tupong and </w:t>
            </w:r>
            <w:r w:rsidR="00BB33F6" w:rsidRPr="003272C7">
              <w:rPr>
                <w:rFonts w:cs="Arial"/>
              </w:rPr>
              <w:t xml:space="preserve">Environment Protection and Biodiversity Act 1999 </w:t>
            </w:r>
            <w:r w:rsidRPr="003272C7">
              <w:rPr>
                <w:rFonts w:cs="Arial"/>
              </w:rPr>
              <w:t>listed Australian grayling. This will improve resilience of native fish populations to risks such as water shortages and climate change 2) provide a greater range of environmental flows to the lower Werribee and estuary, which will improve water quality and flow regimes for ecological values downstream of the weir and reduce the risks of algae blooms under climate</w:t>
            </w:r>
            <w:r w:rsidR="004B0180" w:rsidRPr="003272C7">
              <w:rPr>
                <w:rFonts w:cs="Arial"/>
              </w:rPr>
              <w:t> </w:t>
            </w:r>
            <w:r w:rsidRPr="003272C7">
              <w:rPr>
                <w:rFonts w:cs="Arial"/>
              </w:rPr>
              <w:t>change.</w:t>
            </w:r>
          </w:p>
          <w:p w14:paraId="77F67890" w14:textId="77777777" w:rsidR="00142559" w:rsidRPr="003272C7" w:rsidRDefault="00391C06" w:rsidP="00E04DB2">
            <w:pPr>
              <w:pStyle w:val="TableText"/>
              <w:rPr>
                <w:rFonts w:cs="Arial"/>
              </w:rPr>
            </w:pPr>
            <w:r w:rsidRPr="003272C7">
              <w:rPr>
                <w:rFonts w:cs="Arial"/>
              </w:rPr>
              <w:t xml:space="preserve">Other </w:t>
            </w:r>
            <w:r w:rsidR="006831E8" w:rsidRPr="003272C7">
              <w:rPr>
                <w:rFonts w:cs="Arial"/>
              </w:rPr>
              <w:t>activities</w:t>
            </w:r>
            <w:r w:rsidRPr="003272C7">
              <w:rPr>
                <w:rFonts w:cs="Arial"/>
              </w:rPr>
              <w:t xml:space="preserve"> have increased inclusive management by incorporating social and community values in waterway management as outlined below:</w:t>
            </w:r>
          </w:p>
          <w:p w14:paraId="5B5DA09F" w14:textId="00C3F0B8" w:rsidR="00DA6173" w:rsidRPr="003272C7" w:rsidRDefault="00391C06" w:rsidP="00E04DB2">
            <w:pPr>
              <w:pStyle w:val="TableBullet"/>
              <w:rPr>
                <w:rFonts w:cs="Arial"/>
              </w:rPr>
            </w:pPr>
            <w:r w:rsidRPr="003272C7">
              <w:rPr>
                <w:rFonts w:cs="Arial"/>
              </w:rPr>
              <w:t xml:space="preserve">The Kooyongkoot Alliance (KKA) continues to drive collaboration bringing together over 20 Friends Groups from across the Gardiners Creek (KooyongKoot) catchment. The Gardiners Creek Regional Collaboration is driving the development of a strategic plan.  Investment in this has been committed five local councils, Yarra Valley Water, Melbourne Water, Deakin University and the KKA. KKA received a Green Links Grant to fund revegetation works at Gardiners Creek Reserve, Burwood, in collaboration with Urban Guerrillas, Whitehorse City Council, Deakin University and a number of local Friends and community groups. This is one of three Green Links Grants located along Gardiners Creek and being undertaken by Collaboration or Alliance members. A funding agreement has been finalised with Wurundjeri </w:t>
            </w:r>
            <w:r w:rsidR="00BB33F6" w:rsidRPr="003272C7">
              <w:rPr>
                <w:rFonts w:cs="Arial"/>
              </w:rPr>
              <w:t>W</w:t>
            </w:r>
            <w:r w:rsidRPr="003272C7">
              <w:rPr>
                <w:rFonts w:cs="Arial"/>
              </w:rPr>
              <w:t xml:space="preserve">oi </w:t>
            </w:r>
            <w:r w:rsidR="00BB33F6" w:rsidRPr="003272C7">
              <w:rPr>
                <w:rFonts w:cs="Arial"/>
              </w:rPr>
              <w:t>W</w:t>
            </w:r>
            <w:r w:rsidRPr="003272C7">
              <w:rPr>
                <w:rFonts w:cs="Arial"/>
              </w:rPr>
              <w:t xml:space="preserve">urrung Cultural Heritage Aboriginal Corporation to self-determine their priorities and resource needs for KooyongKoot/Gardiners Creek, and support their engagement with the </w:t>
            </w:r>
            <w:r w:rsidR="00BB33F6" w:rsidRPr="003272C7">
              <w:rPr>
                <w:rFonts w:cs="Arial"/>
              </w:rPr>
              <w:t>KKA</w:t>
            </w:r>
            <w:r w:rsidRPr="003272C7">
              <w:rPr>
                <w:rFonts w:cs="Arial"/>
              </w:rPr>
              <w:t>. This work will complete Action 8-12 in the CGRSWS.</w:t>
            </w:r>
          </w:p>
          <w:p w14:paraId="4D7AE939" w14:textId="2EF663F3" w:rsidR="00B242C3" w:rsidRPr="003272C7" w:rsidRDefault="00B242C3" w:rsidP="00E04DB2">
            <w:pPr>
              <w:pStyle w:val="TableBullet"/>
              <w:rPr>
                <w:rFonts w:cs="Arial"/>
              </w:rPr>
            </w:pPr>
            <w:r w:rsidRPr="003272C7">
              <w:rPr>
                <w:rFonts w:cs="Arial"/>
              </w:rPr>
              <w:lastRenderedPageBreak/>
              <w:t xml:space="preserve">The Yering Gorge to Yarra Junction ICM project has been working with the Wurundjeri to plan and deliver on-ground habitat restoration works at Nunganala Habitat Hub which has included the delivery of one habitat plan and 45 ha weed control. The I 'heart' the Mornington Peninsula project has also developed a template land management plan and started engaging landowners in the project area, in addition leveraged investment through Melbourne Water is enabling the Bunurong Land Council's Environment Team to deliver complimentary </w:t>
            </w:r>
            <w:r w:rsidR="00BB33F6" w:rsidRPr="003272C7">
              <w:rPr>
                <w:rFonts w:cs="Arial"/>
              </w:rPr>
              <w:t>natural resource management</w:t>
            </w:r>
            <w:r w:rsidRPr="003272C7">
              <w:rPr>
                <w:rFonts w:cs="Arial"/>
              </w:rPr>
              <w:t xml:space="preserve"> works in the project area. The Living Links Urban Forest Project is making great progress in the establishment of Climate Ready Vegetation Plots as well as setting up Micro-forest demonstration sites.</w:t>
            </w:r>
          </w:p>
          <w:p w14:paraId="7A9AD5DF" w14:textId="77777777" w:rsidR="00142559" w:rsidRPr="003272C7" w:rsidRDefault="00B242C3" w:rsidP="00E04DB2">
            <w:pPr>
              <w:pStyle w:val="TableText"/>
              <w:rPr>
                <w:rFonts w:cs="Arial"/>
              </w:rPr>
            </w:pPr>
            <w:r w:rsidRPr="003272C7">
              <w:rPr>
                <w:rFonts w:cs="Arial"/>
              </w:rPr>
              <w:t xml:space="preserve">Traditional Owner </w:t>
            </w:r>
            <w:r w:rsidR="00BE7E7B" w:rsidRPr="003272C7">
              <w:rPr>
                <w:rFonts w:cs="Arial"/>
              </w:rPr>
              <w:t xml:space="preserve">priorities have been furthered in projects funded by this </w:t>
            </w:r>
            <w:r w:rsidR="00445736" w:rsidRPr="003272C7">
              <w:rPr>
                <w:rFonts w:cs="Arial"/>
              </w:rPr>
              <w:t>project</w:t>
            </w:r>
            <w:r w:rsidR="00BE7E7B" w:rsidRPr="003272C7">
              <w:rPr>
                <w:rFonts w:cs="Arial"/>
              </w:rPr>
              <w:t>, as outlined below:</w:t>
            </w:r>
          </w:p>
          <w:p w14:paraId="09CF0B54" w14:textId="7CAFAD5D" w:rsidR="00B242C3" w:rsidRPr="003272C7" w:rsidRDefault="00B242C3" w:rsidP="00E04DB2">
            <w:pPr>
              <w:pStyle w:val="TableBullet"/>
              <w:rPr>
                <w:rFonts w:cs="Arial"/>
              </w:rPr>
            </w:pPr>
            <w:r w:rsidRPr="003272C7">
              <w:rPr>
                <w:rFonts w:cs="Arial"/>
              </w:rPr>
              <w:t xml:space="preserve">The </w:t>
            </w:r>
            <w:r w:rsidR="00BB33F6" w:rsidRPr="003272C7">
              <w:rPr>
                <w:rFonts w:cs="Arial"/>
              </w:rPr>
              <w:t>Wadawurrung Traditional Owners Aboriginal Corporation</w:t>
            </w:r>
            <w:r w:rsidR="00BB33F6" w:rsidRPr="003272C7" w:rsidDel="00BB33F6">
              <w:rPr>
                <w:rFonts w:cs="Arial"/>
              </w:rPr>
              <w:t xml:space="preserve"> </w:t>
            </w:r>
            <w:r w:rsidRPr="003272C7">
              <w:rPr>
                <w:rFonts w:cs="Arial"/>
              </w:rPr>
              <w:t xml:space="preserve">have been engaged directly to undertake the </w:t>
            </w:r>
            <w:r w:rsidR="00AA6073" w:rsidRPr="003272C7">
              <w:rPr>
                <w:rFonts w:cs="Arial"/>
              </w:rPr>
              <w:t xml:space="preserve">Stage 1 </w:t>
            </w:r>
            <w:r w:rsidR="00BE7E7B" w:rsidRPr="003272C7">
              <w:rPr>
                <w:rFonts w:cs="Arial"/>
              </w:rPr>
              <w:t>investigation</w:t>
            </w:r>
            <w:r w:rsidRPr="003272C7">
              <w:rPr>
                <w:rFonts w:cs="Arial"/>
              </w:rPr>
              <w:t xml:space="preserve"> to rehabilitate the Moorabool Yulluk. </w:t>
            </w:r>
            <w:r w:rsidR="00BB33F6" w:rsidRPr="003272C7">
              <w:rPr>
                <w:rFonts w:cs="Arial"/>
              </w:rPr>
              <w:t>DEECA</w:t>
            </w:r>
            <w:r w:rsidRPr="003272C7">
              <w:rPr>
                <w:rFonts w:cs="Arial"/>
              </w:rPr>
              <w:t xml:space="preserve"> has also provided </w:t>
            </w:r>
            <w:r w:rsidR="00BB33F6" w:rsidRPr="003272C7">
              <w:rPr>
                <w:rFonts w:cs="Arial"/>
              </w:rPr>
              <w:t>Wadawurrung Traditional Owners Aboriginal Corporation</w:t>
            </w:r>
            <w:r w:rsidR="00BB33F6" w:rsidRPr="003272C7" w:rsidDel="00BB33F6">
              <w:rPr>
                <w:rFonts w:cs="Arial"/>
              </w:rPr>
              <w:t xml:space="preserve"> </w:t>
            </w:r>
            <w:r w:rsidRPr="003272C7">
              <w:rPr>
                <w:rFonts w:cs="Arial"/>
              </w:rPr>
              <w:t>with funding to undertake this work.</w:t>
            </w:r>
          </w:p>
          <w:p w14:paraId="66F242B2" w14:textId="652E3132" w:rsidR="00B242C3" w:rsidRPr="003272C7" w:rsidRDefault="00B242C3" w:rsidP="00E04DB2">
            <w:pPr>
              <w:pStyle w:val="TableBullet"/>
              <w:rPr>
                <w:rFonts w:cs="Arial"/>
              </w:rPr>
            </w:pPr>
            <w:r w:rsidRPr="003272C7">
              <w:rPr>
                <w:rFonts w:cs="Arial"/>
              </w:rPr>
              <w:t xml:space="preserve">This </w:t>
            </w:r>
            <w:r w:rsidR="00BB33F6" w:rsidRPr="003272C7">
              <w:rPr>
                <w:rFonts w:cs="Arial"/>
              </w:rPr>
              <w:t>p</w:t>
            </w:r>
            <w:r w:rsidRPr="003272C7">
              <w:rPr>
                <w:rFonts w:cs="Arial"/>
              </w:rPr>
              <w:t>rogram has included work with the following Traditional Owner groups to support self-determination: Wurundjeri Woi</w:t>
            </w:r>
            <w:r w:rsidR="00BB33F6" w:rsidRPr="003272C7">
              <w:rPr>
                <w:rFonts w:cs="Arial"/>
              </w:rPr>
              <w:t xml:space="preserve"> W</w:t>
            </w:r>
            <w:r w:rsidRPr="003272C7">
              <w:rPr>
                <w:rFonts w:cs="Arial"/>
              </w:rPr>
              <w:t>urrung Cultural Heritage Aboriginal Corporation, Bunurong Land Council Aboriginal Corporation, Wadawurrung Traditional Owners Aboriginal Corporation, Wandoon Estate, Worawa College</w:t>
            </w:r>
          </w:p>
          <w:p w14:paraId="76F594CE" w14:textId="37A28529" w:rsidR="00B242C3" w:rsidRPr="003272C7" w:rsidRDefault="00B242C3" w:rsidP="00E04DB2">
            <w:pPr>
              <w:pStyle w:val="TableBullet"/>
              <w:rPr>
                <w:rFonts w:cs="Arial"/>
              </w:rPr>
            </w:pPr>
            <w:r w:rsidRPr="003272C7">
              <w:rPr>
                <w:rFonts w:cs="Arial"/>
              </w:rPr>
              <w:t>Wurundjeri Woi</w:t>
            </w:r>
            <w:r w:rsidR="00BB33F6" w:rsidRPr="003272C7">
              <w:rPr>
                <w:rFonts w:cs="Arial"/>
              </w:rPr>
              <w:t xml:space="preserve"> W</w:t>
            </w:r>
            <w:r w:rsidRPr="003272C7">
              <w:rPr>
                <w:rFonts w:cs="Arial"/>
              </w:rPr>
              <w:t>urrung Traditional Owners have been supported to self-determine their involvement in the collaboration for the KooyongKoot activity. Funding up to $125,000 had been made available to the Wurundjeri Woi Wurrung Cultural Heritage Aboriginal Corporation to support their participation in planning</w:t>
            </w:r>
            <w:r w:rsidR="004B0180" w:rsidRPr="003272C7">
              <w:rPr>
                <w:rFonts w:cs="Arial"/>
              </w:rPr>
              <w:t> </w:t>
            </w:r>
            <w:r w:rsidRPr="003272C7">
              <w:rPr>
                <w:rFonts w:cs="Arial"/>
              </w:rPr>
              <w:t xml:space="preserve">activities. </w:t>
            </w:r>
          </w:p>
        </w:tc>
      </w:tr>
      <w:tr w:rsidR="00BA193C" w:rsidRPr="003272C7" w14:paraId="60A085E7" w14:textId="77777777" w:rsidTr="00321DE0">
        <w:trPr>
          <w:trHeight w:val="259"/>
        </w:trPr>
        <w:tc>
          <w:tcPr>
            <w:tcW w:w="979" w:type="pct"/>
            <w:shd w:val="clear" w:color="auto" w:fill="231EDC" w:themeFill="accent1"/>
          </w:tcPr>
          <w:p w14:paraId="1E3EC79B" w14:textId="77777777" w:rsidR="00B242C3" w:rsidRPr="003272C7" w:rsidRDefault="00B242C3" w:rsidP="00BD381C">
            <w:pPr>
              <w:pStyle w:val="TableText"/>
              <w:rPr>
                <w:rFonts w:cs="Arial"/>
                <w:b/>
                <w:bCs/>
              </w:rPr>
            </w:pPr>
            <w:r w:rsidRPr="003272C7">
              <w:rPr>
                <w:rFonts w:cs="Arial"/>
                <w:b/>
                <w:bCs/>
              </w:rPr>
              <w:lastRenderedPageBreak/>
              <w:t>Effectiveness</w:t>
            </w:r>
          </w:p>
        </w:tc>
        <w:tc>
          <w:tcPr>
            <w:tcW w:w="4021" w:type="pct"/>
          </w:tcPr>
          <w:p w14:paraId="697C4CF0" w14:textId="6C55B400" w:rsidR="00B242C3" w:rsidRPr="003272C7" w:rsidRDefault="00B242C3" w:rsidP="00E04DB2">
            <w:pPr>
              <w:pStyle w:val="TableText"/>
              <w:rPr>
                <w:rFonts w:cs="Arial"/>
              </w:rPr>
            </w:pPr>
            <w:r w:rsidRPr="003272C7">
              <w:rPr>
                <w:rFonts w:cs="Arial"/>
              </w:rPr>
              <w:t>Effectiveness indicated through delivery in line with workplan</w:t>
            </w:r>
          </w:p>
        </w:tc>
      </w:tr>
      <w:tr w:rsidR="00B242C3" w:rsidRPr="003272C7" w14:paraId="0639D80F" w14:textId="77777777" w:rsidTr="00321DE0">
        <w:trPr>
          <w:trHeight w:val="259"/>
        </w:trPr>
        <w:tc>
          <w:tcPr>
            <w:tcW w:w="979" w:type="pct"/>
            <w:shd w:val="clear" w:color="auto" w:fill="231EDC" w:themeFill="accent1"/>
          </w:tcPr>
          <w:p w14:paraId="093DCC48" w14:textId="77777777" w:rsidR="00B242C3" w:rsidRPr="003272C7" w:rsidRDefault="00B242C3" w:rsidP="00BD381C">
            <w:pPr>
              <w:pStyle w:val="TableText"/>
              <w:rPr>
                <w:rFonts w:cs="Arial"/>
                <w:b/>
                <w:bCs/>
              </w:rPr>
            </w:pPr>
            <w:r w:rsidRPr="003272C7">
              <w:rPr>
                <w:rFonts w:cs="Arial"/>
                <w:b/>
                <w:bCs/>
              </w:rPr>
              <w:t>Appropriateness</w:t>
            </w:r>
          </w:p>
        </w:tc>
        <w:tc>
          <w:tcPr>
            <w:tcW w:w="4021" w:type="pct"/>
          </w:tcPr>
          <w:p w14:paraId="22D2A612" w14:textId="6346F16C" w:rsidR="00B242C3" w:rsidRPr="003272C7" w:rsidRDefault="00B242C3" w:rsidP="00E04DB2">
            <w:pPr>
              <w:pStyle w:val="TableText"/>
              <w:rPr>
                <w:rFonts w:cs="Arial"/>
              </w:rPr>
            </w:pPr>
            <w:r w:rsidRPr="003272C7">
              <w:rPr>
                <w:rFonts w:cs="Arial"/>
              </w:rPr>
              <w:t xml:space="preserve">Under </w:t>
            </w:r>
            <w:r w:rsidR="00BB33F6" w:rsidRPr="003272C7">
              <w:rPr>
                <w:rFonts w:cs="Arial"/>
              </w:rPr>
              <w:t>s</w:t>
            </w:r>
            <w:r w:rsidRPr="003272C7">
              <w:rPr>
                <w:rFonts w:cs="Arial"/>
              </w:rPr>
              <w:t xml:space="preserve">ection 22 of the Water Act 1989, the Victorian Government is clearly assigned the responsibility to develop, implement and review a Program of Sustainable Water Strategies for Victoria’s regions. The CGRSWS was released in September 2022 and this investment will meet five key actions from this strategy. Project activities are aligned to existing policies, including Water for Victoria, Victorian Waterway Management Strategy, regional Waterway Strategies and the strategic direction statement: Our Catchments, Our Communities: Building on the legacy for better stewardship. </w:t>
            </w:r>
          </w:p>
        </w:tc>
      </w:tr>
      <w:tr w:rsidR="00B242C3" w:rsidRPr="003272C7" w14:paraId="70F4A581" w14:textId="77777777" w:rsidTr="00321DE0">
        <w:trPr>
          <w:trHeight w:val="259"/>
        </w:trPr>
        <w:tc>
          <w:tcPr>
            <w:tcW w:w="979" w:type="pct"/>
            <w:shd w:val="clear" w:color="auto" w:fill="231EDC" w:themeFill="accent1"/>
          </w:tcPr>
          <w:p w14:paraId="742270EB" w14:textId="77777777" w:rsidR="00B242C3" w:rsidRPr="003272C7" w:rsidRDefault="00B242C3" w:rsidP="00BD381C">
            <w:pPr>
              <w:pStyle w:val="TableText"/>
              <w:rPr>
                <w:rFonts w:cs="Arial"/>
                <w:b/>
                <w:bCs/>
              </w:rPr>
            </w:pPr>
            <w:r w:rsidRPr="003272C7">
              <w:rPr>
                <w:rFonts w:cs="Arial"/>
                <w:b/>
                <w:bCs/>
              </w:rPr>
              <w:t>Efficiency</w:t>
            </w:r>
          </w:p>
        </w:tc>
        <w:tc>
          <w:tcPr>
            <w:tcW w:w="4021" w:type="pct"/>
          </w:tcPr>
          <w:p w14:paraId="6852CD6C" w14:textId="77777777" w:rsidR="00B242C3" w:rsidRPr="003272C7" w:rsidRDefault="00B242C3" w:rsidP="00E04DB2">
            <w:pPr>
              <w:pStyle w:val="TableText"/>
              <w:rPr>
                <w:rFonts w:cs="Arial"/>
              </w:rPr>
            </w:pPr>
            <w:r w:rsidRPr="003272C7">
              <w:rPr>
                <w:rFonts w:cs="Arial"/>
              </w:rPr>
              <w:t>Funding to the CMAs and Traditional Owner Corporation was actively managed to ensure that outputs were delivered according to the budget and timelines set out in Funding Agreements. This was achieved by:</w:t>
            </w:r>
          </w:p>
          <w:p w14:paraId="4B9F915C" w14:textId="4459ED53" w:rsidR="00B242C3" w:rsidRPr="003272C7" w:rsidRDefault="00B242C3" w:rsidP="00E04DB2">
            <w:pPr>
              <w:pStyle w:val="TableBullet"/>
              <w:rPr>
                <w:rFonts w:cs="Arial"/>
              </w:rPr>
            </w:pPr>
            <w:r w:rsidRPr="003272C7">
              <w:rPr>
                <w:rFonts w:cs="Arial"/>
              </w:rPr>
              <w:t>100% of milestones delivered on time as per the funding agreement</w:t>
            </w:r>
            <w:r w:rsidR="00BB33F6" w:rsidRPr="003272C7">
              <w:rPr>
                <w:rFonts w:cs="Arial"/>
              </w:rPr>
              <w:t>.</w:t>
            </w:r>
          </w:p>
          <w:p w14:paraId="43984A31" w14:textId="16319C1E" w:rsidR="00B242C3" w:rsidRPr="003272C7" w:rsidRDefault="00B242C3" w:rsidP="00E04DB2">
            <w:pPr>
              <w:pStyle w:val="TableBullet"/>
              <w:rPr>
                <w:rFonts w:cs="Arial"/>
              </w:rPr>
            </w:pPr>
            <w:r w:rsidRPr="003272C7">
              <w:rPr>
                <w:rFonts w:cs="Arial"/>
              </w:rPr>
              <w:t>The CMA delivered the activities as budgeted as per the Funding Agreement</w:t>
            </w:r>
            <w:r w:rsidR="00BB33F6" w:rsidRPr="003272C7">
              <w:rPr>
                <w:rFonts w:cs="Arial"/>
              </w:rPr>
              <w:t>.</w:t>
            </w:r>
          </w:p>
          <w:p w14:paraId="4463167D" w14:textId="66175208" w:rsidR="00B242C3" w:rsidRPr="003272C7" w:rsidRDefault="00B242C3" w:rsidP="00E04DB2">
            <w:pPr>
              <w:pStyle w:val="TableBullet"/>
              <w:rPr>
                <w:rFonts w:cs="Arial"/>
              </w:rPr>
            </w:pPr>
            <w:r w:rsidRPr="003272C7">
              <w:rPr>
                <w:rFonts w:cs="Arial"/>
              </w:rPr>
              <w:t>100% of Programs delivered in line with plans</w:t>
            </w:r>
            <w:r w:rsidR="00BB33F6" w:rsidRPr="003272C7">
              <w:rPr>
                <w:rFonts w:cs="Arial"/>
              </w:rPr>
              <w:t>.</w:t>
            </w:r>
          </w:p>
          <w:p w14:paraId="66EEC47C" w14:textId="0538AB37" w:rsidR="00B242C3" w:rsidRPr="003272C7" w:rsidRDefault="00B242C3" w:rsidP="00E04DB2">
            <w:pPr>
              <w:pStyle w:val="TableText"/>
              <w:rPr>
                <w:rFonts w:cs="Arial"/>
              </w:rPr>
            </w:pPr>
            <w:r w:rsidRPr="003272C7">
              <w:rPr>
                <w:rFonts w:cs="Arial"/>
              </w:rPr>
              <w:t>The Regional Catchment Strategy Outcomes Program has leveraged other significant resources inputs from sector partners, community and Traditional Owners totalling $15,985,600</w:t>
            </w:r>
            <w:r w:rsidR="00BB33F6" w:rsidRPr="003272C7">
              <w:rPr>
                <w:rFonts w:cs="Arial"/>
              </w:rPr>
              <w:t>.</w:t>
            </w:r>
          </w:p>
        </w:tc>
      </w:tr>
      <w:tr w:rsidR="00B242C3" w:rsidRPr="003272C7" w14:paraId="484D54FA" w14:textId="77777777" w:rsidTr="00321DE0">
        <w:trPr>
          <w:trHeight w:val="259"/>
        </w:trPr>
        <w:tc>
          <w:tcPr>
            <w:tcW w:w="979" w:type="pct"/>
            <w:shd w:val="clear" w:color="auto" w:fill="231EDC" w:themeFill="accent1"/>
          </w:tcPr>
          <w:p w14:paraId="747E4B9B" w14:textId="77777777" w:rsidR="00B242C3" w:rsidRPr="003272C7" w:rsidRDefault="00B242C3" w:rsidP="00BD381C">
            <w:pPr>
              <w:pStyle w:val="TableText"/>
              <w:rPr>
                <w:rFonts w:cs="Arial"/>
                <w:b/>
                <w:bCs/>
              </w:rPr>
            </w:pPr>
            <w:r w:rsidRPr="003272C7">
              <w:rPr>
                <w:rFonts w:cs="Arial"/>
                <w:b/>
                <w:bCs/>
              </w:rPr>
              <w:t>Legacy</w:t>
            </w:r>
          </w:p>
        </w:tc>
        <w:tc>
          <w:tcPr>
            <w:tcW w:w="4021" w:type="pct"/>
          </w:tcPr>
          <w:p w14:paraId="2C27825B" w14:textId="77777777" w:rsidR="00B242C3" w:rsidRPr="003272C7" w:rsidRDefault="00B242C3" w:rsidP="00E04DB2">
            <w:pPr>
              <w:pStyle w:val="TableBullet"/>
              <w:rPr>
                <w:rFonts w:cs="Arial"/>
              </w:rPr>
            </w:pPr>
            <w:r w:rsidRPr="003272C7">
              <w:rPr>
                <w:rFonts w:cs="Arial"/>
              </w:rPr>
              <w:t>If stakeholders and partners take ownership of the projects and their outcomes, then there is a high likelihood that the positive impacts of the project will continue over time. There has been significant engagement and support for community and partner capacity building and continued uptake/action on catchment stewardship in line with the objectives of the Port Phillip and Westernport Regional Catchment Strategy.</w:t>
            </w:r>
          </w:p>
          <w:p w14:paraId="3B539DCF" w14:textId="77777777" w:rsidR="00142559" w:rsidRPr="003272C7" w:rsidRDefault="00B242C3" w:rsidP="00E04DB2">
            <w:pPr>
              <w:pStyle w:val="TableBullet"/>
              <w:rPr>
                <w:rFonts w:cs="Arial"/>
              </w:rPr>
            </w:pPr>
            <w:r w:rsidRPr="003272C7">
              <w:rPr>
                <w:rFonts w:cs="Arial"/>
              </w:rPr>
              <w:t xml:space="preserve">Governance arrangements focused on long-term improvement of waterway </w:t>
            </w:r>
            <w:r w:rsidR="006D0B9F" w:rsidRPr="003272C7">
              <w:rPr>
                <w:rFonts w:cs="Arial"/>
              </w:rPr>
              <w:t xml:space="preserve">and catchment </w:t>
            </w:r>
            <w:r w:rsidRPr="003272C7">
              <w:rPr>
                <w:rFonts w:cs="Arial"/>
              </w:rPr>
              <w:t>health.</w:t>
            </w:r>
          </w:p>
          <w:p w14:paraId="31BD5AB3" w14:textId="524EFD2E" w:rsidR="00B242C3" w:rsidRPr="003272C7" w:rsidRDefault="00B242C3" w:rsidP="00E04DB2">
            <w:pPr>
              <w:pStyle w:val="TableBullet"/>
              <w:rPr>
                <w:rFonts w:cs="Arial"/>
              </w:rPr>
            </w:pPr>
            <w:r w:rsidRPr="003272C7">
              <w:rPr>
                <w:rFonts w:cs="Arial"/>
              </w:rPr>
              <w:t>Good case studies provided in evaluation report</w:t>
            </w:r>
          </w:p>
        </w:tc>
      </w:tr>
      <w:tr w:rsidR="00B242C3" w:rsidRPr="003272C7" w14:paraId="6CFF358E" w14:textId="77777777" w:rsidTr="00321DE0">
        <w:trPr>
          <w:trHeight w:val="259"/>
        </w:trPr>
        <w:tc>
          <w:tcPr>
            <w:tcW w:w="979" w:type="pct"/>
            <w:shd w:val="clear" w:color="auto" w:fill="231EDC" w:themeFill="accent1"/>
          </w:tcPr>
          <w:p w14:paraId="59C1E465" w14:textId="77777777" w:rsidR="00B242C3" w:rsidRPr="003272C7" w:rsidRDefault="00B242C3" w:rsidP="004B0180">
            <w:pPr>
              <w:pStyle w:val="TableText"/>
              <w:keepNext/>
              <w:keepLines/>
              <w:rPr>
                <w:rFonts w:cs="Arial"/>
                <w:b/>
                <w:bCs/>
              </w:rPr>
            </w:pPr>
            <w:r w:rsidRPr="003272C7">
              <w:rPr>
                <w:rFonts w:cs="Arial"/>
                <w:b/>
                <w:bCs/>
              </w:rPr>
              <w:lastRenderedPageBreak/>
              <w:t>Future priorities</w:t>
            </w:r>
          </w:p>
        </w:tc>
        <w:tc>
          <w:tcPr>
            <w:tcW w:w="4021" w:type="pct"/>
          </w:tcPr>
          <w:p w14:paraId="7E63CDE8" w14:textId="77777777" w:rsidR="00B242C3" w:rsidRPr="003272C7" w:rsidRDefault="00B242C3" w:rsidP="004B0180">
            <w:pPr>
              <w:pStyle w:val="TableBullet"/>
              <w:keepNext/>
              <w:keepLines/>
              <w:rPr>
                <w:rFonts w:cs="Arial"/>
              </w:rPr>
            </w:pPr>
            <w:r w:rsidRPr="003272C7">
              <w:rPr>
                <w:rFonts w:cs="Arial"/>
              </w:rPr>
              <w:t>Increasing labour and material costs are likely to increase the overall construction costs hence additional funding may be required from EC6 to address funding shortfalls if these eventuate.</w:t>
            </w:r>
          </w:p>
          <w:p w14:paraId="55DF279A" w14:textId="77777777" w:rsidR="00B242C3" w:rsidRPr="003272C7" w:rsidRDefault="00B242C3" w:rsidP="004B0180">
            <w:pPr>
              <w:pStyle w:val="TableBullet"/>
              <w:keepNext/>
              <w:keepLines/>
              <w:rPr>
                <w:rFonts w:cs="Arial"/>
              </w:rPr>
            </w:pPr>
            <w:r w:rsidRPr="003272C7">
              <w:rPr>
                <w:rFonts w:cs="Arial"/>
              </w:rPr>
              <w:t>For the Werribee fishway design and Moorabool investigation activities, additional funding will be required for construction to deliver on-ground outcomes for fish passage and waterway improvement.</w:t>
            </w:r>
          </w:p>
        </w:tc>
      </w:tr>
    </w:tbl>
    <w:p w14:paraId="0EAECD22" w14:textId="41161DEF" w:rsidR="00B242C3" w:rsidRPr="003272C7" w:rsidRDefault="00B242C3" w:rsidP="00B242C3">
      <w:pPr>
        <w:pStyle w:val="Heading2"/>
        <w:rPr>
          <w:rFonts w:cs="Arial"/>
        </w:rPr>
      </w:pPr>
      <w:bookmarkStart w:id="67" w:name="_Toc147410799"/>
      <w:bookmarkStart w:id="68" w:name="_Toc183777807"/>
      <w:r w:rsidRPr="003272C7">
        <w:rPr>
          <w:rFonts w:cs="Arial"/>
        </w:rPr>
        <w:t xml:space="preserve">PSP4: CGRSWS </w:t>
      </w:r>
      <w:r w:rsidR="00BB33F6" w:rsidRPr="003272C7">
        <w:rPr>
          <w:rFonts w:cs="Arial"/>
        </w:rPr>
        <w:t>Funding</w:t>
      </w:r>
      <w:r w:rsidRPr="003272C7">
        <w:rPr>
          <w:rFonts w:cs="Arial"/>
        </w:rPr>
        <w:t xml:space="preserve"> Stream 4 Enable </w:t>
      </w:r>
      <w:r w:rsidR="00271AE7" w:rsidRPr="003272C7">
        <w:rPr>
          <w:rFonts w:cs="Arial"/>
        </w:rPr>
        <w:t>A</w:t>
      </w:r>
      <w:r w:rsidRPr="003272C7">
        <w:rPr>
          <w:rFonts w:cs="Arial"/>
        </w:rPr>
        <w:t xml:space="preserve">daptation to a </w:t>
      </w:r>
      <w:r w:rsidR="00271AE7" w:rsidRPr="003272C7">
        <w:rPr>
          <w:rFonts w:cs="Arial"/>
        </w:rPr>
        <w:t>V</w:t>
      </w:r>
      <w:r w:rsidRPr="003272C7">
        <w:rPr>
          <w:rFonts w:cs="Arial"/>
        </w:rPr>
        <w:t xml:space="preserve">ariable </w:t>
      </w:r>
      <w:r w:rsidR="00271AE7" w:rsidRPr="003272C7">
        <w:rPr>
          <w:rFonts w:cs="Arial"/>
        </w:rPr>
        <w:t>C</w:t>
      </w:r>
      <w:r w:rsidRPr="003272C7">
        <w:rPr>
          <w:rFonts w:cs="Arial"/>
        </w:rPr>
        <w:t>limate</w:t>
      </w:r>
      <w:bookmarkEnd w:id="67"/>
      <w:bookmarkEnd w:id="6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4DAEADEC" w14:textId="77777777" w:rsidTr="00671091">
        <w:trPr>
          <w:trHeight w:val="395"/>
        </w:trPr>
        <w:tc>
          <w:tcPr>
            <w:tcW w:w="979" w:type="pct"/>
            <w:shd w:val="clear" w:color="auto" w:fill="231EDC" w:themeFill="accent1"/>
          </w:tcPr>
          <w:p w14:paraId="63004B45" w14:textId="4393E83D" w:rsidR="00B242C3" w:rsidRPr="003272C7" w:rsidRDefault="00C412A9" w:rsidP="00E04DB2">
            <w:pPr>
              <w:pStyle w:val="TableHeading"/>
              <w:rPr>
                <w:rFonts w:cs="Arial"/>
              </w:rPr>
            </w:pPr>
            <w:r w:rsidRPr="003272C7">
              <w:rPr>
                <w:rFonts w:cs="Arial"/>
              </w:rPr>
              <w:t>Initiative</w:t>
            </w:r>
          </w:p>
        </w:tc>
        <w:tc>
          <w:tcPr>
            <w:tcW w:w="4021" w:type="pct"/>
            <w:shd w:val="clear" w:color="auto" w:fill="231EDC" w:themeFill="accent1"/>
          </w:tcPr>
          <w:p w14:paraId="1D547F91" w14:textId="77777777" w:rsidR="00B242C3" w:rsidRPr="003272C7" w:rsidRDefault="00B242C3" w:rsidP="00E04DB2">
            <w:pPr>
              <w:pStyle w:val="TableHeading"/>
              <w:rPr>
                <w:rFonts w:cs="Arial"/>
              </w:rPr>
            </w:pPr>
            <w:r w:rsidRPr="003272C7">
              <w:rPr>
                <w:rFonts w:cs="Arial"/>
              </w:rPr>
              <w:t>9. Phase One Implementation of the Central and Gippsland Region Sustainable Water Strategy</w:t>
            </w:r>
          </w:p>
        </w:tc>
      </w:tr>
      <w:tr w:rsidR="00B242C3" w:rsidRPr="003272C7" w14:paraId="2599D73A" w14:textId="77777777" w:rsidTr="00671091">
        <w:trPr>
          <w:trHeight w:val="341"/>
        </w:trPr>
        <w:tc>
          <w:tcPr>
            <w:tcW w:w="979" w:type="pct"/>
            <w:shd w:val="clear" w:color="auto" w:fill="231EDC" w:themeFill="accent1"/>
          </w:tcPr>
          <w:p w14:paraId="4153252E" w14:textId="77777777" w:rsidR="00B242C3" w:rsidRPr="003272C7" w:rsidRDefault="00B242C3" w:rsidP="00E04DB2">
            <w:pPr>
              <w:pStyle w:val="TableText"/>
              <w:rPr>
                <w:rFonts w:cs="Arial"/>
                <w:b/>
                <w:bCs/>
              </w:rPr>
            </w:pPr>
            <w:r w:rsidRPr="003272C7">
              <w:rPr>
                <w:rFonts w:cs="Arial"/>
                <w:b/>
                <w:bCs/>
              </w:rPr>
              <w:t>Project</w:t>
            </w:r>
          </w:p>
        </w:tc>
        <w:tc>
          <w:tcPr>
            <w:tcW w:w="4021" w:type="pct"/>
          </w:tcPr>
          <w:p w14:paraId="2DC62583" w14:textId="7660FB6B" w:rsidR="00B242C3" w:rsidRPr="003272C7" w:rsidRDefault="00B242C3" w:rsidP="00E04DB2">
            <w:pPr>
              <w:pStyle w:val="TableText"/>
              <w:rPr>
                <w:rFonts w:cs="Arial"/>
              </w:rPr>
            </w:pPr>
            <w:r w:rsidRPr="003272C7">
              <w:rPr>
                <w:rFonts w:cs="Arial"/>
              </w:rPr>
              <w:t xml:space="preserve">PSP4: CGRSWS </w:t>
            </w:r>
            <w:r w:rsidR="00BB33F6" w:rsidRPr="003272C7">
              <w:rPr>
                <w:rFonts w:cs="Arial"/>
              </w:rPr>
              <w:t xml:space="preserve">Funding </w:t>
            </w:r>
            <w:r w:rsidRPr="003272C7">
              <w:rPr>
                <w:rFonts w:cs="Arial"/>
              </w:rPr>
              <w:t>Stream 4 Enable adaptation to a variable climate</w:t>
            </w:r>
          </w:p>
        </w:tc>
      </w:tr>
      <w:tr w:rsidR="00B242C3" w:rsidRPr="003272C7" w14:paraId="02580849" w14:textId="77777777" w:rsidTr="00671091">
        <w:trPr>
          <w:trHeight w:val="259"/>
        </w:trPr>
        <w:tc>
          <w:tcPr>
            <w:tcW w:w="979" w:type="pct"/>
            <w:shd w:val="clear" w:color="auto" w:fill="231EDC" w:themeFill="accent1"/>
          </w:tcPr>
          <w:p w14:paraId="19E28E3C" w14:textId="77777777" w:rsidR="00B242C3" w:rsidRPr="003272C7" w:rsidRDefault="00B242C3" w:rsidP="00E04DB2">
            <w:pPr>
              <w:pStyle w:val="TableText"/>
              <w:rPr>
                <w:rFonts w:cs="Arial"/>
                <w:b/>
                <w:bCs/>
              </w:rPr>
            </w:pPr>
            <w:r w:rsidRPr="003272C7">
              <w:rPr>
                <w:rFonts w:cs="Arial"/>
                <w:b/>
                <w:bCs/>
              </w:rPr>
              <w:t>Description</w:t>
            </w:r>
          </w:p>
          <w:p w14:paraId="2377562F" w14:textId="77777777" w:rsidR="00B242C3" w:rsidRPr="003272C7" w:rsidRDefault="00B242C3" w:rsidP="00E04DB2">
            <w:pPr>
              <w:pStyle w:val="TableText"/>
              <w:rPr>
                <w:rFonts w:cs="Arial"/>
                <w:b/>
                <w:bCs/>
              </w:rPr>
            </w:pPr>
          </w:p>
        </w:tc>
        <w:tc>
          <w:tcPr>
            <w:tcW w:w="4021" w:type="pct"/>
          </w:tcPr>
          <w:p w14:paraId="3432205E" w14:textId="7F906EB9" w:rsidR="00B242C3" w:rsidRPr="003272C7" w:rsidRDefault="00B242C3" w:rsidP="00E04DB2">
            <w:pPr>
              <w:pStyle w:val="TableText"/>
              <w:rPr>
                <w:rFonts w:cs="Arial"/>
              </w:rPr>
            </w:pPr>
            <w:r w:rsidRPr="003272C7">
              <w:rPr>
                <w:rFonts w:cs="Arial"/>
              </w:rPr>
              <w:t xml:space="preserve">The Climate Change Act 2017 directed government to prepare and implement an adaptation action plan for the water cycle system every five years to ensure timely and appropriate action was taken to protect this essential resource. A pilot plan was delivered with the support of EC4 funds, and the first full Water Cycle </w:t>
            </w:r>
            <w:r w:rsidR="00886AD9" w:rsidRPr="003272C7">
              <w:rPr>
                <w:rFonts w:cs="Arial"/>
              </w:rPr>
              <w:t xml:space="preserve">Climate Change </w:t>
            </w:r>
            <w:r w:rsidRPr="003272C7">
              <w:rPr>
                <w:rFonts w:cs="Arial"/>
              </w:rPr>
              <w:t xml:space="preserve">Adaptation Action Plan (WCAAP) was launched in mid-2022. The EC5 </w:t>
            </w:r>
            <w:r w:rsidR="00ED3D58" w:rsidRPr="003272C7">
              <w:rPr>
                <w:rFonts w:cs="Arial"/>
              </w:rPr>
              <w:t xml:space="preserve">supported </w:t>
            </w:r>
            <w:r w:rsidRPr="003272C7">
              <w:rPr>
                <w:rFonts w:cs="Arial"/>
              </w:rPr>
              <w:t xml:space="preserve">implementation of the first </w:t>
            </w:r>
            <w:r w:rsidR="00BB33F6" w:rsidRPr="003272C7">
              <w:rPr>
                <w:rFonts w:cs="Arial"/>
              </w:rPr>
              <w:t>2</w:t>
            </w:r>
            <w:r w:rsidRPr="003272C7">
              <w:rPr>
                <w:rFonts w:cs="Arial"/>
              </w:rPr>
              <w:t xml:space="preserve"> years of WCAAP’s </w:t>
            </w:r>
            <w:r w:rsidR="00BB33F6" w:rsidRPr="003272C7">
              <w:rPr>
                <w:rFonts w:cs="Arial"/>
              </w:rPr>
              <w:t>5</w:t>
            </w:r>
            <w:r w:rsidRPr="003272C7">
              <w:rPr>
                <w:rFonts w:cs="Arial"/>
              </w:rPr>
              <w:t>-year term. Successful implementation of the WCAAP will:</w:t>
            </w:r>
          </w:p>
          <w:p w14:paraId="4A7C75FE" w14:textId="77777777" w:rsidR="00142559" w:rsidRPr="003272C7" w:rsidRDefault="00B242C3" w:rsidP="00E04DB2">
            <w:pPr>
              <w:pStyle w:val="TableBullet"/>
              <w:rPr>
                <w:rFonts w:cs="Arial"/>
              </w:rPr>
            </w:pPr>
            <w:r w:rsidRPr="003272C7">
              <w:rPr>
                <w:rFonts w:cs="Arial"/>
              </w:rPr>
              <w:t>Assist the water sector to embed climate change as a business-as-usual consideration for water planning, design, operations, decision-making and delivery.</w:t>
            </w:r>
          </w:p>
          <w:p w14:paraId="4E34A851" w14:textId="622BEEFE" w:rsidR="00B242C3" w:rsidRPr="003272C7" w:rsidRDefault="00B242C3" w:rsidP="00E04DB2">
            <w:pPr>
              <w:pStyle w:val="TableBullet"/>
              <w:rPr>
                <w:rFonts w:cs="Arial"/>
              </w:rPr>
            </w:pPr>
            <w:r w:rsidRPr="003272C7">
              <w:rPr>
                <w:rFonts w:cs="Arial"/>
              </w:rPr>
              <w:t>Enable the water sector to continue to play a lead role in moving the state towards net-zero emissions by 2045.</w:t>
            </w:r>
          </w:p>
          <w:p w14:paraId="5420191F" w14:textId="77777777" w:rsidR="00142559" w:rsidRPr="003272C7" w:rsidRDefault="00B242C3" w:rsidP="00E04DB2">
            <w:pPr>
              <w:pStyle w:val="TableBullet"/>
              <w:rPr>
                <w:rFonts w:cs="Arial"/>
              </w:rPr>
            </w:pPr>
            <w:r w:rsidRPr="003272C7">
              <w:rPr>
                <w:rFonts w:cs="Arial"/>
              </w:rPr>
              <w:t>Ensure the water sector can continue to provide safe, secure, and reliable water services.</w:t>
            </w:r>
          </w:p>
          <w:p w14:paraId="4A327232" w14:textId="4CA43F60" w:rsidR="00B242C3" w:rsidRPr="003272C7" w:rsidRDefault="00B242C3" w:rsidP="00E04DB2">
            <w:pPr>
              <w:pStyle w:val="TableBullet"/>
              <w:rPr>
                <w:rFonts w:cs="Arial"/>
              </w:rPr>
            </w:pPr>
            <w:r w:rsidRPr="003272C7">
              <w:rPr>
                <w:rFonts w:cs="Arial"/>
              </w:rPr>
              <w:t xml:space="preserve">Build the water sector’s capacity and capability to deal with climate-amplified </w:t>
            </w:r>
            <w:r w:rsidR="00ED3D58" w:rsidRPr="003272C7">
              <w:rPr>
                <w:rFonts w:cs="Arial"/>
              </w:rPr>
              <w:t xml:space="preserve">extreme </w:t>
            </w:r>
            <w:r w:rsidRPr="003272C7">
              <w:rPr>
                <w:rFonts w:cs="Arial"/>
              </w:rPr>
              <w:t>events.</w:t>
            </w:r>
          </w:p>
          <w:p w14:paraId="0C53B51E" w14:textId="3C6B9965" w:rsidR="00B242C3" w:rsidRPr="003272C7" w:rsidRDefault="00B242C3" w:rsidP="00E04DB2">
            <w:pPr>
              <w:pStyle w:val="TableBullet"/>
              <w:rPr>
                <w:rFonts w:cs="Arial"/>
              </w:rPr>
            </w:pPr>
            <w:r w:rsidRPr="003272C7">
              <w:rPr>
                <w:rFonts w:cs="Arial"/>
              </w:rPr>
              <w:t xml:space="preserve">Avoid economic and social costs of shocks to water supplies from increased future demand, combined with increased risk of climate-amplified </w:t>
            </w:r>
            <w:r w:rsidR="00ED3D58" w:rsidRPr="003272C7">
              <w:rPr>
                <w:rFonts w:cs="Arial"/>
              </w:rPr>
              <w:t xml:space="preserve">extreme </w:t>
            </w:r>
            <w:r w:rsidRPr="003272C7">
              <w:rPr>
                <w:rFonts w:cs="Arial"/>
              </w:rPr>
              <w:t xml:space="preserve">events, by preparing for and mitigating impacts </w:t>
            </w:r>
            <w:r w:rsidR="007375B7" w:rsidRPr="003272C7">
              <w:rPr>
                <w:rFonts w:cs="Arial"/>
              </w:rPr>
              <w:t xml:space="preserve">to </w:t>
            </w:r>
            <w:r w:rsidRPr="003272C7">
              <w:rPr>
                <w:rFonts w:cs="Arial"/>
              </w:rPr>
              <w:t>water security.</w:t>
            </w:r>
          </w:p>
        </w:tc>
      </w:tr>
      <w:tr w:rsidR="00B242C3" w:rsidRPr="003272C7" w14:paraId="2E28C71D" w14:textId="77777777" w:rsidTr="00671091">
        <w:trPr>
          <w:trHeight w:val="259"/>
        </w:trPr>
        <w:tc>
          <w:tcPr>
            <w:tcW w:w="979" w:type="pct"/>
            <w:shd w:val="clear" w:color="auto" w:fill="231EDC" w:themeFill="accent1"/>
          </w:tcPr>
          <w:p w14:paraId="06427778" w14:textId="77777777" w:rsidR="00B242C3" w:rsidRPr="003272C7" w:rsidRDefault="00B242C3" w:rsidP="00E04DB2">
            <w:pPr>
              <w:pStyle w:val="TableText"/>
              <w:rPr>
                <w:rFonts w:cs="Arial"/>
                <w:b/>
                <w:bCs/>
              </w:rPr>
            </w:pPr>
            <w:r w:rsidRPr="003272C7">
              <w:rPr>
                <w:rFonts w:cs="Arial"/>
                <w:b/>
                <w:bCs/>
              </w:rPr>
              <w:t>Outputs</w:t>
            </w:r>
          </w:p>
        </w:tc>
        <w:tc>
          <w:tcPr>
            <w:tcW w:w="4021" w:type="pct"/>
          </w:tcPr>
          <w:p w14:paraId="3EEDEABF" w14:textId="4494028C" w:rsidR="00B242C3" w:rsidRPr="003272C7" w:rsidRDefault="00B242C3" w:rsidP="00E04DB2">
            <w:pPr>
              <w:pStyle w:val="TableBullet"/>
              <w:rPr>
                <w:rFonts w:cs="Arial"/>
              </w:rPr>
            </w:pPr>
            <w:r w:rsidRPr="003272C7">
              <w:rPr>
                <w:rFonts w:cs="Arial"/>
              </w:rPr>
              <w:t>Trial of a framework to understand future changes in algal risks across Victorian water bodies, and centralised knowledge sharing to manage these risks (WCAAP Action 11</w:t>
            </w:r>
            <w:r w:rsidR="007375B7" w:rsidRPr="003272C7">
              <w:rPr>
                <w:rFonts w:cs="Arial"/>
              </w:rPr>
              <w:t>.</w:t>
            </w:r>
            <w:r w:rsidRPr="003272C7">
              <w:rPr>
                <w:rFonts w:cs="Arial"/>
              </w:rPr>
              <w:t>)</w:t>
            </w:r>
          </w:p>
          <w:p w14:paraId="6E69AB92" w14:textId="77777777" w:rsidR="00142559" w:rsidRPr="003272C7" w:rsidRDefault="00553673" w:rsidP="00E04DB2">
            <w:pPr>
              <w:pStyle w:val="TableBullet"/>
              <w:rPr>
                <w:rFonts w:cs="Arial"/>
              </w:rPr>
            </w:pPr>
            <w:r w:rsidRPr="003272C7">
              <w:rPr>
                <w:rFonts w:cs="Arial"/>
              </w:rPr>
              <w:t>Trial to calculate the energy and greenhouse gas emissions benefits of efficient showerheads, to inform assumptions on household water-related energy use and future strategies to increase uptake of efficient fixtures and fittings (WCAAP Action 19.)</w:t>
            </w:r>
          </w:p>
          <w:p w14:paraId="45CA744F" w14:textId="292E4068" w:rsidR="00B242C3" w:rsidRPr="003272C7" w:rsidRDefault="00B242C3" w:rsidP="00E04DB2">
            <w:pPr>
              <w:pStyle w:val="TableBullet"/>
              <w:rPr>
                <w:rFonts w:cs="Arial"/>
              </w:rPr>
            </w:pPr>
            <w:r w:rsidRPr="003272C7">
              <w:rPr>
                <w:rFonts w:cs="Arial"/>
              </w:rPr>
              <w:t>Support for Traditional Owner self-determination in climate adaptation planning and implementation across the water cycle system (WCAAP Action 15)</w:t>
            </w:r>
            <w:r w:rsidR="00553673" w:rsidRPr="003272C7">
              <w:rPr>
                <w:rFonts w:cs="Arial"/>
              </w:rPr>
              <w:t>, including the trial watering of the Durdidwarrah wetland by the Wadawurrung Traditional Owners Aboriginal Corporation and the provision of grants to 15 Registered and non-Registered Aboriginal Parties to support participation in the development of an updated Victorian Waterway Management Strategy.</w:t>
            </w:r>
          </w:p>
          <w:p w14:paraId="02DCCB07" w14:textId="3427FE3A" w:rsidR="00B242C3" w:rsidRPr="003272C7" w:rsidRDefault="00B242C3" w:rsidP="00E04DB2">
            <w:pPr>
              <w:pStyle w:val="TableBullet"/>
              <w:rPr>
                <w:rFonts w:cs="Arial"/>
              </w:rPr>
            </w:pPr>
            <w:r w:rsidRPr="003272C7">
              <w:rPr>
                <w:rFonts w:cs="Arial"/>
              </w:rPr>
              <w:t>Establishment of the Water Minister’s Climate Innovation Challenge</w:t>
            </w:r>
            <w:r w:rsidR="00EA6A36" w:rsidRPr="003272C7">
              <w:rPr>
                <w:rFonts w:cs="Arial"/>
              </w:rPr>
              <w:t xml:space="preserve"> (WMCIC), with four collaborative and sector-led climate action projects funded in 2023,</w:t>
            </w:r>
            <w:r w:rsidRPr="003272C7">
              <w:rPr>
                <w:rFonts w:cs="Arial"/>
              </w:rPr>
              <w:t xml:space="preserve"> for delivery over 2023-2025.</w:t>
            </w:r>
          </w:p>
          <w:p w14:paraId="0FB83ABC" w14:textId="716FAE90" w:rsidR="00142559" w:rsidRPr="003272C7" w:rsidRDefault="00632BDA" w:rsidP="00E04DB2">
            <w:pPr>
              <w:pStyle w:val="TableBullet"/>
              <w:rPr>
                <w:rFonts w:cs="Arial"/>
              </w:rPr>
            </w:pPr>
            <w:r w:rsidRPr="003272C7">
              <w:rPr>
                <w:rFonts w:cs="Arial"/>
              </w:rPr>
              <w:t xml:space="preserve">Publication of </w:t>
            </w:r>
            <w:hyperlink r:id="rId25" w:tgtFrame="_blank" w:history="1">
              <w:r w:rsidRPr="003272C7">
                <w:rPr>
                  <w:rStyle w:val="Hyperlink"/>
                  <w:rFonts w:cs="Arial"/>
                </w:rPr>
                <w:t>Guidance on delivering multi-benefit carbon offsetting projects in the water sector</w:t>
              </w:r>
            </w:hyperlink>
            <w:r w:rsidRPr="003272C7">
              <w:rPr>
                <w:rFonts w:cs="Arial"/>
              </w:rPr>
              <w:t>,</w:t>
            </w:r>
            <w:r w:rsidR="00142559" w:rsidRPr="003272C7">
              <w:rPr>
                <w:rFonts w:cs="Arial"/>
              </w:rPr>
              <w:t xml:space="preserve"> </w:t>
            </w:r>
            <w:r w:rsidRPr="003272C7">
              <w:rPr>
                <w:rFonts w:cs="Arial"/>
              </w:rPr>
              <w:t>to help Victoria’s water sector to co-invest with other entities to assess and deliver high value carbon offset projects which result in multiple social, environmental, and economic benefits.</w:t>
            </w:r>
          </w:p>
          <w:p w14:paraId="26C24575" w14:textId="48AA3F4F" w:rsidR="00B242C3" w:rsidRPr="003272C7" w:rsidRDefault="00B242C3" w:rsidP="00E04DB2">
            <w:pPr>
              <w:pStyle w:val="TableBullet"/>
              <w:rPr>
                <w:rFonts w:cs="Arial"/>
              </w:rPr>
            </w:pPr>
            <w:r w:rsidRPr="003272C7">
              <w:rPr>
                <w:rFonts w:cs="Arial"/>
              </w:rPr>
              <w:t>Establishment of a Monitoring, Evaluation, Reporting and Improvement framework for measuring progress toward the WCAAP outcomes</w:t>
            </w:r>
            <w:r w:rsidR="00B25449" w:rsidRPr="003272C7">
              <w:rPr>
                <w:rFonts w:cs="Arial"/>
              </w:rPr>
              <w:t xml:space="preserve"> (WCAAP action</w:t>
            </w:r>
            <w:r w:rsidR="004B0180" w:rsidRPr="003272C7">
              <w:rPr>
                <w:rFonts w:cs="Arial"/>
              </w:rPr>
              <w:t> </w:t>
            </w:r>
            <w:r w:rsidR="00B25449" w:rsidRPr="003272C7">
              <w:rPr>
                <w:rFonts w:cs="Arial"/>
              </w:rPr>
              <w:t>14</w:t>
            </w:r>
            <w:r w:rsidRPr="003272C7">
              <w:rPr>
                <w:rFonts w:cs="Arial"/>
              </w:rPr>
              <w:t>.</w:t>
            </w:r>
            <w:r w:rsidR="00227D04" w:rsidRPr="003272C7">
              <w:rPr>
                <w:rFonts w:cs="Arial"/>
              </w:rPr>
              <w:t>)</w:t>
            </w:r>
          </w:p>
          <w:p w14:paraId="43A09513" w14:textId="77777777" w:rsidR="00142559" w:rsidRPr="003272C7" w:rsidRDefault="00227D04" w:rsidP="00E04DB2">
            <w:pPr>
              <w:pStyle w:val="TableBullet"/>
              <w:rPr>
                <w:rFonts w:cs="Arial"/>
              </w:rPr>
            </w:pPr>
            <w:r w:rsidRPr="003272C7">
              <w:rPr>
                <w:rFonts w:cs="Arial"/>
              </w:rPr>
              <w:lastRenderedPageBreak/>
              <w:t>Establishment of a Victorian Catchment Management Authority Water Cycle Adaptation Program (reported under WCAAP Actions 9 and 21) to identify and support adaptation to local climate risks to waterway health.</w:t>
            </w:r>
          </w:p>
          <w:p w14:paraId="6B65743A" w14:textId="7D97CD01" w:rsidR="00B242C3" w:rsidRPr="003272C7" w:rsidRDefault="00227D04" w:rsidP="00E04DB2">
            <w:pPr>
              <w:pStyle w:val="TableBullet"/>
              <w:rPr>
                <w:rFonts w:cs="Arial"/>
              </w:rPr>
            </w:pPr>
            <w:r w:rsidRPr="003272C7">
              <w:rPr>
                <w:rFonts w:cs="Arial"/>
              </w:rPr>
              <w:t>Establishment of six on-ground adaptation projects nominated by Integrated Water Management Forums (reported under WCAAP Actions 1 and 8), to build local water cycle resilience to climate impacts.</w:t>
            </w:r>
            <w:r w:rsidR="00142559" w:rsidRPr="003272C7">
              <w:rPr>
                <w:rFonts w:cs="Arial"/>
              </w:rPr>
              <w:t xml:space="preserve"> </w:t>
            </w:r>
          </w:p>
        </w:tc>
      </w:tr>
      <w:tr w:rsidR="00B242C3" w:rsidRPr="003272C7" w14:paraId="500BD9AB" w14:textId="77777777" w:rsidTr="00196732">
        <w:trPr>
          <w:trHeight w:val="259"/>
        </w:trPr>
        <w:tc>
          <w:tcPr>
            <w:tcW w:w="5000" w:type="pct"/>
            <w:gridSpan w:val="2"/>
            <w:shd w:val="clear" w:color="auto" w:fill="231EDC" w:themeFill="accent1"/>
          </w:tcPr>
          <w:p w14:paraId="6D6B7F9F" w14:textId="77777777" w:rsidR="00B242C3" w:rsidRPr="003272C7" w:rsidRDefault="00B242C3" w:rsidP="00E85AD2">
            <w:pPr>
              <w:pStyle w:val="TableText"/>
              <w:rPr>
                <w:rFonts w:cs="Arial"/>
                <w:b/>
                <w:bCs/>
              </w:rPr>
            </w:pPr>
            <w:r w:rsidRPr="003272C7">
              <w:rPr>
                <w:rFonts w:cs="Arial"/>
                <w:b/>
                <w:bCs/>
              </w:rPr>
              <w:lastRenderedPageBreak/>
              <w:t>Summary against evaluation domains</w:t>
            </w:r>
          </w:p>
        </w:tc>
      </w:tr>
      <w:tr w:rsidR="00B242C3" w:rsidRPr="003272C7" w14:paraId="61E0FA61" w14:textId="77777777" w:rsidTr="00671091">
        <w:trPr>
          <w:trHeight w:val="259"/>
        </w:trPr>
        <w:tc>
          <w:tcPr>
            <w:tcW w:w="979" w:type="pct"/>
            <w:shd w:val="clear" w:color="auto" w:fill="231EDC" w:themeFill="accent1"/>
          </w:tcPr>
          <w:p w14:paraId="71AA45F7" w14:textId="77777777" w:rsidR="00B242C3" w:rsidRPr="003272C7" w:rsidRDefault="00B242C3" w:rsidP="00E85AD2">
            <w:pPr>
              <w:pStyle w:val="TableText"/>
              <w:rPr>
                <w:rFonts w:cs="Arial"/>
                <w:b/>
                <w:bCs/>
              </w:rPr>
            </w:pPr>
            <w:r w:rsidRPr="003272C7">
              <w:rPr>
                <w:rFonts w:cs="Arial"/>
                <w:b/>
                <w:bCs/>
              </w:rPr>
              <w:t>Impact</w:t>
            </w:r>
          </w:p>
        </w:tc>
        <w:tc>
          <w:tcPr>
            <w:tcW w:w="4021" w:type="pct"/>
          </w:tcPr>
          <w:p w14:paraId="2C4B148F" w14:textId="1D1E3257" w:rsidR="00B242C3" w:rsidRPr="003272C7" w:rsidRDefault="00B242C3" w:rsidP="00E85AD2">
            <w:pPr>
              <w:pStyle w:val="TableText"/>
              <w:rPr>
                <w:rFonts w:cs="Arial"/>
              </w:rPr>
            </w:pPr>
            <w:r w:rsidRPr="003272C7">
              <w:rPr>
                <w:rFonts w:cs="Arial"/>
              </w:rPr>
              <w:t xml:space="preserve">Victoria’s integrated approach to water cycle system adaptation through the WCAAP is world leading. This is evidenced by the federal government’s request for our </w:t>
            </w:r>
            <w:r w:rsidR="00227D04" w:rsidRPr="003272C7">
              <w:rPr>
                <w:rFonts w:cs="Arial"/>
              </w:rPr>
              <w:t>program</w:t>
            </w:r>
            <w:r w:rsidRPr="003272C7">
              <w:rPr>
                <w:rFonts w:cs="Arial"/>
              </w:rPr>
              <w:t xml:space="preserve"> to deliver training to Asia Pacific partners on adaptation action planning through the Australian Water Partnership in early 2023, and an invitation from the Asian Development Bank to present as part of their e-marketplace on the innovative economic opportunities that can arise from climate action. The Program is also regularly invited to present to domestic stakeholders at forums such as the national OzWater and Adaptation conferences on our integrated approach to climate action planning. These opportunities to uplift global and local climate action ambition, through demonstrating rapid adaptation and mitigation is possible, have the potential to address the global challenge and contribute to water cycle system resilience.</w:t>
            </w:r>
          </w:p>
          <w:p w14:paraId="2CA08AA0" w14:textId="77777777" w:rsidR="00142559" w:rsidRPr="003272C7" w:rsidRDefault="00B242C3" w:rsidP="00E04DB2">
            <w:pPr>
              <w:pStyle w:val="TableBullet"/>
              <w:rPr>
                <w:rFonts w:cs="Arial"/>
              </w:rPr>
            </w:pPr>
            <w:r w:rsidRPr="003272C7">
              <w:rPr>
                <w:rFonts w:cs="Arial"/>
                <w:b/>
                <w:bCs/>
              </w:rPr>
              <w:t>Improved understanding of climate risks:</w:t>
            </w:r>
            <w:r w:rsidRPr="003272C7">
              <w:rPr>
                <w:rFonts w:cs="Arial"/>
              </w:rPr>
              <w:t xml:space="preserve"> </w:t>
            </w:r>
            <w:r w:rsidR="0053343C" w:rsidRPr="003272C7">
              <w:rPr>
                <w:rFonts w:cs="Arial"/>
              </w:rPr>
              <w:t>T</w:t>
            </w:r>
            <w:r w:rsidRPr="003272C7">
              <w:rPr>
                <w:rFonts w:cs="Arial"/>
              </w:rPr>
              <w:t xml:space="preserve">he WCAAP team reviewed </w:t>
            </w:r>
            <w:r w:rsidR="0053343C" w:rsidRPr="003272C7">
              <w:rPr>
                <w:rFonts w:cs="Arial"/>
              </w:rPr>
              <w:t>and provided feedback on the Corporate Plans and Annual Reports</w:t>
            </w:r>
            <w:r w:rsidR="00A90264" w:rsidRPr="003272C7">
              <w:rPr>
                <w:rFonts w:cs="Arial"/>
              </w:rPr>
              <w:t xml:space="preserve"> of nine</w:t>
            </w:r>
            <w:r w:rsidRPr="003272C7">
              <w:rPr>
                <w:rFonts w:cs="Arial"/>
              </w:rPr>
              <w:t xml:space="preserve"> C</w:t>
            </w:r>
            <w:r w:rsidR="00A90264" w:rsidRPr="003272C7">
              <w:rPr>
                <w:rFonts w:cs="Arial"/>
              </w:rPr>
              <w:t xml:space="preserve">atchment </w:t>
            </w:r>
            <w:r w:rsidRPr="003272C7">
              <w:rPr>
                <w:rFonts w:cs="Arial"/>
              </w:rPr>
              <w:t>M</w:t>
            </w:r>
            <w:r w:rsidR="00A90264" w:rsidRPr="003272C7">
              <w:rPr>
                <w:rFonts w:cs="Arial"/>
              </w:rPr>
              <w:t xml:space="preserve">anagement </w:t>
            </w:r>
            <w:r w:rsidRPr="003272C7">
              <w:rPr>
                <w:rFonts w:cs="Arial"/>
              </w:rPr>
              <w:t>A</w:t>
            </w:r>
            <w:r w:rsidR="00A90264" w:rsidRPr="003272C7">
              <w:rPr>
                <w:rFonts w:cs="Arial"/>
              </w:rPr>
              <w:t>uthoritie</w:t>
            </w:r>
            <w:r w:rsidRPr="003272C7">
              <w:rPr>
                <w:rFonts w:cs="Arial"/>
              </w:rPr>
              <w:t>s and 18 Vic</w:t>
            </w:r>
            <w:r w:rsidR="009F360D" w:rsidRPr="003272C7">
              <w:rPr>
                <w:rFonts w:cs="Arial"/>
              </w:rPr>
              <w:t>torian</w:t>
            </w:r>
            <w:r w:rsidRPr="003272C7">
              <w:rPr>
                <w:rFonts w:cs="Arial"/>
              </w:rPr>
              <w:t xml:space="preserve"> Water Corp</w:t>
            </w:r>
            <w:r w:rsidR="009F360D" w:rsidRPr="003272C7">
              <w:rPr>
                <w:rFonts w:cs="Arial"/>
              </w:rPr>
              <w:t>oration</w:t>
            </w:r>
            <w:r w:rsidRPr="003272C7">
              <w:rPr>
                <w:rFonts w:cs="Arial"/>
              </w:rPr>
              <w:t>s</w:t>
            </w:r>
            <w:r w:rsidR="009F360D" w:rsidRPr="003272C7">
              <w:rPr>
                <w:rFonts w:cs="Arial"/>
              </w:rPr>
              <w:t xml:space="preserve"> annually during the funding period. This oversight and improvement process will help the sector to build capacity to better address the risks of climate change. The program team also conducted in-depth consultation with the water sector on their understanding and management of climate risks. The outcomes of this consultation have enabled refinement of government’s service offering to the sector, resulting in the establishment of partnerships with CMA’s (through a grants program) and water corporations (by agreement with VicWater) to build their climate risk management capacity</w:t>
            </w:r>
            <w:r w:rsidRPr="003272C7">
              <w:rPr>
                <w:rFonts w:cs="Arial"/>
              </w:rPr>
              <w:t>.</w:t>
            </w:r>
          </w:p>
          <w:p w14:paraId="2D331DD1" w14:textId="16072EF1" w:rsidR="00B242C3" w:rsidRPr="003272C7" w:rsidRDefault="00B242C3" w:rsidP="00E04DB2">
            <w:pPr>
              <w:pStyle w:val="TableBullet"/>
              <w:rPr>
                <w:rFonts w:cs="Arial"/>
              </w:rPr>
            </w:pPr>
            <w:r w:rsidRPr="003272C7">
              <w:rPr>
                <w:rFonts w:cs="Arial"/>
                <w:b/>
                <w:bCs/>
              </w:rPr>
              <w:t>Involvement by Traditional Owners:</w:t>
            </w:r>
            <w:r w:rsidRPr="003272C7">
              <w:rPr>
                <w:rFonts w:cs="Arial"/>
              </w:rPr>
              <w:t xml:space="preserve"> Grants provided 15 Registered </w:t>
            </w:r>
            <w:r w:rsidR="00BB33F6" w:rsidRPr="003272C7">
              <w:rPr>
                <w:rFonts w:cs="Arial"/>
              </w:rPr>
              <w:t xml:space="preserve">Aboriginal Parties </w:t>
            </w:r>
            <w:r w:rsidRPr="003272C7">
              <w:rPr>
                <w:rFonts w:cs="Arial"/>
              </w:rPr>
              <w:t>and non-</w:t>
            </w:r>
            <w:r w:rsidR="009E3C7B" w:rsidRPr="003272C7">
              <w:rPr>
                <w:rFonts w:cs="Arial"/>
              </w:rPr>
              <w:t xml:space="preserve">Registered </w:t>
            </w:r>
            <w:r w:rsidRPr="003272C7">
              <w:rPr>
                <w:rFonts w:cs="Arial"/>
              </w:rPr>
              <w:t>Aboriginal Part</w:t>
            </w:r>
            <w:r w:rsidR="00BB33F6" w:rsidRPr="003272C7">
              <w:rPr>
                <w:rFonts w:cs="Arial"/>
              </w:rPr>
              <w:t>y groups</w:t>
            </w:r>
            <w:r w:rsidRPr="003272C7">
              <w:rPr>
                <w:rFonts w:cs="Arial"/>
              </w:rPr>
              <w:t xml:space="preserve"> to enable self-determined participation in the </w:t>
            </w:r>
            <w:r w:rsidR="00BA4081" w:rsidRPr="003272C7">
              <w:rPr>
                <w:rFonts w:cs="Arial"/>
              </w:rPr>
              <w:t xml:space="preserve">development of an updated </w:t>
            </w:r>
            <w:r w:rsidRPr="003272C7">
              <w:rPr>
                <w:rFonts w:cs="Arial"/>
              </w:rPr>
              <w:t>Victorian Waterway Management Strategy, which embeds climate adaptation into the management of rivers, estuaries and wetlands across the state. This is a significant increase in involvement in and influence on water policy and management decision-making processes by non-Registered Aboriginal Parties</w:t>
            </w:r>
            <w:r w:rsidR="00BA4081" w:rsidRPr="003272C7">
              <w:rPr>
                <w:rFonts w:cs="Arial"/>
              </w:rPr>
              <w:t>.</w:t>
            </w:r>
          </w:p>
          <w:p w14:paraId="1D0B9F0A" w14:textId="47EB35FB" w:rsidR="00B242C3" w:rsidRPr="003272C7" w:rsidRDefault="00B242C3" w:rsidP="00E04DB2">
            <w:pPr>
              <w:pStyle w:val="TableBullet"/>
              <w:rPr>
                <w:rFonts w:cs="Arial"/>
              </w:rPr>
            </w:pPr>
            <w:r w:rsidRPr="003272C7">
              <w:rPr>
                <w:rFonts w:cs="Arial"/>
                <w:b/>
                <w:bCs/>
              </w:rPr>
              <w:t>Improved ability to response to algal risks:</w:t>
            </w:r>
            <w:r w:rsidRPr="003272C7">
              <w:rPr>
                <w:rFonts w:cs="Arial"/>
              </w:rPr>
              <w:t xml:space="preserve"> A framework to understand future risk of toxic algal outbreak was trialled at Lake Eppalock, and results of that trial were socialised with the Statewide Algal Managers Forum convened by the DEECA Water Emergency Management team. </w:t>
            </w:r>
            <w:r w:rsidR="002F6751" w:rsidRPr="003272C7">
              <w:rPr>
                <w:rFonts w:cs="Arial"/>
              </w:rPr>
              <w:t xml:space="preserve">Interest in the results led to the trial being expanded to a further three sites, with work currently underway. </w:t>
            </w:r>
          </w:p>
        </w:tc>
      </w:tr>
      <w:tr w:rsidR="00B242C3" w:rsidRPr="003272C7" w14:paraId="775273A9" w14:textId="77777777" w:rsidTr="00671091">
        <w:trPr>
          <w:trHeight w:val="259"/>
        </w:trPr>
        <w:tc>
          <w:tcPr>
            <w:tcW w:w="979" w:type="pct"/>
            <w:shd w:val="clear" w:color="auto" w:fill="231EDC" w:themeFill="accent1"/>
          </w:tcPr>
          <w:p w14:paraId="0EF23A7A" w14:textId="77777777" w:rsidR="00B242C3" w:rsidRPr="003272C7" w:rsidRDefault="00B242C3" w:rsidP="00196732">
            <w:pPr>
              <w:pStyle w:val="TableText"/>
              <w:rPr>
                <w:rFonts w:cs="Arial"/>
                <w:b/>
                <w:bCs/>
              </w:rPr>
            </w:pPr>
            <w:r w:rsidRPr="003272C7">
              <w:rPr>
                <w:rFonts w:cs="Arial"/>
                <w:b/>
                <w:bCs/>
              </w:rPr>
              <w:t>Effectiveness</w:t>
            </w:r>
          </w:p>
        </w:tc>
        <w:tc>
          <w:tcPr>
            <w:tcW w:w="4021" w:type="pct"/>
          </w:tcPr>
          <w:p w14:paraId="33D0F30E" w14:textId="618F8562" w:rsidR="00B242C3" w:rsidRPr="003272C7" w:rsidRDefault="00B242C3" w:rsidP="00E85AD2">
            <w:pPr>
              <w:pStyle w:val="TableText"/>
              <w:rPr>
                <w:rFonts w:cs="Arial"/>
              </w:rPr>
            </w:pPr>
            <w:r w:rsidRPr="003272C7">
              <w:rPr>
                <w:rFonts w:cs="Arial"/>
              </w:rPr>
              <w:t xml:space="preserve">The </w:t>
            </w:r>
            <w:r w:rsidR="002F6751" w:rsidRPr="003272C7">
              <w:rPr>
                <w:rFonts w:cs="Arial"/>
              </w:rPr>
              <w:t>EC</w:t>
            </w:r>
            <w:r w:rsidRPr="003272C7">
              <w:rPr>
                <w:rFonts w:cs="Arial"/>
              </w:rPr>
              <w:t xml:space="preserve"> funding cycle itself can be a barrier to efficient and effective achievement of outcomes. </w:t>
            </w:r>
            <w:r w:rsidR="009556F8" w:rsidRPr="003272C7">
              <w:rPr>
                <w:rFonts w:cs="Arial"/>
              </w:rPr>
              <w:t xml:space="preserve">The WCAAP program of work operates to a legislated </w:t>
            </w:r>
            <w:r w:rsidR="00BB33F6" w:rsidRPr="003272C7">
              <w:rPr>
                <w:rFonts w:cs="Arial"/>
              </w:rPr>
              <w:t>five-year</w:t>
            </w:r>
            <w:r w:rsidR="009556F8" w:rsidRPr="003272C7">
              <w:rPr>
                <w:rFonts w:cs="Arial"/>
              </w:rPr>
              <w:t xml:space="preserve"> delivery timeline, that does not align with the EC funding cycle. </w:t>
            </w:r>
            <w:r w:rsidR="0091682D" w:rsidRPr="003272C7">
              <w:rPr>
                <w:rFonts w:cs="Arial"/>
              </w:rPr>
              <w:t>Whilst the</w:t>
            </w:r>
            <w:r w:rsidRPr="003272C7">
              <w:rPr>
                <w:rFonts w:cs="Arial"/>
              </w:rPr>
              <w:t xml:space="preserve"> amount we received in EC5 could conceivably have funded the full 5-year WCAAP, were we allowed to disburse the funds over th</w:t>
            </w:r>
            <w:r w:rsidR="0091682D" w:rsidRPr="003272C7">
              <w:rPr>
                <w:rFonts w:cs="Arial"/>
              </w:rPr>
              <w:t>e legislated WCAAP delivery</w:t>
            </w:r>
            <w:r w:rsidRPr="003272C7">
              <w:rPr>
                <w:rFonts w:cs="Arial"/>
              </w:rPr>
              <w:t xml:space="preserve"> period</w:t>
            </w:r>
            <w:r w:rsidR="009050A2" w:rsidRPr="003272C7">
              <w:rPr>
                <w:rFonts w:cs="Arial"/>
              </w:rPr>
              <w:t>,</w:t>
            </w:r>
            <w:r w:rsidRPr="003272C7">
              <w:rPr>
                <w:rFonts w:cs="Arial"/>
              </w:rPr>
              <w:t xml:space="preserve"> we </w:t>
            </w:r>
            <w:r w:rsidR="009050A2" w:rsidRPr="003272C7">
              <w:rPr>
                <w:rFonts w:cs="Arial"/>
              </w:rPr>
              <w:t>needed to seek alternate funds (through</w:t>
            </w:r>
            <w:r w:rsidRPr="003272C7">
              <w:rPr>
                <w:rFonts w:cs="Arial"/>
              </w:rPr>
              <w:t xml:space="preserve"> EC6</w:t>
            </w:r>
            <w:r w:rsidR="00B00677" w:rsidRPr="003272C7">
              <w:rPr>
                <w:rFonts w:cs="Arial"/>
              </w:rPr>
              <w:t>)</w:t>
            </w:r>
            <w:r w:rsidRPr="003272C7">
              <w:rPr>
                <w:rFonts w:cs="Arial"/>
              </w:rPr>
              <w:t xml:space="preserve"> to retain </w:t>
            </w:r>
            <w:r w:rsidR="00B00677" w:rsidRPr="003272C7">
              <w:rPr>
                <w:rFonts w:cs="Arial"/>
              </w:rPr>
              <w:t xml:space="preserve">program </w:t>
            </w:r>
            <w:r w:rsidRPr="003272C7">
              <w:rPr>
                <w:rFonts w:cs="Arial"/>
              </w:rPr>
              <w:t xml:space="preserve">staff for </w:t>
            </w:r>
            <w:r w:rsidR="00B00677" w:rsidRPr="003272C7">
              <w:rPr>
                <w:rFonts w:cs="Arial"/>
              </w:rPr>
              <w:t>full and effective implementation of this program</w:t>
            </w:r>
            <w:r w:rsidRPr="003272C7">
              <w:rPr>
                <w:rFonts w:cs="Arial"/>
              </w:rPr>
              <w:t>.</w:t>
            </w:r>
          </w:p>
          <w:p w14:paraId="64E9C5B4" w14:textId="44CD5419" w:rsidR="00B242C3" w:rsidRPr="003272C7" w:rsidRDefault="00D24FA9" w:rsidP="00E85AD2">
            <w:pPr>
              <w:pStyle w:val="TableText"/>
              <w:rPr>
                <w:rFonts w:cs="Arial"/>
              </w:rPr>
            </w:pPr>
            <w:r w:rsidRPr="003272C7">
              <w:rPr>
                <w:rFonts w:cs="Arial"/>
              </w:rPr>
              <w:t xml:space="preserve">Given the constrained timeframe for delivery associated with EC5 funding, and the complexity of the policy challenge being addressed by this funded </w:t>
            </w:r>
            <w:r w:rsidR="00445736" w:rsidRPr="003272C7">
              <w:rPr>
                <w:rFonts w:cs="Arial"/>
              </w:rPr>
              <w:t>project</w:t>
            </w:r>
            <w:r w:rsidRPr="003272C7">
              <w:rPr>
                <w:rFonts w:cs="Arial"/>
              </w:rPr>
              <w:t xml:space="preserve">, the program team took additional measures to ensure the effectiveness of the EC investment. The additional governance and integrity measure of an independent probity advisor was appointed to guide the design and delivery of a new grants program as a vehicle to meet the outcomes of EC5 and the WCAAP. All grants awarded through this </w:t>
            </w:r>
            <w:r w:rsidR="00445736" w:rsidRPr="003272C7">
              <w:rPr>
                <w:rFonts w:cs="Arial"/>
              </w:rPr>
              <w:t>project</w:t>
            </w:r>
            <w:r w:rsidRPr="003272C7">
              <w:rPr>
                <w:rFonts w:cs="Arial"/>
              </w:rPr>
              <w:t xml:space="preserve"> were compliant with the approved probity plan.</w:t>
            </w:r>
            <w:r w:rsidR="00142559" w:rsidRPr="003272C7">
              <w:rPr>
                <w:rFonts w:cs="Arial"/>
              </w:rPr>
              <w:t xml:space="preserve"> </w:t>
            </w:r>
          </w:p>
        </w:tc>
      </w:tr>
      <w:tr w:rsidR="00B242C3" w:rsidRPr="003272C7" w14:paraId="07BDC169" w14:textId="77777777" w:rsidTr="00671091">
        <w:trPr>
          <w:trHeight w:val="259"/>
        </w:trPr>
        <w:tc>
          <w:tcPr>
            <w:tcW w:w="979" w:type="pct"/>
            <w:shd w:val="clear" w:color="auto" w:fill="231EDC" w:themeFill="accent1"/>
          </w:tcPr>
          <w:p w14:paraId="312C2277" w14:textId="77777777" w:rsidR="00B242C3" w:rsidRPr="003272C7" w:rsidRDefault="00B242C3" w:rsidP="00196732">
            <w:pPr>
              <w:pStyle w:val="TableText"/>
              <w:rPr>
                <w:rFonts w:cs="Arial"/>
                <w:b/>
                <w:bCs/>
              </w:rPr>
            </w:pPr>
            <w:r w:rsidRPr="003272C7">
              <w:rPr>
                <w:rFonts w:cs="Arial"/>
                <w:b/>
                <w:bCs/>
              </w:rPr>
              <w:lastRenderedPageBreak/>
              <w:t>Appropriateness</w:t>
            </w:r>
          </w:p>
        </w:tc>
        <w:tc>
          <w:tcPr>
            <w:tcW w:w="4021" w:type="pct"/>
          </w:tcPr>
          <w:p w14:paraId="053303AE" w14:textId="77777777" w:rsidR="00B242C3" w:rsidRPr="003272C7" w:rsidRDefault="00B242C3" w:rsidP="004B0180">
            <w:pPr>
              <w:pStyle w:val="TableTextBold"/>
              <w:keepNext/>
              <w:keepLines/>
              <w:rPr>
                <w:rFonts w:cs="Arial"/>
              </w:rPr>
            </w:pPr>
            <w:r w:rsidRPr="003272C7">
              <w:rPr>
                <w:rFonts w:cs="Arial"/>
              </w:rPr>
              <w:t>Strategic Context:</w:t>
            </w:r>
          </w:p>
          <w:p w14:paraId="1120D287" w14:textId="5BBC8682" w:rsidR="00B242C3" w:rsidRPr="003272C7" w:rsidRDefault="00B242C3" w:rsidP="004B0180">
            <w:pPr>
              <w:pStyle w:val="TableBullet"/>
              <w:keepNext/>
              <w:keepLines/>
              <w:rPr>
                <w:rFonts w:cs="Arial"/>
              </w:rPr>
            </w:pPr>
            <w:r w:rsidRPr="003272C7">
              <w:rPr>
                <w:rFonts w:cs="Arial"/>
              </w:rPr>
              <w:t xml:space="preserve">At the time of the EC5 funding allocation, this </w:t>
            </w:r>
            <w:r w:rsidR="00BB33F6" w:rsidRPr="003272C7">
              <w:rPr>
                <w:rFonts w:cs="Arial"/>
              </w:rPr>
              <w:t>p</w:t>
            </w:r>
            <w:r w:rsidRPr="003272C7">
              <w:rPr>
                <w:rFonts w:cs="Arial"/>
              </w:rPr>
              <w:t>rogram of work was delivering against Water for Victoria (actions 2.1 and 2.3) and Victoria’s Climate Change Adaptation Action Plan 2017-2020. It was also being designed in readiness for delivery of a legislative obligation under Victoria’s Climate Change Act 2017.</w:t>
            </w:r>
          </w:p>
          <w:p w14:paraId="33392DE1" w14:textId="16899A04" w:rsidR="00B242C3" w:rsidRPr="003272C7" w:rsidRDefault="00B242C3" w:rsidP="00E04DB2">
            <w:pPr>
              <w:pStyle w:val="TableBullet"/>
              <w:rPr>
                <w:rFonts w:cs="Arial"/>
              </w:rPr>
            </w:pPr>
            <w:r w:rsidRPr="003272C7">
              <w:rPr>
                <w:rFonts w:cs="Arial"/>
              </w:rPr>
              <w:t>In 2022, Victoria’s Water Minister directed the water sector to achieve net zero emissions by 2035. The state’s net zero emissions target has been brought forward to 2045, and a whole-of-government net zero emissions target is likely to be established. The Victorian Government also became the first Australian Government to commit to implement the Uluru Statement of the Heart in full. Progress toward Treaty has been swift and has involved a significant pivot toward support for self-determination</w:t>
            </w:r>
            <w:r w:rsidR="007D78FD" w:rsidRPr="003272C7">
              <w:rPr>
                <w:rFonts w:cs="Arial"/>
              </w:rPr>
              <w:t>.</w:t>
            </w:r>
          </w:p>
          <w:p w14:paraId="703EBE1F" w14:textId="77777777" w:rsidR="00142559" w:rsidRPr="003272C7" w:rsidRDefault="00B242C3" w:rsidP="00E04DB2">
            <w:pPr>
              <w:pStyle w:val="TableBullet"/>
              <w:rPr>
                <w:rFonts w:cs="Arial"/>
              </w:rPr>
            </w:pPr>
            <w:r w:rsidRPr="003272C7">
              <w:rPr>
                <w:rFonts w:cs="Arial"/>
              </w:rPr>
              <w:t>The impacts of climate change have also been felt by the water system, with bushfires over 2019</w:t>
            </w:r>
            <w:r w:rsidR="00BB33F6" w:rsidRPr="003272C7">
              <w:rPr>
                <w:rFonts w:cs="Arial"/>
              </w:rPr>
              <w:t>-</w:t>
            </w:r>
            <w:r w:rsidRPr="003272C7">
              <w:rPr>
                <w:rFonts w:cs="Arial"/>
              </w:rPr>
              <w:t>20</w:t>
            </w:r>
            <w:r w:rsidR="00974681" w:rsidRPr="003272C7">
              <w:rPr>
                <w:rFonts w:cs="Arial"/>
              </w:rPr>
              <w:t>,</w:t>
            </w:r>
            <w:r w:rsidRPr="003272C7">
              <w:rPr>
                <w:rFonts w:cs="Arial"/>
              </w:rPr>
              <w:t xml:space="preserve"> floods in 2022</w:t>
            </w:r>
            <w:r w:rsidR="000D5376" w:rsidRPr="003272C7">
              <w:rPr>
                <w:rFonts w:cs="Arial"/>
              </w:rPr>
              <w:t xml:space="preserve"> and storms in 2023</w:t>
            </w:r>
            <w:r w:rsidRPr="003272C7">
              <w:rPr>
                <w:rFonts w:cs="Arial"/>
              </w:rPr>
              <w:t xml:space="preserve"> increasing the need for investment in community and environmental resilience to the cascading and compounding impacts of climate change. The need to fully incorporate climate risk into recovery decisions and future planning by the water sector has also increased in urgency.</w:t>
            </w:r>
          </w:p>
          <w:p w14:paraId="65A861D3" w14:textId="5BE16078" w:rsidR="00B242C3" w:rsidRPr="003272C7" w:rsidRDefault="00B242C3" w:rsidP="00E04DB2">
            <w:pPr>
              <w:pStyle w:val="TableBullet"/>
              <w:rPr>
                <w:rFonts w:cs="Arial"/>
              </w:rPr>
            </w:pPr>
            <w:r w:rsidRPr="003272C7">
              <w:rPr>
                <w:rFonts w:cs="Arial"/>
              </w:rPr>
              <w:t xml:space="preserve">These elevated strategic priorities have required us to adjust the focus and mode of our work on the </w:t>
            </w:r>
            <w:r w:rsidR="00BB33F6" w:rsidRPr="003272C7">
              <w:rPr>
                <w:rFonts w:cs="Arial"/>
              </w:rPr>
              <w:t>WCAAP</w:t>
            </w:r>
            <w:r w:rsidRPr="003272C7">
              <w:rPr>
                <w:rFonts w:cs="Arial"/>
              </w:rPr>
              <w:t xml:space="preserve">, as is reflected in the updated </w:t>
            </w:r>
            <w:r w:rsidR="000D5376" w:rsidRPr="003272C7">
              <w:rPr>
                <w:rFonts w:cs="Arial"/>
              </w:rPr>
              <w:t>p</w:t>
            </w:r>
            <w:r w:rsidRPr="003272C7">
              <w:rPr>
                <w:rFonts w:cs="Arial"/>
              </w:rPr>
              <w:t>rogram logic.</w:t>
            </w:r>
          </w:p>
        </w:tc>
      </w:tr>
      <w:tr w:rsidR="00B242C3" w:rsidRPr="003272C7" w14:paraId="3DEC074D" w14:textId="77777777" w:rsidTr="00671091">
        <w:trPr>
          <w:trHeight w:val="259"/>
        </w:trPr>
        <w:tc>
          <w:tcPr>
            <w:tcW w:w="979" w:type="pct"/>
            <w:shd w:val="clear" w:color="auto" w:fill="231EDC" w:themeFill="accent1"/>
          </w:tcPr>
          <w:p w14:paraId="15B17FE3" w14:textId="77777777" w:rsidR="00B242C3" w:rsidRPr="003272C7" w:rsidRDefault="00B242C3" w:rsidP="00196732">
            <w:pPr>
              <w:pStyle w:val="TableText"/>
              <w:rPr>
                <w:rFonts w:cs="Arial"/>
                <w:b/>
                <w:bCs/>
              </w:rPr>
            </w:pPr>
            <w:r w:rsidRPr="003272C7">
              <w:rPr>
                <w:rFonts w:cs="Arial"/>
                <w:b/>
                <w:bCs/>
              </w:rPr>
              <w:t>Efficiency</w:t>
            </w:r>
          </w:p>
        </w:tc>
        <w:tc>
          <w:tcPr>
            <w:tcW w:w="4021" w:type="pct"/>
          </w:tcPr>
          <w:p w14:paraId="506F5396" w14:textId="3F321504" w:rsidR="001B6B65" w:rsidRPr="003272C7" w:rsidRDefault="00B242C3" w:rsidP="00E85AD2">
            <w:pPr>
              <w:pStyle w:val="TableText"/>
              <w:rPr>
                <w:rFonts w:cs="Arial"/>
              </w:rPr>
            </w:pPr>
            <w:r w:rsidRPr="003272C7">
              <w:rPr>
                <w:rFonts w:cs="Arial"/>
              </w:rPr>
              <w:t xml:space="preserve">Whilst adequate progress is being made within the 5-year WCAAP timeline, the Program did not meet its expected level of EC expenditure in </w:t>
            </w:r>
            <w:r w:rsidR="00BB33F6" w:rsidRPr="003272C7">
              <w:rPr>
                <w:rFonts w:cs="Arial"/>
              </w:rPr>
              <w:t>20</w:t>
            </w:r>
            <w:r w:rsidRPr="003272C7">
              <w:rPr>
                <w:rFonts w:cs="Arial"/>
              </w:rPr>
              <w:t xml:space="preserve">22-23 </w:t>
            </w:r>
            <w:r w:rsidR="00BB33F6" w:rsidRPr="003272C7">
              <w:rPr>
                <w:rFonts w:cs="Arial"/>
              </w:rPr>
              <w:t xml:space="preserve">financial year </w:t>
            </w:r>
            <w:r w:rsidRPr="003272C7">
              <w:rPr>
                <w:rFonts w:cs="Arial"/>
              </w:rPr>
              <w:t xml:space="preserve">due to staffing challenges. As a result of the 2022 floods and other staff movements, EC funded positions supporting this Program were occupied at around 50% capacity for the first year of the Program, slowing progress. With a full team available to implement the </w:t>
            </w:r>
            <w:r w:rsidR="00BB33F6" w:rsidRPr="003272C7">
              <w:rPr>
                <w:rFonts w:cs="Arial"/>
              </w:rPr>
              <w:t>p</w:t>
            </w:r>
            <w:r w:rsidRPr="003272C7">
              <w:rPr>
                <w:rFonts w:cs="Arial"/>
              </w:rPr>
              <w:t xml:space="preserve">rogram in 2023-24, substantial progress </w:t>
            </w:r>
            <w:r w:rsidR="000D5376" w:rsidRPr="003272C7">
              <w:rPr>
                <w:rFonts w:cs="Arial"/>
              </w:rPr>
              <w:t>was made</w:t>
            </w:r>
            <w:r w:rsidRPr="003272C7">
              <w:rPr>
                <w:rFonts w:cs="Arial"/>
              </w:rPr>
              <w:t xml:space="preserve"> during the final EC5 funded year of this </w:t>
            </w:r>
            <w:r w:rsidR="00445736" w:rsidRPr="003272C7">
              <w:rPr>
                <w:rFonts w:cs="Arial"/>
              </w:rPr>
              <w:t>project</w:t>
            </w:r>
            <w:r w:rsidR="001B6B65" w:rsidRPr="003272C7">
              <w:rPr>
                <w:rFonts w:cs="Arial"/>
              </w:rPr>
              <w:t>, resulting in reportable progress against every WCAAP action that has been designed for efficient staging across the WCAAP</w:t>
            </w:r>
            <w:r w:rsidR="004B0180" w:rsidRPr="003272C7">
              <w:rPr>
                <w:rFonts w:cs="Arial"/>
              </w:rPr>
              <w:t> </w:t>
            </w:r>
            <w:r w:rsidR="001B6B65" w:rsidRPr="003272C7">
              <w:rPr>
                <w:rFonts w:cs="Arial"/>
              </w:rPr>
              <w:t>period.</w:t>
            </w:r>
          </w:p>
          <w:p w14:paraId="5583D76B" w14:textId="0AF1322C" w:rsidR="00B242C3" w:rsidRPr="003272C7" w:rsidRDefault="001B6B65" w:rsidP="00E85AD2">
            <w:pPr>
              <w:pStyle w:val="TableText"/>
              <w:rPr>
                <w:rFonts w:cs="Arial"/>
              </w:rPr>
            </w:pPr>
            <w:r w:rsidRPr="003272C7">
              <w:rPr>
                <w:rFonts w:cs="Arial"/>
              </w:rPr>
              <w:t xml:space="preserve">Further efficiencies were realised in response to the Budget and Finance Committee decision in December 2023 to align EC expenditure with Government committed reductions. $537,000 allocated to this </w:t>
            </w:r>
            <w:r w:rsidR="00445736" w:rsidRPr="003272C7">
              <w:rPr>
                <w:rFonts w:cs="Arial"/>
              </w:rPr>
              <w:t>project</w:t>
            </w:r>
            <w:r w:rsidRPr="003272C7">
              <w:rPr>
                <w:rFonts w:cs="Arial"/>
              </w:rPr>
              <w:t xml:space="preserve"> was returned following work to refine the program in line with lessons learnt and stakeholder feedback, leveraging existing projects and better targeting investment. The efficiencies achieved will not prevent achievement of program outcomes. </w:t>
            </w:r>
          </w:p>
        </w:tc>
      </w:tr>
      <w:tr w:rsidR="00B242C3" w:rsidRPr="003272C7" w14:paraId="35297A1C" w14:textId="77777777" w:rsidTr="00671091">
        <w:trPr>
          <w:trHeight w:val="259"/>
        </w:trPr>
        <w:tc>
          <w:tcPr>
            <w:tcW w:w="979" w:type="pct"/>
            <w:shd w:val="clear" w:color="auto" w:fill="231EDC" w:themeFill="accent1"/>
          </w:tcPr>
          <w:p w14:paraId="22E0F03D" w14:textId="77777777" w:rsidR="00B242C3" w:rsidRPr="003272C7" w:rsidRDefault="00B242C3" w:rsidP="00196732">
            <w:pPr>
              <w:pStyle w:val="TableText"/>
              <w:rPr>
                <w:rFonts w:cs="Arial"/>
                <w:b/>
                <w:bCs/>
              </w:rPr>
            </w:pPr>
            <w:r w:rsidRPr="003272C7">
              <w:rPr>
                <w:rFonts w:cs="Arial"/>
                <w:b/>
                <w:bCs/>
              </w:rPr>
              <w:t>Legacy</w:t>
            </w:r>
          </w:p>
        </w:tc>
        <w:tc>
          <w:tcPr>
            <w:tcW w:w="4021" w:type="pct"/>
          </w:tcPr>
          <w:p w14:paraId="086FB162" w14:textId="32D47C6B" w:rsidR="00B242C3" w:rsidRPr="003272C7" w:rsidRDefault="00B242C3" w:rsidP="00E85AD2">
            <w:pPr>
              <w:pStyle w:val="TableText"/>
              <w:rPr>
                <w:rFonts w:cs="Arial"/>
              </w:rPr>
            </w:pPr>
            <w:r w:rsidRPr="003272C7">
              <w:rPr>
                <w:rFonts w:cs="Arial"/>
              </w:rPr>
              <w:t xml:space="preserve">The plan was developed within a longer-term resilience planning cycle (as set out in the Climate Change Act 2017, with specific adaptation objectives to 2050 detailed in Victoria’s Climate Change Strategy) with the ultimate objective of transformational adaptation. Unique among Victoria’s seven system-based </w:t>
            </w:r>
            <w:r w:rsidR="00BB33F6" w:rsidRPr="003272C7">
              <w:rPr>
                <w:rFonts w:cs="Arial"/>
              </w:rPr>
              <w:t>Adaptation Action Plans</w:t>
            </w:r>
            <w:r w:rsidRPr="003272C7">
              <w:rPr>
                <w:rFonts w:cs="Arial"/>
              </w:rPr>
              <w:t>, the WCAAP was designed consistent with advice from the Intergovernmental Panel on Climate Change on the potential for multiple and lasting benefits when adaptation and mitigation action is designed and implemented together, taking trade-offs into</w:t>
            </w:r>
            <w:r w:rsidR="004B0180" w:rsidRPr="003272C7">
              <w:rPr>
                <w:rFonts w:cs="Arial"/>
              </w:rPr>
              <w:t> </w:t>
            </w:r>
            <w:r w:rsidRPr="003272C7">
              <w:rPr>
                <w:rFonts w:cs="Arial"/>
              </w:rPr>
              <w:t>account.</w:t>
            </w:r>
          </w:p>
          <w:p w14:paraId="295481E8" w14:textId="77777777" w:rsidR="00142559" w:rsidRPr="003272C7" w:rsidRDefault="001B6B65" w:rsidP="00E85AD2">
            <w:pPr>
              <w:pStyle w:val="TableText"/>
              <w:rPr>
                <w:rFonts w:cs="Arial"/>
              </w:rPr>
            </w:pPr>
            <w:r w:rsidRPr="003272C7">
              <w:rPr>
                <w:rFonts w:cs="Arial"/>
              </w:rPr>
              <w:t>The funded program invested broadly in water cycle resilience priorities that were identified by the water sector and partners, with great potential for impacts to grow over time, such as:</w:t>
            </w:r>
          </w:p>
          <w:p w14:paraId="73692816" w14:textId="77777777" w:rsidR="00142559" w:rsidRPr="003272C7" w:rsidRDefault="001B6B65" w:rsidP="00E04DB2">
            <w:pPr>
              <w:pStyle w:val="TableBullet"/>
              <w:rPr>
                <w:rFonts w:cs="Arial"/>
              </w:rPr>
            </w:pPr>
            <w:r w:rsidRPr="003272C7">
              <w:rPr>
                <w:rFonts w:cs="Arial"/>
              </w:rPr>
              <w:t xml:space="preserve">Funding the development of </w:t>
            </w:r>
            <w:r w:rsidR="00BB33F6" w:rsidRPr="003272C7">
              <w:rPr>
                <w:rFonts w:cs="Arial"/>
              </w:rPr>
              <w:t>IWM</w:t>
            </w:r>
            <w:r w:rsidRPr="003272C7">
              <w:rPr>
                <w:rFonts w:cs="Arial"/>
              </w:rPr>
              <w:t xml:space="preserve"> Plans for the high climate risk exposure locations of Queenscliff and Lakes Entrance. These plans will enable long term strategic action to be taken by local partners to build local resilience.</w:t>
            </w:r>
          </w:p>
          <w:p w14:paraId="2A6D10C7" w14:textId="7B793167" w:rsidR="00B242C3" w:rsidRPr="003272C7" w:rsidRDefault="001B6B65" w:rsidP="00E04DB2">
            <w:pPr>
              <w:pStyle w:val="TableBullet"/>
              <w:rPr>
                <w:rFonts w:cs="Arial"/>
              </w:rPr>
            </w:pPr>
            <w:r w:rsidRPr="003272C7">
              <w:rPr>
                <w:rFonts w:cs="Arial"/>
              </w:rPr>
              <w:t xml:space="preserve">Seed funding innovation and lesson sharing by the water sector, through a CMA grants program and the WMCIC. Many entrants to the WMCIC were ‘proof of concept’ </w:t>
            </w:r>
            <w:r w:rsidR="00445736" w:rsidRPr="003272C7">
              <w:rPr>
                <w:rFonts w:cs="Arial"/>
              </w:rPr>
              <w:t>project</w:t>
            </w:r>
            <w:r w:rsidRPr="003272C7">
              <w:rPr>
                <w:rFonts w:cs="Arial"/>
              </w:rPr>
              <w:t>s that attracted significant sector co-funding and had high potential for entities either cost savings or income generation. </w:t>
            </w:r>
          </w:p>
        </w:tc>
      </w:tr>
      <w:tr w:rsidR="00B242C3" w:rsidRPr="003272C7" w14:paraId="4A6D9D7E" w14:textId="77777777" w:rsidTr="00671091">
        <w:trPr>
          <w:trHeight w:val="259"/>
        </w:trPr>
        <w:tc>
          <w:tcPr>
            <w:tcW w:w="979" w:type="pct"/>
            <w:shd w:val="clear" w:color="auto" w:fill="231EDC" w:themeFill="accent1"/>
          </w:tcPr>
          <w:p w14:paraId="133E5985" w14:textId="77777777" w:rsidR="00B242C3" w:rsidRPr="003272C7" w:rsidRDefault="00B242C3" w:rsidP="004B0180">
            <w:pPr>
              <w:pStyle w:val="TableText"/>
              <w:keepNext/>
              <w:keepLines/>
              <w:rPr>
                <w:rFonts w:cs="Arial"/>
                <w:b/>
                <w:bCs/>
              </w:rPr>
            </w:pPr>
            <w:r w:rsidRPr="003272C7">
              <w:rPr>
                <w:rFonts w:cs="Arial"/>
                <w:b/>
                <w:bCs/>
              </w:rPr>
              <w:lastRenderedPageBreak/>
              <w:t>Future priorities</w:t>
            </w:r>
          </w:p>
        </w:tc>
        <w:tc>
          <w:tcPr>
            <w:tcW w:w="4021" w:type="pct"/>
          </w:tcPr>
          <w:p w14:paraId="57F0C2CA" w14:textId="2CBF4804" w:rsidR="00B242C3" w:rsidRPr="003272C7" w:rsidRDefault="00B242C3" w:rsidP="004B0180">
            <w:pPr>
              <w:pStyle w:val="TableText"/>
              <w:keepNext/>
              <w:keepLines/>
              <w:rPr>
                <w:rFonts w:cs="Arial"/>
              </w:rPr>
            </w:pPr>
            <w:r w:rsidRPr="003272C7">
              <w:rPr>
                <w:rFonts w:cs="Arial"/>
              </w:rPr>
              <w:t xml:space="preserve">With the World Meteorological Organisation predicting the next five-year period to be the hottest on record, </w:t>
            </w:r>
            <w:r w:rsidR="00620BC2" w:rsidRPr="003272C7">
              <w:rPr>
                <w:rFonts w:cs="Arial"/>
              </w:rPr>
              <w:t>investment</w:t>
            </w:r>
            <w:r w:rsidRPr="003272C7">
              <w:rPr>
                <w:rFonts w:cs="Arial"/>
              </w:rPr>
              <w:t xml:space="preserve"> </w:t>
            </w:r>
            <w:r w:rsidR="00620BC2" w:rsidRPr="003272C7">
              <w:rPr>
                <w:rFonts w:cs="Arial"/>
              </w:rPr>
              <w:t>in</w:t>
            </w:r>
            <w:r w:rsidRPr="003272C7">
              <w:rPr>
                <w:rFonts w:cs="Arial"/>
              </w:rPr>
              <w:t xml:space="preserve"> water cycle system resilience, </w:t>
            </w:r>
            <w:r w:rsidR="00620BC2" w:rsidRPr="003272C7">
              <w:rPr>
                <w:rFonts w:cs="Arial"/>
              </w:rPr>
              <w:t xml:space="preserve">the </w:t>
            </w:r>
            <w:r w:rsidRPr="003272C7">
              <w:rPr>
                <w:rFonts w:cs="Arial"/>
              </w:rPr>
              <w:t>circular economy transition and emergency preparedness</w:t>
            </w:r>
            <w:r w:rsidR="005871BB" w:rsidRPr="003272C7">
              <w:rPr>
                <w:rFonts w:cs="Arial"/>
              </w:rPr>
              <w:t xml:space="preserve"> is a government priority</w:t>
            </w:r>
            <w:r w:rsidRPr="003272C7">
              <w:rPr>
                <w:rFonts w:cs="Arial"/>
              </w:rPr>
              <w:t xml:space="preserve">. Funding </w:t>
            </w:r>
            <w:r w:rsidR="005871BB" w:rsidRPr="003272C7">
              <w:rPr>
                <w:rFonts w:cs="Arial"/>
              </w:rPr>
              <w:t>was secured through EC6</w:t>
            </w:r>
            <w:r w:rsidRPr="003272C7">
              <w:rPr>
                <w:rFonts w:cs="Arial"/>
              </w:rPr>
              <w:t xml:space="preserve"> to complete implementation of the legislated </w:t>
            </w:r>
            <w:r w:rsidR="007E442E" w:rsidRPr="003272C7">
              <w:rPr>
                <w:rFonts w:cs="Arial"/>
              </w:rPr>
              <w:t>WCAAP</w:t>
            </w:r>
            <w:r w:rsidRPr="003272C7">
              <w:rPr>
                <w:rFonts w:cs="Arial"/>
              </w:rPr>
              <w:t xml:space="preserve"> 2021-2026, develop and </w:t>
            </w:r>
            <w:r w:rsidR="007E442E" w:rsidRPr="003272C7">
              <w:rPr>
                <w:rFonts w:cs="Arial"/>
              </w:rPr>
              <w:t>begin</w:t>
            </w:r>
            <w:r w:rsidRPr="003272C7">
              <w:rPr>
                <w:rFonts w:cs="Arial"/>
              </w:rPr>
              <w:t xml:space="preserve"> deliver</w:t>
            </w:r>
            <w:r w:rsidR="007E442E" w:rsidRPr="003272C7">
              <w:rPr>
                <w:rFonts w:cs="Arial"/>
              </w:rPr>
              <w:t>y of</w:t>
            </w:r>
            <w:r w:rsidRPr="003272C7">
              <w:rPr>
                <w:rFonts w:cs="Arial"/>
              </w:rPr>
              <w:t xml:space="preserve"> a W</w:t>
            </w:r>
            <w:r w:rsidR="002D31F1" w:rsidRPr="003272C7">
              <w:rPr>
                <w:rFonts w:cs="Arial"/>
              </w:rPr>
              <w:t>CAAP</w:t>
            </w:r>
            <w:r w:rsidRPr="003272C7">
              <w:rPr>
                <w:rFonts w:cs="Arial"/>
              </w:rPr>
              <w:t xml:space="preserve"> 2027-2031, and </w:t>
            </w:r>
            <w:r w:rsidR="002D31F1" w:rsidRPr="003272C7">
              <w:rPr>
                <w:rFonts w:cs="Arial"/>
              </w:rPr>
              <w:t>maintain</w:t>
            </w:r>
            <w:r w:rsidRPr="003272C7">
              <w:rPr>
                <w:rFonts w:cs="Arial"/>
              </w:rPr>
              <w:t xml:space="preserve"> the water sector’s </w:t>
            </w:r>
            <w:r w:rsidR="002D31F1" w:rsidRPr="003272C7">
              <w:rPr>
                <w:rFonts w:cs="Arial"/>
              </w:rPr>
              <w:t>orderly</w:t>
            </w:r>
            <w:r w:rsidR="008228B3" w:rsidRPr="003272C7">
              <w:rPr>
                <w:rFonts w:cs="Arial"/>
              </w:rPr>
              <w:t xml:space="preserve"> </w:t>
            </w:r>
            <w:r w:rsidRPr="003272C7">
              <w:rPr>
                <w:rFonts w:cs="Arial"/>
              </w:rPr>
              <w:t xml:space="preserve">transition to </w:t>
            </w:r>
            <w:r w:rsidR="008228B3" w:rsidRPr="003272C7">
              <w:rPr>
                <w:rFonts w:cs="Arial"/>
              </w:rPr>
              <w:t xml:space="preserve">a </w:t>
            </w:r>
            <w:r w:rsidRPr="003272C7">
              <w:rPr>
                <w:rFonts w:cs="Arial"/>
              </w:rPr>
              <w:t xml:space="preserve">net-zero emissions </w:t>
            </w:r>
            <w:r w:rsidR="008228B3" w:rsidRPr="003272C7">
              <w:rPr>
                <w:rFonts w:cs="Arial"/>
              </w:rPr>
              <w:t>and disaster-ready future</w:t>
            </w:r>
            <w:r w:rsidRPr="003272C7">
              <w:rPr>
                <w:rFonts w:cs="Arial"/>
              </w:rPr>
              <w:t xml:space="preserve">. </w:t>
            </w:r>
          </w:p>
        </w:tc>
      </w:tr>
    </w:tbl>
    <w:p w14:paraId="2C358366" w14:textId="77777777" w:rsidR="00B242C3" w:rsidRPr="003272C7" w:rsidRDefault="00B242C3" w:rsidP="00B242C3">
      <w:pPr>
        <w:pStyle w:val="Heading2"/>
        <w:rPr>
          <w:rFonts w:cs="Arial"/>
        </w:rPr>
      </w:pPr>
      <w:bookmarkStart w:id="69" w:name="_Toc147410800"/>
      <w:bookmarkStart w:id="70" w:name="_Toc183777808"/>
      <w:r w:rsidRPr="003272C7">
        <w:rPr>
          <w:rFonts w:cs="Arial"/>
        </w:rPr>
        <w:t>SIRS3: Building Flood Resilience in Victoria</w:t>
      </w:r>
      <w:bookmarkEnd w:id="69"/>
      <w:bookmarkEnd w:id="7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7DDB9070" w14:textId="77777777" w:rsidTr="00437A2B">
        <w:trPr>
          <w:trHeight w:val="395"/>
        </w:trPr>
        <w:tc>
          <w:tcPr>
            <w:tcW w:w="979" w:type="pct"/>
            <w:shd w:val="clear" w:color="auto" w:fill="231EDC" w:themeFill="accent1"/>
          </w:tcPr>
          <w:p w14:paraId="1BFE9D46" w14:textId="1C415284" w:rsidR="00B242C3" w:rsidRPr="003272C7" w:rsidRDefault="00C412A9" w:rsidP="00E85AD2">
            <w:pPr>
              <w:pStyle w:val="TableHeading"/>
              <w:rPr>
                <w:rFonts w:cs="Arial"/>
              </w:rPr>
            </w:pPr>
            <w:r w:rsidRPr="003272C7">
              <w:rPr>
                <w:rFonts w:cs="Arial"/>
              </w:rPr>
              <w:t>Initiative</w:t>
            </w:r>
          </w:p>
        </w:tc>
        <w:tc>
          <w:tcPr>
            <w:tcW w:w="4021" w:type="pct"/>
            <w:shd w:val="clear" w:color="auto" w:fill="231EDC" w:themeFill="accent1"/>
          </w:tcPr>
          <w:p w14:paraId="11E44945" w14:textId="77777777" w:rsidR="00B242C3" w:rsidRPr="003272C7" w:rsidRDefault="00B242C3" w:rsidP="00E85AD2">
            <w:pPr>
              <w:pStyle w:val="TableHeading"/>
              <w:rPr>
                <w:rFonts w:cs="Arial"/>
              </w:rPr>
            </w:pPr>
            <w:r w:rsidRPr="003272C7">
              <w:rPr>
                <w:rFonts w:cs="Arial"/>
              </w:rPr>
              <w:t>10. Building Flood Resilience in Victoria</w:t>
            </w:r>
          </w:p>
        </w:tc>
      </w:tr>
      <w:tr w:rsidR="00B242C3" w:rsidRPr="003272C7" w14:paraId="4EC62390" w14:textId="77777777" w:rsidTr="00437A2B">
        <w:trPr>
          <w:trHeight w:val="341"/>
        </w:trPr>
        <w:tc>
          <w:tcPr>
            <w:tcW w:w="979" w:type="pct"/>
            <w:shd w:val="clear" w:color="auto" w:fill="231EDC" w:themeFill="accent1"/>
          </w:tcPr>
          <w:p w14:paraId="6B41179D" w14:textId="77777777" w:rsidR="00B242C3" w:rsidRPr="003272C7" w:rsidRDefault="00B242C3" w:rsidP="00E85AD2">
            <w:pPr>
              <w:pStyle w:val="TableText"/>
              <w:rPr>
                <w:rFonts w:cs="Arial"/>
                <w:b/>
                <w:bCs/>
              </w:rPr>
            </w:pPr>
            <w:r w:rsidRPr="003272C7">
              <w:rPr>
                <w:rFonts w:cs="Arial"/>
                <w:b/>
                <w:bCs/>
              </w:rPr>
              <w:t>Project</w:t>
            </w:r>
          </w:p>
        </w:tc>
        <w:tc>
          <w:tcPr>
            <w:tcW w:w="4021" w:type="pct"/>
          </w:tcPr>
          <w:p w14:paraId="3B33D6D9" w14:textId="77777777" w:rsidR="00B242C3" w:rsidRPr="003272C7" w:rsidRDefault="00B242C3" w:rsidP="00E85AD2">
            <w:pPr>
              <w:pStyle w:val="TableText"/>
              <w:rPr>
                <w:rFonts w:cs="Arial"/>
              </w:rPr>
            </w:pPr>
            <w:r w:rsidRPr="003272C7">
              <w:rPr>
                <w:rFonts w:cs="Arial"/>
              </w:rPr>
              <w:t>SIRS3: Building Flood Resilience in Victoria</w:t>
            </w:r>
          </w:p>
        </w:tc>
      </w:tr>
      <w:tr w:rsidR="00B242C3" w:rsidRPr="003272C7" w14:paraId="4CFC9E27" w14:textId="77777777" w:rsidTr="00437A2B">
        <w:trPr>
          <w:trHeight w:val="259"/>
        </w:trPr>
        <w:tc>
          <w:tcPr>
            <w:tcW w:w="979" w:type="pct"/>
            <w:shd w:val="clear" w:color="auto" w:fill="231EDC" w:themeFill="accent1"/>
          </w:tcPr>
          <w:p w14:paraId="224F3843" w14:textId="77777777" w:rsidR="00B242C3" w:rsidRPr="003272C7" w:rsidRDefault="00B242C3" w:rsidP="00E85AD2">
            <w:pPr>
              <w:pStyle w:val="TableText"/>
              <w:rPr>
                <w:rFonts w:cs="Arial"/>
                <w:b/>
                <w:bCs/>
              </w:rPr>
            </w:pPr>
            <w:r w:rsidRPr="003272C7">
              <w:rPr>
                <w:rFonts w:cs="Arial"/>
                <w:b/>
                <w:bCs/>
              </w:rPr>
              <w:t>Description</w:t>
            </w:r>
          </w:p>
          <w:p w14:paraId="542E19DC" w14:textId="77777777" w:rsidR="00B242C3" w:rsidRPr="003272C7" w:rsidRDefault="00B242C3" w:rsidP="00E85AD2">
            <w:pPr>
              <w:pStyle w:val="TableText"/>
              <w:rPr>
                <w:rFonts w:cs="Arial"/>
                <w:b/>
                <w:bCs/>
              </w:rPr>
            </w:pPr>
          </w:p>
        </w:tc>
        <w:tc>
          <w:tcPr>
            <w:tcW w:w="4021" w:type="pct"/>
          </w:tcPr>
          <w:p w14:paraId="07A2FD9E" w14:textId="77777777" w:rsidR="00B242C3" w:rsidRPr="003272C7" w:rsidRDefault="00B242C3" w:rsidP="00E85AD2">
            <w:pPr>
              <w:pStyle w:val="TableText"/>
              <w:rPr>
                <w:rFonts w:cs="Arial"/>
              </w:rPr>
            </w:pPr>
            <w:r w:rsidRPr="003272C7">
              <w:rPr>
                <w:rFonts w:cs="Arial"/>
              </w:rPr>
              <w:t>Victorian communities remain exposed to avoidable damage and economic stress relating to the impacts of flooding. Increased frequency of extreme rainfall driven by a changing climate will intensify flood damage to settlements, infrastructure, and environmental and cultural values.</w:t>
            </w:r>
          </w:p>
          <w:p w14:paraId="12E85112" w14:textId="77777777" w:rsidR="00B242C3" w:rsidRPr="003272C7" w:rsidRDefault="00B242C3" w:rsidP="00E85AD2">
            <w:pPr>
              <w:pStyle w:val="TableText"/>
              <w:rPr>
                <w:rFonts w:cs="Arial"/>
              </w:rPr>
            </w:pPr>
            <w:r w:rsidRPr="003272C7">
              <w:rPr>
                <w:rFonts w:cs="Arial"/>
              </w:rPr>
              <w:t>Government’s response to the Victorian floods review implementation plan (2012) committed to ‘developing a continual improvement Program by updating the Victorian Flood Management Strategy and regional floodplain management strategies to provide the framework for community and agency involvement in planning, prioritising and implementing flood mitigation activities.’ Tranche 4 of the environmental contributions funded the commitment to develop the strategies. Funding through tranche 5 was secured to progress their implementation.</w:t>
            </w:r>
          </w:p>
          <w:p w14:paraId="757ADBA1" w14:textId="77777777" w:rsidR="00B242C3" w:rsidRPr="003272C7" w:rsidRDefault="00B242C3" w:rsidP="00E85AD2">
            <w:pPr>
              <w:pStyle w:val="TableText"/>
              <w:rPr>
                <w:rFonts w:cs="Arial"/>
              </w:rPr>
            </w:pPr>
            <w:r w:rsidRPr="003272C7">
              <w:rPr>
                <w:rFonts w:cs="Arial"/>
              </w:rPr>
              <w:t>The investment expected to achieve flood resilience outcomes by targeting investment to four clearly defined key priorities:</w:t>
            </w:r>
          </w:p>
          <w:p w14:paraId="0548A342" w14:textId="77777777" w:rsidR="00B242C3" w:rsidRPr="003272C7" w:rsidRDefault="00B242C3" w:rsidP="00E85AD2">
            <w:pPr>
              <w:pStyle w:val="TableBullet"/>
              <w:rPr>
                <w:rFonts w:cs="Arial"/>
              </w:rPr>
            </w:pPr>
            <w:r w:rsidRPr="003272C7">
              <w:rPr>
                <w:rFonts w:cs="Arial"/>
              </w:rPr>
              <w:t>strategy and policy implementation</w:t>
            </w:r>
          </w:p>
          <w:p w14:paraId="4EABC084" w14:textId="77777777" w:rsidR="00B242C3" w:rsidRPr="003272C7" w:rsidRDefault="00B242C3" w:rsidP="00E85AD2">
            <w:pPr>
              <w:pStyle w:val="TableBullet"/>
              <w:rPr>
                <w:rFonts w:cs="Arial"/>
              </w:rPr>
            </w:pPr>
            <w:r w:rsidRPr="003272C7">
              <w:rPr>
                <w:rFonts w:cs="Arial"/>
              </w:rPr>
              <w:t>on-ground works and projects</w:t>
            </w:r>
          </w:p>
          <w:p w14:paraId="2E0561DE" w14:textId="77777777" w:rsidR="00B242C3" w:rsidRPr="003272C7" w:rsidRDefault="00B242C3" w:rsidP="00E85AD2">
            <w:pPr>
              <w:pStyle w:val="TableBullet"/>
              <w:rPr>
                <w:rFonts w:cs="Arial"/>
              </w:rPr>
            </w:pPr>
            <w:r w:rsidRPr="003272C7">
              <w:rPr>
                <w:rFonts w:cs="Arial"/>
              </w:rPr>
              <w:t>funding support for regional delivery partners (VICSES and CMAs)</w:t>
            </w:r>
          </w:p>
          <w:p w14:paraId="1F885A4A" w14:textId="77777777" w:rsidR="00B242C3" w:rsidRPr="003272C7" w:rsidRDefault="00B242C3" w:rsidP="00E85AD2">
            <w:pPr>
              <w:pStyle w:val="TableBullet"/>
              <w:rPr>
                <w:rFonts w:cs="Arial"/>
              </w:rPr>
            </w:pPr>
            <w:r w:rsidRPr="003272C7">
              <w:rPr>
                <w:rFonts w:cs="Arial"/>
              </w:rPr>
              <w:t>investment in FloodZoom.</w:t>
            </w:r>
          </w:p>
        </w:tc>
      </w:tr>
      <w:tr w:rsidR="00B242C3" w:rsidRPr="003272C7" w14:paraId="16E072E5" w14:textId="77777777" w:rsidTr="00437A2B">
        <w:trPr>
          <w:trHeight w:val="259"/>
        </w:trPr>
        <w:tc>
          <w:tcPr>
            <w:tcW w:w="979" w:type="pct"/>
            <w:shd w:val="clear" w:color="auto" w:fill="231EDC" w:themeFill="accent1"/>
          </w:tcPr>
          <w:p w14:paraId="124C0CC5" w14:textId="77777777" w:rsidR="00B242C3" w:rsidRPr="003272C7" w:rsidRDefault="00B242C3" w:rsidP="00E85AD2">
            <w:pPr>
              <w:pStyle w:val="TableText"/>
              <w:rPr>
                <w:rFonts w:cs="Arial"/>
                <w:b/>
                <w:bCs/>
              </w:rPr>
            </w:pPr>
            <w:r w:rsidRPr="003272C7">
              <w:rPr>
                <w:rFonts w:cs="Arial"/>
                <w:b/>
                <w:bCs/>
              </w:rPr>
              <w:t>Outputs</w:t>
            </w:r>
          </w:p>
        </w:tc>
        <w:tc>
          <w:tcPr>
            <w:tcW w:w="4021" w:type="pct"/>
          </w:tcPr>
          <w:p w14:paraId="0A92A9CD" w14:textId="56148D5A" w:rsidR="00B242C3" w:rsidRPr="003272C7" w:rsidRDefault="00B242C3" w:rsidP="00E85AD2">
            <w:pPr>
              <w:pStyle w:val="TableBullet"/>
              <w:rPr>
                <w:rFonts w:cs="Arial"/>
              </w:rPr>
            </w:pPr>
            <w:r w:rsidRPr="003272C7">
              <w:rPr>
                <w:rFonts w:cs="Arial"/>
              </w:rPr>
              <w:t xml:space="preserve">Delivery of the building flood resilience in Victoria Program has reduced the exposure of Victorian communities to impacts of floods, with funding directed to </w:t>
            </w:r>
            <w:r w:rsidR="004167C6" w:rsidRPr="003272C7">
              <w:rPr>
                <w:rFonts w:cs="Arial"/>
              </w:rPr>
              <w:t xml:space="preserve">23 </w:t>
            </w:r>
            <w:r w:rsidRPr="003272C7">
              <w:rPr>
                <w:rFonts w:cs="Arial"/>
              </w:rPr>
              <w:t xml:space="preserve">flood studies, 8 planning scheme amendments, </w:t>
            </w:r>
            <w:r w:rsidR="00263C9A" w:rsidRPr="003272C7">
              <w:rPr>
                <w:rFonts w:cs="Arial"/>
              </w:rPr>
              <w:t xml:space="preserve">11 </w:t>
            </w:r>
            <w:r w:rsidRPr="003272C7">
              <w:rPr>
                <w:rFonts w:cs="Arial"/>
              </w:rPr>
              <w:t xml:space="preserve">flood mitigation infrastructure projects, </w:t>
            </w:r>
            <w:r w:rsidR="00263C9A" w:rsidRPr="003272C7">
              <w:rPr>
                <w:rFonts w:cs="Arial"/>
              </w:rPr>
              <w:t>and 23</w:t>
            </w:r>
            <w:r w:rsidRPr="003272C7">
              <w:rPr>
                <w:rFonts w:cs="Arial"/>
              </w:rPr>
              <w:t xml:space="preserve"> projects to develop or upgrade flood warning</w:t>
            </w:r>
            <w:r w:rsidR="004B0180" w:rsidRPr="003272C7">
              <w:rPr>
                <w:rFonts w:cs="Arial"/>
              </w:rPr>
              <w:t> </w:t>
            </w:r>
            <w:r w:rsidRPr="003272C7">
              <w:rPr>
                <w:rFonts w:cs="Arial"/>
              </w:rPr>
              <w:t>services.</w:t>
            </w:r>
          </w:p>
          <w:p w14:paraId="3788D4D8" w14:textId="2DBFC07F" w:rsidR="00B242C3" w:rsidRPr="003272C7" w:rsidRDefault="00B242C3" w:rsidP="00E85AD2">
            <w:pPr>
              <w:pStyle w:val="TableBullet"/>
              <w:rPr>
                <w:rFonts w:cs="Arial"/>
              </w:rPr>
            </w:pPr>
            <w:r w:rsidRPr="003272C7">
              <w:rPr>
                <w:rFonts w:cs="Arial"/>
              </w:rPr>
              <w:t xml:space="preserve">The </w:t>
            </w:r>
            <w:r w:rsidR="00BB33F6" w:rsidRPr="003272C7">
              <w:rPr>
                <w:rFonts w:cs="Arial"/>
              </w:rPr>
              <w:t>p</w:t>
            </w:r>
            <w:r w:rsidRPr="003272C7">
              <w:rPr>
                <w:rFonts w:cs="Arial"/>
              </w:rPr>
              <w:t>rogram has also worked with local councils to secure $9.299 million of federal government National Flood Mitigation Infrastructure Program funding to construct high priority flood mitigation levees: Numurkah $2.382 million, Wangaratta $3.500 million, Castlemaine $2.217 million, Carisbrook $1.200 million</w:t>
            </w:r>
          </w:p>
          <w:p w14:paraId="175A453A" w14:textId="4BB0113F" w:rsidR="00B242C3" w:rsidRPr="003272C7" w:rsidRDefault="00B242C3" w:rsidP="00E85AD2">
            <w:pPr>
              <w:pStyle w:val="TableBullet"/>
              <w:rPr>
                <w:rFonts w:cs="Arial"/>
              </w:rPr>
            </w:pPr>
            <w:r w:rsidRPr="003272C7">
              <w:rPr>
                <w:rFonts w:cs="Arial"/>
              </w:rPr>
              <w:t xml:space="preserve">The Victorian </w:t>
            </w:r>
            <w:r w:rsidR="00BB33F6" w:rsidRPr="003272C7">
              <w:rPr>
                <w:rFonts w:cs="Arial"/>
              </w:rPr>
              <w:t>F</w:t>
            </w:r>
            <w:r w:rsidRPr="003272C7">
              <w:rPr>
                <w:rFonts w:cs="Arial"/>
              </w:rPr>
              <w:t xml:space="preserve">loodplain </w:t>
            </w:r>
            <w:r w:rsidR="00BB33F6" w:rsidRPr="003272C7">
              <w:rPr>
                <w:rFonts w:cs="Arial"/>
              </w:rPr>
              <w:t>M</w:t>
            </w:r>
            <w:r w:rsidRPr="003272C7">
              <w:rPr>
                <w:rFonts w:cs="Arial"/>
              </w:rPr>
              <w:t xml:space="preserve">anagement </w:t>
            </w:r>
            <w:r w:rsidR="00BB33F6" w:rsidRPr="003272C7">
              <w:rPr>
                <w:rFonts w:cs="Arial"/>
              </w:rPr>
              <w:t>S</w:t>
            </w:r>
            <w:r w:rsidRPr="003272C7">
              <w:rPr>
                <w:rFonts w:cs="Arial"/>
              </w:rPr>
              <w:t>trategy has informed consistent decisions and actions for management of flood related issues during the term of EC5.</w:t>
            </w:r>
            <w:r w:rsidR="003F2C7B" w:rsidRPr="003272C7">
              <w:rPr>
                <w:rFonts w:cs="Arial"/>
              </w:rPr>
              <w:t xml:space="preserve"> An independent audit and </w:t>
            </w:r>
            <w:r w:rsidR="00BB33F6" w:rsidRPr="003272C7">
              <w:rPr>
                <w:rFonts w:cs="Arial"/>
              </w:rPr>
              <w:t>3</w:t>
            </w:r>
            <w:r w:rsidR="003F2C7B" w:rsidRPr="003272C7">
              <w:rPr>
                <w:rFonts w:cs="Arial"/>
              </w:rPr>
              <w:t xml:space="preserve"> published implementation progress reports show Victoria’s floodplain management strategy has been effectively implemented - all 56 actions were completed or embedded as business-as-usual practice.</w:t>
            </w:r>
          </w:p>
          <w:p w14:paraId="7D1E84FA" w14:textId="49A311EA" w:rsidR="00B242C3" w:rsidRPr="003272C7" w:rsidRDefault="00B242C3" w:rsidP="00E85AD2">
            <w:pPr>
              <w:pStyle w:val="TableBullet"/>
              <w:rPr>
                <w:rFonts w:cs="Arial"/>
              </w:rPr>
            </w:pPr>
            <w:r w:rsidRPr="003272C7">
              <w:rPr>
                <w:rFonts w:cs="Arial"/>
              </w:rPr>
              <w:t xml:space="preserve">The 2022 October – December floods saw the FloodZoom platform activated for 24/7 access for several months. The </w:t>
            </w:r>
            <w:r w:rsidR="00BB33F6" w:rsidRPr="003272C7">
              <w:rPr>
                <w:rFonts w:cs="Arial"/>
              </w:rPr>
              <w:t>p</w:t>
            </w:r>
            <w:r w:rsidRPr="003272C7">
              <w:rPr>
                <w:rFonts w:cs="Arial"/>
              </w:rPr>
              <w:t xml:space="preserve">rogram has advanced the platform to keep pace with evolving needs of users with a </w:t>
            </w:r>
            <w:r w:rsidR="00BB33F6" w:rsidRPr="003272C7">
              <w:rPr>
                <w:rFonts w:cs="Arial"/>
              </w:rPr>
              <w:t>s</w:t>
            </w:r>
            <w:r w:rsidRPr="003272C7">
              <w:rPr>
                <w:rFonts w:cs="Arial"/>
              </w:rPr>
              <w:t xml:space="preserve">tatutory planning module for CMAs, </w:t>
            </w:r>
            <w:r w:rsidR="00BB33F6" w:rsidRPr="003272C7">
              <w:rPr>
                <w:rFonts w:cs="Arial"/>
              </w:rPr>
              <w:t>c</w:t>
            </w:r>
            <w:r w:rsidRPr="003272C7">
              <w:rPr>
                <w:rFonts w:cs="Arial"/>
              </w:rPr>
              <w:t>ontinual updates with flood mapping, data, and intelligence products from flood studies</w:t>
            </w:r>
            <w:r w:rsidR="003F2C7B" w:rsidRPr="003272C7">
              <w:rPr>
                <w:rFonts w:cs="Arial"/>
              </w:rPr>
              <w:t xml:space="preserve"> (currently more than 200)</w:t>
            </w:r>
            <w:r w:rsidRPr="003272C7">
              <w:rPr>
                <w:rFonts w:cs="Arial"/>
              </w:rPr>
              <w:t xml:space="preserve">, </w:t>
            </w:r>
            <w:r w:rsidR="00BB33F6" w:rsidRPr="003272C7">
              <w:rPr>
                <w:rFonts w:cs="Arial"/>
              </w:rPr>
              <w:t>r</w:t>
            </w:r>
            <w:r w:rsidRPr="003272C7">
              <w:rPr>
                <w:rFonts w:cs="Arial"/>
              </w:rPr>
              <w:t xml:space="preserve">outine engagement with user groups to ensure continual improvements in line with expectations, </w:t>
            </w:r>
            <w:r w:rsidR="00BB33F6" w:rsidRPr="003272C7">
              <w:rPr>
                <w:rFonts w:cs="Arial"/>
              </w:rPr>
              <w:t>u</w:t>
            </w:r>
            <w:r w:rsidRPr="003272C7">
              <w:rPr>
                <w:rFonts w:cs="Arial"/>
              </w:rPr>
              <w:t>pdated dashboard to include current warnings in near real time, linked to maps, creating a one</w:t>
            </w:r>
            <w:r w:rsidR="00BB33F6" w:rsidRPr="003272C7">
              <w:rPr>
                <w:rFonts w:cs="Arial"/>
              </w:rPr>
              <w:t>-</w:t>
            </w:r>
            <w:r w:rsidRPr="003272C7">
              <w:rPr>
                <w:rFonts w:cs="Arial"/>
              </w:rPr>
              <w:t>stop shop experience for flood responders and analysts.</w:t>
            </w:r>
            <w:r w:rsidR="00F51F41" w:rsidRPr="003272C7">
              <w:rPr>
                <w:rFonts w:cs="Arial"/>
              </w:rPr>
              <w:t xml:space="preserve"> In a significant step</w:t>
            </w:r>
            <w:r w:rsidR="00BB33F6" w:rsidRPr="003272C7">
              <w:rPr>
                <w:rFonts w:cs="Arial"/>
              </w:rPr>
              <w:t>,</w:t>
            </w:r>
            <w:r w:rsidR="00F51F41" w:rsidRPr="003272C7">
              <w:rPr>
                <w:rFonts w:cs="Arial"/>
              </w:rPr>
              <w:t xml:space="preserve"> maps from 100% of completed flood studies stored by FloodZoom are now publicly available due to collaboration with the Victorian Government’s Digital Twin platform.</w:t>
            </w:r>
          </w:p>
        </w:tc>
      </w:tr>
      <w:tr w:rsidR="00B242C3" w:rsidRPr="003272C7" w14:paraId="2D67711B" w14:textId="77777777" w:rsidTr="0063012E">
        <w:trPr>
          <w:trHeight w:val="259"/>
        </w:trPr>
        <w:tc>
          <w:tcPr>
            <w:tcW w:w="5000" w:type="pct"/>
            <w:gridSpan w:val="2"/>
            <w:shd w:val="clear" w:color="auto" w:fill="231EDC" w:themeFill="accent1"/>
          </w:tcPr>
          <w:p w14:paraId="3BA46946" w14:textId="77777777" w:rsidR="00B242C3" w:rsidRPr="003272C7" w:rsidRDefault="00B242C3" w:rsidP="004B0180">
            <w:pPr>
              <w:pStyle w:val="TableText"/>
              <w:keepNext/>
              <w:keepLines/>
              <w:rPr>
                <w:rFonts w:cs="Arial"/>
                <w:b/>
                <w:bCs/>
              </w:rPr>
            </w:pPr>
            <w:r w:rsidRPr="003272C7">
              <w:rPr>
                <w:rFonts w:cs="Arial"/>
                <w:b/>
                <w:bCs/>
              </w:rPr>
              <w:lastRenderedPageBreak/>
              <w:t>Summary against evaluation domains</w:t>
            </w:r>
          </w:p>
        </w:tc>
      </w:tr>
      <w:tr w:rsidR="00B242C3" w:rsidRPr="003272C7" w14:paraId="2ABE38BA" w14:textId="77777777" w:rsidTr="00437A2B">
        <w:trPr>
          <w:trHeight w:val="259"/>
        </w:trPr>
        <w:tc>
          <w:tcPr>
            <w:tcW w:w="979" w:type="pct"/>
            <w:shd w:val="clear" w:color="auto" w:fill="231EDC" w:themeFill="accent1"/>
          </w:tcPr>
          <w:p w14:paraId="746AE801" w14:textId="77777777" w:rsidR="00B242C3" w:rsidRPr="003272C7" w:rsidRDefault="00B242C3" w:rsidP="00E85AD2">
            <w:pPr>
              <w:pStyle w:val="TableText"/>
              <w:rPr>
                <w:rFonts w:cs="Arial"/>
                <w:b/>
                <w:bCs/>
              </w:rPr>
            </w:pPr>
            <w:r w:rsidRPr="003272C7">
              <w:rPr>
                <w:rFonts w:cs="Arial"/>
                <w:b/>
                <w:bCs/>
              </w:rPr>
              <w:t>Impact</w:t>
            </w:r>
          </w:p>
        </w:tc>
        <w:tc>
          <w:tcPr>
            <w:tcW w:w="4021" w:type="pct"/>
          </w:tcPr>
          <w:p w14:paraId="4A86F553" w14:textId="57A93F48" w:rsidR="007813CA" w:rsidRPr="003272C7" w:rsidRDefault="007813CA" w:rsidP="004B0180">
            <w:pPr>
              <w:pStyle w:val="TableTextBold"/>
              <w:keepNext/>
              <w:keepLines/>
              <w:rPr>
                <w:rFonts w:cs="Arial"/>
              </w:rPr>
            </w:pPr>
            <w:r w:rsidRPr="003272C7">
              <w:rPr>
                <w:rFonts w:cs="Arial"/>
              </w:rPr>
              <w:t>Emergency management planning underpinned by high quality information</w:t>
            </w:r>
            <w:r w:rsidR="00BB33F6" w:rsidRPr="003272C7">
              <w:rPr>
                <w:rFonts w:cs="Arial"/>
              </w:rPr>
              <w:t>:</w:t>
            </w:r>
          </w:p>
          <w:p w14:paraId="556EFC7E" w14:textId="53DA339C" w:rsidR="00142559" w:rsidRPr="003272C7" w:rsidRDefault="007813CA" w:rsidP="004B0180">
            <w:pPr>
              <w:pStyle w:val="TableBullet"/>
              <w:keepNext/>
              <w:keepLines/>
              <w:rPr>
                <w:rFonts w:cs="Arial"/>
              </w:rPr>
            </w:pPr>
            <w:r w:rsidRPr="003272C7">
              <w:rPr>
                <w:rFonts w:cs="Arial"/>
              </w:rPr>
              <w:t xml:space="preserve">DEECA is meeting its obligations under the under the Emergency Management Manual of Victoria to support </w:t>
            </w:r>
            <w:r w:rsidR="00BB33F6" w:rsidRPr="003272C7">
              <w:rPr>
                <w:rFonts w:cs="Arial"/>
              </w:rPr>
              <w:t xml:space="preserve">Victoria State Emergency Service </w:t>
            </w:r>
            <w:r w:rsidRPr="003272C7">
              <w:rPr>
                <w:rFonts w:cs="Arial"/>
              </w:rPr>
              <w:t>in responding to</w:t>
            </w:r>
            <w:r w:rsidR="004B0180" w:rsidRPr="003272C7">
              <w:rPr>
                <w:rFonts w:cs="Arial"/>
              </w:rPr>
              <w:t> </w:t>
            </w:r>
            <w:r w:rsidRPr="003272C7">
              <w:rPr>
                <w:rFonts w:cs="Arial"/>
              </w:rPr>
              <w:t>floods.</w:t>
            </w:r>
          </w:p>
          <w:p w14:paraId="44536E57" w14:textId="204014E9" w:rsidR="00B242C3" w:rsidRPr="003272C7" w:rsidRDefault="00B242C3" w:rsidP="00E85AD2">
            <w:pPr>
              <w:pStyle w:val="TableTextBold"/>
              <w:rPr>
                <w:rFonts w:cs="Arial"/>
              </w:rPr>
            </w:pPr>
            <w:r w:rsidRPr="003272C7">
              <w:rPr>
                <w:rFonts w:cs="Arial"/>
              </w:rPr>
              <w:t>Communities and agencies and other organisations have access to high quality flood risk information</w:t>
            </w:r>
            <w:r w:rsidR="00BB33F6" w:rsidRPr="003272C7">
              <w:rPr>
                <w:rFonts w:cs="Arial"/>
              </w:rPr>
              <w:t>:</w:t>
            </w:r>
          </w:p>
          <w:p w14:paraId="4FBCE2BC" w14:textId="77777777" w:rsidR="00B242C3" w:rsidRPr="003272C7" w:rsidRDefault="00B242C3" w:rsidP="00E85AD2">
            <w:pPr>
              <w:pStyle w:val="TableBullet"/>
              <w:rPr>
                <w:rFonts w:cs="Arial"/>
              </w:rPr>
            </w:pPr>
            <w:r w:rsidRPr="003272C7">
              <w:rPr>
                <w:rFonts w:cs="Arial"/>
              </w:rPr>
              <w:t>‘Overall communities within the North Central CMA region were better positioned to respond to the floods of spring 2022 when compared with flooding of 2010-2011. This can be attributed to investment in flood studies, mitigation planning and infrastructure across the region’. North Central Regional Floodplain Management Strategy Mid-term implementation snapshot 2023.</w:t>
            </w:r>
          </w:p>
          <w:p w14:paraId="1C532C0D" w14:textId="1FB4A3DD" w:rsidR="00B242C3" w:rsidRPr="003272C7" w:rsidRDefault="00B242C3" w:rsidP="00E85AD2">
            <w:pPr>
              <w:pStyle w:val="TableBullet"/>
              <w:rPr>
                <w:rFonts w:cs="Arial"/>
              </w:rPr>
            </w:pPr>
            <w:r w:rsidRPr="003272C7">
              <w:rPr>
                <w:rFonts w:cs="Arial"/>
              </w:rPr>
              <w:t xml:space="preserve">Flood studies funded by the </w:t>
            </w:r>
            <w:r w:rsidR="00445736" w:rsidRPr="003272C7">
              <w:rPr>
                <w:rFonts w:cs="Arial"/>
              </w:rPr>
              <w:t>project</w:t>
            </w:r>
            <w:r w:rsidRPr="003272C7">
              <w:rPr>
                <w:rFonts w:cs="Arial"/>
              </w:rPr>
              <w:t xml:space="preserve"> have provided intelligence and mapping for more than 50 communities, where previously data was outdated, inaccessible or didn’t exist.</w:t>
            </w:r>
          </w:p>
          <w:p w14:paraId="3DCDBBD3" w14:textId="5D9C5D03" w:rsidR="00B242C3" w:rsidRPr="003272C7" w:rsidRDefault="00B242C3" w:rsidP="00E85AD2">
            <w:pPr>
              <w:pStyle w:val="TableBullet"/>
              <w:rPr>
                <w:rFonts w:cs="Arial"/>
              </w:rPr>
            </w:pPr>
            <w:r w:rsidRPr="003272C7">
              <w:rPr>
                <w:rFonts w:cs="Arial"/>
              </w:rPr>
              <w:t xml:space="preserve">Continual upload of data from flood studies into FloodZoom, with the assistance of CMAs has ensured this information was readily available to flood analysists in 2022 and provided in a clear and timely way. </w:t>
            </w:r>
            <w:r w:rsidR="002A2128" w:rsidRPr="003272C7">
              <w:rPr>
                <w:rFonts w:cs="Arial"/>
              </w:rPr>
              <w:t>FloodZoom contains more than 200 completed flood studies.</w:t>
            </w:r>
          </w:p>
          <w:p w14:paraId="555D84E4" w14:textId="77777777" w:rsidR="00142559" w:rsidRPr="003272C7" w:rsidRDefault="002A2128" w:rsidP="00E85AD2">
            <w:pPr>
              <w:pStyle w:val="TableBullet"/>
              <w:rPr>
                <w:rFonts w:cs="Arial"/>
              </w:rPr>
            </w:pPr>
            <w:r w:rsidRPr="003272C7">
              <w:rPr>
                <w:rFonts w:cs="Arial"/>
              </w:rPr>
              <w:t>The FloodZoom collaboration with Digital Twin Victoria went live in December 2023. Victorians now have on call on-line access to flood maps for their property and neighbourhood for the first time without needing specialist software.,</w:t>
            </w:r>
          </w:p>
          <w:p w14:paraId="18662AB4" w14:textId="77777777" w:rsidR="00142559" w:rsidRPr="003272C7" w:rsidRDefault="002A2128" w:rsidP="00E85AD2">
            <w:pPr>
              <w:pStyle w:val="TableBullet"/>
              <w:rPr>
                <w:rFonts w:cs="Arial"/>
              </w:rPr>
            </w:pPr>
            <w:r w:rsidRPr="003272C7">
              <w:rPr>
                <w:rFonts w:cs="Arial"/>
              </w:rPr>
              <w:t>Maps from 100% of completed flood studies are shared with the community through Digital Twin Victoria.</w:t>
            </w:r>
          </w:p>
          <w:p w14:paraId="25D8CF7D" w14:textId="77777777" w:rsidR="00142559" w:rsidRPr="003272C7" w:rsidRDefault="002A2128" w:rsidP="00E85AD2">
            <w:pPr>
              <w:pStyle w:val="TableBullet"/>
              <w:rPr>
                <w:rFonts w:cs="Arial"/>
              </w:rPr>
            </w:pPr>
            <w:r w:rsidRPr="003272C7">
              <w:rPr>
                <w:rFonts w:cs="Arial"/>
              </w:rPr>
              <w:t>Victoria’s flood map database is shared with the Insurance Council Australia a minimum of once per financial year.</w:t>
            </w:r>
          </w:p>
          <w:p w14:paraId="6D8A0455" w14:textId="77777777" w:rsidR="00142559" w:rsidRPr="003272C7" w:rsidRDefault="00B242C3" w:rsidP="00E85AD2">
            <w:pPr>
              <w:pStyle w:val="TableBullet"/>
              <w:rPr>
                <w:rFonts w:cs="Arial"/>
              </w:rPr>
            </w:pPr>
            <w:r w:rsidRPr="003272C7">
              <w:rPr>
                <w:rFonts w:cs="Arial"/>
              </w:rPr>
              <w:t>Flood studies update municipal flood emergency plans, documenting trigger-based responses and actions.</w:t>
            </w:r>
          </w:p>
          <w:p w14:paraId="02270487" w14:textId="3E98232B" w:rsidR="00B242C3" w:rsidRPr="003272C7" w:rsidRDefault="00B242C3" w:rsidP="00E85AD2">
            <w:pPr>
              <w:pStyle w:val="TableBullet"/>
              <w:rPr>
                <w:rFonts w:cs="Arial"/>
              </w:rPr>
            </w:pPr>
            <w:r w:rsidRPr="003272C7">
              <w:rPr>
                <w:rFonts w:cs="Arial"/>
              </w:rPr>
              <w:t>After Action Reviews were coordinated in 2023 by DEECA to test the effectiveness of the</w:t>
            </w:r>
            <w:r w:rsidR="00BB33F6" w:rsidRPr="003272C7">
              <w:rPr>
                <w:rFonts w:cs="Arial"/>
              </w:rPr>
              <w:t xml:space="preserve"> Victorian Floodplain Management Strategy </w:t>
            </w:r>
            <w:r w:rsidRPr="003272C7">
              <w:rPr>
                <w:rFonts w:cs="Arial"/>
              </w:rPr>
              <w:t>funding availability, warnings and FloodZoom function during the 2022 floods. Outcomes confirm that while there is still work to do, agencies report a high level of comfort with the quality and availability of information.</w:t>
            </w:r>
          </w:p>
          <w:p w14:paraId="42B93D26" w14:textId="77777777" w:rsidR="00142559" w:rsidRPr="003272C7" w:rsidRDefault="00B242C3" w:rsidP="00E85AD2">
            <w:pPr>
              <w:pStyle w:val="TableTextBold"/>
              <w:rPr>
                <w:rFonts w:cs="Arial"/>
              </w:rPr>
            </w:pPr>
            <w:r w:rsidRPr="003272C7">
              <w:rPr>
                <w:rFonts w:cs="Arial"/>
              </w:rPr>
              <w:t>Flood mitigation infrastructure is built and maintained where it is cost effective and socially and environmentally feasible:</w:t>
            </w:r>
          </w:p>
          <w:p w14:paraId="2DE563F2" w14:textId="2D842CD9" w:rsidR="00B242C3" w:rsidRPr="003272C7" w:rsidRDefault="00B242C3" w:rsidP="00E85AD2">
            <w:pPr>
              <w:pStyle w:val="TableBullet"/>
              <w:rPr>
                <w:rFonts w:cs="Arial"/>
              </w:rPr>
            </w:pPr>
            <w:r w:rsidRPr="003272C7">
              <w:rPr>
                <w:rFonts w:cs="Arial"/>
              </w:rPr>
              <w:t>Six of Victoria’s highest priority flood mitigation infrastructure construction projects have received funding or are fully funded.</w:t>
            </w:r>
          </w:p>
          <w:p w14:paraId="451711BC" w14:textId="77777777" w:rsidR="00142559" w:rsidRPr="003272C7" w:rsidRDefault="00041E1E" w:rsidP="00E85AD2">
            <w:pPr>
              <w:pStyle w:val="TableBullet"/>
              <w:rPr>
                <w:rFonts w:cs="Arial"/>
              </w:rPr>
            </w:pPr>
            <w:r w:rsidRPr="003272C7">
              <w:rPr>
                <w:rFonts w:cs="Arial"/>
              </w:rPr>
              <w:t>Ongoing management and maintenance arrangements for flood mitigation infrastructure are accepted or actively under investigation for improvements.</w:t>
            </w:r>
          </w:p>
          <w:p w14:paraId="23F03E41" w14:textId="77777777" w:rsidR="00142559" w:rsidRPr="003272C7" w:rsidRDefault="00041E1E" w:rsidP="00E85AD2">
            <w:pPr>
              <w:pStyle w:val="TableBullet"/>
              <w:rPr>
                <w:rFonts w:cs="Arial"/>
              </w:rPr>
            </w:pPr>
            <w:r w:rsidRPr="003272C7">
              <w:rPr>
                <w:rFonts w:cs="Arial"/>
              </w:rPr>
              <w:t>Benefiting communities are contributing to the capital costs, and the ongoing maintenance and management costs, of the flood mitigation infrastructure they have prioritised for their area.</w:t>
            </w:r>
          </w:p>
          <w:p w14:paraId="3BB1030D" w14:textId="77777777" w:rsidR="00142559" w:rsidRPr="003272C7" w:rsidRDefault="00041E1E" w:rsidP="00E85AD2">
            <w:pPr>
              <w:pStyle w:val="TableTextBold"/>
              <w:rPr>
                <w:rFonts w:cs="Arial"/>
              </w:rPr>
            </w:pPr>
            <w:r w:rsidRPr="003272C7">
              <w:rPr>
                <w:rFonts w:cs="Arial"/>
              </w:rPr>
              <w:t>Communities, agencies and other organisations have improved understanding and communication of flood risk and application of land use planning tools:</w:t>
            </w:r>
          </w:p>
          <w:p w14:paraId="3A2A6FCF" w14:textId="77777777" w:rsidR="00142559" w:rsidRPr="003272C7" w:rsidRDefault="00B242C3" w:rsidP="00E85AD2">
            <w:pPr>
              <w:pStyle w:val="TableBullet"/>
              <w:rPr>
                <w:rFonts w:cs="Arial"/>
              </w:rPr>
            </w:pPr>
            <w:r w:rsidRPr="003272C7">
              <w:rPr>
                <w:rFonts w:cs="Arial"/>
              </w:rPr>
              <w:t>Regional floodplain management strategies have proven a successful way of understanding and sharing flood risk mitigation priorities and collaborating to achieve land-use planning outcomes.</w:t>
            </w:r>
          </w:p>
          <w:p w14:paraId="356066CC" w14:textId="7A8E24E5" w:rsidR="00B242C3" w:rsidRPr="003272C7" w:rsidRDefault="00B242C3" w:rsidP="00E85AD2">
            <w:pPr>
              <w:pStyle w:val="TableBullet"/>
              <w:rPr>
                <w:rFonts w:cs="Arial"/>
              </w:rPr>
            </w:pPr>
            <w:r w:rsidRPr="003272C7">
              <w:rPr>
                <w:rFonts w:cs="Arial"/>
              </w:rPr>
              <w:t>‘An added benefit of improved collaboration and understanding of roles and responsibilities has seen an improved understanding and collaboration at the start of planning for new urban growth zones…..There has been considerable improvement in flood knowledge, especially where the flood hazard coincides with development pressure’. Corangamite Regional Floodplain Management Strategy: Mid-term implementation report 2023.</w:t>
            </w:r>
          </w:p>
          <w:p w14:paraId="225B7C59" w14:textId="67A24B50" w:rsidR="00B242C3" w:rsidRPr="003272C7" w:rsidRDefault="005628DE" w:rsidP="00E85AD2">
            <w:pPr>
              <w:pStyle w:val="TableBullet"/>
              <w:rPr>
                <w:rFonts w:cs="Arial"/>
              </w:rPr>
            </w:pPr>
            <w:r w:rsidRPr="003272C7">
              <w:rPr>
                <w:rFonts w:cs="Arial"/>
              </w:rPr>
              <w:t xml:space="preserve">The </w:t>
            </w:r>
            <w:r w:rsidR="00445736" w:rsidRPr="003272C7">
              <w:rPr>
                <w:rFonts w:cs="Arial"/>
              </w:rPr>
              <w:t>project</w:t>
            </w:r>
            <w:r w:rsidRPr="003272C7">
              <w:rPr>
                <w:rFonts w:cs="Arial"/>
              </w:rPr>
              <w:t xml:space="preserve"> has co-funded eight projects to implement flood maps from recently completed flood studies into planning schemes. The </w:t>
            </w:r>
            <w:r w:rsidR="00445736" w:rsidRPr="003272C7">
              <w:rPr>
                <w:rFonts w:cs="Arial"/>
              </w:rPr>
              <w:t>project</w:t>
            </w:r>
            <w:r w:rsidRPr="003272C7">
              <w:rPr>
                <w:rFonts w:cs="Arial"/>
              </w:rPr>
              <w:t xml:space="preserve"> has drawn on this </w:t>
            </w:r>
            <w:r w:rsidRPr="003272C7">
              <w:rPr>
                <w:rFonts w:cs="Arial"/>
              </w:rPr>
              <w:lastRenderedPageBreak/>
              <w:t>experience and success to provide supporting evidence for the Flood Reclamation Road Map funding submission. This has secured $3.9 million to implement further flood mapping into planning schemes over the next three years (to be implemented by Department of Transport and Planning). </w:t>
            </w:r>
          </w:p>
        </w:tc>
      </w:tr>
      <w:tr w:rsidR="00B242C3" w:rsidRPr="003272C7" w14:paraId="19E55B92" w14:textId="77777777" w:rsidTr="00437A2B">
        <w:trPr>
          <w:trHeight w:val="259"/>
        </w:trPr>
        <w:tc>
          <w:tcPr>
            <w:tcW w:w="979" w:type="pct"/>
            <w:shd w:val="clear" w:color="auto" w:fill="231EDC" w:themeFill="accent1"/>
          </w:tcPr>
          <w:p w14:paraId="5E93129B" w14:textId="77777777" w:rsidR="00B242C3" w:rsidRPr="003272C7" w:rsidRDefault="00B242C3" w:rsidP="00E85AD2">
            <w:pPr>
              <w:pStyle w:val="TableText"/>
              <w:rPr>
                <w:rFonts w:cs="Arial"/>
                <w:b/>
                <w:bCs/>
              </w:rPr>
            </w:pPr>
            <w:r w:rsidRPr="003272C7">
              <w:rPr>
                <w:rFonts w:cs="Arial"/>
                <w:b/>
                <w:bCs/>
              </w:rPr>
              <w:lastRenderedPageBreak/>
              <w:t>Effectiveness</w:t>
            </w:r>
          </w:p>
        </w:tc>
        <w:tc>
          <w:tcPr>
            <w:tcW w:w="4021" w:type="pct"/>
          </w:tcPr>
          <w:p w14:paraId="21047E17" w14:textId="513D5A51" w:rsidR="00B242C3" w:rsidRPr="003272C7" w:rsidRDefault="00B242C3" w:rsidP="00E85AD2">
            <w:pPr>
              <w:pStyle w:val="TableText"/>
              <w:rPr>
                <w:rFonts w:cs="Arial"/>
              </w:rPr>
            </w:pPr>
            <w:r w:rsidRPr="003272C7">
              <w:rPr>
                <w:rFonts w:cs="Arial"/>
              </w:rPr>
              <w:t xml:space="preserve">In 2022, the third biennial </w:t>
            </w:r>
            <w:r w:rsidR="00BB33F6" w:rsidRPr="003272C7">
              <w:rPr>
                <w:rFonts w:cs="Arial"/>
              </w:rPr>
              <w:t xml:space="preserve">Victorian Floodplain Management Strategy </w:t>
            </w:r>
            <w:r w:rsidRPr="003272C7">
              <w:rPr>
                <w:rFonts w:cs="Arial"/>
              </w:rPr>
              <w:t xml:space="preserve">snapshot report was published. All 56 </w:t>
            </w:r>
            <w:r w:rsidR="00BB33F6" w:rsidRPr="003272C7">
              <w:rPr>
                <w:rFonts w:cs="Arial"/>
              </w:rPr>
              <w:t xml:space="preserve">Victorian Floodplain Management Strategy </w:t>
            </w:r>
            <w:r w:rsidRPr="003272C7">
              <w:rPr>
                <w:rFonts w:cs="Arial"/>
              </w:rPr>
              <w:t>actions have been completed or embedded as part of business-as-usual practice. An audit of the strategy’s implementation conducted by Ernst and Young determined that clear governance structures had been established to engage with key delivery partners to oversee the implementation of the strategy. The audit also found that the department had put in place effective processes to monitor and report on the delivery of the strategy actions, including providing evidence of work carried out.</w:t>
            </w:r>
          </w:p>
          <w:p w14:paraId="22CA49DA" w14:textId="77777777" w:rsidR="00142559" w:rsidRPr="003272C7" w:rsidRDefault="00036F02" w:rsidP="00E85AD2">
            <w:pPr>
              <w:pStyle w:val="TableText"/>
              <w:rPr>
                <w:rFonts w:cs="Arial"/>
              </w:rPr>
            </w:pPr>
            <w:r w:rsidRPr="003272C7">
              <w:rPr>
                <w:rFonts w:cs="Arial"/>
              </w:rPr>
              <w:t xml:space="preserve">Investment in building community flood resilience is guided by </w:t>
            </w:r>
            <w:r w:rsidR="00BB33F6" w:rsidRPr="003272C7">
              <w:rPr>
                <w:rFonts w:cs="Arial"/>
              </w:rPr>
              <w:t>R</w:t>
            </w:r>
            <w:r w:rsidRPr="003272C7">
              <w:rPr>
                <w:rFonts w:cs="Arial"/>
              </w:rPr>
              <w:t xml:space="preserve">egional </w:t>
            </w:r>
            <w:r w:rsidR="00BB33F6" w:rsidRPr="003272C7">
              <w:rPr>
                <w:rFonts w:cs="Arial"/>
              </w:rPr>
              <w:t>F</w:t>
            </w:r>
            <w:r w:rsidRPr="003272C7">
              <w:rPr>
                <w:rFonts w:cs="Arial"/>
              </w:rPr>
              <w:t xml:space="preserve">loodplain </w:t>
            </w:r>
            <w:r w:rsidR="00BB33F6" w:rsidRPr="003272C7">
              <w:rPr>
                <w:rFonts w:cs="Arial"/>
              </w:rPr>
              <w:t>M</w:t>
            </w:r>
            <w:r w:rsidRPr="003272C7">
              <w:rPr>
                <w:rFonts w:cs="Arial"/>
              </w:rPr>
              <w:t xml:space="preserve">anagement </w:t>
            </w:r>
            <w:r w:rsidR="00BB33F6" w:rsidRPr="003272C7">
              <w:rPr>
                <w:rFonts w:cs="Arial"/>
              </w:rPr>
              <w:t>S</w:t>
            </w:r>
            <w:r w:rsidRPr="003272C7">
              <w:rPr>
                <w:rFonts w:cs="Arial"/>
              </w:rPr>
              <w:t>trategies (RFMS). In 2023 an analysis of Victoria’s investment in RFMS priorities was completed with the services of a specialist in investment cost – benefit and effectiveness analysis. The analysis confirms that there has been significant progress in delivering the communities’ priority actions.</w:t>
            </w:r>
          </w:p>
          <w:p w14:paraId="4B3DB8BF" w14:textId="0D737E8B" w:rsidR="00B242C3" w:rsidRPr="003272C7" w:rsidRDefault="00036F02" w:rsidP="00E85AD2">
            <w:pPr>
              <w:pStyle w:val="TableText"/>
              <w:rPr>
                <w:rFonts w:cs="Arial"/>
              </w:rPr>
            </w:pPr>
            <w:r w:rsidRPr="003272C7">
              <w:rPr>
                <w:rFonts w:cs="Arial"/>
              </w:rPr>
              <w:t>A clear measure of effectiveness of the EC5 investment is our capacity to respond well to the 2022 floods Inquiry. </w:t>
            </w:r>
          </w:p>
        </w:tc>
      </w:tr>
      <w:tr w:rsidR="00B242C3" w:rsidRPr="003272C7" w14:paraId="710E5DB6" w14:textId="77777777" w:rsidTr="00437A2B">
        <w:trPr>
          <w:trHeight w:val="259"/>
        </w:trPr>
        <w:tc>
          <w:tcPr>
            <w:tcW w:w="979" w:type="pct"/>
            <w:shd w:val="clear" w:color="auto" w:fill="231EDC" w:themeFill="accent1"/>
          </w:tcPr>
          <w:p w14:paraId="0EF69DE6" w14:textId="77777777" w:rsidR="00B242C3" w:rsidRPr="003272C7" w:rsidRDefault="00B242C3" w:rsidP="00E85AD2">
            <w:pPr>
              <w:pStyle w:val="TableText"/>
              <w:rPr>
                <w:rFonts w:cs="Arial"/>
                <w:b/>
                <w:bCs/>
              </w:rPr>
            </w:pPr>
            <w:r w:rsidRPr="003272C7">
              <w:rPr>
                <w:rFonts w:cs="Arial"/>
                <w:b/>
                <w:bCs/>
              </w:rPr>
              <w:t>Appropriateness</w:t>
            </w:r>
          </w:p>
        </w:tc>
        <w:tc>
          <w:tcPr>
            <w:tcW w:w="4021" w:type="pct"/>
          </w:tcPr>
          <w:p w14:paraId="26143A54" w14:textId="5FB1969D" w:rsidR="00B242C3" w:rsidRPr="003272C7" w:rsidRDefault="00B242C3" w:rsidP="00E85AD2">
            <w:pPr>
              <w:pStyle w:val="TableText"/>
              <w:rPr>
                <w:rFonts w:cs="Arial"/>
              </w:rPr>
            </w:pPr>
            <w:r w:rsidRPr="003272C7">
              <w:rPr>
                <w:rFonts w:cs="Arial"/>
              </w:rPr>
              <w:t>Investment in priority flood mitigation actions contributes to Water for Victoria section 10.5 ‘Managing Exceptional Circumstances’</w:t>
            </w:r>
            <w:r w:rsidR="00BB33F6" w:rsidRPr="003272C7">
              <w:rPr>
                <w:rFonts w:cs="Arial"/>
              </w:rPr>
              <w:t>,</w:t>
            </w:r>
            <w:r w:rsidRPr="003272C7">
              <w:rPr>
                <w:rFonts w:cs="Arial"/>
              </w:rPr>
              <w:t xml:space="preserve"> specifically Action 10.12 ‘Improve emergency management capability’. The </w:t>
            </w:r>
            <w:r w:rsidR="00BB33F6" w:rsidRPr="003272C7">
              <w:rPr>
                <w:rFonts w:cs="Arial"/>
              </w:rPr>
              <w:t xml:space="preserve">Victorian Floodplain Management Strategy </w:t>
            </w:r>
            <w:r w:rsidRPr="003272C7">
              <w:rPr>
                <w:rFonts w:cs="Arial"/>
              </w:rPr>
              <w:t xml:space="preserve">clarifies flood emergency roles within the water sector. Local councils and </w:t>
            </w:r>
            <w:r w:rsidR="00BB33F6" w:rsidRPr="003272C7">
              <w:rPr>
                <w:rFonts w:cs="Arial"/>
              </w:rPr>
              <w:t xml:space="preserve">Victoria State Emergency Service </w:t>
            </w:r>
            <w:r w:rsidRPr="003272C7">
              <w:rPr>
                <w:rFonts w:cs="Arial"/>
              </w:rPr>
              <w:t>have received funding to update emergency response plans and develop new ones where required. Funding supports floodplain management agencies to build their communities’ resilience to future floods through implementation of priority flood mitigation projects documented through regional floodplain management strategies. The FloodZoom platform contributes to addressing the Action 10.12 commitment to ‘enhancing information systems and processes to monitor, evaluate, communicate and continuously improve the management of water sector risks</w:t>
            </w:r>
          </w:p>
        </w:tc>
      </w:tr>
      <w:tr w:rsidR="00B242C3" w:rsidRPr="003272C7" w14:paraId="098A5E72" w14:textId="77777777" w:rsidTr="00437A2B">
        <w:trPr>
          <w:trHeight w:val="259"/>
        </w:trPr>
        <w:tc>
          <w:tcPr>
            <w:tcW w:w="979" w:type="pct"/>
            <w:shd w:val="clear" w:color="auto" w:fill="231EDC" w:themeFill="accent1"/>
          </w:tcPr>
          <w:p w14:paraId="4F2E0DF8" w14:textId="77777777" w:rsidR="00B242C3" w:rsidRPr="003272C7" w:rsidRDefault="00B242C3" w:rsidP="00E85AD2">
            <w:pPr>
              <w:pStyle w:val="TableText"/>
              <w:rPr>
                <w:rFonts w:cs="Arial"/>
                <w:b/>
                <w:bCs/>
              </w:rPr>
            </w:pPr>
            <w:r w:rsidRPr="003272C7">
              <w:rPr>
                <w:rFonts w:cs="Arial"/>
                <w:b/>
                <w:bCs/>
              </w:rPr>
              <w:t>Efficiency</w:t>
            </w:r>
          </w:p>
        </w:tc>
        <w:tc>
          <w:tcPr>
            <w:tcW w:w="4021" w:type="pct"/>
          </w:tcPr>
          <w:p w14:paraId="34DAD0DD" w14:textId="7475DC49" w:rsidR="00B242C3" w:rsidRPr="003272C7" w:rsidRDefault="00B242C3" w:rsidP="00E85AD2">
            <w:pPr>
              <w:pStyle w:val="TableText"/>
              <w:rPr>
                <w:rFonts w:cs="Arial"/>
              </w:rPr>
            </w:pPr>
            <w:r w:rsidRPr="003272C7">
              <w:rPr>
                <w:rFonts w:cs="Arial"/>
              </w:rPr>
              <w:t xml:space="preserve">In addition to </w:t>
            </w:r>
            <w:r w:rsidR="00D22BFD" w:rsidRPr="003272C7">
              <w:rPr>
                <w:rFonts w:cs="Arial"/>
              </w:rPr>
              <w:t xml:space="preserve">leveraging significant </w:t>
            </w:r>
            <w:r w:rsidRPr="003272C7">
              <w:rPr>
                <w:rFonts w:cs="Arial"/>
              </w:rPr>
              <w:t>federal government funding</w:t>
            </w:r>
            <w:r w:rsidR="00D22BFD" w:rsidRPr="003272C7">
              <w:rPr>
                <w:rFonts w:cs="Arial"/>
              </w:rPr>
              <w:t xml:space="preserve"> of $9.299 million for priority flood mitigation infrastructure and $1.350 million towards other flood projects (Risk and Resilience Grants Program)</w:t>
            </w:r>
            <w:r w:rsidRPr="003272C7">
              <w:rPr>
                <w:rFonts w:cs="Arial"/>
              </w:rPr>
              <w:t xml:space="preserve">, the Program secured $7.080 million funding from the Relief and Early Recovery Treasurer’s Advance 2022-23. This funding is value adding to the EC5 </w:t>
            </w:r>
            <w:r w:rsidR="00445736" w:rsidRPr="003272C7">
              <w:rPr>
                <w:rFonts w:cs="Arial"/>
              </w:rPr>
              <w:t>project</w:t>
            </w:r>
            <w:r w:rsidRPr="003272C7">
              <w:rPr>
                <w:rFonts w:cs="Arial"/>
              </w:rPr>
              <w:t>, directed to developing new innovations for historic levee management, in consultation with our Program delivery partners and affected communities.</w:t>
            </w:r>
            <w:r w:rsidR="00886639" w:rsidRPr="003272C7">
              <w:rPr>
                <w:rFonts w:cs="Arial"/>
              </w:rPr>
              <w:t xml:space="preserve"> A further $15 million has been secured for new flood studies ($10 million) and progressing flood mitigation infrastructure projects to shovel ready status, to prepare </w:t>
            </w:r>
            <w:r w:rsidR="00B91B5B" w:rsidRPr="003272C7">
              <w:rPr>
                <w:rFonts w:cs="Arial"/>
              </w:rPr>
              <w:t>local government authorities</w:t>
            </w:r>
            <w:r w:rsidR="00886639" w:rsidRPr="003272C7">
              <w:rPr>
                <w:rFonts w:cs="Arial"/>
              </w:rPr>
              <w:t xml:space="preserve"> for future funding opportunities. The </w:t>
            </w:r>
            <w:r w:rsidR="00BB33F6" w:rsidRPr="003272C7">
              <w:rPr>
                <w:rFonts w:cs="Arial"/>
              </w:rPr>
              <w:t>p</w:t>
            </w:r>
            <w:r w:rsidR="00886639" w:rsidRPr="003272C7">
              <w:rPr>
                <w:rFonts w:cs="Arial"/>
              </w:rPr>
              <w:t xml:space="preserve">rogram has allocated </w:t>
            </w:r>
            <w:r w:rsidR="00BB33F6" w:rsidRPr="003272C7">
              <w:rPr>
                <w:rFonts w:cs="Arial"/>
              </w:rPr>
              <w:t>y</w:t>
            </w:r>
            <w:r w:rsidR="00886639" w:rsidRPr="003272C7">
              <w:rPr>
                <w:rFonts w:cs="Arial"/>
              </w:rPr>
              <w:t xml:space="preserve">ears one and two of five of this funding from the Flood Reclamation Roadmap - </w:t>
            </w:r>
            <w:r w:rsidR="00BB33F6" w:rsidRPr="003272C7">
              <w:rPr>
                <w:rFonts w:cs="Arial"/>
              </w:rPr>
              <w:t>f</w:t>
            </w:r>
            <w:r w:rsidR="00886639" w:rsidRPr="003272C7">
              <w:rPr>
                <w:rFonts w:cs="Arial"/>
              </w:rPr>
              <w:t>ast tracking council flood planning.</w:t>
            </w:r>
          </w:p>
          <w:p w14:paraId="498B8C18" w14:textId="701B5224" w:rsidR="00B242C3" w:rsidRPr="003272C7" w:rsidRDefault="00B242C3" w:rsidP="00E85AD2">
            <w:pPr>
              <w:pStyle w:val="TableText"/>
              <w:rPr>
                <w:rFonts w:cs="Arial"/>
              </w:rPr>
            </w:pPr>
            <w:r w:rsidRPr="003272C7">
              <w:rPr>
                <w:rFonts w:cs="Arial"/>
              </w:rPr>
              <w:t xml:space="preserve">The Building </w:t>
            </w:r>
            <w:r w:rsidR="00BB33F6" w:rsidRPr="003272C7">
              <w:rPr>
                <w:rFonts w:cs="Arial"/>
              </w:rPr>
              <w:t>F</w:t>
            </w:r>
            <w:r w:rsidRPr="003272C7">
              <w:rPr>
                <w:rFonts w:cs="Arial"/>
              </w:rPr>
              <w:t xml:space="preserve">lood </w:t>
            </w:r>
            <w:r w:rsidR="00BB33F6" w:rsidRPr="003272C7">
              <w:rPr>
                <w:rFonts w:cs="Arial"/>
              </w:rPr>
              <w:t>R</w:t>
            </w:r>
            <w:r w:rsidRPr="003272C7">
              <w:rPr>
                <w:rFonts w:cs="Arial"/>
              </w:rPr>
              <w:t>esilience in Victoria budget has been fully acquitted annually.</w:t>
            </w:r>
          </w:p>
        </w:tc>
      </w:tr>
      <w:tr w:rsidR="00B242C3" w:rsidRPr="003272C7" w14:paraId="424FE761" w14:textId="77777777" w:rsidTr="00437A2B">
        <w:trPr>
          <w:trHeight w:val="259"/>
        </w:trPr>
        <w:tc>
          <w:tcPr>
            <w:tcW w:w="979" w:type="pct"/>
            <w:shd w:val="clear" w:color="auto" w:fill="231EDC" w:themeFill="accent1"/>
          </w:tcPr>
          <w:p w14:paraId="1C55FA35" w14:textId="77777777" w:rsidR="00B242C3" w:rsidRPr="003272C7" w:rsidRDefault="00B242C3" w:rsidP="00E85AD2">
            <w:pPr>
              <w:pStyle w:val="TableText"/>
              <w:rPr>
                <w:rFonts w:cs="Arial"/>
                <w:b/>
                <w:bCs/>
              </w:rPr>
            </w:pPr>
            <w:r w:rsidRPr="003272C7">
              <w:rPr>
                <w:rFonts w:cs="Arial"/>
                <w:b/>
                <w:bCs/>
              </w:rPr>
              <w:t>Legacy</w:t>
            </w:r>
          </w:p>
        </w:tc>
        <w:tc>
          <w:tcPr>
            <w:tcW w:w="4021" w:type="pct"/>
          </w:tcPr>
          <w:p w14:paraId="296C7EF9" w14:textId="4A77F16A" w:rsidR="00B242C3" w:rsidRPr="003272C7" w:rsidRDefault="00886639" w:rsidP="00E85AD2">
            <w:pPr>
              <w:pStyle w:val="TableText"/>
              <w:rPr>
                <w:rFonts w:cs="Arial"/>
              </w:rPr>
            </w:pPr>
            <w:r w:rsidRPr="003272C7">
              <w:rPr>
                <w:rFonts w:cs="Arial"/>
              </w:rPr>
              <w:t xml:space="preserve">Our </w:t>
            </w:r>
            <w:r w:rsidR="00BB33F6" w:rsidRPr="003272C7">
              <w:rPr>
                <w:rFonts w:cs="Arial"/>
              </w:rPr>
              <w:t>9</w:t>
            </w:r>
            <w:r w:rsidRPr="003272C7">
              <w:rPr>
                <w:rFonts w:cs="Arial"/>
              </w:rPr>
              <w:t xml:space="preserve"> RFMS will continue to guide investment in priority flood projects communities want implemented and have agreed they can afford to maintain. The VFMS will acknowledge and where appropriate evolve going forward, particularly in response to outcomes from the Parliamentary Inquiry into the October 2022 floods. </w:t>
            </w:r>
          </w:p>
        </w:tc>
      </w:tr>
      <w:tr w:rsidR="00B242C3" w:rsidRPr="003272C7" w14:paraId="6DF7015E" w14:textId="77777777" w:rsidTr="00437A2B">
        <w:trPr>
          <w:trHeight w:val="259"/>
        </w:trPr>
        <w:tc>
          <w:tcPr>
            <w:tcW w:w="979" w:type="pct"/>
            <w:shd w:val="clear" w:color="auto" w:fill="231EDC" w:themeFill="accent1"/>
          </w:tcPr>
          <w:p w14:paraId="0E6C54AD" w14:textId="77777777" w:rsidR="00B242C3" w:rsidRPr="003272C7" w:rsidRDefault="00B242C3" w:rsidP="00E85AD2">
            <w:pPr>
              <w:pStyle w:val="TableText"/>
              <w:rPr>
                <w:rFonts w:cs="Arial"/>
                <w:b/>
                <w:bCs/>
              </w:rPr>
            </w:pPr>
            <w:r w:rsidRPr="003272C7">
              <w:rPr>
                <w:rFonts w:cs="Arial"/>
                <w:b/>
                <w:bCs/>
              </w:rPr>
              <w:t>Future priorities</w:t>
            </w:r>
          </w:p>
        </w:tc>
        <w:tc>
          <w:tcPr>
            <w:tcW w:w="4021" w:type="pct"/>
          </w:tcPr>
          <w:p w14:paraId="13EEE0B1" w14:textId="77777777" w:rsidR="00142559" w:rsidRPr="003272C7" w:rsidRDefault="00B242C3" w:rsidP="00E85AD2">
            <w:pPr>
              <w:pStyle w:val="TableText"/>
              <w:rPr>
                <w:rFonts w:cs="Arial"/>
              </w:rPr>
            </w:pPr>
            <w:r w:rsidRPr="003272C7">
              <w:rPr>
                <w:rFonts w:cs="Arial"/>
              </w:rPr>
              <w:t xml:space="preserve">The Victorian Government’s FloodZoom platform has been a tool for flood response and preparation since its inception. Our society increasingly expects to ‘self-serve’ information from on-line sources rather than seek data through third parties. To remain cost effective FloodZoom </w:t>
            </w:r>
            <w:r w:rsidR="00013B3D" w:rsidRPr="003272C7">
              <w:rPr>
                <w:rFonts w:cs="Arial"/>
              </w:rPr>
              <w:t>is moving towards being increasingly</w:t>
            </w:r>
            <w:r w:rsidRPr="003272C7">
              <w:rPr>
                <w:rFonts w:cs="Arial"/>
              </w:rPr>
              <w:t xml:space="preserve"> accessible</w:t>
            </w:r>
            <w:r w:rsidR="00D5497C" w:rsidRPr="003272C7">
              <w:rPr>
                <w:rFonts w:cs="Arial"/>
              </w:rPr>
              <w:t>.</w:t>
            </w:r>
            <w:r w:rsidR="00BB33F6" w:rsidRPr="003272C7">
              <w:rPr>
                <w:rFonts w:cs="Arial"/>
              </w:rPr>
              <w:t xml:space="preserve"> </w:t>
            </w:r>
            <w:r w:rsidR="00D5497C" w:rsidRPr="003272C7">
              <w:rPr>
                <w:rFonts w:cs="Arial"/>
              </w:rPr>
              <w:t>T</w:t>
            </w:r>
            <w:r w:rsidR="00BB33F6" w:rsidRPr="003272C7">
              <w:rPr>
                <w:rFonts w:cs="Arial"/>
              </w:rPr>
              <w:t>his</w:t>
            </w:r>
            <w:r w:rsidR="00D5497C" w:rsidRPr="003272C7">
              <w:rPr>
                <w:rFonts w:cs="Arial"/>
              </w:rPr>
              <w:t xml:space="preserve"> is being</w:t>
            </w:r>
            <w:r w:rsidRPr="003272C7">
              <w:rPr>
                <w:rFonts w:cs="Arial"/>
              </w:rPr>
              <w:t xml:space="preserve"> achieved cost-effectively through partnering with Digital Twin Victoria. </w:t>
            </w:r>
            <w:r w:rsidR="00013B3D" w:rsidRPr="003272C7">
              <w:rPr>
                <w:rFonts w:cs="Arial"/>
              </w:rPr>
              <w:t>Maps from 100</w:t>
            </w:r>
            <w:r w:rsidR="00BB33F6" w:rsidRPr="003272C7">
              <w:rPr>
                <w:rFonts w:cs="Arial"/>
              </w:rPr>
              <w:t xml:space="preserve">% </w:t>
            </w:r>
            <w:r w:rsidR="00013B3D" w:rsidRPr="003272C7">
              <w:rPr>
                <w:rFonts w:cs="Arial"/>
              </w:rPr>
              <w:t xml:space="preserve">of flood studies held by FloodZoom will be available for public viewing on </w:t>
            </w:r>
            <w:r w:rsidR="00BB33F6" w:rsidRPr="003272C7">
              <w:rPr>
                <w:rFonts w:cs="Arial"/>
              </w:rPr>
              <w:t>Digital Twin Victoria</w:t>
            </w:r>
            <w:r w:rsidR="00013B3D" w:rsidRPr="003272C7">
              <w:rPr>
                <w:rFonts w:cs="Arial"/>
              </w:rPr>
              <w:t>.</w:t>
            </w:r>
          </w:p>
          <w:p w14:paraId="07AB8738" w14:textId="77777777" w:rsidR="00142559" w:rsidRPr="003272C7" w:rsidRDefault="00013B3D" w:rsidP="00E85AD2">
            <w:pPr>
              <w:pStyle w:val="TableText"/>
              <w:rPr>
                <w:rFonts w:cs="Arial"/>
              </w:rPr>
            </w:pPr>
            <w:r w:rsidRPr="003272C7">
              <w:rPr>
                <w:rFonts w:cs="Arial"/>
              </w:rPr>
              <w:t xml:space="preserve">The EC6 funded Reducing the risks of flooding in a changing climate 2024–28 will continue government’s commitment to fund at least 6 new flood studies per annum. </w:t>
            </w:r>
            <w:r w:rsidRPr="003272C7">
              <w:rPr>
                <w:rFonts w:cs="Arial"/>
              </w:rPr>
              <w:lastRenderedPageBreak/>
              <w:t>Continued investment in planning and design phases of flood mitigation infrastructure projects will ensure our local councils are well positioned to access future funds sources for construction.</w:t>
            </w:r>
          </w:p>
          <w:p w14:paraId="67FA302C" w14:textId="77777777" w:rsidR="00142559" w:rsidRPr="003272C7" w:rsidRDefault="00B242C3" w:rsidP="00E85AD2">
            <w:pPr>
              <w:pStyle w:val="TableText"/>
              <w:rPr>
                <w:rFonts w:cs="Arial"/>
              </w:rPr>
            </w:pPr>
            <w:r w:rsidRPr="003272C7">
              <w:rPr>
                <w:rFonts w:cs="Arial"/>
              </w:rPr>
              <w:t>As discussed, solutions to increasing costs for delivery partners, challenges attracting and retaining staff, and a lack of suitable service providers in the Victorian market have been raised consistently as key needs across our regions.</w:t>
            </w:r>
          </w:p>
          <w:p w14:paraId="2801F3E9" w14:textId="62761B17" w:rsidR="00B242C3" w:rsidRPr="003272C7" w:rsidRDefault="00B242C3" w:rsidP="00E85AD2">
            <w:pPr>
              <w:pStyle w:val="TableText"/>
              <w:rPr>
                <w:rFonts w:cs="Arial"/>
              </w:rPr>
            </w:pPr>
            <w:r w:rsidRPr="003272C7">
              <w:rPr>
                <w:rFonts w:cs="Arial"/>
              </w:rPr>
              <w:t xml:space="preserve">The potential for stakeholders, particularly local councils to turn their attention and resources to preparing for a drying period under El Nino conditions may be a challenge for the </w:t>
            </w:r>
            <w:r w:rsidR="00445736" w:rsidRPr="003272C7">
              <w:rPr>
                <w:rFonts w:cs="Arial"/>
              </w:rPr>
              <w:t>project</w:t>
            </w:r>
            <w:r w:rsidRPr="003272C7">
              <w:rPr>
                <w:rFonts w:cs="Arial"/>
              </w:rPr>
              <w:t>. This potential will be managed by supporting partners with suitable resourcing and continued genuine engagement.</w:t>
            </w:r>
          </w:p>
        </w:tc>
      </w:tr>
    </w:tbl>
    <w:p w14:paraId="66A94611" w14:textId="77777777" w:rsidR="00B242C3" w:rsidRPr="003272C7" w:rsidRDefault="00B242C3" w:rsidP="00B242C3">
      <w:pPr>
        <w:pStyle w:val="Heading2"/>
        <w:rPr>
          <w:rFonts w:cs="Arial"/>
        </w:rPr>
      </w:pPr>
      <w:bookmarkStart w:id="71" w:name="_Toc147410801"/>
      <w:bookmarkStart w:id="72" w:name="_Toc183777809"/>
      <w:r w:rsidRPr="003272C7">
        <w:rPr>
          <w:rFonts w:cs="Arial"/>
        </w:rPr>
        <w:lastRenderedPageBreak/>
        <w:t>SIRS4: Central Bendigo Mine Rehabilitation Project - Groundwater</w:t>
      </w:r>
      <w:bookmarkEnd w:id="71"/>
      <w:bookmarkEnd w:id="7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3727AEA3" w14:textId="77777777" w:rsidTr="00437A2B">
        <w:trPr>
          <w:trHeight w:val="395"/>
        </w:trPr>
        <w:tc>
          <w:tcPr>
            <w:tcW w:w="979" w:type="pct"/>
            <w:shd w:val="clear" w:color="auto" w:fill="231EDC" w:themeFill="accent1"/>
          </w:tcPr>
          <w:p w14:paraId="06F1E986" w14:textId="3AEBEB76" w:rsidR="00B242C3" w:rsidRPr="003272C7" w:rsidRDefault="00C412A9" w:rsidP="00E85AD2">
            <w:pPr>
              <w:pStyle w:val="TableHeading"/>
              <w:rPr>
                <w:rFonts w:cs="Arial"/>
              </w:rPr>
            </w:pPr>
            <w:r w:rsidRPr="003272C7">
              <w:rPr>
                <w:rFonts w:cs="Arial"/>
              </w:rPr>
              <w:t>Initiative</w:t>
            </w:r>
          </w:p>
        </w:tc>
        <w:tc>
          <w:tcPr>
            <w:tcW w:w="4021" w:type="pct"/>
            <w:shd w:val="clear" w:color="auto" w:fill="231EDC" w:themeFill="accent1"/>
          </w:tcPr>
          <w:p w14:paraId="09986A03" w14:textId="77777777" w:rsidR="00B242C3" w:rsidRPr="003272C7" w:rsidRDefault="00B242C3" w:rsidP="00E85AD2">
            <w:pPr>
              <w:pStyle w:val="TableHeading"/>
              <w:rPr>
                <w:rFonts w:cs="Arial"/>
              </w:rPr>
            </w:pPr>
            <w:r w:rsidRPr="003272C7">
              <w:rPr>
                <w:rFonts w:cs="Arial"/>
              </w:rPr>
              <w:t>11. Central Bendigo Mine Rehabilitation Project - Groundwater</w:t>
            </w:r>
          </w:p>
        </w:tc>
      </w:tr>
      <w:tr w:rsidR="00B242C3" w:rsidRPr="003272C7" w14:paraId="2C4D2EDC" w14:textId="77777777" w:rsidTr="00437A2B">
        <w:trPr>
          <w:trHeight w:val="341"/>
        </w:trPr>
        <w:tc>
          <w:tcPr>
            <w:tcW w:w="979" w:type="pct"/>
            <w:shd w:val="clear" w:color="auto" w:fill="231EDC" w:themeFill="accent1"/>
          </w:tcPr>
          <w:p w14:paraId="086369E0" w14:textId="77777777" w:rsidR="00B242C3" w:rsidRPr="003272C7" w:rsidRDefault="00B242C3" w:rsidP="00E85AD2">
            <w:pPr>
              <w:pStyle w:val="TableText"/>
              <w:rPr>
                <w:rFonts w:cs="Arial"/>
                <w:b/>
                <w:bCs/>
              </w:rPr>
            </w:pPr>
            <w:r w:rsidRPr="003272C7">
              <w:rPr>
                <w:rFonts w:cs="Arial"/>
                <w:b/>
                <w:bCs/>
              </w:rPr>
              <w:t>Project</w:t>
            </w:r>
          </w:p>
        </w:tc>
        <w:tc>
          <w:tcPr>
            <w:tcW w:w="4021" w:type="pct"/>
          </w:tcPr>
          <w:p w14:paraId="68E174DD" w14:textId="77777777" w:rsidR="00B242C3" w:rsidRPr="003272C7" w:rsidRDefault="00B242C3" w:rsidP="00E85AD2">
            <w:pPr>
              <w:pStyle w:val="TableText"/>
              <w:rPr>
                <w:rFonts w:cs="Arial"/>
              </w:rPr>
            </w:pPr>
            <w:r w:rsidRPr="003272C7">
              <w:rPr>
                <w:rFonts w:cs="Arial"/>
              </w:rPr>
              <w:t>SIRS4: Central Bendigo Mine Rehabilitation Project - Groundwater</w:t>
            </w:r>
          </w:p>
        </w:tc>
      </w:tr>
      <w:tr w:rsidR="00B242C3" w:rsidRPr="003272C7" w14:paraId="78C708E9" w14:textId="77777777" w:rsidTr="00437A2B">
        <w:trPr>
          <w:trHeight w:val="259"/>
        </w:trPr>
        <w:tc>
          <w:tcPr>
            <w:tcW w:w="979" w:type="pct"/>
            <w:shd w:val="clear" w:color="auto" w:fill="231EDC" w:themeFill="accent1"/>
          </w:tcPr>
          <w:p w14:paraId="280B68F8" w14:textId="77777777" w:rsidR="00B242C3" w:rsidRPr="003272C7" w:rsidRDefault="00B242C3" w:rsidP="00E85AD2">
            <w:pPr>
              <w:pStyle w:val="TableText"/>
              <w:rPr>
                <w:rFonts w:cs="Arial"/>
                <w:b/>
                <w:bCs/>
              </w:rPr>
            </w:pPr>
            <w:r w:rsidRPr="003272C7">
              <w:rPr>
                <w:rFonts w:cs="Arial"/>
                <w:b/>
                <w:bCs/>
              </w:rPr>
              <w:t>Description</w:t>
            </w:r>
          </w:p>
          <w:p w14:paraId="58C6AAAA" w14:textId="77777777" w:rsidR="00B242C3" w:rsidRPr="003272C7" w:rsidRDefault="00B242C3" w:rsidP="00E85AD2">
            <w:pPr>
              <w:pStyle w:val="TableText"/>
              <w:rPr>
                <w:rFonts w:cs="Arial"/>
                <w:b/>
                <w:bCs/>
              </w:rPr>
            </w:pPr>
          </w:p>
        </w:tc>
        <w:tc>
          <w:tcPr>
            <w:tcW w:w="4021" w:type="pct"/>
          </w:tcPr>
          <w:p w14:paraId="588E1AEA" w14:textId="051F80D2" w:rsidR="00B242C3" w:rsidRPr="003272C7" w:rsidRDefault="00B242C3" w:rsidP="00E85AD2">
            <w:pPr>
              <w:pStyle w:val="TableText"/>
              <w:rPr>
                <w:rFonts w:cs="Arial"/>
              </w:rPr>
            </w:pPr>
            <w:r w:rsidRPr="003272C7">
              <w:rPr>
                <w:rFonts w:cs="Arial"/>
              </w:rPr>
              <w:t xml:space="preserve">This </w:t>
            </w:r>
            <w:r w:rsidR="00445736" w:rsidRPr="003272C7">
              <w:rPr>
                <w:rFonts w:cs="Arial"/>
              </w:rPr>
              <w:t>project</w:t>
            </w:r>
            <w:r w:rsidRPr="003272C7">
              <w:rPr>
                <w:rFonts w:cs="Arial"/>
              </w:rPr>
              <w:t xml:space="preserve"> was developed to support waterway health by preventing the discharge of odorous, arsenic-rich groundwater in Bendigo’s central business and key tourism precinct. The project also supports economic development and tourism.</w:t>
            </w:r>
          </w:p>
          <w:p w14:paraId="5EAB7712" w14:textId="77777777" w:rsidR="00B242C3" w:rsidRPr="003272C7" w:rsidRDefault="00B242C3" w:rsidP="00E85AD2">
            <w:pPr>
              <w:pStyle w:val="TableText"/>
              <w:rPr>
                <w:rFonts w:cs="Arial"/>
              </w:rPr>
            </w:pPr>
            <w:r w:rsidRPr="003272C7">
              <w:rPr>
                <w:rFonts w:cs="Arial"/>
              </w:rPr>
              <w:t>Due to the immediate need to act to prevent groundwater recovering and discharging at the surface, the project had two work streams:</w:t>
            </w:r>
          </w:p>
          <w:p w14:paraId="7303D53D" w14:textId="7EF2D649" w:rsidR="00B242C3" w:rsidRPr="003272C7" w:rsidRDefault="00B242C3" w:rsidP="00E85AD2">
            <w:pPr>
              <w:pStyle w:val="TableNumber3"/>
              <w:ind w:left="644"/>
              <w:rPr>
                <w:rFonts w:cs="Arial"/>
              </w:rPr>
            </w:pPr>
            <w:r w:rsidRPr="003272C7">
              <w:rPr>
                <w:rFonts w:cs="Arial"/>
              </w:rPr>
              <w:t>Immediate actions to prevent groundwater recovery and discharge</w:t>
            </w:r>
            <w:r w:rsidR="00524281" w:rsidRPr="003272C7">
              <w:rPr>
                <w:rFonts w:cs="Arial"/>
              </w:rPr>
              <w:t>.</w:t>
            </w:r>
          </w:p>
          <w:p w14:paraId="75186DFB" w14:textId="48A42BED" w:rsidR="00B242C3" w:rsidRPr="003272C7" w:rsidRDefault="00B242C3" w:rsidP="00E85AD2">
            <w:pPr>
              <w:pStyle w:val="TableNumber3"/>
              <w:ind w:left="644"/>
              <w:rPr>
                <w:rFonts w:cs="Arial"/>
              </w:rPr>
            </w:pPr>
            <w:r w:rsidRPr="003272C7">
              <w:rPr>
                <w:rFonts w:cs="Arial"/>
              </w:rPr>
              <w:t>Investigate the underlying cause and develop a long-term management approach.</w:t>
            </w:r>
          </w:p>
          <w:p w14:paraId="13A12FD7" w14:textId="77777777" w:rsidR="00142559" w:rsidRPr="003272C7" w:rsidRDefault="00B242C3" w:rsidP="00E85AD2">
            <w:pPr>
              <w:pStyle w:val="TableText"/>
              <w:rPr>
                <w:rFonts w:cs="Arial"/>
              </w:rPr>
            </w:pPr>
            <w:r w:rsidRPr="003272C7">
              <w:rPr>
                <w:rFonts w:cs="Arial"/>
              </w:rPr>
              <w:t>The immediate response was to implement a pumping and management system for the groundwater which was followed by interim solution which included construction of a treatment system to remove arsenic, sulphides, metals and salt. This management approach met the broader goal of safeguarding Bendigo’s urban waterways and amenity from mine-impacted groundwater discharge.</w:t>
            </w:r>
          </w:p>
          <w:p w14:paraId="4C1FBDF4" w14:textId="20FC8C5B" w:rsidR="00B242C3" w:rsidRPr="003272C7" w:rsidRDefault="00B242C3" w:rsidP="00E85AD2">
            <w:pPr>
              <w:pStyle w:val="TableText"/>
              <w:rPr>
                <w:rFonts w:cs="Arial"/>
              </w:rPr>
            </w:pPr>
            <w:r w:rsidRPr="003272C7">
              <w:rPr>
                <w:rFonts w:cs="Arial"/>
              </w:rPr>
              <w:t xml:space="preserve">The second stream of work was to conduct rigorous investigations to better understand the cause of the contamination and then determine options for long-term management. These investigations have improved the understanding of drivers behind the </w:t>
            </w:r>
            <w:r w:rsidR="00524281" w:rsidRPr="003272C7">
              <w:rPr>
                <w:rFonts w:cs="Arial"/>
              </w:rPr>
              <w:t>poor-quality</w:t>
            </w:r>
            <w:r w:rsidRPr="003272C7">
              <w:rPr>
                <w:rFonts w:cs="Arial"/>
              </w:rPr>
              <w:t xml:space="preserve"> water, the need for perpetual intervention and water treatment and the best ways to manage the groundwater into the future.</w:t>
            </w:r>
          </w:p>
        </w:tc>
      </w:tr>
      <w:tr w:rsidR="00B242C3" w:rsidRPr="003272C7" w14:paraId="3988EA71" w14:textId="77777777" w:rsidTr="00437A2B">
        <w:trPr>
          <w:trHeight w:val="259"/>
        </w:trPr>
        <w:tc>
          <w:tcPr>
            <w:tcW w:w="979" w:type="pct"/>
            <w:shd w:val="clear" w:color="auto" w:fill="231EDC" w:themeFill="accent1"/>
          </w:tcPr>
          <w:p w14:paraId="06ADD998" w14:textId="77777777" w:rsidR="00B242C3" w:rsidRPr="003272C7" w:rsidRDefault="00B242C3" w:rsidP="00E85AD2">
            <w:pPr>
              <w:pStyle w:val="TableText"/>
              <w:rPr>
                <w:rFonts w:cs="Arial"/>
                <w:b/>
                <w:bCs/>
              </w:rPr>
            </w:pPr>
            <w:r w:rsidRPr="003272C7">
              <w:rPr>
                <w:rFonts w:cs="Arial"/>
                <w:b/>
                <w:bCs/>
              </w:rPr>
              <w:t>Outputs</w:t>
            </w:r>
          </w:p>
        </w:tc>
        <w:tc>
          <w:tcPr>
            <w:tcW w:w="4021" w:type="pct"/>
          </w:tcPr>
          <w:p w14:paraId="568154F0" w14:textId="77777777" w:rsidR="00B242C3" w:rsidRPr="003272C7" w:rsidRDefault="00B242C3" w:rsidP="00E85AD2">
            <w:pPr>
              <w:pStyle w:val="TableText"/>
              <w:rPr>
                <w:rFonts w:cs="Arial"/>
              </w:rPr>
            </w:pPr>
            <w:r w:rsidRPr="003272C7">
              <w:rPr>
                <w:rFonts w:cs="Arial"/>
              </w:rPr>
              <w:t>The initial EC5 investment was allocated to the following activities:</w:t>
            </w:r>
          </w:p>
          <w:p w14:paraId="3AA46849" w14:textId="50B505FB" w:rsidR="00B242C3" w:rsidRPr="003272C7" w:rsidRDefault="00524281" w:rsidP="00E85AD2">
            <w:pPr>
              <w:pStyle w:val="TableBullet"/>
              <w:rPr>
                <w:rFonts w:cs="Arial"/>
              </w:rPr>
            </w:pPr>
            <w:r w:rsidRPr="003272C7">
              <w:rPr>
                <w:rFonts w:cs="Arial"/>
              </w:rPr>
              <w:t>A</w:t>
            </w:r>
            <w:r w:rsidR="00B242C3" w:rsidRPr="003272C7">
              <w:rPr>
                <w:rFonts w:cs="Arial"/>
              </w:rPr>
              <w:t>n additional year of groundwater treatment by Coliban at the New Moon site ($3 million)</w:t>
            </w:r>
            <w:r w:rsidRPr="003272C7">
              <w:rPr>
                <w:rFonts w:cs="Arial"/>
              </w:rPr>
              <w:t>.</w:t>
            </w:r>
          </w:p>
          <w:p w14:paraId="50417DFA" w14:textId="37D08080" w:rsidR="00B242C3" w:rsidRPr="003272C7" w:rsidRDefault="00524281" w:rsidP="00E85AD2">
            <w:pPr>
              <w:pStyle w:val="TableBullet"/>
              <w:rPr>
                <w:rFonts w:cs="Arial"/>
              </w:rPr>
            </w:pPr>
            <w:r w:rsidRPr="003272C7">
              <w:rPr>
                <w:rFonts w:cs="Arial"/>
              </w:rPr>
              <w:t>P</w:t>
            </w:r>
            <w:r w:rsidR="00B242C3" w:rsidRPr="003272C7">
              <w:rPr>
                <w:rFonts w:cs="Arial"/>
              </w:rPr>
              <w:t>roject management, studies into groundwater impacts and engagement with the community and Traditional Owners ($0.5 million).</w:t>
            </w:r>
          </w:p>
          <w:p w14:paraId="3B877D63" w14:textId="77777777" w:rsidR="00142559" w:rsidRPr="003272C7" w:rsidRDefault="00B242C3" w:rsidP="00E85AD2">
            <w:pPr>
              <w:pStyle w:val="TableText"/>
              <w:rPr>
                <w:rFonts w:cs="Arial"/>
              </w:rPr>
            </w:pPr>
            <w:r w:rsidRPr="003272C7">
              <w:rPr>
                <w:rFonts w:cs="Arial"/>
              </w:rPr>
              <w:t>The subsequent EC5 investment granted in May 2021 was for delivery of a sustainable solution for groundwater management issues resulting from Bendigo’s historic mine workings and its impact on Central Bendigo and the Bendigo Creek.  The </w:t>
            </w:r>
            <w:r w:rsidR="00445736" w:rsidRPr="003272C7">
              <w:rPr>
                <w:rFonts w:cs="Arial"/>
              </w:rPr>
              <w:t>project</w:t>
            </w:r>
            <w:r w:rsidRPr="003272C7">
              <w:rPr>
                <w:rFonts w:cs="Arial"/>
              </w:rPr>
              <w:t xml:space="preserve"> sought to address the impacts of historical mining in and around central Bendigo by undertaking works to: </w:t>
            </w:r>
          </w:p>
          <w:p w14:paraId="1631E0DA" w14:textId="63367731" w:rsidR="00B242C3" w:rsidRPr="003272C7" w:rsidRDefault="00524281" w:rsidP="00E85AD2">
            <w:pPr>
              <w:pStyle w:val="TableBullet"/>
              <w:rPr>
                <w:rFonts w:cs="Arial"/>
              </w:rPr>
            </w:pPr>
            <w:r w:rsidRPr="003272C7">
              <w:rPr>
                <w:rFonts w:cs="Arial"/>
              </w:rPr>
              <w:t>D</w:t>
            </w:r>
            <w:r w:rsidR="00B242C3" w:rsidRPr="003272C7">
              <w:rPr>
                <w:rFonts w:cs="Arial"/>
              </w:rPr>
              <w:t>evelop a community agreed long-term solution</w:t>
            </w:r>
            <w:r w:rsidRPr="003272C7">
              <w:rPr>
                <w:rFonts w:cs="Arial"/>
              </w:rPr>
              <w:t>.</w:t>
            </w:r>
          </w:p>
          <w:p w14:paraId="128BC053" w14:textId="2B4EBC2E" w:rsidR="00B242C3" w:rsidRPr="003272C7" w:rsidRDefault="00524281" w:rsidP="00E85AD2">
            <w:pPr>
              <w:pStyle w:val="TableBullet"/>
              <w:rPr>
                <w:rFonts w:cs="Arial"/>
              </w:rPr>
            </w:pPr>
            <w:r w:rsidRPr="003272C7">
              <w:rPr>
                <w:rFonts w:cs="Arial"/>
              </w:rPr>
              <w:t>M</w:t>
            </w:r>
            <w:r w:rsidR="00B242C3" w:rsidRPr="003272C7">
              <w:rPr>
                <w:rFonts w:cs="Arial"/>
              </w:rPr>
              <w:t>aintain government’s commitment to continue with the current management arrangement which allows for the historic Central Deborah Gold Mine tourist attraction to continue to operate into 2022-23 while a long-term solution is being implemented.</w:t>
            </w:r>
          </w:p>
          <w:p w14:paraId="165DDB50" w14:textId="77777777" w:rsidR="00B242C3" w:rsidRPr="003272C7" w:rsidRDefault="00B242C3" w:rsidP="00E85AD2">
            <w:pPr>
              <w:pStyle w:val="TableText"/>
              <w:rPr>
                <w:rFonts w:cs="Arial"/>
              </w:rPr>
            </w:pPr>
            <w:r w:rsidRPr="003272C7">
              <w:rPr>
                <w:rFonts w:cs="Arial"/>
              </w:rPr>
              <w:t>Development of the long-term solution had the following components to ensure successful completion:</w:t>
            </w:r>
          </w:p>
          <w:p w14:paraId="29B35784" w14:textId="3EFFE527" w:rsidR="00B242C3" w:rsidRPr="003272C7" w:rsidRDefault="00524281" w:rsidP="00E85AD2">
            <w:pPr>
              <w:pStyle w:val="TableBullet"/>
              <w:rPr>
                <w:rFonts w:cs="Arial"/>
              </w:rPr>
            </w:pPr>
            <w:r w:rsidRPr="003272C7">
              <w:rPr>
                <w:rFonts w:cs="Arial"/>
              </w:rPr>
              <w:t>B</w:t>
            </w:r>
            <w:r w:rsidR="00B242C3" w:rsidRPr="003272C7">
              <w:rPr>
                <w:rFonts w:cs="Arial"/>
              </w:rPr>
              <w:t>usiness case development and community engagement</w:t>
            </w:r>
            <w:r w:rsidRPr="003272C7">
              <w:rPr>
                <w:rFonts w:cs="Arial"/>
              </w:rPr>
              <w:t>.</w:t>
            </w:r>
          </w:p>
          <w:p w14:paraId="6031396B" w14:textId="739348AA" w:rsidR="00B242C3" w:rsidRPr="003272C7" w:rsidRDefault="00524281" w:rsidP="00E85AD2">
            <w:pPr>
              <w:pStyle w:val="TableBullet"/>
              <w:rPr>
                <w:rFonts w:cs="Arial"/>
              </w:rPr>
            </w:pPr>
            <w:r w:rsidRPr="003272C7">
              <w:rPr>
                <w:rFonts w:cs="Arial"/>
              </w:rPr>
              <w:t>E</w:t>
            </w:r>
            <w:r w:rsidR="00B242C3" w:rsidRPr="003272C7">
              <w:rPr>
                <w:rFonts w:cs="Arial"/>
              </w:rPr>
              <w:t>ngineering feasibility and design</w:t>
            </w:r>
            <w:r w:rsidRPr="003272C7">
              <w:rPr>
                <w:rFonts w:cs="Arial"/>
              </w:rPr>
              <w:t>.</w:t>
            </w:r>
          </w:p>
          <w:p w14:paraId="5B74AF3C" w14:textId="60E76C5F" w:rsidR="00B242C3" w:rsidRPr="003272C7" w:rsidRDefault="00524281" w:rsidP="00C16358">
            <w:pPr>
              <w:pStyle w:val="TableBullet"/>
              <w:keepNext/>
              <w:keepLines/>
              <w:ind w:left="288" w:hanging="288"/>
              <w:rPr>
                <w:rFonts w:cs="Arial"/>
              </w:rPr>
            </w:pPr>
            <w:r w:rsidRPr="003272C7">
              <w:rPr>
                <w:rFonts w:cs="Arial"/>
              </w:rPr>
              <w:lastRenderedPageBreak/>
              <w:t>E</w:t>
            </w:r>
            <w:r w:rsidR="00B242C3" w:rsidRPr="003272C7">
              <w:rPr>
                <w:rFonts w:cs="Arial"/>
              </w:rPr>
              <w:t>nvironmental assessments and approvals</w:t>
            </w:r>
            <w:r w:rsidRPr="003272C7">
              <w:rPr>
                <w:rFonts w:cs="Arial"/>
              </w:rPr>
              <w:t>.</w:t>
            </w:r>
          </w:p>
          <w:p w14:paraId="26738A2F" w14:textId="65697E54" w:rsidR="00B242C3" w:rsidRPr="003272C7" w:rsidRDefault="00B242C3" w:rsidP="00C16358">
            <w:pPr>
              <w:pStyle w:val="TableBullet"/>
              <w:keepNext/>
              <w:keepLines/>
              <w:ind w:left="288" w:hanging="288"/>
              <w:rPr>
                <w:rFonts w:cs="Arial"/>
              </w:rPr>
            </w:pPr>
            <w:r w:rsidRPr="003272C7">
              <w:rPr>
                <w:rFonts w:cs="Arial"/>
              </w:rPr>
              <w:t>DEECA project management.</w:t>
            </w:r>
          </w:p>
        </w:tc>
      </w:tr>
      <w:tr w:rsidR="00B242C3" w:rsidRPr="003272C7" w14:paraId="36968E26" w14:textId="77777777" w:rsidTr="0063012E">
        <w:trPr>
          <w:trHeight w:val="259"/>
        </w:trPr>
        <w:tc>
          <w:tcPr>
            <w:tcW w:w="5000" w:type="pct"/>
            <w:gridSpan w:val="2"/>
            <w:shd w:val="clear" w:color="auto" w:fill="231EDC" w:themeFill="accent1"/>
          </w:tcPr>
          <w:p w14:paraId="5496C1D3" w14:textId="77777777" w:rsidR="00B242C3" w:rsidRPr="003272C7" w:rsidRDefault="00B242C3" w:rsidP="00E85AD2">
            <w:pPr>
              <w:pStyle w:val="TableText"/>
              <w:rPr>
                <w:rFonts w:cs="Arial"/>
                <w:b/>
                <w:bCs/>
              </w:rPr>
            </w:pPr>
            <w:r w:rsidRPr="003272C7">
              <w:rPr>
                <w:rFonts w:cs="Arial"/>
                <w:b/>
                <w:bCs/>
              </w:rPr>
              <w:lastRenderedPageBreak/>
              <w:t>Summary against evaluation domains</w:t>
            </w:r>
          </w:p>
        </w:tc>
      </w:tr>
      <w:tr w:rsidR="00B242C3" w:rsidRPr="003272C7" w14:paraId="5F0B45D2" w14:textId="77777777" w:rsidTr="00437A2B">
        <w:trPr>
          <w:trHeight w:val="259"/>
        </w:trPr>
        <w:tc>
          <w:tcPr>
            <w:tcW w:w="979" w:type="pct"/>
            <w:shd w:val="clear" w:color="auto" w:fill="231EDC" w:themeFill="accent1"/>
          </w:tcPr>
          <w:p w14:paraId="48D8211E" w14:textId="77777777" w:rsidR="00B242C3" w:rsidRPr="003272C7" w:rsidRDefault="00B242C3" w:rsidP="00E85AD2">
            <w:pPr>
              <w:pStyle w:val="TableText"/>
              <w:rPr>
                <w:rFonts w:cs="Arial"/>
                <w:b/>
                <w:bCs/>
              </w:rPr>
            </w:pPr>
            <w:r w:rsidRPr="003272C7">
              <w:rPr>
                <w:rFonts w:cs="Arial"/>
                <w:b/>
                <w:bCs/>
              </w:rPr>
              <w:t>Impact</w:t>
            </w:r>
          </w:p>
        </w:tc>
        <w:tc>
          <w:tcPr>
            <w:tcW w:w="4021" w:type="pct"/>
          </w:tcPr>
          <w:p w14:paraId="267B6985" w14:textId="6CBD73D7" w:rsidR="00B242C3" w:rsidRPr="003272C7" w:rsidRDefault="00B242C3" w:rsidP="00E85AD2">
            <w:pPr>
              <w:pStyle w:val="TableBullet"/>
              <w:rPr>
                <w:rFonts w:cs="Arial"/>
              </w:rPr>
            </w:pPr>
            <w:r w:rsidRPr="003272C7">
              <w:rPr>
                <w:rFonts w:cs="Arial"/>
                <w:b/>
                <w:bCs/>
              </w:rPr>
              <w:t xml:space="preserve">Prevention of mine-impacted groundwater discharges from areas controlled by </w:t>
            </w:r>
            <w:r w:rsidR="00524281" w:rsidRPr="003272C7">
              <w:rPr>
                <w:rFonts w:cs="Arial"/>
                <w:b/>
                <w:bCs/>
              </w:rPr>
              <w:t>i</w:t>
            </w:r>
            <w:r w:rsidRPr="003272C7">
              <w:rPr>
                <w:rFonts w:cs="Arial"/>
                <w:b/>
                <w:bCs/>
              </w:rPr>
              <w:t xml:space="preserve">nterim </w:t>
            </w:r>
            <w:r w:rsidR="00524281" w:rsidRPr="003272C7">
              <w:rPr>
                <w:rFonts w:cs="Arial"/>
                <w:b/>
                <w:bCs/>
              </w:rPr>
              <w:t>s</w:t>
            </w:r>
            <w:r w:rsidRPr="003272C7">
              <w:rPr>
                <w:rFonts w:cs="Arial"/>
                <w:b/>
                <w:bCs/>
              </w:rPr>
              <w:t>olution:</w:t>
            </w:r>
            <w:r w:rsidRPr="003272C7">
              <w:rPr>
                <w:rFonts w:cs="Arial"/>
              </w:rPr>
              <w:t xml:space="preserve"> Interim management solution has met operational requirements treating 1,073 ML of water over the period. Water has been used for either dust suppression or release to the Bendigo Creek. Water treatment has met standards and release criteria. No uncontrolled discharges have occurred from the managed zone.</w:t>
            </w:r>
          </w:p>
          <w:p w14:paraId="082C2BAA" w14:textId="77777777" w:rsidR="00142559" w:rsidRPr="003272C7" w:rsidRDefault="00241F4B" w:rsidP="00E85AD2">
            <w:pPr>
              <w:pStyle w:val="TableBullet"/>
              <w:rPr>
                <w:rFonts w:cs="Arial"/>
              </w:rPr>
            </w:pPr>
            <w:r w:rsidRPr="003272C7">
              <w:rPr>
                <w:rFonts w:cs="Arial"/>
                <w:b/>
                <w:bCs/>
              </w:rPr>
              <w:t>Stakeholder engagement:</w:t>
            </w:r>
            <w:r w:rsidRPr="003272C7">
              <w:rPr>
                <w:rFonts w:cs="Arial"/>
              </w:rPr>
              <w:t xml:space="preserve"> Stakeholders have remained involved and engaged in the project since the representative group was established in 2015.</w:t>
            </w:r>
            <w:r w:rsidR="00142559" w:rsidRPr="003272C7">
              <w:rPr>
                <w:rFonts w:cs="Arial"/>
              </w:rPr>
              <w:t xml:space="preserve"> </w:t>
            </w:r>
            <w:r w:rsidRPr="003272C7">
              <w:rPr>
                <w:rFonts w:cs="Arial"/>
              </w:rPr>
              <w:t>An independent chair guided the group and promoted honest and open discussions.</w:t>
            </w:r>
            <w:r w:rsidR="00142559" w:rsidRPr="003272C7">
              <w:rPr>
                <w:rFonts w:cs="Arial"/>
              </w:rPr>
              <w:t xml:space="preserve"> </w:t>
            </w:r>
            <w:r w:rsidRPr="003272C7">
              <w:rPr>
                <w:rFonts w:cs="Arial"/>
              </w:rPr>
              <w:t xml:space="preserve">Traditional Owners Dja Dja Wurrung Aboriginal Corporation </w:t>
            </w:r>
            <w:r w:rsidR="00524281" w:rsidRPr="003272C7">
              <w:rPr>
                <w:rFonts w:cs="Arial"/>
              </w:rPr>
              <w:t>Chief-Executive Officer</w:t>
            </w:r>
            <w:r w:rsidRPr="003272C7">
              <w:rPr>
                <w:rFonts w:cs="Arial"/>
              </w:rPr>
              <w:t xml:space="preserve"> joined the group in 2020</w:t>
            </w:r>
            <w:r w:rsidR="00524281" w:rsidRPr="003272C7">
              <w:rPr>
                <w:rFonts w:cs="Arial"/>
              </w:rPr>
              <w:t>-</w:t>
            </w:r>
            <w:r w:rsidRPr="003272C7">
              <w:rPr>
                <w:rFonts w:cs="Arial"/>
              </w:rPr>
              <w:t xml:space="preserve">21 and this involvement was pivotal for the project, ensuring that project aligned with </w:t>
            </w:r>
            <w:r w:rsidR="00524281" w:rsidRPr="003272C7">
              <w:rPr>
                <w:rFonts w:cs="Arial"/>
              </w:rPr>
              <w:t>Traditional Owner</w:t>
            </w:r>
            <w:r w:rsidRPr="003272C7">
              <w:rPr>
                <w:rFonts w:cs="Arial"/>
              </w:rPr>
              <w:t xml:space="preserve"> ambitions to “Heal Country” and improve waterways.</w:t>
            </w:r>
          </w:p>
          <w:p w14:paraId="678BE330" w14:textId="6021B511" w:rsidR="00B242C3" w:rsidRPr="003272C7" w:rsidRDefault="00B242C3" w:rsidP="00E85AD2">
            <w:pPr>
              <w:pStyle w:val="TableBullet"/>
              <w:rPr>
                <w:rFonts w:cs="Arial"/>
              </w:rPr>
            </w:pPr>
            <w:r w:rsidRPr="003272C7">
              <w:rPr>
                <w:rFonts w:cs="Arial"/>
                <w:b/>
                <w:bCs/>
              </w:rPr>
              <w:t>Central Deborah Gold Mine been able to offer underground tours:</w:t>
            </w:r>
            <w:r w:rsidRPr="003272C7">
              <w:rPr>
                <w:rFonts w:cs="Arial"/>
              </w:rPr>
              <w:t xml:space="preserve"> Underground tours have been conducted continuously since 2020 during the planning and preliminary design phase. Construction is expected to commence in 2024</w:t>
            </w:r>
            <w:r w:rsidR="00524281" w:rsidRPr="003272C7">
              <w:rPr>
                <w:rFonts w:cs="Arial"/>
              </w:rPr>
              <w:t>-</w:t>
            </w:r>
            <w:r w:rsidRPr="003272C7">
              <w:rPr>
                <w:rFonts w:cs="Arial"/>
              </w:rPr>
              <w:t xml:space="preserve">25 and this </w:t>
            </w:r>
            <w:r w:rsidR="00524281" w:rsidRPr="003272C7">
              <w:rPr>
                <w:rFonts w:cs="Arial"/>
              </w:rPr>
              <w:t>key evaluation question</w:t>
            </w:r>
            <w:r w:rsidRPr="003272C7">
              <w:rPr>
                <w:rFonts w:cs="Arial"/>
              </w:rPr>
              <w:t xml:space="preserve"> will remain in force until construction is completed.</w:t>
            </w:r>
          </w:p>
          <w:p w14:paraId="7C979A66" w14:textId="091A72D5" w:rsidR="00B242C3" w:rsidRPr="003272C7" w:rsidRDefault="00B242C3" w:rsidP="00E85AD2">
            <w:pPr>
              <w:pStyle w:val="TableBullet"/>
              <w:rPr>
                <w:rFonts w:cs="Arial"/>
              </w:rPr>
            </w:pPr>
            <w:r w:rsidRPr="003272C7">
              <w:rPr>
                <w:rFonts w:cs="Arial"/>
                <w:b/>
                <w:bCs/>
              </w:rPr>
              <w:t>Long-term management options:</w:t>
            </w:r>
            <w:r w:rsidRPr="003272C7">
              <w:rPr>
                <w:rFonts w:cs="Arial"/>
              </w:rPr>
              <w:t xml:space="preserve"> Investigations and stakeholder engagement have resulted in the selection of a long-term management solution for the issue. The work conducted by Jacobs was utilised in the preparation of a budget bid that was submitted in December 2021. In May 2022, the Victorian </w:t>
            </w:r>
            <w:r w:rsidR="00524281" w:rsidRPr="003272C7">
              <w:rPr>
                <w:rFonts w:cs="Arial"/>
              </w:rPr>
              <w:t>G</w:t>
            </w:r>
            <w:r w:rsidRPr="003272C7">
              <w:rPr>
                <w:rFonts w:cs="Arial"/>
              </w:rPr>
              <w:t xml:space="preserve">overnment announced $51.8 million in funding </w:t>
            </w:r>
            <w:r w:rsidR="005A0A50" w:rsidRPr="003272C7">
              <w:rPr>
                <w:rFonts w:cs="Arial"/>
              </w:rPr>
              <w:t xml:space="preserve">from appropriations </w:t>
            </w:r>
            <w:r w:rsidRPr="003272C7">
              <w:rPr>
                <w:rFonts w:cs="Arial"/>
              </w:rPr>
              <w:t xml:space="preserve">for the design and construction of the long-term management approach. The long-term solution is to be implemented </w:t>
            </w:r>
            <w:r w:rsidR="005A0A50" w:rsidRPr="003272C7">
              <w:rPr>
                <w:rFonts w:cs="Arial"/>
              </w:rPr>
              <w:t>by mid-2026.</w:t>
            </w:r>
          </w:p>
        </w:tc>
      </w:tr>
      <w:tr w:rsidR="00B242C3" w:rsidRPr="003272C7" w14:paraId="381F207B" w14:textId="77777777" w:rsidTr="00437A2B">
        <w:trPr>
          <w:trHeight w:val="259"/>
        </w:trPr>
        <w:tc>
          <w:tcPr>
            <w:tcW w:w="979" w:type="pct"/>
            <w:shd w:val="clear" w:color="auto" w:fill="231EDC" w:themeFill="accent1"/>
          </w:tcPr>
          <w:p w14:paraId="4E82726A" w14:textId="77777777" w:rsidR="00B242C3" w:rsidRPr="003272C7" w:rsidRDefault="00B242C3" w:rsidP="00E85AD2">
            <w:pPr>
              <w:pStyle w:val="TableText"/>
              <w:rPr>
                <w:rFonts w:cs="Arial"/>
                <w:b/>
                <w:bCs/>
              </w:rPr>
            </w:pPr>
            <w:r w:rsidRPr="003272C7">
              <w:rPr>
                <w:rFonts w:cs="Arial"/>
                <w:b/>
                <w:bCs/>
              </w:rPr>
              <w:t>Effectiveness</w:t>
            </w:r>
          </w:p>
        </w:tc>
        <w:tc>
          <w:tcPr>
            <w:tcW w:w="4021" w:type="pct"/>
          </w:tcPr>
          <w:p w14:paraId="7D6C2046" w14:textId="77777777" w:rsidR="00B242C3" w:rsidRPr="003272C7" w:rsidRDefault="00B242C3" w:rsidP="00E85AD2">
            <w:pPr>
              <w:pStyle w:val="TableText"/>
              <w:rPr>
                <w:rFonts w:cs="Arial"/>
              </w:rPr>
            </w:pPr>
          </w:p>
        </w:tc>
      </w:tr>
      <w:tr w:rsidR="00B242C3" w:rsidRPr="003272C7" w14:paraId="37D821CC" w14:textId="77777777" w:rsidTr="00437A2B">
        <w:trPr>
          <w:trHeight w:val="259"/>
        </w:trPr>
        <w:tc>
          <w:tcPr>
            <w:tcW w:w="979" w:type="pct"/>
            <w:shd w:val="clear" w:color="auto" w:fill="231EDC" w:themeFill="accent1"/>
          </w:tcPr>
          <w:p w14:paraId="1D2DDCB0" w14:textId="77777777" w:rsidR="00B242C3" w:rsidRPr="003272C7" w:rsidRDefault="00B242C3" w:rsidP="00E85AD2">
            <w:pPr>
              <w:pStyle w:val="TableText"/>
              <w:rPr>
                <w:rFonts w:cs="Arial"/>
                <w:b/>
                <w:bCs/>
              </w:rPr>
            </w:pPr>
            <w:r w:rsidRPr="003272C7">
              <w:rPr>
                <w:rFonts w:cs="Arial"/>
                <w:b/>
                <w:bCs/>
              </w:rPr>
              <w:t>Appropriateness</w:t>
            </w:r>
          </w:p>
        </w:tc>
        <w:tc>
          <w:tcPr>
            <w:tcW w:w="4021" w:type="pct"/>
          </w:tcPr>
          <w:p w14:paraId="6D86EDD7" w14:textId="77777777" w:rsidR="00142559" w:rsidRPr="003272C7" w:rsidRDefault="00B242C3" w:rsidP="00E85AD2">
            <w:pPr>
              <w:pStyle w:val="TableText"/>
              <w:rPr>
                <w:rFonts w:cs="Arial"/>
              </w:rPr>
            </w:pPr>
            <w:r w:rsidRPr="003272C7">
              <w:rPr>
                <w:rFonts w:cs="Arial"/>
              </w:rPr>
              <w:t xml:space="preserve">The Victorian Government has been committed to the project since 2013, when the Premier tasked DEECA through the Minister for Water (then </w:t>
            </w:r>
            <w:r w:rsidR="00C97EFB" w:rsidRPr="003272C7">
              <w:rPr>
                <w:rFonts w:cs="Arial"/>
              </w:rPr>
              <w:t>Department of Environment and Primary Industries</w:t>
            </w:r>
            <w:r w:rsidRPr="003272C7">
              <w:rPr>
                <w:rFonts w:cs="Arial"/>
              </w:rPr>
              <w:t xml:space="preserve">, </w:t>
            </w:r>
            <w:r w:rsidR="00C97EFB" w:rsidRPr="003272C7">
              <w:rPr>
                <w:rFonts w:cs="Arial"/>
              </w:rPr>
              <w:t xml:space="preserve">followed by DELWP, now </w:t>
            </w:r>
            <w:r w:rsidRPr="003272C7">
              <w:rPr>
                <w:rFonts w:cs="Arial"/>
              </w:rPr>
              <w:t>D</w:t>
            </w:r>
            <w:r w:rsidR="00C97EFB" w:rsidRPr="003272C7">
              <w:rPr>
                <w:rFonts w:cs="Arial"/>
              </w:rPr>
              <w:t>EECA</w:t>
            </w:r>
            <w:r w:rsidRPr="003272C7">
              <w:rPr>
                <w:rFonts w:cs="Arial"/>
              </w:rPr>
              <w:t>) with leading the Victorian Government’s response to the issue of groundwater recovering in mine workings beneath urban Bendigo.</w:t>
            </w:r>
          </w:p>
          <w:p w14:paraId="45A13547" w14:textId="77777777" w:rsidR="00142559" w:rsidRPr="003272C7" w:rsidRDefault="00B242C3" w:rsidP="00E85AD2">
            <w:pPr>
              <w:pStyle w:val="TableText"/>
              <w:rPr>
                <w:rFonts w:cs="Arial"/>
              </w:rPr>
            </w:pPr>
            <w:r w:rsidRPr="003272C7">
              <w:rPr>
                <w:rFonts w:cs="Arial"/>
              </w:rPr>
              <w:t>The groundwater project has had an ongoing Victorian Government commitment since 2013 in various budget announcements and media releases. In August 2020, the Minister for Water committed to continuing the current interim arrangements into 2021-22 and 2022-23 if required. This commitment came in response to concerns raised by Local Member Minister Jacinta Allan on behalf of Bendigo Heritage Attractions who faced uncertainty over the future of the Central Deborah Gold Mine tourist attraction.</w:t>
            </w:r>
          </w:p>
          <w:p w14:paraId="2B13F62F" w14:textId="79657E0A" w:rsidR="00B242C3" w:rsidRPr="003272C7" w:rsidRDefault="00B242C3" w:rsidP="00E85AD2">
            <w:pPr>
              <w:pStyle w:val="TableText"/>
              <w:rPr>
                <w:rFonts w:cs="Arial"/>
              </w:rPr>
            </w:pPr>
            <w:r w:rsidRPr="003272C7">
              <w:rPr>
                <w:rFonts w:cs="Arial"/>
              </w:rPr>
              <w:t>Following investigations into the causes of poor-quality groundwater underneath central Bendigo, the problem has been recognised as a consequence of mining activity and future funding will therefore be sought from alternative budgets (</w:t>
            </w:r>
            <w:r w:rsidR="00C97EFB" w:rsidRPr="003272C7">
              <w:rPr>
                <w:rFonts w:cs="Arial"/>
              </w:rPr>
              <w:t>non-EC</w:t>
            </w:r>
            <w:r w:rsidRPr="003272C7">
              <w:rPr>
                <w:rFonts w:cs="Arial"/>
              </w:rPr>
              <w:t>). The project will continue to support waterway health by providing a sustainable source of clean water to the Bendigo Creek and preventing new unmanaged discharges of arsenic and heavy metals.</w:t>
            </w:r>
          </w:p>
        </w:tc>
      </w:tr>
      <w:tr w:rsidR="00B242C3" w:rsidRPr="003272C7" w14:paraId="01A0A6ED" w14:textId="77777777" w:rsidTr="00437A2B">
        <w:trPr>
          <w:trHeight w:val="259"/>
        </w:trPr>
        <w:tc>
          <w:tcPr>
            <w:tcW w:w="979" w:type="pct"/>
            <w:shd w:val="clear" w:color="auto" w:fill="231EDC" w:themeFill="accent1"/>
          </w:tcPr>
          <w:p w14:paraId="799555D7" w14:textId="77777777" w:rsidR="00B242C3" w:rsidRPr="003272C7" w:rsidRDefault="00B242C3" w:rsidP="00E85AD2">
            <w:pPr>
              <w:pStyle w:val="TableText"/>
              <w:rPr>
                <w:rFonts w:cs="Arial"/>
                <w:b/>
                <w:bCs/>
              </w:rPr>
            </w:pPr>
            <w:r w:rsidRPr="003272C7">
              <w:rPr>
                <w:rFonts w:cs="Arial"/>
                <w:b/>
                <w:bCs/>
              </w:rPr>
              <w:t>Efficiency</w:t>
            </w:r>
          </w:p>
        </w:tc>
        <w:tc>
          <w:tcPr>
            <w:tcW w:w="4021" w:type="pct"/>
          </w:tcPr>
          <w:p w14:paraId="710B04ED" w14:textId="15C67C66" w:rsidR="00B242C3" w:rsidRPr="003272C7" w:rsidRDefault="00B242C3" w:rsidP="00E85AD2">
            <w:pPr>
              <w:pStyle w:val="TableBullet"/>
              <w:rPr>
                <w:rFonts w:cs="Arial"/>
              </w:rPr>
            </w:pPr>
            <w:r w:rsidRPr="003272C7">
              <w:rPr>
                <w:rFonts w:cs="Arial"/>
              </w:rPr>
              <w:t xml:space="preserve">Governance arrangements for the project have been effective, with the project delivering within expected timeframes and budgets. The project is overseen by a Project Control Board with representatives from </w:t>
            </w:r>
            <w:r w:rsidR="00266A88" w:rsidRPr="003272C7">
              <w:rPr>
                <w:rFonts w:cs="Arial"/>
              </w:rPr>
              <w:t xml:space="preserve">both </w:t>
            </w:r>
            <w:r w:rsidRPr="003272C7">
              <w:rPr>
                <w:rFonts w:cs="Arial"/>
              </w:rPr>
              <w:t>Resources</w:t>
            </w:r>
            <w:r w:rsidR="00C97EFB" w:rsidRPr="003272C7">
              <w:rPr>
                <w:rFonts w:cs="Arial"/>
              </w:rPr>
              <w:t>,</w:t>
            </w:r>
            <w:r w:rsidRPr="003272C7">
              <w:rPr>
                <w:rFonts w:cs="Arial"/>
              </w:rPr>
              <w:t xml:space="preserve"> and Water </w:t>
            </w:r>
            <w:r w:rsidR="00266A88" w:rsidRPr="003272C7">
              <w:rPr>
                <w:rFonts w:cs="Arial"/>
              </w:rPr>
              <w:t xml:space="preserve">and </w:t>
            </w:r>
            <w:r w:rsidRPr="003272C7">
              <w:rPr>
                <w:rFonts w:cs="Arial"/>
              </w:rPr>
              <w:t xml:space="preserve">Catchments </w:t>
            </w:r>
            <w:r w:rsidR="00C97EFB" w:rsidRPr="003272C7">
              <w:rPr>
                <w:rFonts w:cs="Arial"/>
              </w:rPr>
              <w:t>G</w:t>
            </w:r>
            <w:r w:rsidRPr="003272C7">
              <w:rPr>
                <w:rFonts w:cs="Arial"/>
              </w:rPr>
              <w:t xml:space="preserve">roup, due to the identification of groundwater quality issues </w:t>
            </w:r>
            <w:r w:rsidR="00266A88" w:rsidRPr="003272C7">
              <w:rPr>
                <w:rFonts w:cs="Arial"/>
              </w:rPr>
              <w:t>resulting from historical</w:t>
            </w:r>
            <w:r w:rsidRPr="003272C7">
              <w:rPr>
                <w:rFonts w:cs="Arial"/>
              </w:rPr>
              <w:t xml:space="preserve"> mining</w:t>
            </w:r>
            <w:r w:rsidR="00266A88" w:rsidRPr="003272C7">
              <w:rPr>
                <w:rFonts w:cs="Arial"/>
              </w:rPr>
              <w:t xml:space="preserve"> activities</w:t>
            </w:r>
            <w:r w:rsidRPr="003272C7">
              <w:rPr>
                <w:rFonts w:cs="Arial"/>
              </w:rPr>
              <w:t>.</w:t>
            </w:r>
          </w:p>
          <w:p w14:paraId="4EC8E09F" w14:textId="4A9E5CE3" w:rsidR="00B242C3" w:rsidRPr="003272C7" w:rsidRDefault="00B242C3" w:rsidP="00E85AD2">
            <w:pPr>
              <w:pStyle w:val="TableBullet"/>
              <w:rPr>
                <w:rFonts w:cs="Arial"/>
              </w:rPr>
            </w:pPr>
            <w:r w:rsidRPr="003272C7">
              <w:rPr>
                <w:rFonts w:cs="Arial"/>
              </w:rPr>
              <w:t xml:space="preserve">The project has been delivered within budget. Some reallocation of funding for project tasks has occurred in the period, allowing critical works to occur at the New Moon Treatment Plant and Central Deborah Gold Mine. </w:t>
            </w:r>
            <w:r w:rsidR="005467FE" w:rsidRPr="003272C7">
              <w:rPr>
                <w:rFonts w:cs="Arial"/>
              </w:rPr>
              <w:t>The DEECA project team</w:t>
            </w:r>
            <w:r w:rsidRPr="003272C7">
              <w:rPr>
                <w:rFonts w:cs="Arial"/>
              </w:rPr>
              <w:t xml:space="preserve"> has </w:t>
            </w:r>
            <w:r w:rsidR="005467FE" w:rsidRPr="003272C7">
              <w:rPr>
                <w:rFonts w:cs="Arial"/>
              </w:rPr>
              <w:t xml:space="preserve">comprised </w:t>
            </w:r>
            <w:r w:rsidRPr="003272C7">
              <w:rPr>
                <w:rFonts w:cs="Arial"/>
              </w:rPr>
              <w:t>between 1-3 staff over the delivery period.</w:t>
            </w:r>
          </w:p>
          <w:p w14:paraId="0B5E1C97" w14:textId="160666EA" w:rsidR="00B242C3" w:rsidRPr="003272C7" w:rsidRDefault="00B242C3" w:rsidP="00E85AD2">
            <w:pPr>
              <w:pStyle w:val="TableBullet"/>
              <w:rPr>
                <w:rFonts w:cs="Arial"/>
              </w:rPr>
            </w:pPr>
            <w:r w:rsidRPr="003272C7">
              <w:rPr>
                <w:rFonts w:cs="Arial"/>
              </w:rPr>
              <w:lastRenderedPageBreak/>
              <w:t xml:space="preserve">Delivery of the project stages within the time frames specified in the project plan: In general, the project has been delivered according to the project plan. There have been some adjustments made along the way to accommodate the longer than expected resolution of the </w:t>
            </w:r>
            <w:r w:rsidR="0035547C" w:rsidRPr="003272C7">
              <w:rPr>
                <w:rFonts w:cs="Arial"/>
              </w:rPr>
              <w:t xml:space="preserve">groundwater </w:t>
            </w:r>
            <w:r w:rsidRPr="003272C7">
              <w:rPr>
                <w:rFonts w:cs="Arial"/>
              </w:rPr>
              <w:t>licence holder issue and the approach to submitting the EPA licence application involved a lengthy negotiation of expectations.</w:t>
            </w:r>
          </w:p>
          <w:p w14:paraId="347B84C1" w14:textId="6461C585" w:rsidR="00B242C3" w:rsidRPr="003272C7" w:rsidRDefault="00B242C3" w:rsidP="00E85AD2">
            <w:pPr>
              <w:pStyle w:val="TableBullet"/>
              <w:rPr>
                <w:rFonts w:cs="Arial"/>
              </w:rPr>
            </w:pPr>
            <w:r w:rsidRPr="003272C7">
              <w:rPr>
                <w:rFonts w:cs="Arial"/>
              </w:rPr>
              <w:t xml:space="preserve">The Project Steering Committee </w:t>
            </w:r>
            <w:r w:rsidR="0035547C" w:rsidRPr="003272C7">
              <w:rPr>
                <w:rFonts w:cs="Arial"/>
              </w:rPr>
              <w:t xml:space="preserve">met </w:t>
            </w:r>
            <w:r w:rsidRPr="003272C7">
              <w:rPr>
                <w:rFonts w:cs="Arial"/>
              </w:rPr>
              <w:t xml:space="preserve">regularly </w:t>
            </w:r>
            <w:r w:rsidR="0035547C" w:rsidRPr="003272C7">
              <w:rPr>
                <w:rFonts w:cs="Arial"/>
              </w:rPr>
              <w:t>throughout the development and operation of the interim solution at the New Moon treatment plant</w:t>
            </w:r>
            <w:r w:rsidR="00C97EFB" w:rsidRPr="003272C7">
              <w:rPr>
                <w:rFonts w:cs="Arial"/>
              </w:rPr>
              <w:t>. The</w:t>
            </w:r>
            <w:r w:rsidRPr="003272C7">
              <w:rPr>
                <w:rFonts w:cs="Arial"/>
              </w:rPr>
              <w:t xml:space="preserve"> </w:t>
            </w:r>
            <w:r w:rsidR="00C97EFB" w:rsidRPr="003272C7">
              <w:rPr>
                <w:rFonts w:cs="Arial"/>
              </w:rPr>
              <w:t xml:space="preserve">Project Steering Committee </w:t>
            </w:r>
            <w:r w:rsidR="009F0110" w:rsidRPr="003272C7">
              <w:rPr>
                <w:rFonts w:cs="Arial"/>
              </w:rPr>
              <w:t>continues to be</w:t>
            </w:r>
            <w:r w:rsidRPr="003272C7">
              <w:rPr>
                <w:rFonts w:cs="Arial"/>
              </w:rPr>
              <w:t xml:space="preserve"> an effective committee </w:t>
            </w:r>
            <w:r w:rsidR="009F0110" w:rsidRPr="003272C7">
              <w:rPr>
                <w:rFonts w:cs="Arial"/>
              </w:rPr>
              <w:t xml:space="preserve">that </w:t>
            </w:r>
            <w:r w:rsidR="00C97EFB" w:rsidRPr="003272C7">
              <w:rPr>
                <w:rFonts w:cs="Arial"/>
              </w:rPr>
              <w:t>oversees</w:t>
            </w:r>
            <w:r w:rsidR="009F0110" w:rsidRPr="003272C7">
              <w:rPr>
                <w:rFonts w:cs="Arial"/>
              </w:rPr>
              <w:t xml:space="preserve"> </w:t>
            </w:r>
            <w:r w:rsidRPr="003272C7">
              <w:rPr>
                <w:rFonts w:cs="Arial"/>
              </w:rPr>
              <w:t xml:space="preserve">operational </w:t>
            </w:r>
            <w:r w:rsidR="006C4DD7" w:rsidRPr="003272C7">
              <w:rPr>
                <w:rFonts w:cs="Arial"/>
              </w:rPr>
              <w:t xml:space="preserve">issues </w:t>
            </w:r>
            <w:r w:rsidRPr="003272C7">
              <w:rPr>
                <w:rFonts w:cs="Arial"/>
              </w:rPr>
              <w:t xml:space="preserve">and </w:t>
            </w:r>
            <w:r w:rsidR="006C4DD7" w:rsidRPr="003272C7">
              <w:rPr>
                <w:rFonts w:cs="Arial"/>
              </w:rPr>
              <w:t xml:space="preserve">coordinates </w:t>
            </w:r>
            <w:r w:rsidRPr="003272C7">
              <w:rPr>
                <w:rFonts w:cs="Arial"/>
              </w:rPr>
              <w:t xml:space="preserve">and </w:t>
            </w:r>
            <w:r w:rsidR="006C4DD7" w:rsidRPr="003272C7">
              <w:rPr>
                <w:rFonts w:cs="Arial"/>
              </w:rPr>
              <w:t xml:space="preserve">decides on the </w:t>
            </w:r>
            <w:r w:rsidRPr="003272C7">
              <w:rPr>
                <w:rFonts w:cs="Arial"/>
              </w:rPr>
              <w:t xml:space="preserve">appropriate allocation of resources and expenditure. The </w:t>
            </w:r>
            <w:r w:rsidR="00C97EFB" w:rsidRPr="003272C7">
              <w:rPr>
                <w:rFonts w:cs="Arial"/>
              </w:rPr>
              <w:t xml:space="preserve">Project Steering Committee </w:t>
            </w:r>
            <w:r w:rsidRPr="003272C7">
              <w:rPr>
                <w:rFonts w:cs="Arial"/>
              </w:rPr>
              <w:t xml:space="preserve">has been fundamental to developing the </w:t>
            </w:r>
            <w:r w:rsidR="00C97EFB" w:rsidRPr="003272C7">
              <w:rPr>
                <w:rFonts w:cs="Arial"/>
              </w:rPr>
              <w:t>2</w:t>
            </w:r>
            <w:r w:rsidRPr="003272C7">
              <w:rPr>
                <w:rFonts w:cs="Arial"/>
              </w:rPr>
              <w:t xml:space="preserve"> funding agreement extensions required during the delivery period. The </w:t>
            </w:r>
            <w:r w:rsidR="00C97EFB" w:rsidRPr="003272C7">
              <w:rPr>
                <w:rFonts w:cs="Arial"/>
              </w:rPr>
              <w:t>Project Steering Committee</w:t>
            </w:r>
            <w:r w:rsidRPr="003272C7">
              <w:rPr>
                <w:rFonts w:cs="Arial"/>
              </w:rPr>
              <w:t>, particularly Coliban Water, have also provided invaluable advice on long-term solution development through this forum.</w:t>
            </w:r>
          </w:p>
        </w:tc>
      </w:tr>
      <w:tr w:rsidR="00B242C3" w:rsidRPr="003272C7" w14:paraId="5DFBF55D" w14:textId="77777777" w:rsidTr="00437A2B">
        <w:trPr>
          <w:trHeight w:val="259"/>
        </w:trPr>
        <w:tc>
          <w:tcPr>
            <w:tcW w:w="979" w:type="pct"/>
            <w:shd w:val="clear" w:color="auto" w:fill="231EDC" w:themeFill="accent1"/>
          </w:tcPr>
          <w:p w14:paraId="0B30782A" w14:textId="77777777" w:rsidR="00B242C3" w:rsidRPr="003272C7" w:rsidRDefault="00B242C3" w:rsidP="00E85AD2">
            <w:pPr>
              <w:pStyle w:val="TableText"/>
              <w:rPr>
                <w:rFonts w:cs="Arial"/>
                <w:b/>
                <w:bCs/>
              </w:rPr>
            </w:pPr>
            <w:r w:rsidRPr="003272C7">
              <w:rPr>
                <w:rFonts w:cs="Arial"/>
                <w:b/>
                <w:bCs/>
              </w:rPr>
              <w:lastRenderedPageBreak/>
              <w:t>Legacy</w:t>
            </w:r>
          </w:p>
        </w:tc>
        <w:tc>
          <w:tcPr>
            <w:tcW w:w="4021" w:type="pct"/>
          </w:tcPr>
          <w:p w14:paraId="5D7EA139" w14:textId="77777777" w:rsidR="00B242C3" w:rsidRPr="003272C7" w:rsidRDefault="00B242C3" w:rsidP="00E85AD2">
            <w:pPr>
              <w:pStyle w:val="TableText"/>
              <w:rPr>
                <w:rFonts w:cs="Arial"/>
              </w:rPr>
            </w:pPr>
          </w:p>
        </w:tc>
      </w:tr>
      <w:tr w:rsidR="00B242C3" w:rsidRPr="003272C7" w14:paraId="5BE7AC05" w14:textId="77777777" w:rsidTr="00437A2B">
        <w:trPr>
          <w:trHeight w:val="259"/>
        </w:trPr>
        <w:tc>
          <w:tcPr>
            <w:tcW w:w="979" w:type="pct"/>
            <w:shd w:val="clear" w:color="auto" w:fill="231EDC" w:themeFill="accent1"/>
          </w:tcPr>
          <w:p w14:paraId="2600D74A" w14:textId="77777777" w:rsidR="00B242C3" w:rsidRPr="003272C7" w:rsidRDefault="00B242C3" w:rsidP="00E85AD2">
            <w:pPr>
              <w:pStyle w:val="TableText"/>
              <w:rPr>
                <w:rFonts w:cs="Arial"/>
                <w:b/>
                <w:bCs/>
              </w:rPr>
            </w:pPr>
            <w:r w:rsidRPr="003272C7">
              <w:rPr>
                <w:rFonts w:cs="Arial"/>
                <w:b/>
                <w:bCs/>
              </w:rPr>
              <w:t>Future priorities</w:t>
            </w:r>
          </w:p>
        </w:tc>
        <w:tc>
          <w:tcPr>
            <w:tcW w:w="4021" w:type="pct"/>
          </w:tcPr>
          <w:p w14:paraId="5F962044" w14:textId="77777777" w:rsidR="00142559" w:rsidRPr="003272C7" w:rsidRDefault="00B242C3" w:rsidP="00E85AD2">
            <w:pPr>
              <w:pStyle w:val="TableText"/>
              <w:rPr>
                <w:rFonts w:cs="Arial"/>
              </w:rPr>
            </w:pPr>
            <w:r w:rsidRPr="003272C7">
              <w:rPr>
                <w:rFonts w:cs="Arial"/>
              </w:rPr>
              <w:t xml:space="preserve">Following investigations into the causes of </w:t>
            </w:r>
            <w:r w:rsidR="006C4DD7" w:rsidRPr="003272C7">
              <w:rPr>
                <w:rFonts w:cs="Arial"/>
              </w:rPr>
              <w:t>contaminated</w:t>
            </w:r>
            <w:r w:rsidRPr="003272C7">
              <w:rPr>
                <w:rFonts w:cs="Arial"/>
              </w:rPr>
              <w:t xml:space="preserve"> groundwater underneath central Bendigo, the problem has been recognised as a consequence of mining activity and future funding </w:t>
            </w:r>
            <w:r w:rsidR="00EB6B81" w:rsidRPr="003272C7">
              <w:rPr>
                <w:rFonts w:cs="Arial"/>
              </w:rPr>
              <w:t>has been</w:t>
            </w:r>
            <w:r w:rsidRPr="003272C7">
              <w:rPr>
                <w:rFonts w:cs="Arial"/>
              </w:rPr>
              <w:t xml:space="preserve"> sought </w:t>
            </w:r>
            <w:r w:rsidR="0072600A" w:rsidRPr="003272C7">
              <w:rPr>
                <w:rFonts w:cs="Arial"/>
              </w:rPr>
              <w:t xml:space="preserve">and achieved </w:t>
            </w:r>
            <w:r w:rsidRPr="003272C7">
              <w:rPr>
                <w:rFonts w:cs="Arial"/>
              </w:rPr>
              <w:t xml:space="preserve">from alternate budget </w:t>
            </w:r>
            <w:r w:rsidR="0072600A" w:rsidRPr="003272C7">
              <w:rPr>
                <w:rFonts w:cs="Arial"/>
              </w:rPr>
              <w:t>sources</w:t>
            </w:r>
            <w:r w:rsidRPr="003272C7">
              <w:rPr>
                <w:rFonts w:cs="Arial"/>
              </w:rPr>
              <w:t xml:space="preserve"> (</w:t>
            </w:r>
            <w:r w:rsidR="00A24E30" w:rsidRPr="003272C7">
              <w:rPr>
                <w:rFonts w:cs="Arial"/>
              </w:rPr>
              <w:t>non-EC</w:t>
            </w:r>
            <w:r w:rsidRPr="003272C7">
              <w:rPr>
                <w:rFonts w:cs="Arial"/>
              </w:rPr>
              <w:t>).</w:t>
            </w:r>
          </w:p>
          <w:p w14:paraId="0AB7388A" w14:textId="77777777" w:rsidR="00142559" w:rsidRPr="003272C7" w:rsidRDefault="0007053E" w:rsidP="00E85AD2">
            <w:pPr>
              <w:pStyle w:val="TableText"/>
              <w:rPr>
                <w:rFonts w:cs="Arial"/>
              </w:rPr>
            </w:pPr>
            <w:r w:rsidRPr="003272C7">
              <w:rPr>
                <w:rFonts w:cs="Arial"/>
              </w:rPr>
              <w:t>Funding was secured in the May 2022 and 2024 state budget through appropriations for the implementation of the long-term sustainable solution and the ongoing operation and maintenance for the next 25 years.</w:t>
            </w:r>
          </w:p>
          <w:p w14:paraId="094FF7F2" w14:textId="2F592A44" w:rsidR="00B242C3" w:rsidRPr="003272C7" w:rsidRDefault="0007053E" w:rsidP="00E85AD2">
            <w:pPr>
              <w:pStyle w:val="TableText"/>
              <w:rPr>
                <w:rFonts w:cs="Arial"/>
              </w:rPr>
            </w:pPr>
            <w:r w:rsidRPr="003272C7">
              <w:rPr>
                <w:rFonts w:cs="Arial"/>
              </w:rPr>
              <w:t>The procurement process of the Design, Construct, Operate and Maintain contract and the Superintendent contract are underway and expected to be in place by early 2025. </w:t>
            </w:r>
          </w:p>
        </w:tc>
      </w:tr>
    </w:tbl>
    <w:p w14:paraId="7CAE48AE" w14:textId="77777777" w:rsidR="00B242C3" w:rsidRPr="003272C7" w:rsidRDefault="00B242C3" w:rsidP="00B242C3">
      <w:pPr>
        <w:pStyle w:val="Heading2"/>
        <w:rPr>
          <w:rFonts w:cs="Arial"/>
        </w:rPr>
      </w:pPr>
      <w:bookmarkStart w:id="73" w:name="_Toc147410802"/>
      <w:bookmarkStart w:id="74" w:name="_Toc183777810"/>
      <w:r w:rsidRPr="003272C7">
        <w:rPr>
          <w:rFonts w:cs="Arial"/>
        </w:rPr>
        <w:t>CWCT09: Waterway Health</w:t>
      </w:r>
      <w:bookmarkEnd w:id="73"/>
      <w:bookmarkEnd w:id="7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33E43468" w14:textId="77777777" w:rsidTr="00142559">
        <w:trPr>
          <w:trHeight w:val="395"/>
        </w:trPr>
        <w:tc>
          <w:tcPr>
            <w:tcW w:w="979" w:type="pct"/>
            <w:shd w:val="clear" w:color="auto" w:fill="231EDC" w:themeFill="accent1"/>
          </w:tcPr>
          <w:p w14:paraId="45273651" w14:textId="07B4F353" w:rsidR="00B242C3" w:rsidRPr="003272C7" w:rsidRDefault="00C412A9" w:rsidP="0018048A">
            <w:pPr>
              <w:pStyle w:val="TableHeading"/>
              <w:rPr>
                <w:rFonts w:cs="Arial"/>
              </w:rPr>
            </w:pPr>
            <w:r w:rsidRPr="003272C7">
              <w:rPr>
                <w:rFonts w:cs="Arial"/>
              </w:rPr>
              <w:t>Initiative</w:t>
            </w:r>
          </w:p>
        </w:tc>
        <w:tc>
          <w:tcPr>
            <w:tcW w:w="4021" w:type="pct"/>
            <w:shd w:val="clear" w:color="auto" w:fill="231EDC" w:themeFill="accent1"/>
          </w:tcPr>
          <w:p w14:paraId="0C5BAC0D" w14:textId="77777777" w:rsidR="00B242C3" w:rsidRPr="003272C7" w:rsidRDefault="00B242C3" w:rsidP="0018048A">
            <w:pPr>
              <w:pStyle w:val="TableHeading"/>
              <w:rPr>
                <w:rFonts w:cs="Arial"/>
              </w:rPr>
            </w:pPr>
            <w:r w:rsidRPr="003272C7">
              <w:rPr>
                <w:rFonts w:cs="Arial"/>
              </w:rPr>
              <w:t>12. Improving the health of Victoria’s waterways and catchments in the face of escalating impacts of climate change/ Supporting regional communities and economic recovery through healthy waterways</w:t>
            </w:r>
          </w:p>
        </w:tc>
      </w:tr>
      <w:tr w:rsidR="00B242C3" w:rsidRPr="003272C7" w14:paraId="49D2DFDE" w14:textId="77777777" w:rsidTr="00142559">
        <w:trPr>
          <w:trHeight w:val="341"/>
        </w:trPr>
        <w:tc>
          <w:tcPr>
            <w:tcW w:w="979" w:type="pct"/>
            <w:shd w:val="clear" w:color="auto" w:fill="231EDC" w:themeFill="accent1"/>
          </w:tcPr>
          <w:p w14:paraId="54BB50C6" w14:textId="77777777" w:rsidR="00B242C3" w:rsidRPr="003272C7" w:rsidRDefault="00B242C3" w:rsidP="0018048A">
            <w:pPr>
              <w:pStyle w:val="TableText"/>
              <w:rPr>
                <w:rFonts w:cs="Arial"/>
                <w:b/>
                <w:bCs/>
              </w:rPr>
            </w:pPr>
            <w:r w:rsidRPr="003272C7">
              <w:rPr>
                <w:rFonts w:cs="Arial"/>
                <w:b/>
                <w:bCs/>
              </w:rPr>
              <w:t>Project</w:t>
            </w:r>
          </w:p>
        </w:tc>
        <w:tc>
          <w:tcPr>
            <w:tcW w:w="4021" w:type="pct"/>
          </w:tcPr>
          <w:p w14:paraId="31169159" w14:textId="77777777" w:rsidR="00B242C3" w:rsidRPr="003272C7" w:rsidRDefault="00B242C3" w:rsidP="0018048A">
            <w:pPr>
              <w:pStyle w:val="TableText"/>
              <w:rPr>
                <w:rFonts w:cs="Arial"/>
              </w:rPr>
            </w:pPr>
            <w:r w:rsidRPr="003272C7">
              <w:rPr>
                <w:rFonts w:cs="Arial"/>
              </w:rPr>
              <w:t>CWCT09: Waterway Health</w:t>
            </w:r>
          </w:p>
        </w:tc>
      </w:tr>
      <w:tr w:rsidR="00B242C3" w:rsidRPr="003272C7" w14:paraId="0EB3C130" w14:textId="77777777" w:rsidTr="00142559">
        <w:trPr>
          <w:trHeight w:val="259"/>
        </w:trPr>
        <w:tc>
          <w:tcPr>
            <w:tcW w:w="979" w:type="pct"/>
            <w:shd w:val="clear" w:color="auto" w:fill="231EDC" w:themeFill="accent1"/>
          </w:tcPr>
          <w:p w14:paraId="5B68947C" w14:textId="27CA36B3" w:rsidR="00B242C3" w:rsidRPr="003272C7" w:rsidRDefault="00B242C3" w:rsidP="0018048A">
            <w:pPr>
              <w:pStyle w:val="TableText"/>
              <w:rPr>
                <w:rFonts w:cs="Arial"/>
                <w:b/>
                <w:bCs/>
              </w:rPr>
            </w:pPr>
            <w:r w:rsidRPr="003272C7">
              <w:rPr>
                <w:rFonts w:cs="Arial"/>
                <w:b/>
                <w:bCs/>
              </w:rPr>
              <w:t>Description</w:t>
            </w:r>
          </w:p>
        </w:tc>
        <w:tc>
          <w:tcPr>
            <w:tcW w:w="4021" w:type="pct"/>
          </w:tcPr>
          <w:p w14:paraId="14E519A9" w14:textId="77777777" w:rsidR="00142559" w:rsidRPr="003272C7" w:rsidRDefault="00B242C3" w:rsidP="0018048A">
            <w:pPr>
              <w:pStyle w:val="TableText"/>
              <w:rPr>
                <w:rFonts w:cs="Arial"/>
              </w:rPr>
            </w:pPr>
            <w:r w:rsidRPr="003272C7">
              <w:rPr>
                <w:rFonts w:cs="Arial"/>
              </w:rPr>
              <w:t xml:space="preserve">This investment of $125.98 million seeks to deliver an integrated output-based set of Programs to continue to protect and restore Victoria’s regional waterways which are severely degraded from over 150 years of </w:t>
            </w:r>
            <w:r w:rsidR="00D46C9A" w:rsidRPr="003272C7">
              <w:rPr>
                <w:rFonts w:cs="Arial"/>
              </w:rPr>
              <w:t xml:space="preserve">post-colonisation </w:t>
            </w:r>
            <w:r w:rsidRPr="003272C7">
              <w:rPr>
                <w:rFonts w:cs="Arial"/>
              </w:rPr>
              <w:t>human intervention and economic development and exacerbated by climate change. This protection and restoration of these waterways is a multi-generational task which also needs to adapt to the future challenges of climate change and Victoria’s expanding population.</w:t>
            </w:r>
          </w:p>
          <w:p w14:paraId="0695DCE8" w14:textId="6987AC2D" w:rsidR="00B242C3" w:rsidRPr="003272C7" w:rsidRDefault="00B242C3" w:rsidP="0018048A">
            <w:pPr>
              <w:pStyle w:val="TableText"/>
              <w:rPr>
                <w:rFonts w:cs="Arial"/>
              </w:rPr>
            </w:pPr>
            <w:r w:rsidRPr="003272C7">
              <w:rPr>
                <w:rFonts w:cs="Arial"/>
              </w:rPr>
              <w:t xml:space="preserve">This investment supports an integrated </w:t>
            </w:r>
            <w:r w:rsidR="00AB64FE" w:rsidRPr="003272C7">
              <w:rPr>
                <w:rFonts w:cs="Arial"/>
              </w:rPr>
              <w:t>p</w:t>
            </w:r>
            <w:r w:rsidRPr="003272C7">
              <w:rPr>
                <w:rFonts w:cs="Arial"/>
              </w:rPr>
              <w:t>rogram of works that include:</w:t>
            </w:r>
          </w:p>
          <w:p w14:paraId="3E486F5F" w14:textId="17BB0EA6" w:rsidR="00B242C3" w:rsidRPr="003272C7" w:rsidRDefault="00AB64FE" w:rsidP="0018048A">
            <w:pPr>
              <w:pStyle w:val="TableBullet"/>
              <w:rPr>
                <w:rFonts w:cs="Arial"/>
              </w:rPr>
            </w:pPr>
            <w:r w:rsidRPr="003272C7">
              <w:rPr>
                <w:rFonts w:cs="Arial"/>
              </w:rPr>
              <w:t>D</w:t>
            </w:r>
            <w:r w:rsidR="00B242C3" w:rsidRPr="003272C7">
              <w:rPr>
                <w:rFonts w:cs="Arial"/>
              </w:rPr>
              <w:t xml:space="preserve">elivery of over 20 regional physical on-ground works </w:t>
            </w:r>
            <w:r w:rsidRPr="003272C7">
              <w:rPr>
                <w:rFonts w:cs="Arial"/>
              </w:rPr>
              <w:t>p</w:t>
            </w:r>
            <w:r w:rsidR="00B242C3" w:rsidRPr="003272C7">
              <w:rPr>
                <w:rFonts w:cs="Arial"/>
              </w:rPr>
              <w:t>rograms/projects to protect and restore priority waterways of high value to regional communities (including Ramsar sites)</w:t>
            </w:r>
            <w:r w:rsidRPr="003272C7">
              <w:rPr>
                <w:rFonts w:cs="Arial"/>
              </w:rPr>
              <w:t>.</w:t>
            </w:r>
          </w:p>
          <w:p w14:paraId="7BE56719" w14:textId="5BC4B2B6" w:rsidR="00B242C3" w:rsidRPr="003272C7" w:rsidRDefault="00AB64FE" w:rsidP="0018048A">
            <w:pPr>
              <w:pStyle w:val="TableBullet"/>
              <w:rPr>
                <w:rFonts w:cs="Arial"/>
              </w:rPr>
            </w:pPr>
            <w:r w:rsidRPr="003272C7">
              <w:rPr>
                <w:rFonts w:cs="Arial"/>
              </w:rPr>
              <w:t>T</w:t>
            </w:r>
            <w:r w:rsidR="00B242C3" w:rsidRPr="003272C7">
              <w:rPr>
                <w:rFonts w:cs="Arial"/>
              </w:rPr>
              <w:t>he delivery of citizen science Programs (e.g. WaterWatch, EstuaryWatch, River Detectives) to engage community, educate and build awareness</w:t>
            </w:r>
            <w:r w:rsidRPr="003272C7">
              <w:rPr>
                <w:rFonts w:cs="Arial"/>
              </w:rPr>
              <w:t>.</w:t>
            </w:r>
          </w:p>
          <w:p w14:paraId="2AB13740" w14:textId="1945FCF4" w:rsidR="00B242C3" w:rsidRPr="003272C7" w:rsidRDefault="00AB64FE" w:rsidP="0018048A">
            <w:pPr>
              <w:pStyle w:val="TableBullet"/>
              <w:rPr>
                <w:rFonts w:cs="Arial"/>
              </w:rPr>
            </w:pPr>
            <w:r w:rsidRPr="003272C7">
              <w:rPr>
                <w:rFonts w:cs="Arial"/>
              </w:rPr>
              <w:t>E</w:t>
            </w:r>
            <w:r w:rsidR="00B242C3" w:rsidRPr="003272C7">
              <w:rPr>
                <w:rFonts w:cs="Arial"/>
              </w:rPr>
              <w:t xml:space="preserve">mployment and partnering with Traditional Owner groups to get more Aboriginal Victorians working on </w:t>
            </w:r>
            <w:r w:rsidR="00D46C9A" w:rsidRPr="003272C7">
              <w:rPr>
                <w:rFonts w:cs="Arial"/>
              </w:rPr>
              <w:t xml:space="preserve">and healing </w:t>
            </w:r>
            <w:r w:rsidR="00B242C3" w:rsidRPr="003272C7">
              <w:rPr>
                <w:rFonts w:cs="Arial"/>
              </w:rPr>
              <w:t>Country</w:t>
            </w:r>
            <w:r w:rsidRPr="003272C7">
              <w:rPr>
                <w:rFonts w:cs="Arial"/>
              </w:rPr>
              <w:t>.</w:t>
            </w:r>
          </w:p>
          <w:p w14:paraId="6BA14DD1" w14:textId="1BFA8A04" w:rsidR="00B242C3" w:rsidRPr="003272C7" w:rsidRDefault="00AB64FE" w:rsidP="0018048A">
            <w:pPr>
              <w:pStyle w:val="TableBullet"/>
              <w:rPr>
                <w:rFonts w:cs="Arial"/>
              </w:rPr>
            </w:pPr>
            <w:r w:rsidRPr="003272C7">
              <w:rPr>
                <w:rFonts w:cs="Arial"/>
              </w:rPr>
              <w:t>P</w:t>
            </w:r>
            <w:r w:rsidR="00B242C3" w:rsidRPr="003272C7">
              <w:rPr>
                <w:rFonts w:cs="Arial"/>
              </w:rPr>
              <w:t>rocessing thousands of regional planning and works permits and licences</w:t>
            </w:r>
            <w:r w:rsidRPr="003272C7">
              <w:rPr>
                <w:rFonts w:cs="Arial"/>
              </w:rPr>
              <w:t>.</w:t>
            </w:r>
          </w:p>
          <w:p w14:paraId="26333447" w14:textId="2C1795D6" w:rsidR="00B242C3" w:rsidRPr="003272C7" w:rsidRDefault="00AB64FE" w:rsidP="0018048A">
            <w:pPr>
              <w:pStyle w:val="TableBullet"/>
              <w:rPr>
                <w:rFonts w:cs="Arial"/>
              </w:rPr>
            </w:pPr>
            <w:r w:rsidRPr="003272C7">
              <w:rPr>
                <w:rFonts w:cs="Arial"/>
              </w:rPr>
              <w:t>I</w:t>
            </w:r>
            <w:r w:rsidR="00B242C3" w:rsidRPr="003272C7">
              <w:rPr>
                <w:rFonts w:cs="Arial"/>
              </w:rPr>
              <w:t xml:space="preserve">mplementation of a </w:t>
            </w:r>
            <w:r w:rsidR="007C0BE7" w:rsidRPr="003272C7">
              <w:rPr>
                <w:rFonts w:cs="Arial"/>
              </w:rPr>
              <w:t xml:space="preserve">targeted </w:t>
            </w:r>
            <w:r w:rsidR="00B242C3" w:rsidRPr="003272C7">
              <w:rPr>
                <w:rFonts w:cs="Arial"/>
              </w:rPr>
              <w:t xml:space="preserve">monitoring </w:t>
            </w:r>
            <w:r w:rsidRPr="003272C7">
              <w:rPr>
                <w:rFonts w:cs="Arial"/>
              </w:rPr>
              <w:t>p</w:t>
            </w:r>
            <w:r w:rsidR="00B242C3" w:rsidRPr="003272C7">
              <w:rPr>
                <w:rFonts w:cs="Arial"/>
              </w:rPr>
              <w:t xml:space="preserve">rogram to </w:t>
            </w:r>
            <w:r w:rsidR="007C0BE7" w:rsidRPr="003272C7">
              <w:rPr>
                <w:rFonts w:cs="Arial"/>
              </w:rPr>
              <w:t>inform policy and support p</w:t>
            </w:r>
            <w:r w:rsidR="00B242C3" w:rsidRPr="003272C7">
              <w:rPr>
                <w:rFonts w:cs="Arial"/>
              </w:rPr>
              <w:t>rogram adapt</w:t>
            </w:r>
            <w:r w:rsidR="00DA5A7F" w:rsidRPr="003272C7">
              <w:rPr>
                <w:rFonts w:cs="Arial"/>
              </w:rPr>
              <w:t>ation</w:t>
            </w:r>
            <w:r w:rsidR="00B242C3" w:rsidRPr="003272C7">
              <w:rPr>
                <w:rFonts w:cs="Arial"/>
              </w:rPr>
              <w:t xml:space="preserve"> to climate change impacts and other emerging threats and opportunities</w:t>
            </w:r>
            <w:r w:rsidRPr="003272C7">
              <w:rPr>
                <w:rFonts w:cs="Arial"/>
              </w:rPr>
              <w:t>.</w:t>
            </w:r>
          </w:p>
          <w:p w14:paraId="5C5683D2" w14:textId="77777777" w:rsidR="00142559" w:rsidRPr="003272C7" w:rsidRDefault="00B242C3" w:rsidP="00C16358">
            <w:pPr>
              <w:pStyle w:val="TableBullet"/>
              <w:keepNext/>
              <w:keepLines/>
              <w:ind w:left="288" w:hanging="288"/>
              <w:rPr>
                <w:rFonts w:cs="Arial"/>
              </w:rPr>
            </w:pPr>
            <w:r w:rsidRPr="003272C7">
              <w:rPr>
                <w:rFonts w:cs="Arial"/>
              </w:rPr>
              <w:lastRenderedPageBreak/>
              <w:t>the development of new regional and state-wide waterway management strategies and policies</w:t>
            </w:r>
          </w:p>
          <w:p w14:paraId="03527DE1" w14:textId="0ABEFF58" w:rsidR="00B242C3" w:rsidRPr="003272C7" w:rsidRDefault="00B242C3" w:rsidP="00C16358">
            <w:pPr>
              <w:pStyle w:val="TableBullet"/>
              <w:keepNext/>
              <w:keepLines/>
              <w:ind w:left="288" w:hanging="288"/>
              <w:rPr>
                <w:rFonts w:cs="Arial"/>
              </w:rPr>
            </w:pPr>
            <w:r w:rsidRPr="003272C7">
              <w:rPr>
                <w:rFonts w:cs="Arial"/>
              </w:rPr>
              <w:t xml:space="preserve">This </w:t>
            </w:r>
            <w:r w:rsidR="00AB64FE" w:rsidRPr="003272C7">
              <w:rPr>
                <w:rFonts w:cs="Arial"/>
              </w:rPr>
              <w:t>p</w:t>
            </w:r>
            <w:r w:rsidRPr="003272C7">
              <w:rPr>
                <w:rFonts w:cs="Arial"/>
              </w:rPr>
              <w:t xml:space="preserve">rogram is primarily delivered by the </w:t>
            </w:r>
            <w:r w:rsidR="00AB64FE" w:rsidRPr="003272C7">
              <w:rPr>
                <w:rFonts w:cs="Arial"/>
              </w:rPr>
              <w:t>9</w:t>
            </w:r>
            <w:r w:rsidRPr="003272C7">
              <w:rPr>
                <w:rFonts w:cs="Arial"/>
              </w:rPr>
              <w:t xml:space="preserve"> regional CMAs and Melbourne Water in the metropolitan region through grants / funding agreement (approximately 95% of $125.98 million</w:t>
            </w:r>
            <w:r w:rsidR="00AB64FE" w:rsidRPr="003272C7">
              <w:rPr>
                <w:rFonts w:cs="Arial"/>
              </w:rPr>
              <w:t>).</w:t>
            </w:r>
          </w:p>
        </w:tc>
      </w:tr>
      <w:tr w:rsidR="00B242C3" w:rsidRPr="003272C7" w14:paraId="1B8E6A60" w14:textId="77777777" w:rsidTr="00142559">
        <w:trPr>
          <w:trHeight w:val="259"/>
        </w:trPr>
        <w:tc>
          <w:tcPr>
            <w:tcW w:w="979" w:type="pct"/>
            <w:shd w:val="clear" w:color="auto" w:fill="231EDC" w:themeFill="accent1"/>
          </w:tcPr>
          <w:p w14:paraId="2106F481" w14:textId="77777777" w:rsidR="00B242C3" w:rsidRPr="003272C7" w:rsidRDefault="00B242C3" w:rsidP="0018048A">
            <w:pPr>
              <w:pStyle w:val="TableText"/>
              <w:rPr>
                <w:rFonts w:cs="Arial"/>
                <w:b/>
                <w:bCs/>
              </w:rPr>
            </w:pPr>
            <w:r w:rsidRPr="003272C7">
              <w:rPr>
                <w:rFonts w:cs="Arial"/>
                <w:b/>
                <w:bCs/>
              </w:rPr>
              <w:lastRenderedPageBreak/>
              <w:t>Outputs</w:t>
            </w:r>
          </w:p>
        </w:tc>
        <w:tc>
          <w:tcPr>
            <w:tcW w:w="4021" w:type="pct"/>
          </w:tcPr>
          <w:p w14:paraId="22DECDD6" w14:textId="620EB973" w:rsidR="00B242C3" w:rsidRPr="003272C7" w:rsidRDefault="00DA5A7F" w:rsidP="004E7A16">
            <w:pPr>
              <w:pStyle w:val="TableText"/>
              <w:rPr>
                <w:rFonts w:cs="Arial"/>
              </w:rPr>
            </w:pPr>
            <w:r w:rsidRPr="003272C7">
              <w:rPr>
                <w:rFonts w:cs="Arial"/>
              </w:rPr>
              <w:t>In</w:t>
            </w:r>
            <w:r w:rsidR="00B242C3" w:rsidRPr="003272C7">
              <w:rPr>
                <w:rFonts w:cs="Arial"/>
              </w:rPr>
              <w:t xml:space="preserve"> EC5</w:t>
            </w:r>
            <w:r w:rsidR="0034577B" w:rsidRPr="003272C7">
              <w:rPr>
                <w:rFonts w:cs="Arial"/>
              </w:rPr>
              <w:t xml:space="preserve"> the following outputs were delivered</w:t>
            </w:r>
            <w:r w:rsidR="00B242C3" w:rsidRPr="003272C7">
              <w:rPr>
                <w:rFonts w:cs="Arial"/>
              </w:rPr>
              <w:t>:</w:t>
            </w:r>
          </w:p>
          <w:p w14:paraId="588B3D78" w14:textId="2D848F83" w:rsidR="00B242C3" w:rsidRPr="003272C7" w:rsidRDefault="0034577B" w:rsidP="0018048A">
            <w:pPr>
              <w:pStyle w:val="TableBullet"/>
              <w:rPr>
                <w:rFonts w:cs="Arial"/>
              </w:rPr>
            </w:pPr>
            <w:r w:rsidRPr="003272C7">
              <w:rPr>
                <w:rFonts w:cs="Arial"/>
              </w:rPr>
              <w:t>459</w:t>
            </w:r>
            <w:r w:rsidR="00B242C3" w:rsidRPr="003272C7">
              <w:rPr>
                <w:rFonts w:cs="Arial"/>
              </w:rPr>
              <w:t xml:space="preserve"> waterway structures including rock chutes, fish “hotels”, large wood, erosion control structures, flow regulators, removal of fish barriers</w:t>
            </w:r>
            <w:r w:rsidR="00AB64FE" w:rsidRPr="003272C7">
              <w:rPr>
                <w:rFonts w:cs="Arial"/>
              </w:rPr>
              <w:t>.</w:t>
            </w:r>
          </w:p>
          <w:p w14:paraId="70C1FD4E" w14:textId="51824D29" w:rsidR="00B242C3" w:rsidRPr="003272C7" w:rsidRDefault="0034577B" w:rsidP="0018048A">
            <w:pPr>
              <w:pStyle w:val="TableBullet"/>
              <w:rPr>
                <w:rFonts w:cs="Arial"/>
              </w:rPr>
            </w:pPr>
            <w:r w:rsidRPr="003272C7">
              <w:rPr>
                <w:rFonts w:cs="Arial"/>
              </w:rPr>
              <w:t>331.5</w:t>
            </w:r>
            <w:r w:rsidR="00B242C3" w:rsidRPr="003272C7">
              <w:rPr>
                <w:rFonts w:cs="Arial"/>
              </w:rPr>
              <w:t xml:space="preserve"> km of fencing used to protect areas alongside waterways (especially from cattle grazing) so that local indigenous vegetation can be established</w:t>
            </w:r>
            <w:r w:rsidR="00AB64FE" w:rsidRPr="003272C7">
              <w:rPr>
                <w:rFonts w:cs="Arial"/>
              </w:rPr>
              <w:t>.</w:t>
            </w:r>
          </w:p>
          <w:p w14:paraId="5D1F9BEF" w14:textId="484E39B8" w:rsidR="00B242C3" w:rsidRPr="003272C7" w:rsidRDefault="00F63B68" w:rsidP="0018048A">
            <w:pPr>
              <w:pStyle w:val="TableBullet"/>
              <w:rPr>
                <w:rFonts w:cs="Arial"/>
              </w:rPr>
            </w:pPr>
            <w:r w:rsidRPr="003272C7">
              <w:rPr>
                <w:rFonts w:cs="Arial"/>
              </w:rPr>
              <w:t>35,465</w:t>
            </w:r>
            <w:r w:rsidR="00B242C3" w:rsidRPr="003272C7">
              <w:rPr>
                <w:rFonts w:cs="Arial"/>
              </w:rPr>
              <w:t xml:space="preserve"> </w:t>
            </w:r>
            <w:r w:rsidR="00AB64FE" w:rsidRPr="003272C7">
              <w:rPr>
                <w:rFonts w:cs="Arial"/>
              </w:rPr>
              <w:t>h</w:t>
            </w:r>
            <w:r w:rsidR="00B242C3" w:rsidRPr="003272C7">
              <w:rPr>
                <w:rFonts w:cs="Arial"/>
              </w:rPr>
              <w:t>a of vegetation and weed control established along waterways to improve the riparian zone, reduce erosion and provide habitat</w:t>
            </w:r>
            <w:r w:rsidR="00AB64FE" w:rsidRPr="003272C7">
              <w:rPr>
                <w:rFonts w:cs="Arial"/>
              </w:rPr>
              <w:t>.</w:t>
            </w:r>
          </w:p>
          <w:p w14:paraId="20AE10BE" w14:textId="079CEE62" w:rsidR="00B242C3" w:rsidRPr="003272C7" w:rsidRDefault="00F63B68" w:rsidP="0018048A">
            <w:pPr>
              <w:pStyle w:val="TableBullet"/>
              <w:rPr>
                <w:rFonts w:cs="Arial"/>
              </w:rPr>
            </w:pPr>
            <w:r w:rsidRPr="003272C7">
              <w:rPr>
                <w:rFonts w:cs="Arial"/>
              </w:rPr>
              <w:t>482</w:t>
            </w:r>
            <w:r w:rsidR="00B242C3" w:rsidRPr="003272C7">
              <w:rPr>
                <w:rFonts w:cs="Arial"/>
              </w:rPr>
              <w:t xml:space="preserve"> </w:t>
            </w:r>
            <w:r w:rsidR="00AB64FE" w:rsidRPr="003272C7">
              <w:rPr>
                <w:rFonts w:cs="Arial"/>
              </w:rPr>
              <w:t>m</w:t>
            </w:r>
            <w:r w:rsidR="00B242C3" w:rsidRPr="003272C7">
              <w:rPr>
                <w:rFonts w:cs="Arial"/>
              </w:rPr>
              <w:t>anagement agreements between CMAs and landholders, to ensure works areas are maintained in good quality for at least ten years, allowing vegetation to properly establish.</w:t>
            </w:r>
          </w:p>
          <w:p w14:paraId="50C51899" w14:textId="0FEB4D27" w:rsidR="00B242C3" w:rsidRPr="003272C7" w:rsidRDefault="00F63B68" w:rsidP="0018048A">
            <w:pPr>
              <w:pStyle w:val="TableBullet"/>
              <w:rPr>
                <w:rFonts w:cs="Arial"/>
              </w:rPr>
            </w:pPr>
            <w:r w:rsidRPr="003272C7">
              <w:rPr>
                <w:rFonts w:cs="Arial"/>
              </w:rPr>
              <w:t>7273</w:t>
            </w:r>
            <w:r w:rsidR="00B242C3" w:rsidRPr="003272C7">
              <w:rPr>
                <w:rFonts w:cs="Arial"/>
              </w:rPr>
              <w:t xml:space="preserve"> cultural, ecological, property-based, social, flora and fauna, surface-water assessments</w:t>
            </w:r>
            <w:r w:rsidR="00AB64FE" w:rsidRPr="003272C7">
              <w:rPr>
                <w:rFonts w:cs="Arial"/>
              </w:rPr>
              <w:t>.</w:t>
            </w:r>
          </w:p>
          <w:p w14:paraId="344D7BAD" w14:textId="14B1416D" w:rsidR="00B242C3" w:rsidRPr="003272C7" w:rsidRDefault="00F63B68" w:rsidP="0018048A">
            <w:pPr>
              <w:pStyle w:val="TableBullet"/>
              <w:rPr>
                <w:rFonts w:cs="Arial"/>
              </w:rPr>
            </w:pPr>
            <w:r w:rsidRPr="003272C7">
              <w:rPr>
                <w:rFonts w:cs="Arial"/>
              </w:rPr>
              <w:t>37</w:t>
            </w:r>
            <w:r w:rsidR="00B37DF9" w:rsidRPr="003272C7">
              <w:rPr>
                <w:rFonts w:cs="Arial"/>
              </w:rPr>
              <w:t>,</w:t>
            </w:r>
            <w:r w:rsidRPr="003272C7">
              <w:rPr>
                <w:rFonts w:cs="Arial"/>
              </w:rPr>
              <w:t>563</w:t>
            </w:r>
            <w:r w:rsidR="00B242C3" w:rsidRPr="003272C7">
              <w:rPr>
                <w:rFonts w:cs="Arial"/>
              </w:rPr>
              <w:t xml:space="preserve"> participants at conferences, field days, events, meetings, workshops, presentations – connecting with community and partners to ensure they understand and support the work to be delivered and have opportunities to</w:t>
            </w:r>
            <w:r w:rsidR="00C16358" w:rsidRPr="003272C7">
              <w:rPr>
                <w:rFonts w:cs="Arial"/>
              </w:rPr>
              <w:t> </w:t>
            </w:r>
            <w:r w:rsidR="00B242C3" w:rsidRPr="003272C7">
              <w:rPr>
                <w:rFonts w:cs="Arial"/>
              </w:rPr>
              <w:t>participate.</w:t>
            </w:r>
          </w:p>
        </w:tc>
      </w:tr>
      <w:tr w:rsidR="00B242C3" w:rsidRPr="003272C7" w14:paraId="58596E92" w14:textId="77777777" w:rsidTr="0063012E">
        <w:trPr>
          <w:trHeight w:val="259"/>
        </w:trPr>
        <w:tc>
          <w:tcPr>
            <w:tcW w:w="5000" w:type="pct"/>
            <w:gridSpan w:val="2"/>
            <w:shd w:val="clear" w:color="auto" w:fill="231EDC" w:themeFill="accent1"/>
          </w:tcPr>
          <w:p w14:paraId="4193A623" w14:textId="502057EF" w:rsidR="00B242C3" w:rsidRPr="003272C7" w:rsidRDefault="004250D5" w:rsidP="004E7A16">
            <w:pPr>
              <w:pStyle w:val="TableText"/>
              <w:rPr>
                <w:rFonts w:cs="Arial"/>
                <w:b/>
                <w:bCs/>
              </w:rPr>
            </w:pPr>
            <w:r w:rsidRPr="003272C7">
              <w:rPr>
                <w:rFonts w:cs="Arial"/>
                <w:b/>
                <w:bCs/>
                <w:szCs w:val="18"/>
              </w:rPr>
              <w:t>Summary against evaluation domains</w:t>
            </w:r>
          </w:p>
        </w:tc>
      </w:tr>
      <w:tr w:rsidR="00B242C3" w:rsidRPr="003272C7" w14:paraId="04811BCD" w14:textId="77777777" w:rsidTr="00142559">
        <w:trPr>
          <w:trHeight w:val="259"/>
        </w:trPr>
        <w:tc>
          <w:tcPr>
            <w:tcW w:w="979" w:type="pct"/>
            <w:shd w:val="clear" w:color="auto" w:fill="231EDC" w:themeFill="accent1"/>
          </w:tcPr>
          <w:p w14:paraId="79F3B96B" w14:textId="77777777" w:rsidR="00B242C3" w:rsidRPr="003272C7" w:rsidRDefault="00B242C3" w:rsidP="004E7A16">
            <w:pPr>
              <w:pStyle w:val="TableText"/>
              <w:rPr>
                <w:rFonts w:cs="Arial"/>
                <w:b/>
                <w:bCs/>
              </w:rPr>
            </w:pPr>
            <w:r w:rsidRPr="003272C7">
              <w:rPr>
                <w:rFonts w:cs="Arial"/>
                <w:b/>
                <w:bCs/>
              </w:rPr>
              <w:t>Impact</w:t>
            </w:r>
          </w:p>
        </w:tc>
        <w:tc>
          <w:tcPr>
            <w:tcW w:w="4021" w:type="pct"/>
          </w:tcPr>
          <w:p w14:paraId="22583D99" w14:textId="616DFDCD" w:rsidR="00142559" w:rsidRPr="003272C7" w:rsidRDefault="00B37DF9" w:rsidP="0018048A">
            <w:pPr>
              <w:pStyle w:val="TableBullet"/>
              <w:rPr>
                <w:rFonts w:cs="Arial"/>
              </w:rPr>
            </w:pPr>
            <w:r w:rsidRPr="003272C7">
              <w:rPr>
                <w:rFonts w:cs="Arial"/>
              </w:rPr>
              <w:t xml:space="preserve">In </w:t>
            </w:r>
            <w:r w:rsidR="00B242C3" w:rsidRPr="003272C7">
              <w:rPr>
                <w:rFonts w:cs="Arial"/>
              </w:rPr>
              <w:t>EC5</w:t>
            </w:r>
            <w:r w:rsidR="00D2319C" w:rsidRPr="003272C7">
              <w:rPr>
                <w:rFonts w:cs="Arial"/>
              </w:rPr>
              <w:t>, the</w:t>
            </w:r>
            <w:r w:rsidR="00B242C3" w:rsidRPr="003272C7">
              <w:rPr>
                <w:rFonts w:cs="Arial"/>
              </w:rPr>
              <w:t xml:space="preserve"> waterway health </w:t>
            </w:r>
            <w:r w:rsidR="00AB64FE" w:rsidRPr="003272C7">
              <w:rPr>
                <w:rFonts w:cs="Arial"/>
              </w:rPr>
              <w:t>p</w:t>
            </w:r>
            <w:r w:rsidR="00B242C3" w:rsidRPr="003272C7">
              <w:rPr>
                <w:rFonts w:cs="Arial"/>
              </w:rPr>
              <w:t xml:space="preserve">rogram has delivered </w:t>
            </w:r>
            <w:r w:rsidR="00D2319C" w:rsidRPr="003272C7">
              <w:rPr>
                <w:rFonts w:cs="Arial"/>
              </w:rPr>
              <w:t>34</w:t>
            </w:r>
            <w:r w:rsidR="00B242C3" w:rsidRPr="003272C7">
              <w:rPr>
                <w:rFonts w:cs="Arial"/>
              </w:rPr>
              <w:t>,</w:t>
            </w:r>
            <w:r w:rsidR="00D2319C" w:rsidRPr="003272C7">
              <w:rPr>
                <w:rFonts w:cs="Arial"/>
              </w:rPr>
              <w:t>366</w:t>
            </w:r>
            <w:r w:rsidR="00B242C3" w:rsidRPr="003272C7">
              <w:rPr>
                <w:rFonts w:cs="Arial"/>
              </w:rPr>
              <w:t> ha of waterway vegetation improvement works across priority sites in Victoria (</w:t>
            </w:r>
            <w:r w:rsidR="00AB64FE" w:rsidRPr="003272C7">
              <w:rPr>
                <w:rFonts w:cs="Arial"/>
              </w:rPr>
              <w:t xml:space="preserve">Budget Paper 3 </w:t>
            </w:r>
            <w:r w:rsidR="00B242C3" w:rsidRPr="003272C7">
              <w:rPr>
                <w:rFonts w:cs="Arial"/>
              </w:rPr>
              <w:t>measure)</w:t>
            </w:r>
            <w:r w:rsidR="0095119B" w:rsidRPr="003272C7">
              <w:rPr>
                <w:rFonts w:cs="Arial"/>
              </w:rPr>
              <w:t>.</w:t>
            </w:r>
            <w:r w:rsidR="00B242C3" w:rsidRPr="003272C7">
              <w:rPr>
                <w:rFonts w:cs="Arial"/>
              </w:rPr>
              <w:t xml:space="preserve"> Waterway vegetation improvement works includes fences along waterways built or maintained, vegetation established, modified or maintained, and </w:t>
            </w:r>
            <w:r w:rsidR="00F07154" w:rsidRPr="003272C7">
              <w:rPr>
                <w:rFonts w:cs="Arial"/>
              </w:rPr>
              <w:t>pest plant</w:t>
            </w:r>
            <w:r w:rsidR="00B242C3" w:rsidRPr="003272C7">
              <w:rPr>
                <w:rFonts w:cs="Arial"/>
              </w:rPr>
              <w:t xml:space="preserve"> and animal control works undertaken. As a result of these works, over </w:t>
            </w:r>
            <w:r w:rsidR="0066199B" w:rsidRPr="003272C7">
              <w:rPr>
                <w:rFonts w:cs="Arial"/>
              </w:rPr>
              <w:t xml:space="preserve">386 </w:t>
            </w:r>
            <w:r w:rsidR="00B242C3" w:rsidRPr="003272C7">
              <w:rPr>
                <w:rFonts w:cs="Arial"/>
              </w:rPr>
              <w:t>river reaches and wetlands in Victoria are maintained or improved every</w:t>
            </w:r>
            <w:r w:rsidR="00C16358" w:rsidRPr="003272C7">
              <w:rPr>
                <w:rFonts w:cs="Arial"/>
              </w:rPr>
              <w:t> </w:t>
            </w:r>
            <w:r w:rsidR="00B242C3" w:rsidRPr="003272C7">
              <w:rPr>
                <w:rFonts w:cs="Arial"/>
              </w:rPr>
              <w:t>year.</w:t>
            </w:r>
          </w:p>
          <w:p w14:paraId="50393D6A" w14:textId="6C130BD0" w:rsidR="00142559" w:rsidRPr="003272C7" w:rsidRDefault="009E3C95" w:rsidP="0018048A">
            <w:pPr>
              <w:pStyle w:val="TableBullet"/>
              <w:rPr>
                <w:rFonts w:cs="Arial"/>
              </w:rPr>
            </w:pPr>
            <w:r w:rsidRPr="003272C7">
              <w:rPr>
                <w:rFonts w:cs="Arial"/>
              </w:rPr>
              <w:t>In EC5</w:t>
            </w:r>
            <w:r w:rsidR="00B242C3" w:rsidRPr="003272C7">
              <w:rPr>
                <w:rFonts w:cs="Arial"/>
              </w:rPr>
              <w:t>, CMAs processed over 30,000 waterway licences and permits, floodplain and planning referrals and advice for local councils and the general community, over 90% of which were processed within statutory timeframes. This is a core statutory function that CMAs perform to facilitate appropriate use and development of Victoria’s public waterway, protecting the health of our</w:t>
            </w:r>
            <w:r w:rsidR="00C16358" w:rsidRPr="003272C7">
              <w:rPr>
                <w:rFonts w:cs="Arial"/>
              </w:rPr>
              <w:t> </w:t>
            </w:r>
            <w:r w:rsidR="00B242C3" w:rsidRPr="003272C7">
              <w:rPr>
                <w:rFonts w:cs="Arial"/>
              </w:rPr>
              <w:t>waterways.</w:t>
            </w:r>
          </w:p>
          <w:p w14:paraId="678E2F1C" w14:textId="423040F8" w:rsidR="00B242C3" w:rsidRPr="003272C7" w:rsidRDefault="00B242C3" w:rsidP="0018048A">
            <w:pPr>
              <w:pStyle w:val="TableBullet"/>
              <w:rPr>
                <w:rFonts w:cs="Arial"/>
              </w:rPr>
            </w:pPr>
            <w:r w:rsidRPr="003272C7">
              <w:rPr>
                <w:rFonts w:cs="Arial"/>
              </w:rPr>
              <w:t xml:space="preserve">The Flagship Waterway projects were a cornerstone of the EC4 waterways </w:t>
            </w:r>
            <w:r w:rsidR="00AB64FE" w:rsidRPr="003272C7">
              <w:rPr>
                <w:rFonts w:cs="Arial"/>
              </w:rPr>
              <w:t>p</w:t>
            </w:r>
            <w:r w:rsidRPr="003272C7">
              <w:rPr>
                <w:rFonts w:cs="Arial"/>
              </w:rPr>
              <w:t xml:space="preserve">rogram and have continued and expanded during EC5. An initial </w:t>
            </w:r>
            <w:r w:rsidR="00AB64FE" w:rsidRPr="003272C7">
              <w:rPr>
                <w:rFonts w:cs="Arial"/>
              </w:rPr>
              <w:t>9</w:t>
            </w:r>
            <w:r w:rsidRPr="003272C7">
              <w:rPr>
                <w:rFonts w:cs="Arial"/>
              </w:rPr>
              <w:t xml:space="preserve"> project sites (one per CMA) were started under EC4, and a further nine have been commenced during EC5. They are a key element of delivering Action 3.4 in Water for Victoria. </w:t>
            </w:r>
            <w:r w:rsidR="009E3C95" w:rsidRPr="003272C7">
              <w:rPr>
                <w:rFonts w:cs="Arial"/>
              </w:rPr>
              <w:t xml:space="preserve">During 2023-24 the CMAs completed evaluations of the implementation of the nine Flagship Waterway projects that commenced in EC4. The evaluations were rich with information and learning and have provided a great insight into these significant projects. The collective evaluations helped DEECA understand common issues and opportunities and identify how </w:t>
            </w:r>
            <w:r w:rsidR="00AB64FE" w:rsidRPr="003272C7">
              <w:rPr>
                <w:rFonts w:cs="Arial"/>
              </w:rPr>
              <w:t xml:space="preserve">DEECA </w:t>
            </w:r>
            <w:r w:rsidR="009E3C95" w:rsidRPr="003272C7">
              <w:rPr>
                <w:rFonts w:cs="Arial"/>
              </w:rPr>
              <w:t>can work with CMAs to maximise the value of future evaluations and streamline effort required for CMAs and DEECA, in EC6 and beyond.</w:t>
            </w:r>
          </w:p>
          <w:p w14:paraId="4620BCCB" w14:textId="551DDC18" w:rsidR="00142559" w:rsidRPr="003272C7" w:rsidRDefault="00B242C3" w:rsidP="0018048A">
            <w:pPr>
              <w:pStyle w:val="TableBullet"/>
              <w:rPr>
                <w:rFonts w:cs="Arial"/>
              </w:rPr>
            </w:pPr>
            <w:r w:rsidRPr="003272C7">
              <w:rPr>
                <w:rFonts w:cs="Arial"/>
              </w:rPr>
              <w:t xml:space="preserve">A number of </w:t>
            </w:r>
            <w:r w:rsidR="00AB64FE" w:rsidRPr="003272C7">
              <w:rPr>
                <w:rFonts w:cs="Arial"/>
              </w:rPr>
              <w:t>p</w:t>
            </w:r>
            <w:r w:rsidRPr="003272C7">
              <w:rPr>
                <w:rFonts w:cs="Arial"/>
              </w:rPr>
              <w:t xml:space="preserve">rograms have collected important data (evidence) that evaluates waterway and environmental water health to guide improvements in waterway management practices, and to inform state and regional waterway planning, evaluation and reporting. Including the: Stream Change </w:t>
            </w:r>
            <w:r w:rsidR="00AB64FE" w:rsidRPr="003272C7">
              <w:rPr>
                <w:rFonts w:cs="Arial"/>
              </w:rPr>
              <w:t>A</w:t>
            </w:r>
            <w:r w:rsidRPr="003272C7">
              <w:rPr>
                <w:rFonts w:cs="Arial"/>
              </w:rPr>
              <w:t xml:space="preserve">ssessment: Riparian </w:t>
            </w:r>
            <w:r w:rsidR="00AB64FE" w:rsidRPr="003272C7">
              <w:rPr>
                <w:rFonts w:cs="Arial"/>
              </w:rPr>
              <w:t>W</w:t>
            </w:r>
            <w:r w:rsidRPr="003272C7">
              <w:rPr>
                <w:rFonts w:cs="Arial"/>
              </w:rPr>
              <w:t xml:space="preserve">oody Vegetation, </w:t>
            </w:r>
            <w:hyperlink r:id="rId26" w:history="1">
              <w:r w:rsidRPr="003272C7">
                <w:rPr>
                  <w:rStyle w:val="Hyperlink"/>
                  <w:rFonts w:cs="Arial"/>
                </w:rPr>
                <w:t>2021 Great Australian Platypus Search</w:t>
              </w:r>
            </w:hyperlink>
            <w:r w:rsidRPr="003272C7">
              <w:rPr>
                <w:rFonts w:cs="Arial"/>
              </w:rPr>
              <w:t xml:space="preserve"> using eDNA, VEFMAP</w:t>
            </w:r>
            <w:r w:rsidRPr="003272C7">
              <w:rPr>
                <w:rFonts w:cs="Arial"/>
              </w:rPr>
              <w:footnoteReference w:id="15"/>
            </w:r>
            <w:r w:rsidRPr="003272C7">
              <w:rPr>
                <w:rFonts w:cs="Arial"/>
              </w:rPr>
              <w:t xml:space="preserve"> and WetMAP</w:t>
            </w:r>
            <w:r w:rsidRPr="003272C7">
              <w:rPr>
                <w:rFonts w:cs="Arial"/>
              </w:rPr>
              <w:footnoteReference w:id="16"/>
            </w:r>
            <w:r w:rsidRPr="003272C7">
              <w:rPr>
                <w:rFonts w:cs="Arial"/>
              </w:rPr>
              <w:t xml:space="preserve"> to evaluate ecological responses to environmental </w:t>
            </w:r>
            <w:r w:rsidRPr="003272C7">
              <w:rPr>
                <w:rFonts w:cs="Arial"/>
              </w:rPr>
              <w:lastRenderedPageBreak/>
              <w:t xml:space="preserve">water management, Riparian Intervention Monitoring Program (RIMP), Victoria’s first Index of Estuary Condition was completed and </w:t>
            </w:r>
            <w:hyperlink r:id="rId27" w:history="1">
              <w:r w:rsidRPr="003272C7">
                <w:rPr>
                  <w:rStyle w:val="Hyperlink"/>
                  <w:rFonts w:cs="Arial"/>
                </w:rPr>
                <w:t>released</w:t>
              </w:r>
            </w:hyperlink>
            <w:r w:rsidRPr="003272C7">
              <w:rPr>
                <w:rFonts w:cs="Arial"/>
              </w:rPr>
              <w:t xml:space="preserve"> in Sep</w:t>
            </w:r>
            <w:r w:rsidR="00AB64FE" w:rsidRPr="003272C7">
              <w:rPr>
                <w:rFonts w:cs="Arial"/>
              </w:rPr>
              <w:t>tember</w:t>
            </w:r>
            <w:r w:rsidRPr="003272C7">
              <w:rPr>
                <w:rFonts w:cs="Arial"/>
              </w:rPr>
              <w:t xml:space="preserve"> 2021</w:t>
            </w:r>
            <w:r w:rsidR="009E37AD" w:rsidRPr="003272C7">
              <w:rPr>
                <w:rFonts w:cs="Arial"/>
              </w:rPr>
              <w:t xml:space="preserve"> as well as several projects to understand waterway hydrology and aquatic biodiversity aimed at supporting state and regional planning</w:t>
            </w:r>
            <w:r w:rsidRPr="003272C7">
              <w:rPr>
                <w:rFonts w:cs="Arial"/>
              </w:rPr>
              <w:t>.</w:t>
            </w:r>
          </w:p>
          <w:p w14:paraId="0188C491" w14:textId="77777777" w:rsidR="00142559" w:rsidRPr="003272C7" w:rsidRDefault="00B242C3" w:rsidP="0018048A">
            <w:pPr>
              <w:pStyle w:val="TableBullet"/>
              <w:rPr>
                <w:rFonts w:cs="Arial"/>
              </w:rPr>
            </w:pPr>
            <w:r w:rsidRPr="003272C7">
              <w:rPr>
                <w:rFonts w:cs="Arial"/>
              </w:rPr>
              <w:t>The Stream Change Assessment Project compared the condition of woody riparian vegetation in 3,400</w:t>
            </w:r>
            <w:r w:rsidR="00AB64FE" w:rsidRPr="003272C7">
              <w:rPr>
                <w:rFonts w:cs="Arial"/>
              </w:rPr>
              <w:t xml:space="preserve"> </w:t>
            </w:r>
            <w:r w:rsidRPr="003272C7">
              <w:rPr>
                <w:rFonts w:cs="Arial"/>
              </w:rPr>
              <w:t>km of stream length between 2018-2020 and 2010. It found that at statewide and regional extents changes were small, however the largest changes occurred where substantial or sustained riparian management had been undertaken.</w:t>
            </w:r>
          </w:p>
          <w:p w14:paraId="1C2ED0CD" w14:textId="5A120CFA" w:rsidR="00CD1074" w:rsidRPr="003272C7" w:rsidRDefault="00CD1074" w:rsidP="0018048A">
            <w:pPr>
              <w:pStyle w:val="TableBullet"/>
              <w:rPr>
                <w:rFonts w:cs="Arial"/>
              </w:rPr>
            </w:pPr>
            <w:r w:rsidRPr="003272C7">
              <w:rPr>
                <w:rFonts w:cs="Arial"/>
              </w:rPr>
              <w:t>More than 20 projects have been funded through VEFMAP and WetMAP focusing on fish, vegetation, birds and frogs, and outputs have been used by managers to guide the development and refinement of environmental water management plans (EWMPs), and environmental water operational decisions. The VEFMAP fish theme completed the most comprehensive assessment to date of long-term trends in Victorian native fish populations, which showed that most examined species declined during the Millenium Drought (2000-2010), and population trends have increased subsequently. VEFMAP fish monitoring has also demonstrated strong influences of hydrology (including environmental water), on key processes such as movement, dispersal and recruitment.</w:t>
            </w:r>
          </w:p>
          <w:p w14:paraId="64284E89" w14:textId="77777777" w:rsidR="00142559" w:rsidRPr="003272C7" w:rsidRDefault="002F70BB" w:rsidP="0018048A">
            <w:pPr>
              <w:pStyle w:val="TableBullet"/>
              <w:rPr>
                <w:rFonts w:cs="Arial"/>
              </w:rPr>
            </w:pPr>
            <w:r w:rsidRPr="003272C7">
              <w:rPr>
                <w:rFonts w:cs="Arial"/>
              </w:rPr>
              <w:t xml:space="preserve">In 2022-23 the </w:t>
            </w:r>
            <w:r w:rsidR="00B242C3" w:rsidRPr="003272C7">
              <w:rPr>
                <w:rFonts w:cs="Arial"/>
              </w:rPr>
              <w:t xml:space="preserve">Riparian Intervention Monitoring Program (RIMP): found that after 3 years of management interventions, such as weed control, revegetation and livestock exclusion, there is evidence of positive changes such as increased density of native woody recruits and the number of native taxa. </w:t>
            </w:r>
            <w:r w:rsidRPr="003272C7">
              <w:rPr>
                <w:rFonts w:cs="Arial"/>
              </w:rPr>
              <w:t>Monitoring of RIMP sites for responses to widespread and significant flooding in late 2022 showed that most sites (both Intervention and Control) had some degree of scour and/or mass failure in response to flooding. However, results indicated that the severity and/or frequency of scour and mass failure was less at intervention sites than control sites. Generally, most intervention sites had more instream and/or littoral vegetation present than control sites. Sites with a high cover of instream or littoral vegetation, appeared to have less flood impact (scour and mass failure) than sites with little or no instream and littoral vegetation.</w:t>
            </w:r>
          </w:p>
          <w:p w14:paraId="27A2B362" w14:textId="77777777" w:rsidR="00142559" w:rsidRPr="003272C7" w:rsidRDefault="002F70BB" w:rsidP="0018048A">
            <w:pPr>
              <w:pStyle w:val="TableBullet"/>
              <w:rPr>
                <w:rFonts w:cs="Arial"/>
              </w:rPr>
            </w:pPr>
            <w:r w:rsidRPr="003272C7">
              <w:rPr>
                <w:rFonts w:cs="Arial"/>
              </w:rPr>
              <w:t xml:space="preserve">DEECA and other organisations partnered with the Odonata Foundation to undertake a state-wide investigation into platypus populations using environmental DNA as part of the Great Australian Platypus Search. Samples were collected from close to 2,000 sites across Victoria with the data improving our understanding of platypus populations across the state. The </w:t>
            </w:r>
            <w:r w:rsidR="00445736" w:rsidRPr="003272C7">
              <w:rPr>
                <w:rFonts w:cs="Arial"/>
              </w:rPr>
              <w:t>project</w:t>
            </w:r>
            <w:r w:rsidRPr="003272C7">
              <w:rPr>
                <w:rFonts w:cs="Arial"/>
              </w:rPr>
              <w:t xml:space="preserve"> was made possible through the great support and coordination of WaterWatch Victoria, CMAs, Parks Victoria and enthusiastic community volunteers.</w:t>
            </w:r>
          </w:p>
          <w:p w14:paraId="1B78F624" w14:textId="77777777" w:rsidR="00142559" w:rsidRPr="003272C7" w:rsidRDefault="00661898" w:rsidP="0018048A">
            <w:pPr>
              <w:pStyle w:val="TableBullet"/>
              <w:rPr>
                <w:rFonts w:cs="Arial"/>
              </w:rPr>
            </w:pPr>
            <w:r w:rsidRPr="003272C7">
              <w:rPr>
                <w:rFonts w:cs="Arial"/>
              </w:rPr>
              <w:t>A project was undertaken to characterise wetland hydrologic stress in Victoria using data from 1988-2022. Hydrologic stress measures showed a general decline in wetland hydrology (mean and maximum magnitude, duration, and frequency) and indicate over 20% of wetlands in Victoria substantially deviated from their historical hydrologic regimes. Projections of hydrological stress under climate change were also explored and indicated that between 1,399 and 1,706 wetlands as 'lost' due to declining inundation, primarily affecting seasonal and episodic wetlands in north-western Victoria. Projections also indicate significant decreases in permanent and seasonal wetlands, with an increase in episodic wetlands. This information will be used to guide state and regional planning and management of wetlands.</w:t>
            </w:r>
          </w:p>
          <w:p w14:paraId="423CCBD2" w14:textId="77777777" w:rsidR="00142559" w:rsidRPr="003272C7" w:rsidRDefault="00661898" w:rsidP="0018048A">
            <w:pPr>
              <w:pStyle w:val="TableBullet"/>
              <w:rPr>
                <w:rFonts w:cs="Arial"/>
              </w:rPr>
            </w:pPr>
            <w:r w:rsidRPr="003272C7">
              <w:rPr>
                <w:rFonts w:cs="Arial"/>
              </w:rPr>
              <w:t xml:space="preserve">A project to develop </w:t>
            </w:r>
            <w:r w:rsidR="00AB64FE" w:rsidRPr="003272C7">
              <w:rPr>
                <w:rFonts w:cs="Arial"/>
              </w:rPr>
              <w:t>h</w:t>
            </w:r>
            <w:r w:rsidRPr="003272C7">
              <w:rPr>
                <w:rFonts w:cs="Arial"/>
              </w:rPr>
              <w:t xml:space="preserve">abitat distribution models for Victoria's wetland-dependant species was undertaken to predict where suitable habitat may exist wetland species, based in part on verified observations of the species in their natural environments. These </w:t>
            </w:r>
            <w:r w:rsidR="00AB64FE" w:rsidRPr="003272C7">
              <w:rPr>
                <w:rFonts w:cs="Arial"/>
              </w:rPr>
              <w:t xml:space="preserve">habitat distribution models </w:t>
            </w:r>
            <w:r w:rsidRPr="003272C7">
              <w:rPr>
                <w:rFonts w:cs="Arial"/>
              </w:rPr>
              <w:t>will be used as an input to guide state policy and development of a tool for informing regional planning.</w:t>
            </w:r>
          </w:p>
          <w:p w14:paraId="7B96C080" w14:textId="230642C9" w:rsidR="00B242C3" w:rsidRPr="003272C7" w:rsidRDefault="000B4A2F" w:rsidP="0018048A">
            <w:pPr>
              <w:pStyle w:val="TableBullet"/>
              <w:rPr>
                <w:rFonts w:cs="Arial"/>
              </w:rPr>
            </w:pPr>
            <w:r w:rsidRPr="003272C7">
              <w:rPr>
                <w:rFonts w:cs="Arial"/>
              </w:rPr>
              <w:t xml:space="preserve">A project was undertaken to understand current and likely flow alteration under a range of climate change scenarios for unregulated rivers, using hydrological modelling and analyses. The outputs of this work also include an estimate of when hydrological change is likely to occur for each catchment. These </w:t>
            </w:r>
            <w:r w:rsidRPr="003272C7">
              <w:rPr>
                <w:rFonts w:cs="Arial"/>
              </w:rPr>
              <w:lastRenderedPageBreak/>
              <w:t>hydrological data will ultimately be linked to information about aquatic species to understand the ecological implications of current and future hydrological stress on the biota present in unregulated catchments across Victoria. These outputs will be used to guide state and regional planning and management.</w:t>
            </w:r>
          </w:p>
          <w:p w14:paraId="25F6C910" w14:textId="77777777" w:rsidR="00142559" w:rsidRPr="003272C7" w:rsidRDefault="00B242C3" w:rsidP="0018048A">
            <w:pPr>
              <w:pStyle w:val="TableBullet"/>
              <w:rPr>
                <w:rFonts w:cs="Arial"/>
              </w:rPr>
            </w:pPr>
            <w:r w:rsidRPr="003272C7">
              <w:rPr>
                <w:rFonts w:cs="Arial"/>
              </w:rPr>
              <w:t>Anges River / Corner Inlet Flagship Project: After many years of hard work and consistent investment from EC tranches, a major outcome has been reached at the West Gippsland CMA Agnes River/Corner Inlet Flagship site - the last remaining stand of willow trees has been removed from the of the Agnes River, making it completely free of this highly invasive and damaging species.</w:t>
            </w:r>
            <w:r w:rsidR="00142559" w:rsidRPr="003272C7">
              <w:rPr>
                <w:rFonts w:cs="Arial"/>
              </w:rPr>
              <w:t xml:space="preserve"> </w:t>
            </w:r>
            <w:r w:rsidRPr="003272C7">
              <w:rPr>
                <w:rFonts w:cs="Arial"/>
              </w:rPr>
              <w:t xml:space="preserve">There are very few waterways in Victoria where all willows have been successfully removed; this is a first for </w:t>
            </w:r>
            <w:r w:rsidR="000B4A2F" w:rsidRPr="003272C7">
              <w:rPr>
                <w:rFonts w:cs="Arial"/>
              </w:rPr>
              <w:t xml:space="preserve">the </w:t>
            </w:r>
            <w:r w:rsidRPr="003272C7">
              <w:rPr>
                <w:rFonts w:cs="Arial"/>
              </w:rPr>
              <w:t>CMA and a win for the environment.</w:t>
            </w:r>
          </w:p>
          <w:p w14:paraId="4F39DEA0" w14:textId="041EA042" w:rsidR="00B242C3" w:rsidRPr="003272C7" w:rsidRDefault="00B242C3" w:rsidP="0018048A">
            <w:pPr>
              <w:pStyle w:val="TableBullet"/>
              <w:rPr>
                <w:rFonts w:cs="Arial"/>
              </w:rPr>
            </w:pPr>
            <w:r w:rsidRPr="003272C7">
              <w:rPr>
                <w:rFonts w:cs="Arial"/>
              </w:rPr>
              <w:t>Engaging community, integrating community views: The My Victorian Waterway survey ran for five weeks in March/April 2022. A total of 6,240 online surveys were completed. The design of the data collection approach ensured the sample was sizeable and representative of the adult Victorian population in terms of age, gender and location, including representation across all regions of the state. The survey gathered a wealth of information about current waterway usage, attitudes and understandings about waterway health, current knowledge and language used by the community, and aspirations for the future. The story told by participants paints a clear picture of the great importance and value of healthy waterways for all Victorians and future generations. The data from the My Victorian Waterway survey will be used to help shape water-sector policy, guide investments and inform waterway Programs and community engagement by the Victorian Government and other partners.</w:t>
            </w:r>
          </w:p>
          <w:p w14:paraId="00B5741E" w14:textId="77777777" w:rsidR="00142559" w:rsidRPr="003272C7" w:rsidRDefault="00B242C3" w:rsidP="0018048A">
            <w:pPr>
              <w:pStyle w:val="TableBullet"/>
              <w:rPr>
                <w:rFonts w:cs="Arial"/>
              </w:rPr>
            </w:pPr>
            <w:r w:rsidRPr="003272C7">
              <w:rPr>
                <w:rFonts w:cs="Arial"/>
              </w:rPr>
              <w:t xml:space="preserve">Traditional Owner partnerships: 48 out of 61 Waterway Health projects involved partnership agreements (34) and/or engaged Aboriginal businesses (31). 31 different Traditional Owner groups were engaged in project development and/or implementation in some capacity (or CMAs intended to engage them). </w:t>
            </w:r>
            <w:r w:rsidR="00690633" w:rsidRPr="003272C7">
              <w:rPr>
                <w:rFonts w:cs="Arial"/>
              </w:rPr>
              <w:t>In EC5, Traditional Owner groups</w:t>
            </w:r>
            <w:r w:rsidR="00AB64FE" w:rsidRPr="003272C7">
              <w:rPr>
                <w:rFonts w:cs="Arial"/>
              </w:rPr>
              <w:t xml:space="preserve"> </w:t>
            </w:r>
            <w:r w:rsidR="00690633" w:rsidRPr="003272C7">
              <w:rPr>
                <w:rFonts w:cs="Arial"/>
              </w:rPr>
              <w:t>/</w:t>
            </w:r>
            <w:r w:rsidR="00AB64FE" w:rsidRPr="003272C7">
              <w:rPr>
                <w:rFonts w:cs="Arial"/>
              </w:rPr>
              <w:t xml:space="preserve"> </w:t>
            </w:r>
            <w:r w:rsidR="00690633" w:rsidRPr="003272C7">
              <w:rPr>
                <w:rFonts w:cs="Arial"/>
              </w:rPr>
              <w:t>Aboriginal Victorians received $2,862,228 of funding from CMAs. Of this, $2,468,567 went to 15 different Traditional Owner groups, and $393,661 went to Aboriginal Community-Controlled Organisations, Aboriginal-owned private businesses, and employment programs.</w:t>
            </w:r>
          </w:p>
          <w:p w14:paraId="7C4880C6" w14:textId="690FD5A4" w:rsidR="00B242C3" w:rsidRPr="003272C7" w:rsidRDefault="00B242C3" w:rsidP="0018048A">
            <w:pPr>
              <w:pStyle w:val="TableBullet"/>
              <w:rPr>
                <w:rFonts w:cs="Arial"/>
              </w:rPr>
            </w:pPr>
            <w:r w:rsidRPr="003272C7">
              <w:rPr>
                <w:rFonts w:cs="Arial"/>
              </w:rPr>
              <w:t xml:space="preserve">Physical interventions on waterways are undertaken by waterway managers throughout Victoria to improve the condition of waterways. The </w:t>
            </w:r>
            <w:hyperlink r:id="rId28" w:history="1">
              <w:r w:rsidR="00045A36" w:rsidRPr="003272C7">
                <w:rPr>
                  <w:rStyle w:val="Hyperlink"/>
                  <w:rFonts w:cs="Arial"/>
                </w:rPr>
                <w:t>Technical Guidelines for Waterway Management</w:t>
              </w:r>
            </w:hyperlink>
            <w:r w:rsidR="00045A36" w:rsidRPr="003272C7">
              <w:rPr>
                <w:rFonts w:cs="Arial"/>
              </w:rPr>
              <w:t>, published in July 2024,</w:t>
            </w:r>
            <w:r w:rsidRPr="003272C7">
              <w:rPr>
                <w:rFonts w:cs="Arial"/>
              </w:rPr>
              <w:t xml:space="preserve"> provide options and specifications for those interventions, recognising threats to waterway values and the underlying physical and ecological processes within our waterways.</w:t>
            </w:r>
            <w:r w:rsidR="005479F2" w:rsidRPr="003272C7">
              <w:rPr>
                <w:rFonts w:cs="Arial"/>
              </w:rPr>
              <w:t xml:space="preserve"> The guidelines incorporate recent advances in best practice for waterway health protection and improvement.</w:t>
            </w:r>
          </w:p>
        </w:tc>
      </w:tr>
      <w:tr w:rsidR="00B242C3" w:rsidRPr="003272C7" w14:paraId="6A1FEE4A" w14:textId="77777777" w:rsidTr="00142559">
        <w:trPr>
          <w:trHeight w:val="259"/>
        </w:trPr>
        <w:tc>
          <w:tcPr>
            <w:tcW w:w="979" w:type="pct"/>
            <w:shd w:val="clear" w:color="auto" w:fill="231EDC" w:themeFill="accent1"/>
          </w:tcPr>
          <w:p w14:paraId="6814424A" w14:textId="77777777" w:rsidR="00B242C3" w:rsidRPr="003272C7" w:rsidRDefault="00B242C3" w:rsidP="004E7A16">
            <w:pPr>
              <w:pStyle w:val="TableText"/>
              <w:rPr>
                <w:rFonts w:cs="Arial"/>
                <w:b/>
                <w:bCs/>
              </w:rPr>
            </w:pPr>
            <w:r w:rsidRPr="003272C7">
              <w:rPr>
                <w:rFonts w:cs="Arial"/>
                <w:b/>
                <w:bCs/>
              </w:rPr>
              <w:lastRenderedPageBreak/>
              <w:t>Effectiveness</w:t>
            </w:r>
          </w:p>
        </w:tc>
        <w:tc>
          <w:tcPr>
            <w:tcW w:w="4021" w:type="pct"/>
          </w:tcPr>
          <w:p w14:paraId="6C400146" w14:textId="2D089041" w:rsidR="00B242C3" w:rsidRPr="003272C7" w:rsidRDefault="00B242C3" w:rsidP="004E7A16">
            <w:pPr>
              <w:pStyle w:val="TableText"/>
              <w:rPr>
                <w:rFonts w:cs="Arial"/>
              </w:rPr>
            </w:pPr>
            <w:r w:rsidRPr="003272C7">
              <w:rPr>
                <w:rFonts w:cs="Arial"/>
              </w:rPr>
              <w:t>The combined impacts of COVID-19, extreme weather emergencies, supply chain uncertainties and inflationary pressures have made it complex and difficult to consistently plan and deliver multiple elements of the Program. Project managers and stakeholders were faced with multiple reschedules of timelines, and a great deal of adaptive management was necessary. The combined impact of the shifting operational</w:t>
            </w:r>
            <w:r w:rsidR="00AB64FE" w:rsidRPr="003272C7">
              <w:rPr>
                <w:rFonts w:cs="Arial"/>
              </w:rPr>
              <w:t xml:space="preserve"> </w:t>
            </w:r>
            <w:r w:rsidRPr="003272C7">
              <w:rPr>
                <w:rFonts w:cs="Arial"/>
              </w:rPr>
              <w:t>/</w:t>
            </w:r>
            <w:r w:rsidR="00AB64FE" w:rsidRPr="003272C7">
              <w:rPr>
                <w:rFonts w:cs="Arial"/>
              </w:rPr>
              <w:t xml:space="preserve"> </w:t>
            </w:r>
            <w:r w:rsidRPr="003272C7">
              <w:rPr>
                <w:rFonts w:cs="Arial"/>
              </w:rPr>
              <w:t xml:space="preserve">delivery contexts as outlined above have made </w:t>
            </w:r>
            <w:r w:rsidR="00EC0F7F" w:rsidRPr="003272C7">
              <w:rPr>
                <w:rFonts w:cs="Arial"/>
              </w:rPr>
              <w:t xml:space="preserve">EC5 </w:t>
            </w:r>
            <w:r w:rsidRPr="003272C7">
              <w:rPr>
                <w:rFonts w:cs="Arial"/>
              </w:rPr>
              <w:t xml:space="preserve">the most difficult period to deliver the </w:t>
            </w:r>
            <w:r w:rsidR="00AB64FE" w:rsidRPr="003272C7">
              <w:rPr>
                <w:rFonts w:cs="Arial"/>
              </w:rPr>
              <w:t>p</w:t>
            </w:r>
            <w:r w:rsidRPr="003272C7">
              <w:rPr>
                <w:rFonts w:cs="Arial"/>
              </w:rPr>
              <w:t>rogram since its inception in the early 2000s.</w:t>
            </w:r>
          </w:p>
          <w:p w14:paraId="28016C3E" w14:textId="77777777" w:rsidR="00B242C3" w:rsidRPr="003272C7" w:rsidRDefault="00B242C3" w:rsidP="004E7A16">
            <w:pPr>
              <w:pStyle w:val="TableText"/>
              <w:rPr>
                <w:rFonts w:cs="Arial"/>
              </w:rPr>
            </w:pPr>
            <w:r w:rsidRPr="003272C7">
              <w:rPr>
                <w:rFonts w:cs="Arial"/>
              </w:rPr>
              <w:t>Since 2020, CMAs have faced significant challenge in delivering this outdoor on-ground works due to COVID restrictions impacting staff availability and restricted engagement with landholders and the community; the pandemic delaying budgets and funding opportunities; persistent wet conditions in different regions of the state due to La Niña and the resulting significant storm and flood events in the Gippsland region in April and June 2021, and again in northern Victoria between October 2022 and January 2023.</w:t>
            </w:r>
          </w:p>
          <w:p w14:paraId="6E7DC5F3" w14:textId="51564216" w:rsidR="00B242C3" w:rsidRPr="003272C7" w:rsidRDefault="00EC0F7F" w:rsidP="004E7A16">
            <w:pPr>
              <w:pStyle w:val="TableText"/>
              <w:rPr>
                <w:rFonts w:cs="Arial"/>
              </w:rPr>
            </w:pPr>
            <w:r w:rsidRPr="003272C7">
              <w:rPr>
                <w:rFonts w:cs="Arial"/>
              </w:rPr>
              <w:t>Despite these challenges, the program was successfully acquitted by 30 June 2024.</w:t>
            </w:r>
          </w:p>
        </w:tc>
      </w:tr>
      <w:tr w:rsidR="00B242C3" w:rsidRPr="003272C7" w14:paraId="4C375A73" w14:textId="77777777" w:rsidTr="00142559">
        <w:trPr>
          <w:trHeight w:val="259"/>
        </w:trPr>
        <w:tc>
          <w:tcPr>
            <w:tcW w:w="979" w:type="pct"/>
            <w:shd w:val="clear" w:color="auto" w:fill="231EDC" w:themeFill="accent1"/>
          </w:tcPr>
          <w:p w14:paraId="66058631" w14:textId="77777777" w:rsidR="00B242C3" w:rsidRPr="003272C7" w:rsidRDefault="00B242C3" w:rsidP="004E7A16">
            <w:pPr>
              <w:pStyle w:val="TableText"/>
              <w:rPr>
                <w:rFonts w:cs="Arial"/>
                <w:b/>
                <w:bCs/>
              </w:rPr>
            </w:pPr>
            <w:r w:rsidRPr="003272C7">
              <w:rPr>
                <w:rFonts w:cs="Arial"/>
                <w:b/>
                <w:bCs/>
              </w:rPr>
              <w:t>Appropriateness</w:t>
            </w:r>
          </w:p>
        </w:tc>
        <w:tc>
          <w:tcPr>
            <w:tcW w:w="4021" w:type="pct"/>
          </w:tcPr>
          <w:p w14:paraId="7CF9E28F" w14:textId="2BA6F0A9" w:rsidR="00B242C3" w:rsidRPr="003272C7" w:rsidRDefault="00B242C3" w:rsidP="004E7A16">
            <w:pPr>
              <w:pStyle w:val="TableText"/>
              <w:rPr>
                <w:rFonts w:cs="Arial"/>
              </w:rPr>
            </w:pPr>
            <w:r w:rsidRPr="003272C7">
              <w:rPr>
                <w:rFonts w:cs="Arial"/>
              </w:rPr>
              <w:t xml:space="preserve">This </w:t>
            </w:r>
            <w:r w:rsidR="00445736" w:rsidRPr="003272C7">
              <w:rPr>
                <w:rFonts w:cs="Arial"/>
              </w:rPr>
              <w:t>project</w:t>
            </w:r>
            <w:r w:rsidRPr="003272C7">
              <w:rPr>
                <w:rFonts w:cs="Arial"/>
              </w:rPr>
              <w:t xml:space="preserve"> was scoped to address actions in the Victorian Waterway Management Strategy </w:t>
            </w:r>
            <w:r w:rsidR="00742C60" w:rsidRPr="003272C7">
              <w:rPr>
                <w:rFonts w:cs="Arial"/>
              </w:rPr>
              <w:t xml:space="preserve">(VWMS) </w:t>
            </w:r>
            <w:r w:rsidRPr="003272C7">
              <w:rPr>
                <w:rFonts w:cs="Arial"/>
              </w:rPr>
              <w:t xml:space="preserve">and Water for Victoria, align to the </w:t>
            </w:r>
            <w:r w:rsidR="00AB64FE" w:rsidRPr="003272C7">
              <w:rPr>
                <w:rFonts w:cs="Arial"/>
              </w:rPr>
              <w:t>9</w:t>
            </w:r>
            <w:r w:rsidRPr="003272C7">
              <w:rPr>
                <w:rFonts w:cs="Arial"/>
              </w:rPr>
              <w:t xml:space="preserve"> regional Waterway Strategies </w:t>
            </w:r>
            <w:r w:rsidRPr="003272C7">
              <w:rPr>
                <w:rFonts w:cs="Arial"/>
              </w:rPr>
              <w:lastRenderedPageBreak/>
              <w:t>approved in 2014 by both the Minister for Water and Minister for Environment and meet statutory functions and obligations as outlined in the Water Act 1989.</w:t>
            </w:r>
          </w:p>
          <w:p w14:paraId="19758335" w14:textId="10CA179B" w:rsidR="00B242C3" w:rsidRPr="003272C7" w:rsidRDefault="002B57AC" w:rsidP="004E7A16">
            <w:pPr>
              <w:pStyle w:val="TableText"/>
              <w:rPr>
                <w:rFonts w:cs="Arial"/>
              </w:rPr>
            </w:pPr>
            <w:r w:rsidRPr="003272C7">
              <w:rPr>
                <w:rFonts w:cs="Arial"/>
              </w:rPr>
              <w:t xml:space="preserve">A </w:t>
            </w:r>
            <w:r w:rsidR="00B242C3" w:rsidRPr="003272C7">
              <w:rPr>
                <w:rFonts w:cs="Arial"/>
              </w:rPr>
              <w:t xml:space="preserve">significant shift in the policy context for delivery of the </w:t>
            </w:r>
            <w:r w:rsidR="001676BA" w:rsidRPr="003272C7">
              <w:rPr>
                <w:rFonts w:cs="Arial"/>
              </w:rPr>
              <w:t>p</w:t>
            </w:r>
            <w:r w:rsidR="00B242C3" w:rsidRPr="003272C7">
              <w:rPr>
                <w:rFonts w:cs="Arial"/>
              </w:rPr>
              <w:t>rogram</w:t>
            </w:r>
            <w:r w:rsidR="001676BA" w:rsidRPr="003272C7">
              <w:rPr>
                <w:rFonts w:cs="Arial"/>
              </w:rPr>
              <w:t xml:space="preserve"> was the release of Water is Life. It provides an important framework to create and maintain a careful and considered balance between Traditional Owner self-determination in water access and management and the rights and entitlements of a range of stakeholders. Over 2023- 2024, DEECA engaged with Traditional Owners on policy to inform the development of the draft VWMS. The engagement approach used multiple pathways, including one-on-one meetings, regional discussions (groups and individual), online drop-in sessions and other existing forums.</w:t>
            </w:r>
            <w:r w:rsidR="00B242C3" w:rsidRPr="003272C7">
              <w:rPr>
                <w:rFonts w:cs="Arial"/>
              </w:rPr>
              <w:t xml:space="preserve"> </w:t>
            </w:r>
          </w:p>
        </w:tc>
      </w:tr>
      <w:tr w:rsidR="00B242C3" w:rsidRPr="003272C7" w14:paraId="0CED53A9" w14:textId="77777777" w:rsidTr="00142559">
        <w:trPr>
          <w:trHeight w:val="259"/>
        </w:trPr>
        <w:tc>
          <w:tcPr>
            <w:tcW w:w="979" w:type="pct"/>
            <w:shd w:val="clear" w:color="auto" w:fill="231EDC" w:themeFill="accent1"/>
          </w:tcPr>
          <w:p w14:paraId="0295D196" w14:textId="77777777" w:rsidR="00B242C3" w:rsidRPr="003272C7" w:rsidRDefault="00B242C3" w:rsidP="004E7A16">
            <w:pPr>
              <w:pStyle w:val="TableText"/>
              <w:rPr>
                <w:rFonts w:cs="Arial"/>
                <w:b/>
                <w:bCs/>
              </w:rPr>
            </w:pPr>
            <w:r w:rsidRPr="003272C7">
              <w:rPr>
                <w:rFonts w:cs="Arial"/>
                <w:b/>
                <w:bCs/>
              </w:rPr>
              <w:lastRenderedPageBreak/>
              <w:t>Efficiency</w:t>
            </w:r>
          </w:p>
        </w:tc>
        <w:tc>
          <w:tcPr>
            <w:tcW w:w="4021" w:type="pct"/>
          </w:tcPr>
          <w:p w14:paraId="489618DF" w14:textId="468860B8" w:rsidR="00B242C3" w:rsidRPr="003272C7" w:rsidRDefault="00B242C3" w:rsidP="004E7A16">
            <w:pPr>
              <w:pStyle w:val="TableText"/>
              <w:rPr>
                <w:rFonts w:cs="Arial"/>
              </w:rPr>
            </w:pPr>
            <w:r w:rsidRPr="003272C7">
              <w:rPr>
                <w:rFonts w:cs="Arial"/>
              </w:rPr>
              <w:t>The combined impacts of COVID-19, extreme weather emergencies, supply chain uncertainties and inflationary pressures made it complex and difficult to consistently plan and deliver multiple elements of the Program. Project managers and stakeholders were faced with multiple reschedules of timelines, and a great deal of adaptive management was necessary. The combined impact of these shifting operational</w:t>
            </w:r>
            <w:r w:rsidR="00AB64FE" w:rsidRPr="003272C7">
              <w:rPr>
                <w:rFonts w:cs="Arial"/>
              </w:rPr>
              <w:t xml:space="preserve"> </w:t>
            </w:r>
            <w:r w:rsidRPr="003272C7">
              <w:rPr>
                <w:rFonts w:cs="Arial"/>
              </w:rPr>
              <w:t>/</w:t>
            </w:r>
            <w:r w:rsidR="00AB64FE" w:rsidRPr="003272C7">
              <w:rPr>
                <w:rFonts w:cs="Arial"/>
              </w:rPr>
              <w:t xml:space="preserve"> </w:t>
            </w:r>
            <w:r w:rsidRPr="003272C7">
              <w:rPr>
                <w:rFonts w:cs="Arial"/>
              </w:rPr>
              <w:t xml:space="preserve">delivery contexts have made the </w:t>
            </w:r>
            <w:r w:rsidR="000F22E3" w:rsidRPr="003272C7">
              <w:rPr>
                <w:rFonts w:cs="Arial"/>
              </w:rPr>
              <w:t xml:space="preserve">EC5 </w:t>
            </w:r>
            <w:r w:rsidRPr="003272C7">
              <w:rPr>
                <w:rFonts w:cs="Arial"/>
              </w:rPr>
              <w:t xml:space="preserve">the most difficult period to deliver the </w:t>
            </w:r>
            <w:r w:rsidR="000F22E3" w:rsidRPr="003272C7">
              <w:rPr>
                <w:rFonts w:cs="Arial"/>
              </w:rPr>
              <w:t>p</w:t>
            </w:r>
            <w:r w:rsidRPr="003272C7">
              <w:rPr>
                <w:rFonts w:cs="Arial"/>
              </w:rPr>
              <w:t>rogram since its inception in the early 2000s.</w:t>
            </w:r>
          </w:p>
          <w:p w14:paraId="4144F164" w14:textId="4FF17E80" w:rsidR="00B242C3" w:rsidRPr="003272C7" w:rsidRDefault="00B242C3" w:rsidP="004E7A16">
            <w:pPr>
              <w:pStyle w:val="TableText"/>
              <w:rPr>
                <w:rFonts w:cs="Arial"/>
              </w:rPr>
            </w:pPr>
            <w:r w:rsidRPr="003272C7">
              <w:rPr>
                <w:rFonts w:cs="Arial"/>
              </w:rPr>
              <w:t xml:space="preserve">The </w:t>
            </w:r>
            <w:r w:rsidR="00AB64FE" w:rsidRPr="003272C7">
              <w:rPr>
                <w:rFonts w:cs="Arial"/>
              </w:rPr>
              <w:t>percentage</w:t>
            </w:r>
            <w:r w:rsidRPr="003272C7">
              <w:rPr>
                <w:rFonts w:cs="Arial"/>
              </w:rPr>
              <w:t xml:space="preserve"> expenditure against budget started slowly during COVID </w:t>
            </w:r>
            <w:r w:rsidR="000F22E3" w:rsidRPr="003272C7">
              <w:rPr>
                <w:rFonts w:cs="Arial"/>
              </w:rPr>
              <w:t xml:space="preserve">and </w:t>
            </w:r>
            <w:r w:rsidRPr="003272C7">
              <w:rPr>
                <w:rFonts w:cs="Arial"/>
              </w:rPr>
              <w:t>was further impacted by the major floods of Oct 2022</w:t>
            </w:r>
            <w:r w:rsidR="000C76F5" w:rsidRPr="003272C7">
              <w:rPr>
                <w:rFonts w:cs="Arial"/>
              </w:rPr>
              <w:t>.</w:t>
            </w:r>
            <w:r w:rsidRPr="003272C7">
              <w:rPr>
                <w:rFonts w:cs="Arial"/>
              </w:rPr>
              <w:t xml:space="preserve"> </w:t>
            </w:r>
            <w:r w:rsidR="000C76F5" w:rsidRPr="003272C7">
              <w:rPr>
                <w:rFonts w:cs="Arial"/>
              </w:rPr>
              <w:t xml:space="preserve">It recovered </w:t>
            </w:r>
            <w:r w:rsidRPr="003272C7">
              <w:rPr>
                <w:rFonts w:cs="Arial"/>
              </w:rPr>
              <w:t xml:space="preserve">strongly and </w:t>
            </w:r>
            <w:r w:rsidR="000C76F5" w:rsidRPr="003272C7">
              <w:rPr>
                <w:rFonts w:cs="Arial"/>
              </w:rPr>
              <w:t>all funds were expended</w:t>
            </w:r>
            <w:r w:rsidRPr="003272C7">
              <w:rPr>
                <w:rFonts w:cs="Arial"/>
              </w:rPr>
              <w:t xml:space="preserve"> by </w:t>
            </w:r>
            <w:r w:rsidR="009A5858" w:rsidRPr="003272C7">
              <w:rPr>
                <w:rFonts w:cs="Arial"/>
              </w:rPr>
              <w:t>30</w:t>
            </w:r>
            <w:r w:rsidRPr="003272C7">
              <w:rPr>
                <w:rFonts w:cs="Arial"/>
              </w:rPr>
              <w:t xml:space="preserve"> June 2024. </w:t>
            </w:r>
          </w:p>
        </w:tc>
      </w:tr>
      <w:tr w:rsidR="00AB64FE" w:rsidRPr="003272C7" w14:paraId="56DD5A0F" w14:textId="77777777" w:rsidTr="00142559">
        <w:trPr>
          <w:trHeight w:val="259"/>
        </w:trPr>
        <w:tc>
          <w:tcPr>
            <w:tcW w:w="979" w:type="pct"/>
            <w:shd w:val="clear" w:color="auto" w:fill="231EDC" w:themeFill="accent1"/>
          </w:tcPr>
          <w:p w14:paraId="07AF3511" w14:textId="77777777" w:rsidR="00B242C3" w:rsidRPr="003272C7" w:rsidRDefault="00B242C3" w:rsidP="004E7A16">
            <w:pPr>
              <w:pStyle w:val="TableText"/>
              <w:rPr>
                <w:rFonts w:cs="Arial"/>
                <w:b/>
                <w:bCs/>
              </w:rPr>
            </w:pPr>
            <w:r w:rsidRPr="003272C7">
              <w:rPr>
                <w:rFonts w:cs="Arial"/>
                <w:b/>
                <w:bCs/>
              </w:rPr>
              <w:t>Legacy</w:t>
            </w:r>
          </w:p>
        </w:tc>
        <w:tc>
          <w:tcPr>
            <w:tcW w:w="4021" w:type="pct"/>
          </w:tcPr>
          <w:p w14:paraId="67938944" w14:textId="10F650D3" w:rsidR="00B242C3" w:rsidRPr="003272C7" w:rsidRDefault="00B242C3" w:rsidP="004E7A16">
            <w:pPr>
              <w:pStyle w:val="TableText"/>
              <w:rPr>
                <w:rFonts w:cs="Arial"/>
              </w:rPr>
            </w:pPr>
            <w:r w:rsidRPr="003272C7">
              <w:rPr>
                <w:rFonts w:cs="Arial"/>
              </w:rPr>
              <w:t>A</w:t>
            </w:r>
            <w:r w:rsidR="009A5858" w:rsidRPr="003272C7">
              <w:rPr>
                <w:rFonts w:cs="Arial"/>
              </w:rPr>
              <w:t>n</w:t>
            </w:r>
            <w:r w:rsidRPr="003272C7">
              <w:rPr>
                <w:rFonts w:cs="Arial"/>
              </w:rPr>
              <w:t xml:space="preserve"> example of the successful legacy of waterway </w:t>
            </w:r>
            <w:r w:rsidR="00AB64FE" w:rsidRPr="003272C7">
              <w:rPr>
                <w:rFonts w:cs="Arial"/>
              </w:rPr>
              <w:t>p</w:t>
            </w:r>
            <w:r w:rsidRPr="003272C7">
              <w:rPr>
                <w:rFonts w:cs="Arial"/>
              </w:rPr>
              <w:t xml:space="preserve">rograms delivered under the Environmental Contribution is </w:t>
            </w:r>
            <w:r w:rsidR="00355499" w:rsidRPr="003272C7">
              <w:rPr>
                <w:rFonts w:cs="Arial"/>
              </w:rPr>
              <w:t xml:space="preserve">was achieved through </w:t>
            </w:r>
            <w:r w:rsidRPr="003272C7">
              <w:rPr>
                <w:rFonts w:cs="Arial"/>
              </w:rPr>
              <w:t xml:space="preserve">implementation </w:t>
            </w:r>
            <w:r w:rsidR="00DD687A" w:rsidRPr="003272C7">
              <w:rPr>
                <w:rFonts w:cs="Arial"/>
              </w:rPr>
              <w:t>of the Regional Riparian Action Plan (RRAP)</w:t>
            </w:r>
            <w:r w:rsidRPr="003272C7">
              <w:rPr>
                <w:rFonts w:cs="Arial"/>
              </w:rPr>
              <w:t xml:space="preserve"> across EC3, EC4 and EC5</w:t>
            </w:r>
            <w:r w:rsidR="00355499" w:rsidRPr="003272C7">
              <w:rPr>
                <w:rFonts w:cs="Arial"/>
              </w:rPr>
              <w:t>.</w:t>
            </w:r>
          </w:p>
          <w:p w14:paraId="2205E978" w14:textId="60BCF719" w:rsidR="00B242C3" w:rsidRPr="003272C7" w:rsidRDefault="00B242C3" w:rsidP="004E7A16">
            <w:pPr>
              <w:pStyle w:val="TableText"/>
              <w:rPr>
                <w:rFonts w:cs="Arial"/>
              </w:rPr>
            </w:pPr>
            <w:r w:rsidRPr="003272C7">
              <w:rPr>
                <w:rFonts w:cs="Arial"/>
              </w:rPr>
              <w:t xml:space="preserve">The </w:t>
            </w:r>
            <w:r w:rsidR="00DD687A" w:rsidRPr="003272C7">
              <w:rPr>
                <w:rFonts w:cs="Arial"/>
              </w:rPr>
              <w:t>RRAP</w:t>
            </w:r>
            <w:r w:rsidRPr="003272C7">
              <w:rPr>
                <w:rFonts w:cs="Arial"/>
              </w:rPr>
              <w:t xml:space="preserve"> was a </w:t>
            </w:r>
            <w:r w:rsidR="00AB64FE" w:rsidRPr="003272C7">
              <w:rPr>
                <w:rFonts w:cs="Arial"/>
              </w:rPr>
              <w:t>5</w:t>
            </w:r>
            <w:r w:rsidRPr="003272C7">
              <w:rPr>
                <w:rFonts w:cs="Arial"/>
              </w:rPr>
              <w:t>-year plan which commenced in the final year of EC3 (2015-16) and ran across EC4 to 2020. The aim was to accelerate on-ground riparian management works to improve the health of riparian land along Victoria's regional rivers, estuaries and wetlands. After five years of the action plan’s implementation – 2015-20 – the key outcomes achieved include the protection and improvement of:</w:t>
            </w:r>
          </w:p>
          <w:p w14:paraId="57DA6C6C" w14:textId="762F6427" w:rsidR="00B242C3" w:rsidRPr="003272C7" w:rsidRDefault="00AB64FE" w:rsidP="0018048A">
            <w:pPr>
              <w:pStyle w:val="TableBullet"/>
              <w:rPr>
                <w:rFonts w:cs="Arial"/>
              </w:rPr>
            </w:pPr>
            <w:r w:rsidRPr="003272C7">
              <w:rPr>
                <w:rFonts w:cs="Arial"/>
              </w:rPr>
              <w:t>N</w:t>
            </w:r>
            <w:r w:rsidR="00B242C3" w:rsidRPr="003272C7">
              <w:rPr>
                <w:rFonts w:cs="Arial"/>
              </w:rPr>
              <w:t xml:space="preserve">early 3,500 kms of riparian land (140% of the </w:t>
            </w:r>
            <w:r w:rsidRPr="003272C7">
              <w:rPr>
                <w:rFonts w:cs="Arial"/>
              </w:rPr>
              <w:t>5</w:t>
            </w:r>
            <w:r w:rsidR="00B242C3" w:rsidRPr="003272C7">
              <w:rPr>
                <w:rFonts w:cs="Arial"/>
              </w:rPr>
              <w:t>-year action plan target)</w:t>
            </w:r>
            <w:r w:rsidRPr="003272C7">
              <w:rPr>
                <w:rFonts w:cs="Arial"/>
              </w:rPr>
              <w:t>.</w:t>
            </w:r>
          </w:p>
          <w:p w14:paraId="717E3E2D" w14:textId="21631E2F" w:rsidR="00B242C3" w:rsidRPr="003272C7" w:rsidRDefault="00AB64FE" w:rsidP="0018048A">
            <w:pPr>
              <w:pStyle w:val="TableBullet"/>
              <w:rPr>
                <w:rFonts w:cs="Arial"/>
              </w:rPr>
            </w:pPr>
            <w:r w:rsidRPr="003272C7">
              <w:rPr>
                <w:rFonts w:cs="Arial"/>
              </w:rPr>
              <w:t>O</w:t>
            </w:r>
            <w:r w:rsidR="00B242C3" w:rsidRPr="003272C7">
              <w:rPr>
                <w:rFonts w:cs="Arial"/>
              </w:rPr>
              <w:t xml:space="preserve">ver 53,000 ha of riparian land (190% of the </w:t>
            </w:r>
            <w:r w:rsidRPr="003272C7">
              <w:rPr>
                <w:rFonts w:cs="Arial"/>
              </w:rPr>
              <w:t>5</w:t>
            </w:r>
            <w:r w:rsidR="00B242C3" w:rsidRPr="003272C7">
              <w:rPr>
                <w:rFonts w:cs="Arial"/>
              </w:rPr>
              <w:t>-year target)</w:t>
            </w:r>
            <w:r w:rsidRPr="003272C7">
              <w:rPr>
                <w:rFonts w:cs="Arial"/>
              </w:rPr>
              <w:t>.</w:t>
            </w:r>
          </w:p>
          <w:p w14:paraId="1324477A" w14:textId="19217C40" w:rsidR="00B242C3" w:rsidRPr="003272C7" w:rsidRDefault="00B242C3" w:rsidP="004E7A16">
            <w:pPr>
              <w:pStyle w:val="TableText"/>
              <w:rPr>
                <w:rFonts w:cs="Arial"/>
              </w:rPr>
            </w:pPr>
            <w:r w:rsidRPr="003272C7">
              <w:rPr>
                <w:rFonts w:cs="Arial"/>
              </w:rPr>
              <w:t xml:space="preserve">The plan was so successful that the Victorian Government supported an extension and expansion of the RRAP across EC5. The continuation of this Program clearly demonstrates the legacy and influence of one EC-funded </w:t>
            </w:r>
            <w:r w:rsidR="00445736" w:rsidRPr="003272C7">
              <w:rPr>
                <w:rFonts w:cs="Arial"/>
              </w:rPr>
              <w:t>project</w:t>
            </w:r>
            <w:r w:rsidRPr="003272C7">
              <w:rPr>
                <w:rFonts w:cs="Arial"/>
              </w:rPr>
              <w:t xml:space="preserve"> on a further tranche of EC.</w:t>
            </w:r>
          </w:p>
          <w:p w14:paraId="31E9637D" w14:textId="77777777" w:rsidR="00142559" w:rsidRPr="003272C7" w:rsidRDefault="00B242C3" w:rsidP="004E7A16">
            <w:pPr>
              <w:pStyle w:val="TableText"/>
              <w:rPr>
                <w:rFonts w:cs="Arial"/>
              </w:rPr>
            </w:pPr>
            <w:r w:rsidRPr="003272C7">
              <w:rPr>
                <w:rFonts w:cs="Arial"/>
              </w:rPr>
              <w:t xml:space="preserve">In terms of breadth of legacy, the </w:t>
            </w:r>
            <w:r w:rsidR="00E85D32" w:rsidRPr="003272C7">
              <w:rPr>
                <w:rFonts w:cs="Arial"/>
              </w:rPr>
              <w:t xml:space="preserve">development </w:t>
            </w:r>
            <w:r w:rsidRPr="003272C7">
              <w:rPr>
                <w:rFonts w:cs="Arial"/>
              </w:rPr>
              <w:t xml:space="preserve">of the new </w:t>
            </w:r>
            <w:r w:rsidR="00506031" w:rsidRPr="003272C7">
              <w:rPr>
                <w:rFonts w:cs="Arial"/>
              </w:rPr>
              <w:t xml:space="preserve">VWMS </w:t>
            </w:r>
            <w:r w:rsidRPr="003272C7">
              <w:rPr>
                <w:rFonts w:cs="Arial"/>
              </w:rPr>
              <w:t>is arguably the most significant piece of work to be delivered under the EC5 Waterway Health Program, as this strategy will set direction and intent for all works and outcomes for the Program for the next eight years.</w:t>
            </w:r>
          </w:p>
          <w:p w14:paraId="71D6C1FF" w14:textId="2BBAA219" w:rsidR="00B242C3" w:rsidRPr="003272C7" w:rsidRDefault="00506031" w:rsidP="004E7A16">
            <w:pPr>
              <w:pStyle w:val="TableText"/>
              <w:rPr>
                <w:rFonts w:cs="Arial"/>
              </w:rPr>
            </w:pPr>
            <w:r w:rsidRPr="003272C7">
              <w:rPr>
                <w:rFonts w:cs="Arial"/>
              </w:rPr>
              <w:t>A discussion starter was released in late 2023, along with online consultation sessions to inform the development of a new draft strategy.</w:t>
            </w:r>
          </w:p>
        </w:tc>
      </w:tr>
      <w:tr w:rsidR="00AB64FE" w:rsidRPr="003272C7" w14:paraId="6B62B6E3" w14:textId="77777777" w:rsidTr="00142559">
        <w:trPr>
          <w:trHeight w:val="259"/>
        </w:trPr>
        <w:tc>
          <w:tcPr>
            <w:tcW w:w="979" w:type="pct"/>
            <w:shd w:val="clear" w:color="auto" w:fill="231EDC" w:themeFill="accent1"/>
          </w:tcPr>
          <w:p w14:paraId="04D4C632" w14:textId="77777777" w:rsidR="00B242C3" w:rsidRPr="003272C7" w:rsidRDefault="00B242C3" w:rsidP="004E7A16">
            <w:pPr>
              <w:pStyle w:val="TableText"/>
              <w:rPr>
                <w:rFonts w:cs="Arial"/>
                <w:b/>
                <w:bCs/>
              </w:rPr>
            </w:pPr>
            <w:r w:rsidRPr="003272C7">
              <w:rPr>
                <w:rFonts w:cs="Arial"/>
                <w:b/>
                <w:bCs/>
              </w:rPr>
              <w:t>Future priorities</w:t>
            </w:r>
          </w:p>
        </w:tc>
        <w:tc>
          <w:tcPr>
            <w:tcW w:w="4021" w:type="pct"/>
          </w:tcPr>
          <w:p w14:paraId="71C43059" w14:textId="2B0DFC42" w:rsidR="00B242C3" w:rsidRPr="003272C7" w:rsidRDefault="00B242C3" w:rsidP="0018048A">
            <w:pPr>
              <w:pStyle w:val="TableBullet"/>
              <w:rPr>
                <w:rFonts w:cs="Arial"/>
              </w:rPr>
            </w:pPr>
            <w:r w:rsidRPr="003272C7">
              <w:rPr>
                <w:rFonts w:cs="Arial"/>
              </w:rPr>
              <w:t xml:space="preserve">This </w:t>
            </w:r>
            <w:r w:rsidR="00FD18F5" w:rsidRPr="003272C7">
              <w:rPr>
                <w:rFonts w:cs="Arial"/>
              </w:rPr>
              <w:t>p</w:t>
            </w:r>
            <w:r w:rsidRPr="003272C7">
              <w:rPr>
                <w:rFonts w:cs="Arial"/>
              </w:rPr>
              <w:t xml:space="preserve">rogram needs to be substantial in size and sustain </w:t>
            </w:r>
            <w:r w:rsidR="00FD18F5" w:rsidRPr="003272C7">
              <w:rPr>
                <w:rFonts w:cs="Arial"/>
              </w:rPr>
              <w:t>active management for environmental outcomes</w:t>
            </w:r>
            <w:r w:rsidR="00576814" w:rsidRPr="003272C7">
              <w:rPr>
                <w:rFonts w:cs="Arial"/>
              </w:rPr>
              <w:t>-</w:t>
            </w:r>
            <w:r w:rsidR="00FD18F5" w:rsidRPr="003272C7">
              <w:rPr>
                <w:rFonts w:cs="Arial"/>
              </w:rPr>
              <w:t xml:space="preserve"> </w:t>
            </w:r>
            <w:r w:rsidRPr="003272C7">
              <w:rPr>
                <w:rFonts w:cs="Arial"/>
              </w:rPr>
              <w:t xml:space="preserve">over the long term (50 years+) across the state to deliver the required outcomes; need sustained, secure funding for this – e.g. Flagship Waterway Program. This is proportionate to the timescale of the damage caused </w:t>
            </w:r>
            <w:r w:rsidR="00576814" w:rsidRPr="003272C7">
              <w:rPr>
                <w:rFonts w:cs="Arial"/>
              </w:rPr>
              <w:t>since colonisation and the highly modif</w:t>
            </w:r>
            <w:r w:rsidR="004B47D3" w:rsidRPr="003272C7">
              <w:rPr>
                <w:rFonts w:cs="Arial"/>
              </w:rPr>
              <w:t>ied water landscape in which waterways are highly valued by communities.</w:t>
            </w:r>
          </w:p>
          <w:p w14:paraId="6B3AC781" w14:textId="77777777" w:rsidR="00142559" w:rsidRPr="003272C7" w:rsidRDefault="00B242C3" w:rsidP="0018048A">
            <w:pPr>
              <w:pStyle w:val="TableBullet"/>
              <w:rPr>
                <w:rFonts w:cs="Arial"/>
              </w:rPr>
            </w:pPr>
            <w:r w:rsidRPr="003272C7">
              <w:rPr>
                <w:rFonts w:cs="Arial"/>
              </w:rPr>
              <w:t xml:space="preserve">Need for funding for CMAs to meet the aims of Water is Life. </w:t>
            </w:r>
            <w:r w:rsidR="00CC18BB" w:rsidRPr="003272C7">
              <w:rPr>
                <w:rFonts w:cs="Arial"/>
              </w:rPr>
              <w:t>Through implementation of Water is Life,</w:t>
            </w:r>
            <w:r w:rsidRPr="003272C7">
              <w:rPr>
                <w:rFonts w:cs="Arial"/>
              </w:rPr>
              <w:t xml:space="preserve"> CMAs </w:t>
            </w:r>
            <w:r w:rsidR="00D24BE7" w:rsidRPr="003272C7">
              <w:rPr>
                <w:rFonts w:cs="Arial"/>
              </w:rPr>
              <w:t xml:space="preserve">must </w:t>
            </w:r>
            <w:r w:rsidRPr="003272C7">
              <w:rPr>
                <w:rFonts w:cs="Arial"/>
              </w:rPr>
              <w:t xml:space="preserve">continue to build relationships and capacity with Traditional Owners and undertake education and information on the </w:t>
            </w:r>
            <w:r w:rsidR="00AB64FE" w:rsidRPr="003272C7">
              <w:rPr>
                <w:rFonts w:cs="Arial"/>
              </w:rPr>
              <w:t>waterway</w:t>
            </w:r>
            <w:r w:rsidR="00897D76" w:rsidRPr="003272C7">
              <w:rPr>
                <w:rFonts w:cs="Arial"/>
              </w:rPr>
              <w:t xml:space="preserve"> manager </w:t>
            </w:r>
            <w:r w:rsidRPr="003272C7">
              <w:rPr>
                <w:rFonts w:cs="Arial"/>
              </w:rPr>
              <w:t>functions and responsibilities</w:t>
            </w:r>
            <w:r w:rsidR="00897D76" w:rsidRPr="003272C7">
              <w:rPr>
                <w:rFonts w:cs="Arial"/>
              </w:rPr>
              <w:t xml:space="preserve"> to support increased Traditional </w:t>
            </w:r>
            <w:r w:rsidR="00AB64FE" w:rsidRPr="003272C7">
              <w:rPr>
                <w:rFonts w:cs="Arial"/>
              </w:rPr>
              <w:t>O</w:t>
            </w:r>
            <w:r w:rsidR="00897D76" w:rsidRPr="003272C7">
              <w:rPr>
                <w:rFonts w:cs="Arial"/>
              </w:rPr>
              <w:t>wner role in decision making</w:t>
            </w:r>
            <w:r w:rsidRPr="003272C7">
              <w:rPr>
                <w:rFonts w:cs="Arial"/>
              </w:rPr>
              <w:t xml:space="preserve">. CMAs have </w:t>
            </w:r>
            <w:r w:rsidR="00897D76" w:rsidRPr="003272C7">
              <w:rPr>
                <w:rFonts w:cs="Arial"/>
              </w:rPr>
              <w:t>advised</w:t>
            </w:r>
            <w:r w:rsidRPr="003272C7">
              <w:rPr>
                <w:rFonts w:cs="Arial"/>
              </w:rPr>
              <w:t xml:space="preserve"> that this will require dedicated funding.</w:t>
            </w:r>
          </w:p>
          <w:p w14:paraId="52DFB655" w14:textId="52A05070" w:rsidR="00B242C3" w:rsidRPr="003272C7" w:rsidRDefault="00B242C3" w:rsidP="0018048A">
            <w:pPr>
              <w:pStyle w:val="TableBullet"/>
              <w:rPr>
                <w:rFonts w:cs="Arial"/>
              </w:rPr>
            </w:pPr>
            <w:r w:rsidRPr="003272C7">
              <w:rPr>
                <w:rFonts w:cs="Arial"/>
              </w:rPr>
              <w:t>Climate change adaptation and mitigation – This</w:t>
            </w:r>
            <w:r w:rsidR="007346B2" w:rsidRPr="003272C7">
              <w:rPr>
                <w:rFonts w:cs="Arial"/>
              </w:rPr>
              <w:t xml:space="preserve"> will continue to be</w:t>
            </w:r>
            <w:r w:rsidRPr="003272C7">
              <w:rPr>
                <w:rFonts w:cs="Arial"/>
              </w:rPr>
              <w:t xml:space="preserve"> very important over the next EC tranche, </w:t>
            </w:r>
            <w:r w:rsidR="007346B2" w:rsidRPr="003272C7">
              <w:rPr>
                <w:rFonts w:cs="Arial"/>
              </w:rPr>
              <w:t xml:space="preserve">and </w:t>
            </w:r>
            <w:r w:rsidRPr="003272C7">
              <w:rPr>
                <w:rFonts w:cs="Arial"/>
              </w:rPr>
              <w:t xml:space="preserve">with the expanding and diverse impacts </w:t>
            </w:r>
            <w:r w:rsidR="007346B2" w:rsidRPr="003272C7">
              <w:rPr>
                <w:rFonts w:cs="Arial"/>
              </w:rPr>
              <w:t xml:space="preserve">of climate change </w:t>
            </w:r>
            <w:r w:rsidRPr="003272C7">
              <w:rPr>
                <w:rFonts w:cs="Arial"/>
              </w:rPr>
              <w:t>across the state</w:t>
            </w:r>
            <w:r w:rsidR="006B79B1" w:rsidRPr="003272C7">
              <w:rPr>
                <w:rFonts w:cs="Arial"/>
              </w:rPr>
              <w:t>, waterway managers will need to apply a climate change lens to all that they do.</w:t>
            </w:r>
          </w:p>
        </w:tc>
      </w:tr>
    </w:tbl>
    <w:p w14:paraId="7102483E" w14:textId="77777777" w:rsidR="00B242C3" w:rsidRPr="003272C7" w:rsidRDefault="00B242C3" w:rsidP="00B242C3">
      <w:pPr>
        <w:pStyle w:val="Heading2"/>
        <w:rPr>
          <w:rFonts w:cs="Arial"/>
        </w:rPr>
      </w:pPr>
      <w:bookmarkStart w:id="75" w:name="_Toc147410803"/>
      <w:bookmarkStart w:id="76" w:name="_Toc183777811"/>
      <w:r w:rsidRPr="003272C7">
        <w:rPr>
          <w:rFonts w:cs="Arial"/>
        </w:rPr>
        <w:lastRenderedPageBreak/>
        <w:t>CWCT10: Environmental Water</w:t>
      </w:r>
      <w:bookmarkEnd w:id="75"/>
      <w:bookmarkEnd w:id="76"/>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086C07A8" w14:textId="77777777" w:rsidTr="00142559">
        <w:trPr>
          <w:trHeight w:val="395"/>
        </w:trPr>
        <w:tc>
          <w:tcPr>
            <w:tcW w:w="979" w:type="pct"/>
            <w:shd w:val="clear" w:color="auto" w:fill="231EDC" w:themeFill="accent1"/>
          </w:tcPr>
          <w:p w14:paraId="7F9A78F1" w14:textId="471EB990" w:rsidR="00B242C3" w:rsidRPr="003272C7" w:rsidRDefault="00C412A9" w:rsidP="003F35EC">
            <w:pPr>
              <w:pStyle w:val="TableHeading"/>
              <w:rPr>
                <w:rFonts w:cs="Arial"/>
              </w:rPr>
            </w:pPr>
            <w:r w:rsidRPr="003272C7">
              <w:rPr>
                <w:rFonts w:cs="Arial"/>
              </w:rPr>
              <w:t>Initiative</w:t>
            </w:r>
          </w:p>
        </w:tc>
        <w:tc>
          <w:tcPr>
            <w:tcW w:w="4021" w:type="pct"/>
            <w:shd w:val="clear" w:color="auto" w:fill="231EDC" w:themeFill="accent1"/>
          </w:tcPr>
          <w:p w14:paraId="641EB0A8" w14:textId="77777777" w:rsidR="00B242C3" w:rsidRPr="003272C7" w:rsidRDefault="00B242C3" w:rsidP="003F35EC">
            <w:pPr>
              <w:pStyle w:val="TableHeading"/>
              <w:rPr>
                <w:rFonts w:cs="Arial"/>
              </w:rPr>
            </w:pPr>
            <w:r w:rsidRPr="003272C7">
              <w:rPr>
                <w:rFonts w:cs="Arial"/>
              </w:rPr>
              <w:t>12. Improving the health of Victoria’s waterways and catchments in the face of escalating impacts of climate change/ Supporting regional communities and economic recovery through healthy waterways</w:t>
            </w:r>
          </w:p>
        </w:tc>
      </w:tr>
      <w:tr w:rsidR="00B242C3" w:rsidRPr="003272C7" w14:paraId="29BA7361" w14:textId="77777777" w:rsidTr="00142559">
        <w:trPr>
          <w:trHeight w:val="341"/>
        </w:trPr>
        <w:tc>
          <w:tcPr>
            <w:tcW w:w="979" w:type="pct"/>
            <w:shd w:val="clear" w:color="auto" w:fill="231EDC" w:themeFill="accent1"/>
          </w:tcPr>
          <w:p w14:paraId="336E7DB7" w14:textId="77777777" w:rsidR="00B242C3" w:rsidRPr="003272C7" w:rsidRDefault="00B242C3" w:rsidP="003F35EC">
            <w:pPr>
              <w:pStyle w:val="TableText"/>
              <w:rPr>
                <w:rFonts w:cs="Arial"/>
                <w:b/>
                <w:bCs/>
              </w:rPr>
            </w:pPr>
            <w:r w:rsidRPr="003272C7">
              <w:rPr>
                <w:rFonts w:cs="Arial"/>
                <w:b/>
                <w:bCs/>
              </w:rPr>
              <w:t>Project</w:t>
            </w:r>
          </w:p>
        </w:tc>
        <w:tc>
          <w:tcPr>
            <w:tcW w:w="4021" w:type="pct"/>
          </w:tcPr>
          <w:p w14:paraId="30D9AC79" w14:textId="77777777" w:rsidR="00B242C3" w:rsidRPr="003272C7" w:rsidRDefault="00B242C3" w:rsidP="003F35EC">
            <w:pPr>
              <w:pStyle w:val="TableText"/>
              <w:rPr>
                <w:rFonts w:cs="Arial"/>
              </w:rPr>
            </w:pPr>
            <w:r w:rsidRPr="003272C7">
              <w:rPr>
                <w:rFonts w:cs="Arial"/>
              </w:rPr>
              <w:t>CWCT10: Environmental Water</w:t>
            </w:r>
          </w:p>
        </w:tc>
      </w:tr>
      <w:tr w:rsidR="00B242C3" w:rsidRPr="003272C7" w14:paraId="23D8C96B" w14:textId="77777777" w:rsidTr="00142559">
        <w:trPr>
          <w:trHeight w:val="259"/>
        </w:trPr>
        <w:tc>
          <w:tcPr>
            <w:tcW w:w="979" w:type="pct"/>
            <w:shd w:val="clear" w:color="auto" w:fill="231EDC" w:themeFill="accent1"/>
          </w:tcPr>
          <w:p w14:paraId="70E90669" w14:textId="77777777" w:rsidR="00B242C3" w:rsidRPr="003272C7" w:rsidRDefault="00B242C3" w:rsidP="003F35EC">
            <w:pPr>
              <w:pStyle w:val="TableText"/>
              <w:rPr>
                <w:rFonts w:cs="Arial"/>
                <w:b/>
                <w:bCs/>
              </w:rPr>
            </w:pPr>
            <w:r w:rsidRPr="003272C7">
              <w:rPr>
                <w:rFonts w:cs="Arial"/>
                <w:b/>
                <w:bCs/>
              </w:rPr>
              <w:t>Description</w:t>
            </w:r>
          </w:p>
          <w:p w14:paraId="36A7D07F" w14:textId="77777777" w:rsidR="00B242C3" w:rsidRPr="003272C7" w:rsidRDefault="00B242C3" w:rsidP="003F35EC">
            <w:pPr>
              <w:pStyle w:val="TableText1Number"/>
              <w:rPr>
                <w:rFonts w:cs="Arial"/>
                <w:b/>
                <w:bCs/>
              </w:rPr>
            </w:pPr>
          </w:p>
        </w:tc>
        <w:tc>
          <w:tcPr>
            <w:tcW w:w="4021" w:type="pct"/>
          </w:tcPr>
          <w:p w14:paraId="21ECC304" w14:textId="77777777" w:rsidR="00142559" w:rsidRPr="003272C7" w:rsidRDefault="00B242C3" w:rsidP="003F35EC">
            <w:pPr>
              <w:pStyle w:val="TableText"/>
              <w:rPr>
                <w:rFonts w:cs="Arial"/>
              </w:rPr>
            </w:pPr>
            <w:r w:rsidRPr="003272C7">
              <w:rPr>
                <w:rFonts w:cs="Arial"/>
              </w:rPr>
              <w:t>The Environmental Water investment of $</w:t>
            </w:r>
            <w:r w:rsidR="00D43FB7" w:rsidRPr="003272C7">
              <w:rPr>
                <w:rFonts w:cs="Arial"/>
              </w:rPr>
              <w:t>64.241</w:t>
            </w:r>
            <w:r w:rsidRPr="003272C7">
              <w:rPr>
                <w:rFonts w:cs="Arial"/>
              </w:rPr>
              <w:t>M seeks to deliver an integrated output-based set of Programs to continue to protect and restore Victoria’s regional waterways which are severely degraded from over 150 years of human intervention and economic development and exacerbated by climate change, through:</w:t>
            </w:r>
          </w:p>
          <w:p w14:paraId="30374D37" w14:textId="5E8EA8C0" w:rsidR="00B242C3" w:rsidRPr="003272C7" w:rsidRDefault="00B242C3" w:rsidP="003F35EC">
            <w:pPr>
              <w:pStyle w:val="TableBullet"/>
              <w:rPr>
                <w:rFonts w:cs="Arial"/>
              </w:rPr>
            </w:pPr>
            <w:r w:rsidRPr="003272C7">
              <w:rPr>
                <w:rFonts w:cs="Arial"/>
              </w:rPr>
              <w:t xml:space="preserve">Grants to CMA delivery partners for employment of regional </w:t>
            </w:r>
            <w:r w:rsidR="00AB64FE" w:rsidRPr="003272C7">
              <w:rPr>
                <w:rFonts w:cs="Arial"/>
              </w:rPr>
              <w:t>E</w:t>
            </w:r>
            <w:r w:rsidRPr="003272C7">
              <w:rPr>
                <w:rFonts w:cs="Arial"/>
              </w:rPr>
              <w:t xml:space="preserve">nvironmental </w:t>
            </w:r>
            <w:r w:rsidR="00AB64FE" w:rsidRPr="003272C7">
              <w:rPr>
                <w:rFonts w:cs="Arial"/>
              </w:rPr>
              <w:t>W</w:t>
            </w:r>
            <w:r w:rsidRPr="003272C7">
              <w:rPr>
                <w:rFonts w:cs="Arial"/>
              </w:rPr>
              <w:t xml:space="preserve">ater </w:t>
            </w:r>
            <w:r w:rsidR="00AB64FE" w:rsidRPr="003272C7">
              <w:rPr>
                <w:rFonts w:cs="Arial"/>
              </w:rPr>
              <w:t>R</w:t>
            </w:r>
            <w:r w:rsidRPr="003272C7">
              <w:rPr>
                <w:rFonts w:cs="Arial"/>
              </w:rPr>
              <w:t xml:space="preserve">eserve </w:t>
            </w:r>
            <w:r w:rsidR="00AB64FE" w:rsidRPr="003272C7">
              <w:rPr>
                <w:rFonts w:cs="Arial"/>
              </w:rPr>
              <w:t>O</w:t>
            </w:r>
            <w:r w:rsidRPr="003272C7">
              <w:rPr>
                <w:rFonts w:cs="Arial"/>
              </w:rPr>
              <w:t>fficers (EWROs), environmental water infrastructure works and measures projects, environmental water community engagement and shared benefit projects, engagement and involvement of Traditional Owners and Aboriginal communities in environmental water planning and management.</w:t>
            </w:r>
          </w:p>
          <w:p w14:paraId="549A152A" w14:textId="41E40206" w:rsidR="00B242C3" w:rsidRPr="003272C7" w:rsidRDefault="00B242C3" w:rsidP="003F35EC">
            <w:pPr>
              <w:pStyle w:val="TableBullet"/>
              <w:rPr>
                <w:rFonts w:cs="Arial"/>
              </w:rPr>
            </w:pPr>
            <w:r w:rsidRPr="003272C7">
              <w:rPr>
                <w:rFonts w:cs="Arial"/>
              </w:rPr>
              <w:t>Management of environmental water entitlements (VEWH)</w:t>
            </w:r>
            <w:r w:rsidR="0074018E" w:rsidRPr="003272C7">
              <w:rPr>
                <w:rFonts w:cs="Arial"/>
              </w:rPr>
              <w:t>.</w:t>
            </w:r>
            <w:r w:rsidRPr="003272C7">
              <w:rPr>
                <w:rFonts w:cs="Arial"/>
              </w:rPr>
              <w:t xml:space="preserve"> VEWH provide services as legislated in the Water Act 1989 to manage environmental water entitlements across all of Victoria, via a mix of operational, technical, communications, engagement and administrative functions.</w:t>
            </w:r>
          </w:p>
          <w:p w14:paraId="362AD276" w14:textId="2924D218" w:rsidR="00B242C3" w:rsidRPr="003272C7" w:rsidRDefault="00B242C3" w:rsidP="003F35EC">
            <w:pPr>
              <w:pStyle w:val="TableBullet"/>
              <w:rPr>
                <w:rFonts w:cs="Arial"/>
              </w:rPr>
            </w:pPr>
            <w:r w:rsidRPr="003272C7">
              <w:rPr>
                <w:rFonts w:cs="Arial"/>
              </w:rPr>
              <w:t>Murray-Darling Basin Plan Program delivery</w:t>
            </w:r>
            <w:r w:rsidR="0074018E" w:rsidRPr="003272C7">
              <w:rPr>
                <w:rFonts w:cs="Arial"/>
              </w:rPr>
              <w:t>.</w:t>
            </w:r>
            <w:r w:rsidRPr="003272C7">
              <w:rPr>
                <w:rFonts w:cs="Arial"/>
              </w:rPr>
              <w:t xml:space="preserve"> This component provides funding so Victoria can continue to meet its Murray-Darling Basin Plan obligations.</w:t>
            </w:r>
          </w:p>
        </w:tc>
      </w:tr>
      <w:tr w:rsidR="00B242C3" w:rsidRPr="003272C7" w14:paraId="1DEDF8AF" w14:textId="77777777" w:rsidTr="00142559">
        <w:trPr>
          <w:trHeight w:val="259"/>
        </w:trPr>
        <w:tc>
          <w:tcPr>
            <w:tcW w:w="979" w:type="pct"/>
            <w:shd w:val="clear" w:color="auto" w:fill="231EDC" w:themeFill="accent1"/>
          </w:tcPr>
          <w:p w14:paraId="4EB3CB76" w14:textId="77777777" w:rsidR="00B242C3" w:rsidRPr="003272C7" w:rsidRDefault="00B242C3" w:rsidP="003F35EC">
            <w:pPr>
              <w:pStyle w:val="TableText"/>
              <w:rPr>
                <w:rFonts w:cs="Arial"/>
                <w:b/>
                <w:bCs/>
              </w:rPr>
            </w:pPr>
            <w:r w:rsidRPr="003272C7">
              <w:rPr>
                <w:rFonts w:cs="Arial"/>
                <w:b/>
                <w:bCs/>
              </w:rPr>
              <w:t>Outputs</w:t>
            </w:r>
          </w:p>
        </w:tc>
        <w:tc>
          <w:tcPr>
            <w:tcW w:w="4021" w:type="pct"/>
          </w:tcPr>
          <w:p w14:paraId="6291538B" w14:textId="00F1CC35" w:rsidR="00B242C3" w:rsidRPr="003272C7" w:rsidRDefault="00B242C3" w:rsidP="003F35EC">
            <w:pPr>
              <w:pStyle w:val="TableBullet"/>
              <w:rPr>
                <w:rFonts w:cs="Arial"/>
              </w:rPr>
            </w:pPr>
            <w:r w:rsidRPr="003272C7">
              <w:rPr>
                <w:rFonts w:cs="Arial"/>
              </w:rPr>
              <w:t xml:space="preserve">Delivered environmental water to </w:t>
            </w:r>
            <w:r w:rsidR="00AF7E43" w:rsidRPr="003272C7">
              <w:rPr>
                <w:rFonts w:cs="Arial"/>
              </w:rPr>
              <w:t>161</w:t>
            </w:r>
            <w:r w:rsidRPr="003272C7">
              <w:rPr>
                <w:rFonts w:cs="Arial"/>
              </w:rPr>
              <w:t xml:space="preserve"> rivers and wetlands sites throughout the state in </w:t>
            </w:r>
            <w:r w:rsidR="00A769F7" w:rsidRPr="003272C7">
              <w:rPr>
                <w:rFonts w:cs="Arial"/>
              </w:rPr>
              <w:t>2023</w:t>
            </w:r>
            <w:r w:rsidR="00AB64FE" w:rsidRPr="003272C7">
              <w:rPr>
                <w:rFonts w:cs="Arial"/>
              </w:rPr>
              <w:t>-</w:t>
            </w:r>
            <w:r w:rsidR="00A769F7" w:rsidRPr="003272C7">
              <w:rPr>
                <w:rFonts w:cs="Arial"/>
              </w:rPr>
              <w:t xml:space="preserve">24, 154 sites in </w:t>
            </w:r>
            <w:r w:rsidRPr="003272C7">
              <w:rPr>
                <w:rFonts w:cs="Arial"/>
              </w:rPr>
              <w:t>2022</w:t>
            </w:r>
            <w:r w:rsidR="00AB64FE" w:rsidRPr="003272C7">
              <w:rPr>
                <w:rFonts w:cs="Arial"/>
              </w:rPr>
              <w:t>-</w:t>
            </w:r>
            <w:r w:rsidRPr="003272C7">
              <w:rPr>
                <w:rFonts w:cs="Arial"/>
              </w:rPr>
              <w:t>23, 170 sites in 2021</w:t>
            </w:r>
            <w:r w:rsidR="00AB64FE" w:rsidRPr="003272C7">
              <w:rPr>
                <w:rFonts w:cs="Arial"/>
              </w:rPr>
              <w:t>-</w:t>
            </w:r>
            <w:r w:rsidRPr="003272C7">
              <w:rPr>
                <w:rFonts w:cs="Arial"/>
              </w:rPr>
              <w:t>22, and 225 sites in 2020</w:t>
            </w:r>
            <w:r w:rsidR="00AB64FE" w:rsidRPr="003272C7">
              <w:rPr>
                <w:rFonts w:cs="Arial"/>
              </w:rPr>
              <w:t>-</w:t>
            </w:r>
            <w:r w:rsidRPr="003272C7">
              <w:rPr>
                <w:rFonts w:cs="Arial"/>
              </w:rPr>
              <w:t>21.</w:t>
            </w:r>
          </w:p>
          <w:p w14:paraId="1456D5B7" w14:textId="220AE8E1" w:rsidR="00B242C3" w:rsidRPr="003272C7" w:rsidRDefault="00AB64FE" w:rsidP="003F35EC">
            <w:pPr>
              <w:pStyle w:val="TableBullet"/>
              <w:rPr>
                <w:rFonts w:cs="Arial"/>
              </w:rPr>
            </w:pPr>
            <w:r w:rsidRPr="003272C7">
              <w:rPr>
                <w:rFonts w:cs="Arial"/>
              </w:rPr>
              <w:t>D</w:t>
            </w:r>
            <w:r w:rsidR="00B242C3" w:rsidRPr="003272C7">
              <w:rPr>
                <w:rFonts w:cs="Arial"/>
              </w:rPr>
              <w:t>eliver</w:t>
            </w:r>
            <w:r w:rsidRPr="003272C7">
              <w:rPr>
                <w:rFonts w:cs="Arial"/>
              </w:rPr>
              <w:t>ed</w:t>
            </w:r>
            <w:r w:rsidR="00B242C3" w:rsidRPr="003272C7">
              <w:rPr>
                <w:rFonts w:cs="Arial"/>
              </w:rPr>
              <w:t xml:space="preserve"> over </w:t>
            </w:r>
            <w:r w:rsidR="0018110D" w:rsidRPr="003272C7">
              <w:rPr>
                <w:rFonts w:cs="Arial"/>
              </w:rPr>
              <w:t>3,212</w:t>
            </w:r>
            <w:r w:rsidR="00B242C3" w:rsidRPr="003272C7">
              <w:rPr>
                <w:rFonts w:cs="Arial"/>
              </w:rPr>
              <w:t xml:space="preserve">,000 ML of water for the environment to rivers and wetlands throughout Victoria (including over </w:t>
            </w:r>
            <w:r w:rsidR="00A92081" w:rsidRPr="003272C7">
              <w:rPr>
                <w:rFonts w:cs="Arial"/>
              </w:rPr>
              <w:t>846</w:t>
            </w:r>
            <w:r w:rsidR="00B242C3" w:rsidRPr="003272C7">
              <w:rPr>
                <w:rFonts w:cs="Arial"/>
              </w:rPr>
              <w:t xml:space="preserve">,000 ML from the </w:t>
            </w:r>
            <w:r w:rsidRPr="003272C7">
              <w:rPr>
                <w:rFonts w:cs="Arial"/>
              </w:rPr>
              <w:t>VEWH</w:t>
            </w:r>
            <w:r w:rsidR="00B242C3" w:rsidRPr="003272C7">
              <w:rPr>
                <w:rFonts w:cs="Arial"/>
              </w:rPr>
              <w:t>, 1,</w:t>
            </w:r>
            <w:r w:rsidR="00A92081" w:rsidRPr="003272C7">
              <w:rPr>
                <w:rFonts w:cs="Arial"/>
              </w:rPr>
              <w:t>869</w:t>
            </w:r>
            <w:r w:rsidR="00B242C3" w:rsidRPr="003272C7">
              <w:rPr>
                <w:rFonts w:cs="Arial"/>
              </w:rPr>
              <w:t xml:space="preserve">,000 ML from the Commonwealth Environmental Water Holder, over </w:t>
            </w:r>
            <w:r w:rsidR="00C54227" w:rsidRPr="003272C7">
              <w:rPr>
                <w:rFonts w:cs="Arial"/>
              </w:rPr>
              <w:t>497</w:t>
            </w:r>
            <w:r w:rsidR="00B242C3" w:rsidRPr="003272C7">
              <w:rPr>
                <w:rFonts w:cs="Arial"/>
              </w:rPr>
              <w:t>,000 ML from The Living Murray).</w:t>
            </w:r>
          </w:p>
          <w:p w14:paraId="6D3178A3" w14:textId="0D6306B6" w:rsidR="00B242C3" w:rsidRPr="003272C7" w:rsidRDefault="00B242C3" w:rsidP="003F35EC">
            <w:pPr>
              <w:pStyle w:val="TableBullet"/>
              <w:rPr>
                <w:rFonts w:cs="Arial"/>
              </w:rPr>
            </w:pPr>
            <w:r w:rsidRPr="003272C7">
              <w:rPr>
                <w:rFonts w:cs="Arial"/>
              </w:rPr>
              <w:t>Funding provided to CMAs between 2020-2</w:t>
            </w:r>
            <w:r w:rsidR="00C54227" w:rsidRPr="003272C7">
              <w:rPr>
                <w:rFonts w:cs="Arial"/>
              </w:rPr>
              <w:t>4</w:t>
            </w:r>
            <w:r w:rsidRPr="003272C7">
              <w:rPr>
                <w:rFonts w:cs="Arial"/>
              </w:rPr>
              <w:t xml:space="preserve"> for environmental watering planning, </w:t>
            </w:r>
            <w:r w:rsidR="00C54227" w:rsidRPr="003272C7">
              <w:rPr>
                <w:rFonts w:cs="Arial"/>
              </w:rPr>
              <w:t xml:space="preserve">engagement, </w:t>
            </w:r>
            <w:r w:rsidRPr="003272C7">
              <w:rPr>
                <w:rFonts w:cs="Arial"/>
              </w:rPr>
              <w:t>monitoring and reporting</w:t>
            </w:r>
            <w:r w:rsidR="00C54227" w:rsidRPr="003272C7">
              <w:rPr>
                <w:rFonts w:cs="Arial"/>
              </w:rPr>
              <w:t>.</w:t>
            </w:r>
          </w:p>
        </w:tc>
      </w:tr>
      <w:tr w:rsidR="00B242C3" w:rsidRPr="003272C7" w14:paraId="76CC5B57" w14:textId="77777777" w:rsidTr="00D07713">
        <w:trPr>
          <w:trHeight w:val="259"/>
        </w:trPr>
        <w:tc>
          <w:tcPr>
            <w:tcW w:w="5000" w:type="pct"/>
            <w:gridSpan w:val="2"/>
            <w:shd w:val="clear" w:color="auto" w:fill="231EDC" w:themeFill="accent1"/>
          </w:tcPr>
          <w:p w14:paraId="4D6A019A" w14:textId="4E1BC118" w:rsidR="00B242C3" w:rsidRPr="003272C7" w:rsidRDefault="004250D5" w:rsidP="003F35EC">
            <w:pPr>
              <w:pStyle w:val="TableText1Number"/>
              <w:rPr>
                <w:rFonts w:cs="Arial"/>
                <w:b/>
                <w:bCs/>
              </w:rPr>
            </w:pPr>
            <w:r w:rsidRPr="003272C7">
              <w:rPr>
                <w:rFonts w:cs="Arial"/>
                <w:b/>
                <w:bCs/>
                <w:szCs w:val="18"/>
              </w:rPr>
              <w:t>Summary against evaluation domains</w:t>
            </w:r>
          </w:p>
        </w:tc>
      </w:tr>
      <w:tr w:rsidR="00B242C3" w:rsidRPr="003272C7" w14:paraId="6F98E3D9" w14:textId="77777777" w:rsidTr="00142559">
        <w:trPr>
          <w:trHeight w:val="259"/>
        </w:trPr>
        <w:tc>
          <w:tcPr>
            <w:tcW w:w="979" w:type="pct"/>
            <w:shd w:val="clear" w:color="auto" w:fill="231EDC" w:themeFill="accent1"/>
          </w:tcPr>
          <w:p w14:paraId="18D9161D" w14:textId="77777777" w:rsidR="00B242C3" w:rsidRPr="003272C7" w:rsidRDefault="00B242C3" w:rsidP="003F35EC">
            <w:pPr>
              <w:pStyle w:val="TableText"/>
              <w:rPr>
                <w:rFonts w:cs="Arial"/>
                <w:b/>
                <w:bCs/>
              </w:rPr>
            </w:pPr>
            <w:r w:rsidRPr="003272C7">
              <w:rPr>
                <w:rFonts w:cs="Arial"/>
                <w:b/>
                <w:bCs/>
              </w:rPr>
              <w:t>Impact</w:t>
            </w:r>
          </w:p>
        </w:tc>
        <w:tc>
          <w:tcPr>
            <w:tcW w:w="4021" w:type="pct"/>
          </w:tcPr>
          <w:p w14:paraId="6A4ACB06" w14:textId="77777777" w:rsidR="00142559" w:rsidRPr="003272C7" w:rsidRDefault="00B242C3" w:rsidP="003F35EC">
            <w:pPr>
              <w:pStyle w:val="TableTextBold"/>
              <w:rPr>
                <w:rFonts w:cs="Arial"/>
              </w:rPr>
            </w:pPr>
            <w:r w:rsidRPr="003272C7">
              <w:rPr>
                <w:rFonts w:cs="Arial"/>
              </w:rPr>
              <w:t>Improved management of water for the environment:</w:t>
            </w:r>
          </w:p>
          <w:p w14:paraId="0BF4923D" w14:textId="4F4A23C3" w:rsidR="00B242C3" w:rsidRPr="003272C7" w:rsidRDefault="00B242C3" w:rsidP="003F35EC">
            <w:pPr>
              <w:pStyle w:val="TableBullet"/>
              <w:rPr>
                <w:rFonts w:cs="Arial"/>
              </w:rPr>
            </w:pPr>
            <w:r w:rsidRPr="003272C7">
              <w:rPr>
                <w:rFonts w:cs="Arial"/>
              </w:rPr>
              <w:t xml:space="preserve">Fully or partially achieved a total of </w:t>
            </w:r>
            <w:r w:rsidR="004844CC" w:rsidRPr="003272C7">
              <w:rPr>
                <w:rFonts w:cs="Arial"/>
              </w:rPr>
              <w:t xml:space="preserve">934 </w:t>
            </w:r>
            <w:r w:rsidRPr="003272C7">
              <w:rPr>
                <w:rFonts w:cs="Arial"/>
              </w:rPr>
              <w:t xml:space="preserve">watering actions at sites </w:t>
            </w:r>
            <w:r w:rsidR="004844CC" w:rsidRPr="003272C7">
              <w:rPr>
                <w:rFonts w:cs="Arial"/>
              </w:rPr>
              <w:t xml:space="preserve">prioritised for watering </w:t>
            </w:r>
            <w:r w:rsidRPr="003272C7">
              <w:rPr>
                <w:rFonts w:cs="Arial"/>
              </w:rPr>
              <w:t>between 2020</w:t>
            </w:r>
            <w:r w:rsidR="00AB64FE" w:rsidRPr="003272C7">
              <w:rPr>
                <w:rFonts w:cs="Arial"/>
              </w:rPr>
              <w:t>-</w:t>
            </w:r>
            <w:r w:rsidRPr="003272C7">
              <w:rPr>
                <w:rFonts w:cs="Arial"/>
              </w:rPr>
              <w:t xml:space="preserve">21 and </w:t>
            </w:r>
            <w:r w:rsidR="004844CC" w:rsidRPr="003272C7">
              <w:rPr>
                <w:rFonts w:cs="Arial"/>
              </w:rPr>
              <w:t>2023</w:t>
            </w:r>
            <w:r w:rsidR="00AB64FE" w:rsidRPr="003272C7">
              <w:rPr>
                <w:rFonts w:cs="Arial"/>
              </w:rPr>
              <w:t>-</w:t>
            </w:r>
            <w:r w:rsidRPr="003272C7">
              <w:rPr>
                <w:rFonts w:cs="Arial"/>
              </w:rPr>
              <w:t>2</w:t>
            </w:r>
            <w:r w:rsidR="004844CC" w:rsidRPr="003272C7">
              <w:rPr>
                <w:rFonts w:cs="Arial"/>
              </w:rPr>
              <w:t>4</w:t>
            </w:r>
            <w:r w:rsidRPr="003272C7">
              <w:rPr>
                <w:rFonts w:cs="Arial"/>
              </w:rPr>
              <w:t>. In 2020-21, 92</w:t>
            </w:r>
            <w:r w:rsidR="00AB64FE" w:rsidRPr="003272C7">
              <w:rPr>
                <w:rFonts w:cs="Arial"/>
              </w:rPr>
              <w:t xml:space="preserve">% </w:t>
            </w:r>
            <w:r w:rsidRPr="003272C7">
              <w:rPr>
                <w:rFonts w:cs="Arial"/>
              </w:rPr>
              <w:t xml:space="preserve">of required potential watering actions were fully or partially achieved, in 2021-22, 91 per cent </w:t>
            </w:r>
            <w:r w:rsidR="007C1D08" w:rsidRPr="003272C7">
              <w:rPr>
                <w:rFonts w:cs="Arial"/>
              </w:rPr>
              <w:t xml:space="preserve">was </w:t>
            </w:r>
            <w:r w:rsidRPr="003272C7">
              <w:rPr>
                <w:rFonts w:cs="Arial"/>
              </w:rPr>
              <w:t>achieved</w:t>
            </w:r>
            <w:r w:rsidR="00AC6B18" w:rsidRPr="003272C7">
              <w:rPr>
                <w:rFonts w:cs="Arial"/>
              </w:rPr>
              <w:t>,</w:t>
            </w:r>
            <w:r w:rsidRPr="003272C7">
              <w:rPr>
                <w:rFonts w:cs="Arial"/>
              </w:rPr>
              <w:t xml:space="preserve"> in 2022-23, 99 per cent </w:t>
            </w:r>
            <w:r w:rsidR="00784481" w:rsidRPr="003272C7">
              <w:rPr>
                <w:rFonts w:cs="Arial"/>
              </w:rPr>
              <w:t xml:space="preserve">was </w:t>
            </w:r>
            <w:r w:rsidRPr="003272C7">
              <w:rPr>
                <w:rFonts w:cs="Arial"/>
              </w:rPr>
              <w:t>achieved</w:t>
            </w:r>
            <w:r w:rsidR="00784481" w:rsidRPr="003272C7">
              <w:rPr>
                <w:rFonts w:cs="Arial"/>
              </w:rPr>
              <w:t xml:space="preserve"> and in 2023-2024, 95</w:t>
            </w:r>
            <w:r w:rsidR="00475117" w:rsidRPr="003272C7">
              <w:rPr>
                <w:rFonts w:cs="Arial"/>
              </w:rPr>
              <w:t xml:space="preserve"> per cent</w:t>
            </w:r>
            <w:r w:rsidR="00AB64FE" w:rsidRPr="003272C7">
              <w:rPr>
                <w:rFonts w:cs="Arial"/>
              </w:rPr>
              <w:t xml:space="preserve"> </w:t>
            </w:r>
            <w:r w:rsidR="00784481" w:rsidRPr="003272C7">
              <w:rPr>
                <w:rFonts w:cs="Arial"/>
              </w:rPr>
              <w:t>was achieved</w:t>
            </w:r>
            <w:r w:rsidRPr="003272C7">
              <w:rPr>
                <w:rFonts w:cs="Arial"/>
              </w:rPr>
              <w:t>. These actions have contributed to the protection of aquatic and riparian flora and fauna species.</w:t>
            </w:r>
          </w:p>
          <w:p w14:paraId="703A9BFC" w14:textId="776C1548" w:rsidR="00055F2C" w:rsidRPr="003272C7" w:rsidRDefault="00055F2C" w:rsidP="003F35EC">
            <w:pPr>
              <w:pStyle w:val="TableBullet"/>
              <w:rPr>
                <w:rFonts w:cs="Arial"/>
              </w:rPr>
            </w:pPr>
            <w:r w:rsidRPr="003272C7">
              <w:rPr>
                <w:rFonts w:cs="Arial"/>
              </w:rPr>
              <w:t>Implementing Murray-Darling Basin Plan environmental watering obligations (Chapter 8, Environmental Watering Plan) in partnership with the VEWH and</w:t>
            </w:r>
            <w:r w:rsidR="00283289" w:rsidRPr="003272C7">
              <w:rPr>
                <w:rFonts w:cs="Arial"/>
              </w:rPr>
              <w:t> </w:t>
            </w:r>
            <w:r w:rsidRPr="003272C7">
              <w:rPr>
                <w:rFonts w:cs="Arial"/>
              </w:rPr>
              <w:t>CMAs</w:t>
            </w:r>
            <w:r w:rsidR="00AB64FE" w:rsidRPr="003272C7">
              <w:rPr>
                <w:rFonts w:cs="Arial"/>
              </w:rPr>
              <w:t>.</w:t>
            </w:r>
          </w:p>
          <w:p w14:paraId="10815F62" w14:textId="31378048" w:rsidR="00B242C3" w:rsidRPr="003272C7" w:rsidRDefault="00B242C3" w:rsidP="003F35EC">
            <w:pPr>
              <w:pStyle w:val="TableTextBold"/>
              <w:rPr>
                <w:rFonts w:cs="Arial"/>
              </w:rPr>
            </w:pPr>
            <w:r w:rsidRPr="003272C7">
              <w:rPr>
                <w:rFonts w:cs="Arial"/>
              </w:rPr>
              <w:t>Improved management of water for the environment to meet environmental objectives</w:t>
            </w:r>
            <w:r w:rsidR="00AB64FE" w:rsidRPr="003272C7">
              <w:rPr>
                <w:rFonts w:cs="Arial"/>
              </w:rPr>
              <w:t>:</w:t>
            </w:r>
          </w:p>
          <w:p w14:paraId="52971C65" w14:textId="77777777" w:rsidR="00142559" w:rsidRPr="003272C7" w:rsidRDefault="00AB64FE" w:rsidP="003F35EC">
            <w:pPr>
              <w:pStyle w:val="TableBullet"/>
              <w:rPr>
                <w:rFonts w:cs="Arial"/>
              </w:rPr>
            </w:pPr>
            <w:r w:rsidRPr="003272C7">
              <w:rPr>
                <w:rFonts w:cs="Arial"/>
              </w:rPr>
              <w:t>D</w:t>
            </w:r>
            <w:r w:rsidR="00B242C3" w:rsidRPr="003272C7">
              <w:rPr>
                <w:rFonts w:cs="Arial"/>
              </w:rPr>
              <w:t>elivery of a coordinated spring watering event in the Murray system from Lake Hume to the sea, which was a joint action by the Commonwealth Environmental Water Holder, VEWH, NSW Department of Planning, Industry and Environment and South Australian Government with the MDBA as manager of The Living Murray. The event focussed on outcomes in the Murray River channel and supported outcomes at Barmah Forest. A mixed nesting event of 450 straw-necked ibis, Australian white ibis and royal spoonbill, listed as vulnerable in Victoria, occurred in Barmah Forest in early 2021. This was the first successful event observed for these species in the forest for four years. Other species are expected to have bred also; sound recorders picked up calling of Australasian bittern during its nesting season. This species is endangered in Victoria.</w:t>
            </w:r>
          </w:p>
          <w:p w14:paraId="5DC7864F" w14:textId="74FABFA5" w:rsidR="00B242C3" w:rsidRPr="003272C7" w:rsidRDefault="00B242C3" w:rsidP="003F35EC">
            <w:pPr>
              <w:pStyle w:val="TableBullet"/>
              <w:rPr>
                <w:rFonts w:cs="Arial"/>
              </w:rPr>
            </w:pPr>
            <w:r w:rsidRPr="003272C7">
              <w:rPr>
                <w:rFonts w:cs="Arial"/>
              </w:rPr>
              <w:lastRenderedPageBreak/>
              <w:t>In autumn-winter 2021, the watering of high-priority wetlands in the southern Hattah Lakes system in autumn-winter 2021, where more than 27,000 ML of water was delivered to low-lying wetlands to improve the condition of trees, stimulate the growth of aquatic plants, support carbon and nutrient cycles and provide food and habitat for waterbirds.</w:t>
            </w:r>
          </w:p>
          <w:p w14:paraId="4A90E36B" w14:textId="77777777" w:rsidR="00142559" w:rsidRPr="003272C7" w:rsidRDefault="00EA5956" w:rsidP="003F35EC">
            <w:pPr>
              <w:pStyle w:val="TableBullet"/>
              <w:rPr>
                <w:rFonts w:cs="Arial"/>
              </w:rPr>
            </w:pPr>
            <w:r w:rsidRPr="003272C7">
              <w:rPr>
                <w:rFonts w:cs="Arial"/>
              </w:rPr>
              <w:t>A new action was included in the Barmah Forest section of the Seasonal Watering Plan 2021-22 to provide low flows in the Murray River between August and December to protect nesting habitat and improve Murray cod recruitment.</w:t>
            </w:r>
          </w:p>
          <w:p w14:paraId="53F703A3" w14:textId="77777777" w:rsidR="00142559" w:rsidRPr="003272C7" w:rsidRDefault="00B242C3" w:rsidP="003F35EC">
            <w:pPr>
              <w:pStyle w:val="TableBullet"/>
              <w:rPr>
                <w:rFonts w:cs="Arial"/>
              </w:rPr>
            </w:pPr>
            <w:r w:rsidRPr="003272C7">
              <w:rPr>
                <w:rFonts w:cs="Arial"/>
              </w:rPr>
              <w:t>In 2022-23, significant colonial waterbird breeding was recorded at sites that received water for the environment and natural flooding, including:</w:t>
            </w:r>
          </w:p>
          <w:p w14:paraId="07737E70" w14:textId="4E4BFB5D" w:rsidR="00B242C3" w:rsidRPr="003272C7" w:rsidRDefault="00AB64FE" w:rsidP="003F35EC">
            <w:pPr>
              <w:pStyle w:val="TableBullet2"/>
              <w:rPr>
                <w:rFonts w:cs="Arial"/>
              </w:rPr>
            </w:pPr>
            <w:r w:rsidRPr="003272C7">
              <w:rPr>
                <w:rFonts w:cs="Arial"/>
              </w:rPr>
              <w:t>A</w:t>
            </w:r>
            <w:r w:rsidR="00B242C3" w:rsidRPr="003272C7">
              <w:rPr>
                <w:rFonts w:cs="Arial"/>
              </w:rPr>
              <w:t>pproximately 2,000 nests of Australian White Ibis and Straw-necked Ibis (and possibly Royal Spoonbill) in Barmah Forest</w:t>
            </w:r>
            <w:r w:rsidRPr="003272C7">
              <w:rPr>
                <w:rFonts w:cs="Arial"/>
              </w:rPr>
              <w:t>.</w:t>
            </w:r>
          </w:p>
          <w:p w14:paraId="74C63CFE" w14:textId="0DB6AC2C" w:rsidR="00B242C3" w:rsidRPr="003272C7" w:rsidRDefault="00AB64FE" w:rsidP="003F35EC">
            <w:pPr>
              <w:pStyle w:val="TableBullet2"/>
              <w:rPr>
                <w:rFonts w:cs="Arial"/>
              </w:rPr>
            </w:pPr>
            <w:r w:rsidRPr="003272C7">
              <w:rPr>
                <w:rFonts w:cs="Arial"/>
              </w:rPr>
              <w:t>T</w:t>
            </w:r>
            <w:r w:rsidR="00B242C3" w:rsidRPr="003272C7">
              <w:rPr>
                <w:rFonts w:cs="Arial"/>
              </w:rPr>
              <w:t>en species of colonial nesting waterbirds across the Hattah Lakes using 7,000 nests for over 25,500 chicks, with a further 18 waterbird species detected breeding with an additional 1,700 chicks recorded</w:t>
            </w:r>
            <w:r w:rsidRPr="003272C7">
              <w:rPr>
                <w:rFonts w:cs="Arial"/>
              </w:rPr>
              <w:t>.</w:t>
            </w:r>
          </w:p>
          <w:p w14:paraId="741EBFDA" w14:textId="39C23022" w:rsidR="00B242C3" w:rsidRPr="003272C7" w:rsidRDefault="00AB64FE" w:rsidP="003F35EC">
            <w:pPr>
              <w:pStyle w:val="TableBullet2"/>
              <w:rPr>
                <w:rFonts w:cs="Arial"/>
              </w:rPr>
            </w:pPr>
            <w:r w:rsidRPr="003272C7">
              <w:rPr>
                <w:rFonts w:cs="Arial"/>
              </w:rPr>
              <w:t>O</w:t>
            </w:r>
            <w:r w:rsidR="00B242C3" w:rsidRPr="003272C7">
              <w:rPr>
                <w:rFonts w:cs="Arial"/>
              </w:rPr>
              <w:t>ver 15,000 birds from 21 species recorded at Gunbower Forest and the</w:t>
            </w:r>
            <w:r w:rsidR="00283289" w:rsidRPr="003272C7">
              <w:rPr>
                <w:rFonts w:cs="Arial"/>
              </w:rPr>
              <w:t> </w:t>
            </w:r>
            <w:r w:rsidR="00B242C3" w:rsidRPr="003272C7">
              <w:rPr>
                <w:rFonts w:cs="Arial"/>
              </w:rPr>
              <w:t>Kerang Ramsar wetlands during 69 surveys over spring 2022 and autumn</w:t>
            </w:r>
            <w:r w:rsidR="00283289" w:rsidRPr="003272C7">
              <w:rPr>
                <w:rFonts w:cs="Arial"/>
              </w:rPr>
              <w:t> </w:t>
            </w:r>
            <w:r w:rsidR="00B242C3" w:rsidRPr="003272C7">
              <w:rPr>
                <w:rFonts w:cs="Arial"/>
              </w:rPr>
              <w:t>2023.</w:t>
            </w:r>
          </w:p>
          <w:p w14:paraId="3D595491" w14:textId="77777777" w:rsidR="00142559" w:rsidRPr="003272C7" w:rsidRDefault="00113EBF" w:rsidP="003F35EC">
            <w:pPr>
              <w:pStyle w:val="TableBullet"/>
              <w:rPr>
                <w:rFonts w:cs="Arial"/>
              </w:rPr>
            </w:pPr>
            <w:r w:rsidRPr="003272C7">
              <w:rPr>
                <w:rFonts w:cs="Arial"/>
              </w:rPr>
              <w:t>Lake Hindmarsh retained water from the 2022 floods, with additional flows entering during the 2023/24 period. These were not part of regulated environmental flows, but Victorian rules that protect passing flows enabled the lake to sustain benefits from natural flooding, and maintain its connection to the Lower Wimmera River. Three bird surveys were completed by a contractor in 2023 and 2024 and observed:</w:t>
            </w:r>
          </w:p>
          <w:p w14:paraId="1B8ACF9A" w14:textId="3CEF2488" w:rsidR="00C42E27" w:rsidRPr="003272C7" w:rsidRDefault="00E1262D" w:rsidP="00E96B01">
            <w:pPr>
              <w:pStyle w:val="TableBullet2"/>
              <w:rPr>
                <w:rFonts w:cs="Arial"/>
              </w:rPr>
            </w:pPr>
            <w:r w:rsidRPr="003272C7">
              <w:rPr>
                <w:rFonts w:cs="Arial"/>
              </w:rPr>
              <w:t xml:space="preserve">A total of 76 different wetland bird species, of which 5 are listed as Threatened under the Victorian </w:t>
            </w:r>
            <w:r w:rsidR="00AB64FE" w:rsidRPr="003272C7">
              <w:rPr>
                <w:rFonts w:cs="Arial"/>
              </w:rPr>
              <w:t>Flora and Fauna Guarantee</w:t>
            </w:r>
            <w:r w:rsidRPr="003272C7">
              <w:rPr>
                <w:rFonts w:cs="Arial"/>
              </w:rPr>
              <w:t xml:space="preserve"> Act 1988, 2 species found are migratory shorebirds.</w:t>
            </w:r>
          </w:p>
          <w:p w14:paraId="655DDDE6" w14:textId="7902135F" w:rsidR="00064B77" w:rsidRPr="003272C7" w:rsidRDefault="00AB64FE" w:rsidP="00E96B01">
            <w:pPr>
              <w:pStyle w:val="TableBullet2"/>
              <w:rPr>
                <w:rFonts w:cs="Arial"/>
              </w:rPr>
            </w:pPr>
            <w:r w:rsidRPr="003272C7">
              <w:rPr>
                <w:rFonts w:cs="Arial"/>
              </w:rPr>
              <w:t>O</w:t>
            </w:r>
            <w:r w:rsidR="00E1262D" w:rsidRPr="003272C7">
              <w:rPr>
                <w:rFonts w:cs="Arial"/>
              </w:rPr>
              <w:t>ver 15,000 Great Cormorants, 10,000 Australian Shelduck and 800 Australian Pelican present</w:t>
            </w:r>
            <w:r w:rsidRPr="003272C7">
              <w:rPr>
                <w:rFonts w:cs="Arial"/>
              </w:rPr>
              <w:t>.</w:t>
            </w:r>
          </w:p>
          <w:p w14:paraId="3DC420DE" w14:textId="19AB8229" w:rsidR="00064B77" w:rsidRPr="003272C7" w:rsidRDefault="006C5387" w:rsidP="003F35EC">
            <w:pPr>
              <w:pStyle w:val="TableBullet"/>
              <w:rPr>
                <w:rFonts w:cs="Arial"/>
              </w:rPr>
            </w:pPr>
            <w:r w:rsidRPr="003272C7">
              <w:rPr>
                <w:rFonts w:cs="Arial"/>
              </w:rPr>
              <w:t xml:space="preserve">Increases in waterbird numbers, including several threatened species, were evident in a field survey at Moodie Swamp after environmental watering. Due to the significant number of threatened waterbirds recorded at the wetland Goulburn Broken </w:t>
            </w:r>
            <w:r w:rsidR="00AB64FE" w:rsidRPr="003272C7">
              <w:rPr>
                <w:rFonts w:cs="Arial"/>
              </w:rPr>
              <w:t>CMA</w:t>
            </w:r>
            <w:r w:rsidRPr="003272C7">
              <w:rPr>
                <w:rFonts w:cs="Arial"/>
              </w:rPr>
              <w:t xml:space="preserve"> successfully advocated for the wetland’s closure to duck hunting in 2024. The field survey found:</w:t>
            </w:r>
          </w:p>
          <w:p w14:paraId="04CE1D16" w14:textId="29D6F764" w:rsidR="00806FAD" w:rsidRPr="003272C7" w:rsidRDefault="00AB64FE" w:rsidP="00E96B01">
            <w:pPr>
              <w:pStyle w:val="TableBullet2"/>
              <w:rPr>
                <w:rFonts w:cs="Arial"/>
              </w:rPr>
            </w:pPr>
            <w:r w:rsidRPr="003272C7">
              <w:rPr>
                <w:rFonts w:cs="Arial"/>
              </w:rPr>
              <w:t>O</w:t>
            </w:r>
            <w:r w:rsidR="00806FAD" w:rsidRPr="003272C7">
              <w:rPr>
                <w:rFonts w:cs="Arial"/>
              </w:rPr>
              <w:t xml:space="preserve">ver 130 Eastern Great Egret (vulnerable per the Victorian </w:t>
            </w:r>
            <w:r w:rsidRPr="003272C7">
              <w:rPr>
                <w:rFonts w:cs="Arial"/>
              </w:rPr>
              <w:t>Flora and Fauna Guarantee Act 1988</w:t>
            </w:r>
            <w:r w:rsidR="00806FAD" w:rsidRPr="003272C7">
              <w:rPr>
                <w:rFonts w:cs="Arial"/>
              </w:rPr>
              <w:t xml:space="preserve">) and 100 Plumed Egret (critically endangered per the Victorian </w:t>
            </w:r>
            <w:r w:rsidRPr="003272C7">
              <w:rPr>
                <w:rFonts w:cs="Arial"/>
              </w:rPr>
              <w:t>Flora and Fauna Guarantee Act 1988</w:t>
            </w:r>
            <w:r w:rsidR="00806FAD" w:rsidRPr="003272C7">
              <w:rPr>
                <w:rFonts w:cs="Arial"/>
              </w:rPr>
              <w:t>), marking the largest Victorian Plumed Egret count in 23 years</w:t>
            </w:r>
            <w:r w:rsidRPr="003272C7">
              <w:rPr>
                <w:rFonts w:cs="Arial"/>
              </w:rPr>
              <w:t>.</w:t>
            </w:r>
          </w:p>
          <w:p w14:paraId="723E85EB" w14:textId="32BA84F5" w:rsidR="00806FAD" w:rsidRPr="003272C7" w:rsidRDefault="00806FAD" w:rsidP="00E96B01">
            <w:pPr>
              <w:pStyle w:val="TableBullet2"/>
              <w:rPr>
                <w:rFonts w:cs="Arial"/>
              </w:rPr>
            </w:pPr>
            <w:r w:rsidRPr="003272C7">
              <w:rPr>
                <w:rFonts w:cs="Arial"/>
              </w:rPr>
              <w:t>14 endangered Brolga, the highest number ever recorded at the wetland</w:t>
            </w:r>
            <w:r w:rsidR="00AB64FE" w:rsidRPr="003272C7">
              <w:rPr>
                <w:rFonts w:cs="Arial"/>
              </w:rPr>
              <w:t>.</w:t>
            </w:r>
          </w:p>
          <w:p w14:paraId="6B1C1554" w14:textId="77777777" w:rsidR="00142559" w:rsidRPr="003272C7" w:rsidRDefault="00806FAD" w:rsidP="003F35EC">
            <w:pPr>
              <w:pStyle w:val="TableBullet"/>
              <w:rPr>
                <w:rFonts w:cs="Arial"/>
              </w:rPr>
            </w:pPr>
            <w:r w:rsidRPr="003272C7">
              <w:rPr>
                <w:rFonts w:cs="Arial"/>
              </w:rPr>
              <w:t>The delivery of water for the environment continues to provide optimal conditions for the critically endangered Murray hardyhead to thrive at Kunat Kunat and Lake Elizabeth. This species is listed under the Victorian FFG Act 1988. Water deliveries have provided optimal conditions for the vegetation and fish to thrive in 2024. Attempts to bolster populations and distribution of the species has begun with a translocation of 7 individuals to Falla Dam.</w:t>
            </w:r>
          </w:p>
          <w:p w14:paraId="0372EF35" w14:textId="7DEC3E39" w:rsidR="00806FAD" w:rsidRPr="003272C7" w:rsidRDefault="00806FAD" w:rsidP="00E96B01">
            <w:pPr>
              <w:pStyle w:val="TableTextBold"/>
              <w:rPr>
                <w:rFonts w:cs="Arial"/>
              </w:rPr>
            </w:pPr>
            <w:r w:rsidRPr="003272C7">
              <w:rPr>
                <w:rFonts w:cs="Arial"/>
              </w:rPr>
              <w:t>Management actions to enhance fish connectivity and species recovery</w:t>
            </w:r>
            <w:r w:rsidR="00AB64FE" w:rsidRPr="003272C7">
              <w:rPr>
                <w:rFonts w:cs="Arial"/>
              </w:rPr>
              <w:t>:</w:t>
            </w:r>
          </w:p>
          <w:p w14:paraId="429C88FD" w14:textId="77777777" w:rsidR="00142559" w:rsidRPr="003272C7" w:rsidRDefault="00355857" w:rsidP="003F35EC">
            <w:pPr>
              <w:pStyle w:val="TableBullet"/>
              <w:rPr>
                <w:rFonts w:cs="Arial"/>
              </w:rPr>
            </w:pPr>
            <w:r w:rsidRPr="003272C7">
              <w:rPr>
                <w:rFonts w:cs="Arial"/>
              </w:rPr>
              <w:t xml:space="preserve">Construction of the fishway in 2023 on a weir in the Buchan River, which is a major tributary of the Snowy River. The fishway provides a connection from the Snowy River to the high altitude sub-alpine regions of the Nunniong Plateau, allowing native fish to complete migratory or breeding behaviour upstream and accessing an additional 127km of the largely undisturbed forested reaches of the Buchan River. In February 2024, a number of native fish were surveyed upstream and downstream of the fishway, including the </w:t>
            </w:r>
            <w:r w:rsidR="00AB64FE" w:rsidRPr="003272C7">
              <w:rPr>
                <w:rFonts w:cs="Arial"/>
              </w:rPr>
              <w:t xml:space="preserve">Environment Protection and Biodiversity Conservation Act 1999 </w:t>
            </w:r>
            <w:r w:rsidRPr="003272C7">
              <w:rPr>
                <w:rFonts w:cs="Arial"/>
              </w:rPr>
              <w:t xml:space="preserve">listed Australian grayling. The </w:t>
            </w:r>
            <w:r w:rsidR="00AB64FE" w:rsidRPr="003272C7">
              <w:rPr>
                <w:rFonts w:cs="Arial"/>
              </w:rPr>
              <w:t xml:space="preserve">Environment Protection and Biodiversity Conservation Act 1999 </w:t>
            </w:r>
            <w:r w:rsidRPr="003272C7">
              <w:rPr>
                <w:rFonts w:cs="Arial"/>
              </w:rPr>
              <w:t>listed Cox’s Gudgeon were also recorded at the top and bottom of the fishway, indicating this threatened species is moving through the fishway.</w:t>
            </w:r>
          </w:p>
          <w:p w14:paraId="3F940F08" w14:textId="77777777" w:rsidR="00142559" w:rsidRPr="003272C7" w:rsidRDefault="00355857" w:rsidP="003F35EC">
            <w:pPr>
              <w:pStyle w:val="TableBullet"/>
              <w:rPr>
                <w:rFonts w:cs="Arial"/>
              </w:rPr>
            </w:pPr>
            <w:r w:rsidRPr="003272C7">
              <w:rPr>
                <w:rFonts w:cs="Arial"/>
              </w:rPr>
              <w:lastRenderedPageBreak/>
              <w:t>In March 2024, a 2-day Tandanus Catfish fishing competition was held in the Glenelg River resulting in the relocation of 102 catfish to the Murray-Darling Basin as an effort to improve the catfish population after the 2022 blackwater event.</w:t>
            </w:r>
          </w:p>
          <w:p w14:paraId="66A95626" w14:textId="1EEEA02F" w:rsidR="00142559" w:rsidRPr="003272C7" w:rsidRDefault="00355857" w:rsidP="003F35EC">
            <w:pPr>
              <w:pStyle w:val="TableBullet"/>
              <w:rPr>
                <w:rFonts w:cs="Arial"/>
              </w:rPr>
            </w:pPr>
            <w:r w:rsidRPr="003272C7">
              <w:rPr>
                <w:rFonts w:cs="Arial"/>
              </w:rPr>
              <w:t>Removal of the Bromfield Street Weir in early 2024, which has significantly improved fishway passage on the Merri River. Post-weir removal surveys in May 2024 showed that diadromous, migratory, and marine visitor species were all present upstream of the weir, where before the weir removal they had been</w:t>
            </w:r>
            <w:r w:rsidR="00283289" w:rsidRPr="003272C7">
              <w:rPr>
                <w:rFonts w:cs="Arial"/>
              </w:rPr>
              <w:t> </w:t>
            </w:r>
            <w:r w:rsidRPr="003272C7">
              <w:rPr>
                <w:rFonts w:cs="Arial"/>
              </w:rPr>
              <w:t>absent.</w:t>
            </w:r>
          </w:p>
          <w:p w14:paraId="1ECC9861" w14:textId="4010FC3C" w:rsidR="00B242C3" w:rsidRPr="003272C7" w:rsidRDefault="00B242C3" w:rsidP="00E96B01">
            <w:pPr>
              <w:pStyle w:val="TableTextBold"/>
              <w:rPr>
                <w:rFonts w:cs="Arial"/>
              </w:rPr>
            </w:pPr>
            <w:r w:rsidRPr="003272C7">
              <w:rPr>
                <w:rFonts w:cs="Arial"/>
              </w:rPr>
              <w:t>Opportunities for involvement and water return to Traditional Owners:</w:t>
            </w:r>
          </w:p>
          <w:p w14:paraId="7C7DCD59" w14:textId="77777777" w:rsidR="00142559" w:rsidRPr="003272C7" w:rsidRDefault="00B242C3" w:rsidP="003F35EC">
            <w:pPr>
              <w:pStyle w:val="TableBullet"/>
              <w:rPr>
                <w:rFonts w:cs="Arial"/>
              </w:rPr>
            </w:pPr>
            <w:r w:rsidRPr="003272C7">
              <w:rPr>
                <w:rFonts w:cs="Arial"/>
              </w:rPr>
              <w:t>Delivering water for the environment to Annulus Billabong in the Yarra system</w:t>
            </w:r>
            <w:r w:rsidR="00F67AB4" w:rsidRPr="003272C7">
              <w:rPr>
                <w:rFonts w:cs="Arial"/>
              </w:rPr>
              <w:t>, for the first time</w:t>
            </w:r>
            <w:r w:rsidR="0028148B" w:rsidRPr="003272C7">
              <w:rPr>
                <w:rFonts w:cs="Arial"/>
              </w:rPr>
              <w:t xml:space="preserve"> -</w:t>
            </w:r>
            <w:r w:rsidRPr="003272C7">
              <w:rPr>
                <w:rFonts w:cs="Arial"/>
              </w:rPr>
              <w:t xml:space="preserve"> in partnership with Wurundj</w:t>
            </w:r>
            <w:r w:rsidR="00FB3C3B" w:rsidRPr="003272C7">
              <w:rPr>
                <w:rFonts w:cs="Arial"/>
              </w:rPr>
              <w:t>e</w:t>
            </w:r>
            <w:r w:rsidRPr="003272C7">
              <w:rPr>
                <w:rFonts w:cs="Arial"/>
              </w:rPr>
              <w:t xml:space="preserve">ri Woi </w:t>
            </w:r>
            <w:r w:rsidR="00FB3C3B" w:rsidRPr="003272C7">
              <w:rPr>
                <w:rFonts w:cs="Arial"/>
              </w:rPr>
              <w:t xml:space="preserve">Wurrung </w:t>
            </w:r>
            <w:r w:rsidRPr="003272C7">
              <w:rPr>
                <w:rFonts w:cs="Arial"/>
              </w:rPr>
              <w:t>Cultural Heritage Aboriginal Corporation in spring 2020 and 2021</w:t>
            </w:r>
            <w:r w:rsidR="00E427FA" w:rsidRPr="003272C7">
              <w:rPr>
                <w:rFonts w:cs="Arial"/>
              </w:rPr>
              <w:t>.</w:t>
            </w:r>
            <w:r w:rsidRPr="003272C7">
              <w:rPr>
                <w:rFonts w:cs="Arial"/>
              </w:rPr>
              <w:t xml:space="preserve"> These events supported cultural values identified by Traditional Owners, as well as environmental objectives including vegetation growth, habitat and feeding conditions for waterbirds.</w:t>
            </w:r>
          </w:p>
          <w:p w14:paraId="220CBF70" w14:textId="1F04214A" w:rsidR="00B242C3" w:rsidRPr="003272C7" w:rsidRDefault="00B242C3" w:rsidP="003F35EC">
            <w:pPr>
              <w:pStyle w:val="TableBullet"/>
              <w:rPr>
                <w:rFonts w:cs="Arial"/>
              </w:rPr>
            </w:pPr>
            <w:r w:rsidRPr="003272C7">
              <w:rPr>
                <w:rFonts w:cs="Arial"/>
              </w:rPr>
              <w:t>Supporting the First People of the Millewa Mallee Aboriginal Corporation's restoration and protection of a site of high cultural significance at Robertson Creek in the lower Mallee in Spring 2020</w:t>
            </w:r>
            <w:r w:rsidR="00E427FA" w:rsidRPr="003272C7">
              <w:rPr>
                <w:rFonts w:cs="Arial"/>
              </w:rPr>
              <w:t xml:space="preserve"> with t</w:t>
            </w:r>
            <w:r w:rsidRPr="003272C7">
              <w:rPr>
                <w:rFonts w:cs="Arial"/>
              </w:rPr>
              <w:t>he environmental flow</w:t>
            </w:r>
            <w:r w:rsidR="00CC1CEA" w:rsidRPr="003272C7">
              <w:rPr>
                <w:rFonts w:cs="Arial"/>
              </w:rPr>
              <w:t>s.</w:t>
            </w:r>
          </w:p>
          <w:p w14:paraId="068A41A7" w14:textId="1A07AA29" w:rsidR="00142559" w:rsidRPr="003272C7" w:rsidRDefault="00B242C3" w:rsidP="003F35EC">
            <w:pPr>
              <w:pStyle w:val="TableBullet"/>
              <w:rPr>
                <w:rFonts w:cs="Arial"/>
              </w:rPr>
            </w:pPr>
            <w:r w:rsidRPr="003272C7">
              <w:rPr>
                <w:rFonts w:cs="Arial"/>
              </w:rPr>
              <w:t xml:space="preserve">For the first time in August 2022, 1,913 ML of water for the environment was delivered to partially fill Lake Boort in partnership with Dja Dja Wurrung Aboriginal Clans Corporation, North Central </w:t>
            </w:r>
            <w:r w:rsidR="00AB64FE" w:rsidRPr="003272C7">
              <w:rPr>
                <w:rFonts w:cs="Arial"/>
              </w:rPr>
              <w:t>CMA</w:t>
            </w:r>
            <w:r w:rsidRPr="003272C7">
              <w:rPr>
                <w:rFonts w:cs="Arial"/>
              </w:rPr>
              <w:t>, the VEWH, Goulburn Murray Water and Parks Victoria. The Lake Boort partial fill aimed to support river red gums that were planted in 2017 and culturally important vegetation, such as spiny flat</w:t>
            </w:r>
            <w:r w:rsidR="005D4867" w:rsidRPr="003272C7">
              <w:rPr>
                <w:rFonts w:cs="Arial"/>
              </w:rPr>
              <w:t> </w:t>
            </w:r>
            <w:r w:rsidRPr="003272C7">
              <w:rPr>
                <w:rFonts w:cs="Arial"/>
              </w:rPr>
              <w:t>sedge.</w:t>
            </w:r>
          </w:p>
          <w:p w14:paraId="7F6C0F6E" w14:textId="3114D05D" w:rsidR="00B242C3" w:rsidRPr="003272C7" w:rsidRDefault="00CC1CEA" w:rsidP="00E96B01">
            <w:pPr>
              <w:pStyle w:val="TableBullet"/>
              <w:rPr>
                <w:rFonts w:cs="Arial"/>
              </w:rPr>
            </w:pPr>
            <w:r w:rsidRPr="003272C7">
              <w:rPr>
                <w:rFonts w:cs="Arial"/>
              </w:rPr>
              <w:t xml:space="preserve">Strengthened relationships with the Yorta Yorta Nation Aboriginal Corporation during the development of Black Swamp EWMP which enabled sharing and learning with Goulburn Broken </w:t>
            </w:r>
            <w:r w:rsidR="00AB64FE" w:rsidRPr="003272C7">
              <w:rPr>
                <w:rFonts w:cs="Arial"/>
              </w:rPr>
              <w:t>CMA</w:t>
            </w:r>
            <w:r w:rsidRPr="003272C7">
              <w:rPr>
                <w:rFonts w:cs="Arial"/>
              </w:rPr>
              <w:t xml:space="preserve"> on culturally sensitive language and improved context for the Moodie Swamp and lower Broken Creek EWMPs. </w:t>
            </w:r>
          </w:p>
        </w:tc>
      </w:tr>
      <w:tr w:rsidR="00B242C3" w:rsidRPr="003272C7" w14:paraId="24A048AD" w14:textId="77777777" w:rsidTr="00142559">
        <w:trPr>
          <w:trHeight w:val="259"/>
        </w:trPr>
        <w:tc>
          <w:tcPr>
            <w:tcW w:w="979" w:type="pct"/>
            <w:shd w:val="clear" w:color="auto" w:fill="231EDC" w:themeFill="accent1"/>
          </w:tcPr>
          <w:p w14:paraId="5769E375" w14:textId="77777777" w:rsidR="00B242C3" w:rsidRPr="003272C7" w:rsidRDefault="00B242C3" w:rsidP="00E96B01">
            <w:pPr>
              <w:pStyle w:val="TableText"/>
              <w:rPr>
                <w:rFonts w:cs="Arial"/>
                <w:b/>
                <w:bCs/>
              </w:rPr>
            </w:pPr>
            <w:r w:rsidRPr="003272C7">
              <w:rPr>
                <w:rFonts w:cs="Arial"/>
                <w:b/>
                <w:bCs/>
              </w:rPr>
              <w:lastRenderedPageBreak/>
              <w:t>Effectiveness</w:t>
            </w:r>
          </w:p>
        </w:tc>
        <w:tc>
          <w:tcPr>
            <w:tcW w:w="4021" w:type="pct"/>
          </w:tcPr>
          <w:p w14:paraId="1447E170" w14:textId="0FBDBDDB" w:rsidR="00B242C3" w:rsidRPr="003272C7" w:rsidRDefault="00B242C3" w:rsidP="00E96B01">
            <w:pPr>
              <w:pStyle w:val="TableText"/>
              <w:rPr>
                <w:rFonts w:cs="Arial"/>
              </w:rPr>
            </w:pPr>
            <w:r w:rsidRPr="003272C7">
              <w:rPr>
                <w:rFonts w:cs="Arial"/>
              </w:rPr>
              <w:t>Refer to the operational context challenges in Waterway Health summary</w:t>
            </w:r>
            <w:r w:rsidR="00AB64FE" w:rsidRPr="003272C7">
              <w:rPr>
                <w:rFonts w:cs="Arial"/>
              </w:rPr>
              <w:t>.</w:t>
            </w:r>
          </w:p>
        </w:tc>
      </w:tr>
      <w:tr w:rsidR="00B242C3" w:rsidRPr="003272C7" w14:paraId="0471055F" w14:textId="77777777" w:rsidTr="00142559">
        <w:trPr>
          <w:trHeight w:val="259"/>
        </w:trPr>
        <w:tc>
          <w:tcPr>
            <w:tcW w:w="979" w:type="pct"/>
            <w:shd w:val="clear" w:color="auto" w:fill="231EDC" w:themeFill="accent1"/>
          </w:tcPr>
          <w:p w14:paraId="3410D729" w14:textId="77777777" w:rsidR="00B242C3" w:rsidRPr="003272C7" w:rsidRDefault="00B242C3" w:rsidP="00775068">
            <w:pPr>
              <w:pStyle w:val="TableText"/>
              <w:rPr>
                <w:rFonts w:cs="Arial"/>
                <w:b/>
                <w:bCs/>
              </w:rPr>
            </w:pPr>
            <w:r w:rsidRPr="003272C7">
              <w:rPr>
                <w:rFonts w:cs="Arial"/>
                <w:b/>
                <w:bCs/>
              </w:rPr>
              <w:t>Appropriateness</w:t>
            </w:r>
          </w:p>
        </w:tc>
        <w:tc>
          <w:tcPr>
            <w:tcW w:w="4021" w:type="pct"/>
          </w:tcPr>
          <w:p w14:paraId="051B1039" w14:textId="2B75AE17" w:rsidR="00B242C3" w:rsidRPr="003272C7" w:rsidRDefault="00B242C3" w:rsidP="00775068">
            <w:pPr>
              <w:pStyle w:val="TableText"/>
              <w:rPr>
                <w:rFonts w:cs="Arial"/>
              </w:rPr>
            </w:pPr>
            <w:r w:rsidRPr="003272C7">
              <w:rPr>
                <w:rFonts w:cs="Arial"/>
              </w:rPr>
              <w:t xml:space="preserve">This </w:t>
            </w:r>
            <w:r w:rsidR="00445736" w:rsidRPr="003272C7">
              <w:rPr>
                <w:rFonts w:cs="Arial"/>
              </w:rPr>
              <w:t>project</w:t>
            </w:r>
            <w:r w:rsidRPr="003272C7">
              <w:rPr>
                <w:rFonts w:cs="Arial"/>
              </w:rPr>
              <w:t xml:space="preserve"> was scoped to address actions in the VWMS and Water for Victoria, </w:t>
            </w:r>
            <w:r w:rsidR="004748AD" w:rsidRPr="003272C7">
              <w:rPr>
                <w:rFonts w:cs="Arial"/>
              </w:rPr>
              <w:t>support delivery</w:t>
            </w:r>
            <w:r w:rsidRPr="003272C7">
              <w:rPr>
                <w:rFonts w:cs="Arial"/>
              </w:rPr>
              <w:t xml:space="preserve"> the </w:t>
            </w:r>
            <w:r w:rsidR="00AB64FE" w:rsidRPr="003272C7">
              <w:rPr>
                <w:rFonts w:cs="Arial"/>
              </w:rPr>
              <w:t>9</w:t>
            </w:r>
            <w:r w:rsidRPr="003272C7">
              <w:rPr>
                <w:rFonts w:cs="Arial"/>
              </w:rPr>
              <w:t xml:space="preserve"> </w:t>
            </w:r>
            <w:r w:rsidR="004748AD" w:rsidRPr="003272C7">
              <w:rPr>
                <w:rFonts w:cs="Arial"/>
              </w:rPr>
              <w:t xml:space="preserve">Regional </w:t>
            </w:r>
            <w:r w:rsidRPr="003272C7">
              <w:rPr>
                <w:rFonts w:cs="Arial"/>
              </w:rPr>
              <w:t>Waterway Strategies approved in 2014 by the Minister for Water and Minister for Environment</w:t>
            </w:r>
            <w:r w:rsidR="000E3582" w:rsidRPr="003272C7">
              <w:rPr>
                <w:rFonts w:cs="Arial"/>
              </w:rPr>
              <w:t xml:space="preserve">, and for </w:t>
            </w:r>
            <w:r w:rsidR="00AB64FE" w:rsidRPr="003272C7">
              <w:rPr>
                <w:rFonts w:cs="Arial"/>
              </w:rPr>
              <w:t>CMA</w:t>
            </w:r>
            <w:r w:rsidR="000E3582" w:rsidRPr="003272C7">
              <w:rPr>
                <w:rFonts w:cs="Arial"/>
              </w:rPr>
              <w:t xml:space="preserve">s and the </w:t>
            </w:r>
            <w:r w:rsidR="00AB64FE" w:rsidRPr="003272C7">
              <w:rPr>
                <w:rFonts w:cs="Arial"/>
              </w:rPr>
              <w:t>VEWH</w:t>
            </w:r>
            <w:r w:rsidR="000E3582" w:rsidRPr="003272C7">
              <w:rPr>
                <w:rFonts w:cs="Arial"/>
              </w:rPr>
              <w:t xml:space="preserve"> to</w:t>
            </w:r>
            <w:r w:rsidRPr="003272C7">
              <w:rPr>
                <w:rFonts w:cs="Arial"/>
              </w:rPr>
              <w:t xml:space="preserve"> meet statutory functions and obligations as outlined in the Water Act 1989</w:t>
            </w:r>
            <w:r w:rsidR="00836149" w:rsidRPr="003272C7">
              <w:rPr>
                <w:rFonts w:cs="Arial"/>
              </w:rPr>
              <w:t xml:space="preserve"> and Catchment and Land Protection Act 1994</w:t>
            </w:r>
            <w:r w:rsidRPr="003272C7">
              <w:rPr>
                <w:rFonts w:cs="Arial"/>
              </w:rPr>
              <w:t>.</w:t>
            </w:r>
          </w:p>
          <w:p w14:paraId="7A4A0364" w14:textId="5D993BE6" w:rsidR="00B242C3" w:rsidRPr="003272C7" w:rsidRDefault="00B242C3" w:rsidP="00775068">
            <w:pPr>
              <w:pStyle w:val="TableText"/>
              <w:rPr>
                <w:rFonts w:cs="Arial"/>
              </w:rPr>
            </w:pPr>
            <w:r w:rsidRPr="003272C7">
              <w:rPr>
                <w:rFonts w:cs="Arial"/>
              </w:rPr>
              <w:t xml:space="preserve">Since this </w:t>
            </w:r>
            <w:r w:rsidR="00445736" w:rsidRPr="003272C7">
              <w:rPr>
                <w:rFonts w:cs="Arial"/>
              </w:rPr>
              <w:t>project</w:t>
            </w:r>
            <w:r w:rsidRPr="003272C7">
              <w:rPr>
                <w:rFonts w:cs="Arial"/>
              </w:rPr>
              <w:t xml:space="preserve"> was funded, the Victorian Government has released two key policy documents (in late 2022),</w:t>
            </w:r>
            <w:r w:rsidRPr="003272C7" w:rsidDel="00815302">
              <w:rPr>
                <w:rFonts w:cs="Arial"/>
              </w:rPr>
              <w:t xml:space="preserve"> </w:t>
            </w:r>
            <w:r w:rsidRPr="003272C7">
              <w:rPr>
                <w:rFonts w:cs="Arial"/>
              </w:rPr>
              <w:t>including Water is Life</w:t>
            </w:r>
            <w:r w:rsidR="00AB64FE" w:rsidRPr="003272C7">
              <w:rPr>
                <w:rFonts w:cs="Arial"/>
              </w:rPr>
              <w:t xml:space="preserve"> </w:t>
            </w:r>
            <w:r w:rsidRPr="003272C7">
              <w:rPr>
                <w:rFonts w:cs="Arial"/>
              </w:rPr>
              <w:t xml:space="preserve">and the </w:t>
            </w:r>
            <w:r w:rsidR="00AB64FE" w:rsidRPr="003272C7">
              <w:rPr>
                <w:rFonts w:cs="Arial"/>
              </w:rPr>
              <w:t>CGRSWS</w:t>
            </w:r>
            <w:r w:rsidRPr="003272C7">
              <w:rPr>
                <w:rFonts w:cs="Arial"/>
              </w:rPr>
              <w:t xml:space="preserve">. Both have reinforced the importance of partnering with Traditional Owners to achieve meaningful outcomes, and to continue policy and implementation work around the </w:t>
            </w:r>
            <w:r w:rsidR="005124B9" w:rsidRPr="003272C7">
              <w:rPr>
                <w:rFonts w:cs="Arial"/>
              </w:rPr>
              <w:t xml:space="preserve">sustainable </w:t>
            </w:r>
            <w:r w:rsidRPr="003272C7">
              <w:rPr>
                <w:rFonts w:cs="Arial"/>
              </w:rPr>
              <w:t>use of water resources to address declines in environmental condition of waterways. </w:t>
            </w:r>
          </w:p>
        </w:tc>
      </w:tr>
      <w:tr w:rsidR="00B242C3" w:rsidRPr="003272C7" w14:paraId="6F62F422" w14:textId="77777777" w:rsidTr="00142559">
        <w:trPr>
          <w:trHeight w:val="259"/>
        </w:trPr>
        <w:tc>
          <w:tcPr>
            <w:tcW w:w="979" w:type="pct"/>
            <w:shd w:val="clear" w:color="auto" w:fill="231EDC" w:themeFill="accent1"/>
          </w:tcPr>
          <w:p w14:paraId="7EE7D2AB" w14:textId="77777777" w:rsidR="00B242C3" w:rsidRPr="003272C7" w:rsidRDefault="00B242C3" w:rsidP="00775068">
            <w:pPr>
              <w:pStyle w:val="TableText"/>
              <w:rPr>
                <w:rFonts w:cs="Arial"/>
                <w:b/>
                <w:bCs/>
              </w:rPr>
            </w:pPr>
            <w:r w:rsidRPr="003272C7">
              <w:rPr>
                <w:rFonts w:cs="Arial"/>
                <w:b/>
                <w:bCs/>
              </w:rPr>
              <w:t>Efficiency</w:t>
            </w:r>
          </w:p>
        </w:tc>
        <w:tc>
          <w:tcPr>
            <w:tcW w:w="4021" w:type="pct"/>
          </w:tcPr>
          <w:p w14:paraId="1E89DD10" w14:textId="2CAF32FE" w:rsidR="00B242C3" w:rsidRPr="003272C7" w:rsidRDefault="00B242C3" w:rsidP="003F35EC">
            <w:pPr>
              <w:pStyle w:val="TableBullet"/>
              <w:rPr>
                <w:rFonts w:cs="Arial"/>
              </w:rPr>
            </w:pPr>
            <w:r w:rsidRPr="003272C7">
              <w:rPr>
                <w:rFonts w:cs="Arial"/>
              </w:rPr>
              <w:t>100 per cent of VEWH milestones have been delivered on time as per the funding</w:t>
            </w:r>
            <w:r w:rsidR="005D4867" w:rsidRPr="003272C7">
              <w:rPr>
                <w:rFonts w:cs="Arial"/>
              </w:rPr>
              <w:t> </w:t>
            </w:r>
            <w:r w:rsidRPr="003272C7">
              <w:rPr>
                <w:rFonts w:cs="Arial"/>
              </w:rPr>
              <w:t>agreements.</w:t>
            </w:r>
          </w:p>
          <w:p w14:paraId="5C49AFB5" w14:textId="46F26C23" w:rsidR="00142559" w:rsidRPr="003272C7" w:rsidRDefault="00B242C3" w:rsidP="003F35EC">
            <w:pPr>
              <w:pStyle w:val="TableBullet"/>
              <w:rPr>
                <w:rFonts w:cs="Arial"/>
              </w:rPr>
            </w:pPr>
            <w:r w:rsidRPr="003272C7">
              <w:rPr>
                <w:rFonts w:cs="Arial"/>
              </w:rPr>
              <w:t xml:space="preserve">VEWH have </w:t>
            </w:r>
            <w:r w:rsidR="005124B9" w:rsidRPr="003272C7">
              <w:rPr>
                <w:rFonts w:cs="Arial"/>
              </w:rPr>
              <w:t xml:space="preserve">delivered milestones </w:t>
            </w:r>
            <w:r w:rsidRPr="003272C7">
              <w:rPr>
                <w:rFonts w:cs="Arial"/>
              </w:rPr>
              <w:t>within allocated budget</w:t>
            </w:r>
            <w:r w:rsidR="005124B9" w:rsidRPr="003272C7">
              <w:rPr>
                <w:rFonts w:cs="Arial"/>
              </w:rPr>
              <w:t>s</w:t>
            </w:r>
            <w:r w:rsidRPr="003272C7">
              <w:rPr>
                <w:rFonts w:cs="Arial"/>
              </w:rPr>
              <w:t xml:space="preserve"> as per the funding</w:t>
            </w:r>
            <w:r w:rsidR="005D4867" w:rsidRPr="003272C7">
              <w:rPr>
                <w:rFonts w:cs="Arial"/>
              </w:rPr>
              <w:t> </w:t>
            </w:r>
            <w:r w:rsidRPr="003272C7">
              <w:rPr>
                <w:rFonts w:cs="Arial"/>
              </w:rPr>
              <w:t>agreements</w:t>
            </w:r>
            <w:r w:rsidR="0052184B" w:rsidRPr="003272C7">
              <w:rPr>
                <w:rFonts w:cs="Arial"/>
              </w:rPr>
              <w:t>.</w:t>
            </w:r>
          </w:p>
          <w:p w14:paraId="56605822" w14:textId="4C61BAD7" w:rsidR="00B242C3" w:rsidRPr="003272C7" w:rsidRDefault="00B242C3" w:rsidP="003F35EC">
            <w:pPr>
              <w:pStyle w:val="TableBullet"/>
              <w:rPr>
                <w:rFonts w:cs="Arial"/>
              </w:rPr>
            </w:pPr>
            <w:r w:rsidRPr="003272C7">
              <w:rPr>
                <w:rFonts w:cs="Arial"/>
              </w:rPr>
              <w:t xml:space="preserve">100 per cent of </w:t>
            </w:r>
            <w:r w:rsidR="0052184B" w:rsidRPr="003272C7">
              <w:rPr>
                <w:rFonts w:cs="Arial"/>
              </w:rPr>
              <w:t xml:space="preserve">CMA </w:t>
            </w:r>
            <w:r w:rsidRPr="003272C7">
              <w:rPr>
                <w:rFonts w:cs="Arial"/>
              </w:rPr>
              <w:t xml:space="preserve">Environmental Water projects have been delivered on time as per the </w:t>
            </w:r>
            <w:r w:rsidR="005404CD" w:rsidRPr="003272C7">
              <w:rPr>
                <w:rFonts w:cs="Arial"/>
              </w:rPr>
              <w:t>Victorian Waterway Program Investment Framework (V</w:t>
            </w:r>
            <w:r w:rsidRPr="003272C7">
              <w:rPr>
                <w:rFonts w:cs="Arial"/>
              </w:rPr>
              <w:t>WPI</w:t>
            </w:r>
            <w:r w:rsidR="005404CD" w:rsidRPr="003272C7">
              <w:rPr>
                <w:rFonts w:cs="Arial"/>
              </w:rPr>
              <w:t>F)</w:t>
            </w:r>
            <w:r w:rsidRPr="003272C7">
              <w:rPr>
                <w:rFonts w:cs="Arial"/>
              </w:rPr>
              <w:t xml:space="preserve"> funding agreements (noting that the majority of </w:t>
            </w:r>
            <w:r w:rsidR="0052184B" w:rsidRPr="003272C7">
              <w:rPr>
                <w:rFonts w:cs="Arial"/>
              </w:rPr>
              <w:t>projects have been com</w:t>
            </w:r>
            <w:r w:rsidR="00C20859" w:rsidRPr="003272C7">
              <w:rPr>
                <w:rFonts w:cs="Arial"/>
              </w:rPr>
              <w:t>pleted with funding agreements due to expire by 31 December 2024</w:t>
            </w:r>
            <w:r w:rsidRPr="003272C7">
              <w:rPr>
                <w:rFonts w:cs="Arial"/>
              </w:rPr>
              <w:t>).</w:t>
            </w:r>
          </w:p>
          <w:p w14:paraId="4922071D" w14:textId="438DD389" w:rsidR="00B242C3" w:rsidRPr="003272C7" w:rsidRDefault="00B242C3" w:rsidP="003F35EC">
            <w:pPr>
              <w:pStyle w:val="TableBullet"/>
              <w:rPr>
                <w:rFonts w:cs="Arial"/>
              </w:rPr>
            </w:pPr>
            <w:r w:rsidRPr="003272C7">
              <w:rPr>
                <w:rFonts w:cs="Arial"/>
              </w:rPr>
              <w:t>100 per cent of Environmental Water projects delivered as budgeted as per the VWPIF funding agreements.</w:t>
            </w:r>
          </w:p>
          <w:p w14:paraId="514D9A33" w14:textId="77777777" w:rsidR="00142559" w:rsidRPr="003272C7" w:rsidRDefault="00B242C3" w:rsidP="00775068">
            <w:pPr>
              <w:pStyle w:val="TableText"/>
              <w:rPr>
                <w:rFonts w:cs="Arial"/>
              </w:rPr>
            </w:pPr>
            <w:r w:rsidRPr="003272C7">
              <w:rPr>
                <w:rFonts w:cs="Arial"/>
              </w:rPr>
              <w:t>The Environmental Water program’s close collaborations with a broad range of scientists, research institutes, consultancies and government agencies has made use of diverse and targeted expertise and shared effort, equipment and results. For example:</w:t>
            </w:r>
          </w:p>
          <w:p w14:paraId="41164425" w14:textId="29F5AF2A" w:rsidR="00B242C3" w:rsidRPr="003272C7" w:rsidRDefault="00B242C3" w:rsidP="003F35EC">
            <w:pPr>
              <w:pStyle w:val="TableBullet"/>
              <w:rPr>
                <w:rFonts w:cs="Arial"/>
              </w:rPr>
            </w:pPr>
            <w:r w:rsidRPr="003272C7">
              <w:rPr>
                <w:rFonts w:cs="Arial"/>
              </w:rPr>
              <w:t xml:space="preserve">Co-investment in a project with Melbourne Water to support investigations into the supply of alternative water to the Werribee River for environmental benefit. </w:t>
            </w:r>
            <w:r w:rsidRPr="003272C7">
              <w:rPr>
                <w:rFonts w:cs="Arial"/>
              </w:rPr>
              <w:lastRenderedPageBreak/>
              <w:t>This will provide information on the circumstances under which recycled water or stormwater could be used for environmental benefit in the Werribee River.</w:t>
            </w:r>
          </w:p>
          <w:p w14:paraId="0E4104D4" w14:textId="22420E5C" w:rsidR="00B242C3" w:rsidRPr="003272C7" w:rsidRDefault="00B242C3" w:rsidP="003F35EC">
            <w:pPr>
              <w:pStyle w:val="TableBullet"/>
              <w:rPr>
                <w:rFonts w:cs="Arial"/>
              </w:rPr>
            </w:pPr>
            <w:r w:rsidRPr="003272C7">
              <w:rPr>
                <w:rFonts w:cs="Arial"/>
              </w:rPr>
              <w:t xml:space="preserve">Co-investment in a PhD research project to assess the effects of flows in the lower Goulburn River on freshwater shrimp. The project is led by RMIT University and will examine the diet of shrimp in the lower Goulburn River to determine where in the river they are feeding and to see how their diet changes with age. eDNA technology will be used to sequence the material in their gut to detail their food sources. This </w:t>
            </w:r>
            <w:r w:rsidR="00C20859" w:rsidRPr="003272C7">
              <w:rPr>
                <w:rFonts w:cs="Arial"/>
              </w:rPr>
              <w:t>project</w:t>
            </w:r>
            <w:r w:rsidRPr="003272C7">
              <w:rPr>
                <w:rFonts w:cs="Arial"/>
              </w:rPr>
              <w:t xml:space="preserve"> complements </w:t>
            </w:r>
            <w:r w:rsidR="00C20859" w:rsidRPr="003272C7">
              <w:rPr>
                <w:rFonts w:cs="Arial"/>
              </w:rPr>
              <w:t>the</w:t>
            </w:r>
            <w:r w:rsidRPr="003272C7">
              <w:rPr>
                <w:rFonts w:cs="Arial"/>
              </w:rPr>
              <w:t xml:space="preserve"> research and investigations </w:t>
            </w:r>
            <w:r w:rsidR="00C33BF8" w:rsidRPr="003272C7">
              <w:rPr>
                <w:rFonts w:cs="Arial"/>
              </w:rPr>
              <w:t>program</w:t>
            </w:r>
            <w:r w:rsidR="005D4867" w:rsidRPr="003272C7">
              <w:rPr>
                <w:rFonts w:cs="Arial"/>
              </w:rPr>
              <w:t> </w:t>
            </w:r>
            <w:r w:rsidR="00C33BF8" w:rsidRPr="003272C7">
              <w:rPr>
                <w:rFonts w:cs="Arial"/>
              </w:rPr>
              <w:t>funded</w:t>
            </w:r>
            <w:r w:rsidRPr="003272C7">
              <w:rPr>
                <w:rFonts w:cs="Arial"/>
              </w:rPr>
              <w:t xml:space="preserve"> by DEECA </w:t>
            </w:r>
            <w:r w:rsidR="00C33BF8" w:rsidRPr="003272C7">
              <w:rPr>
                <w:rFonts w:cs="Arial"/>
              </w:rPr>
              <w:t>to assess</w:t>
            </w:r>
            <w:r w:rsidRPr="003272C7">
              <w:rPr>
                <w:rFonts w:cs="Arial"/>
              </w:rPr>
              <w:t xml:space="preserve"> the </w:t>
            </w:r>
            <w:r w:rsidR="00AE716D" w:rsidRPr="003272C7">
              <w:rPr>
                <w:rFonts w:cs="Arial"/>
              </w:rPr>
              <w:t>performance of new</w:t>
            </w:r>
            <w:r w:rsidRPr="003272C7">
              <w:rPr>
                <w:rFonts w:cs="Arial"/>
              </w:rPr>
              <w:t xml:space="preserve"> Goulburn </w:t>
            </w:r>
            <w:r w:rsidR="00AE716D" w:rsidRPr="003272C7">
              <w:rPr>
                <w:rFonts w:cs="Arial"/>
              </w:rPr>
              <w:t>River</w:t>
            </w:r>
            <w:r w:rsidRPr="003272C7">
              <w:rPr>
                <w:rFonts w:cs="Arial"/>
              </w:rPr>
              <w:t xml:space="preserve"> operating</w:t>
            </w:r>
            <w:r w:rsidR="005D4867" w:rsidRPr="003272C7">
              <w:rPr>
                <w:rFonts w:cs="Arial"/>
              </w:rPr>
              <w:t> </w:t>
            </w:r>
            <w:r w:rsidRPr="003272C7">
              <w:rPr>
                <w:rFonts w:cs="Arial"/>
              </w:rPr>
              <w:t>rule</w:t>
            </w:r>
            <w:r w:rsidR="00291F67" w:rsidRPr="003272C7">
              <w:rPr>
                <w:rFonts w:cs="Arial"/>
              </w:rPr>
              <w:t>s</w:t>
            </w:r>
            <w:r w:rsidRPr="003272C7">
              <w:rPr>
                <w:rFonts w:cs="Arial"/>
              </w:rPr>
              <w:t>.</w:t>
            </w:r>
          </w:p>
        </w:tc>
      </w:tr>
      <w:tr w:rsidR="00B242C3" w:rsidRPr="003272C7" w14:paraId="36001630" w14:textId="77777777" w:rsidTr="00142559">
        <w:trPr>
          <w:trHeight w:val="259"/>
        </w:trPr>
        <w:tc>
          <w:tcPr>
            <w:tcW w:w="979" w:type="pct"/>
            <w:shd w:val="clear" w:color="auto" w:fill="231EDC" w:themeFill="accent1"/>
          </w:tcPr>
          <w:p w14:paraId="423CA241" w14:textId="77777777" w:rsidR="00B242C3" w:rsidRPr="003272C7" w:rsidRDefault="00B242C3" w:rsidP="00775068">
            <w:pPr>
              <w:pStyle w:val="TableText"/>
              <w:rPr>
                <w:rFonts w:cs="Arial"/>
                <w:b/>
                <w:bCs/>
              </w:rPr>
            </w:pPr>
            <w:r w:rsidRPr="003272C7">
              <w:rPr>
                <w:rFonts w:cs="Arial"/>
                <w:b/>
                <w:bCs/>
              </w:rPr>
              <w:lastRenderedPageBreak/>
              <w:t>Legacy</w:t>
            </w:r>
          </w:p>
        </w:tc>
        <w:tc>
          <w:tcPr>
            <w:tcW w:w="4021" w:type="pct"/>
          </w:tcPr>
          <w:p w14:paraId="2B2972A7" w14:textId="77777777" w:rsidR="00B242C3" w:rsidRPr="003272C7" w:rsidRDefault="00B242C3" w:rsidP="00775068">
            <w:pPr>
              <w:pStyle w:val="TableText"/>
              <w:rPr>
                <w:rFonts w:cs="Arial"/>
              </w:rPr>
            </w:pPr>
            <w:r w:rsidRPr="003272C7">
              <w:rPr>
                <w:rFonts w:cs="Arial"/>
              </w:rPr>
              <w:t>There is a solid foundation for Victoria’s environmental watering program, which includes a strong governance framework and regional delivery model, led by CMAs with community support and participation. The impacts of this investment are highly likely to continue over time due to:</w:t>
            </w:r>
          </w:p>
          <w:p w14:paraId="58C9FDE1" w14:textId="77777777" w:rsidR="00142559" w:rsidRPr="003272C7" w:rsidRDefault="00B242C3" w:rsidP="003F35EC">
            <w:pPr>
              <w:pStyle w:val="TableBullet"/>
              <w:rPr>
                <w:rFonts w:cs="Arial"/>
              </w:rPr>
            </w:pPr>
            <w:r w:rsidRPr="003272C7">
              <w:rPr>
                <w:rFonts w:cs="Arial"/>
              </w:rPr>
              <w:t xml:space="preserve">Continual improvements in the evidence base </w:t>
            </w:r>
            <w:r w:rsidR="00FE67D6" w:rsidRPr="003272C7">
              <w:rPr>
                <w:rFonts w:cs="Arial"/>
              </w:rPr>
              <w:t xml:space="preserve">and governance </w:t>
            </w:r>
            <w:r w:rsidRPr="003272C7">
              <w:rPr>
                <w:rFonts w:cs="Arial"/>
              </w:rPr>
              <w:t xml:space="preserve">for environmental water management. The </w:t>
            </w:r>
            <w:r w:rsidR="00FE67D6" w:rsidRPr="003272C7">
              <w:rPr>
                <w:rFonts w:cs="Arial"/>
              </w:rPr>
              <w:t>CMA’s integrated waterway programs are designed to meet Regional Waterway Strategy objectives, including through environmental water delivery</w:t>
            </w:r>
            <w:r w:rsidR="00C479F2" w:rsidRPr="003272C7">
              <w:rPr>
                <w:rFonts w:cs="Arial"/>
              </w:rPr>
              <w:t xml:space="preserve">. This is supported by </w:t>
            </w:r>
            <w:r w:rsidRPr="003272C7">
              <w:rPr>
                <w:rFonts w:cs="Arial"/>
              </w:rPr>
              <w:t xml:space="preserve">sophisticated monitoring framework </w:t>
            </w:r>
            <w:r w:rsidR="00C479F2" w:rsidRPr="003272C7">
              <w:rPr>
                <w:rFonts w:cs="Arial"/>
              </w:rPr>
              <w:t xml:space="preserve">funded </w:t>
            </w:r>
            <w:r w:rsidRPr="003272C7">
              <w:rPr>
                <w:rFonts w:cs="Arial"/>
              </w:rPr>
              <w:t xml:space="preserve">by this </w:t>
            </w:r>
            <w:r w:rsidR="00445736" w:rsidRPr="003272C7">
              <w:rPr>
                <w:rFonts w:cs="Arial"/>
              </w:rPr>
              <w:t>project</w:t>
            </w:r>
            <w:r w:rsidRPr="003272C7">
              <w:rPr>
                <w:rFonts w:cs="Arial"/>
              </w:rPr>
              <w:t xml:space="preserve"> </w:t>
            </w:r>
            <w:r w:rsidR="00C479F2" w:rsidRPr="003272C7">
              <w:rPr>
                <w:rFonts w:cs="Arial"/>
              </w:rPr>
              <w:t>to</w:t>
            </w:r>
            <w:r w:rsidRPr="003272C7">
              <w:rPr>
                <w:rFonts w:cs="Arial"/>
              </w:rPr>
              <w:t xml:space="preserve"> inform adaptive management at the local and regional level, </w:t>
            </w:r>
            <w:r w:rsidR="00C479F2" w:rsidRPr="003272C7">
              <w:rPr>
                <w:rFonts w:cs="Arial"/>
              </w:rPr>
              <w:t>and</w:t>
            </w:r>
            <w:r w:rsidRPr="003272C7">
              <w:rPr>
                <w:rFonts w:cs="Arial"/>
              </w:rPr>
              <w:t xml:space="preserve"> ensure watering outcomes </w:t>
            </w:r>
            <w:r w:rsidR="00517C2C" w:rsidRPr="003272C7">
              <w:rPr>
                <w:rFonts w:cs="Arial"/>
              </w:rPr>
              <w:t xml:space="preserve">and complementary actions </w:t>
            </w:r>
            <w:r w:rsidRPr="003272C7">
              <w:rPr>
                <w:rFonts w:cs="Arial"/>
              </w:rPr>
              <w:t>are optimised in a changing climate and as new information becomes available.</w:t>
            </w:r>
          </w:p>
          <w:p w14:paraId="32277AE4" w14:textId="77777777" w:rsidR="00142559" w:rsidRPr="003272C7" w:rsidRDefault="00B242C3" w:rsidP="003F35EC">
            <w:pPr>
              <w:pStyle w:val="TableBullet"/>
              <w:rPr>
                <w:rFonts w:cs="Arial"/>
              </w:rPr>
            </w:pPr>
            <w:r w:rsidRPr="003272C7">
              <w:rPr>
                <w:rFonts w:cs="Arial"/>
              </w:rPr>
              <w:t>Strong community support and participation in the program. Engaging community has been a key aim of this investment, to continue to raise awareness and educate people about the importance of waterway health and water for the environment. More than 6,070 individuals have been engaged from 2020-2023 in events and networks funded through this investment.</w:t>
            </w:r>
          </w:p>
          <w:p w14:paraId="2013E334" w14:textId="11317A24" w:rsidR="00B242C3" w:rsidRPr="003272C7" w:rsidRDefault="00486A98" w:rsidP="003F35EC">
            <w:pPr>
              <w:pStyle w:val="TableBullet"/>
              <w:rPr>
                <w:rFonts w:cs="Arial"/>
              </w:rPr>
            </w:pPr>
            <w:r w:rsidRPr="003272C7">
              <w:rPr>
                <w:rFonts w:cs="Arial"/>
              </w:rPr>
              <w:t>Government commitments to increase the role of Traditional Owners in environmental water management (and waterway management, more broadly). This will enable dual environmental and cultural benefits to be provided by the environmental watering program, overall increasing the benefits. While this is at an early stage, with Water is Life</w:t>
            </w:r>
            <w:r w:rsidR="0089763D" w:rsidRPr="003272C7">
              <w:rPr>
                <w:rFonts w:cs="Arial"/>
              </w:rPr>
              <w:t xml:space="preserve"> </w:t>
            </w:r>
            <w:r w:rsidRPr="003272C7">
              <w:rPr>
                <w:rFonts w:cs="Arial"/>
              </w:rPr>
              <w:t>having only been released in late 2022, increased participation of Traditional Owners in environmental water management has been facilitated at selected trial sites throughout Victoria.</w:t>
            </w:r>
          </w:p>
        </w:tc>
      </w:tr>
      <w:tr w:rsidR="00B242C3" w:rsidRPr="003272C7" w14:paraId="565D9E0C" w14:textId="77777777" w:rsidTr="00142559">
        <w:trPr>
          <w:trHeight w:val="259"/>
        </w:trPr>
        <w:tc>
          <w:tcPr>
            <w:tcW w:w="979" w:type="pct"/>
            <w:shd w:val="clear" w:color="auto" w:fill="231EDC" w:themeFill="accent1"/>
          </w:tcPr>
          <w:p w14:paraId="3C5FF02D" w14:textId="77777777" w:rsidR="00B242C3" w:rsidRPr="003272C7" w:rsidRDefault="00B242C3" w:rsidP="00C34E0C">
            <w:pPr>
              <w:pStyle w:val="TableText"/>
              <w:rPr>
                <w:rFonts w:cs="Arial"/>
                <w:b/>
                <w:bCs/>
              </w:rPr>
            </w:pPr>
            <w:r w:rsidRPr="003272C7">
              <w:rPr>
                <w:rFonts w:cs="Arial"/>
                <w:b/>
                <w:bCs/>
              </w:rPr>
              <w:t>Future priorities</w:t>
            </w:r>
          </w:p>
        </w:tc>
        <w:tc>
          <w:tcPr>
            <w:tcW w:w="4021" w:type="pct"/>
          </w:tcPr>
          <w:p w14:paraId="7C18D537" w14:textId="77777777" w:rsidR="00142559" w:rsidRPr="003272C7" w:rsidRDefault="00B242C3" w:rsidP="003F35EC">
            <w:pPr>
              <w:pStyle w:val="TableBullet"/>
              <w:rPr>
                <w:rFonts w:cs="Arial"/>
              </w:rPr>
            </w:pPr>
            <w:r w:rsidRPr="003272C7">
              <w:rPr>
                <w:rFonts w:cs="Arial"/>
              </w:rPr>
              <w:t xml:space="preserve">Continue to build on previous investment that has protected, maintained and restored Victoria’s regional waterways and catchments. Over 150 years of </w:t>
            </w:r>
            <w:r w:rsidR="00517C2C" w:rsidRPr="003272C7">
              <w:rPr>
                <w:rFonts w:cs="Arial"/>
              </w:rPr>
              <w:t>post-coloni</w:t>
            </w:r>
            <w:r w:rsidR="00CE5118" w:rsidRPr="003272C7">
              <w:rPr>
                <w:rFonts w:cs="Arial"/>
              </w:rPr>
              <w:t>sation</w:t>
            </w:r>
            <w:r w:rsidR="00517C2C" w:rsidRPr="003272C7">
              <w:rPr>
                <w:rFonts w:cs="Arial"/>
              </w:rPr>
              <w:t xml:space="preserve"> </w:t>
            </w:r>
            <w:r w:rsidRPr="003272C7">
              <w:rPr>
                <w:rFonts w:cs="Arial"/>
              </w:rPr>
              <w:t>intervention and economic development has caused severe degradation</w:t>
            </w:r>
            <w:r w:rsidR="00CE5118" w:rsidRPr="003272C7">
              <w:rPr>
                <w:rFonts w:cs="Arial"/>
              </w:rPr>
              <w:t>.</w:t>
            </w:r>
            <w:r w:rsidRPr="003272C7">
              <w:rPr>
                <w:rFonts w:cs="Arial"/>
              </w:rPr>
              <w:t xml:space="preserve"> </w:t>
            </w:r>
            <w:r w:rsidR="00B517FA" w:rsidRPr="003272C7">
              <w:rPr>
                <w:rFonts w:cs="Arial"/>
              </w:rPr>
              <w:t>the rehabilitation</w:t>
            </w:r>
            <w:r w:rsidRPr="003272C7">
              <w:rPr>
                <w:rFonts w:cs="Arial"/>
              </w:rPr>
              <w:t xml:space="preserve"> process </w:t>
            </w:r>
            <w:r w:rsidR="00B517FA" w:rsidRPr="003272C7">
              <w:rPr>
                <w:rFonts w:cs="Arial"/>
              </w:rPr>
              <w:t>to address environmental, social and cultural values of waterways</w:t>
            </w:r>
            <w:r w:rsidRPr="003272C7">
              <w:rPr>
                <w:rFonts w:cs="Arial"/>
              </w:rPr>
              <w:t xml:space="preserve"> </w:t>
            </w:r>
            <w:r w:rsidR="0089763D" w:rsidRPr="003272C7">
              <w:rPr>
                <w:rFonts w:cs="Arial"/>
              </w:rPr>
              <w:t>is incremental</w:t>
            </w:r>
            <w:r w:rsidRPr="003272C7">
              <w:rPr>
                <w:rFonts w:cs="Arial"/>
              </w:rPr>
              <w:t xml:space="preserve">, </w:t>
            </w:r>
            <w:r w:rsidR="00536240" w:rsidRPr="003272C7">
              <w:rPr>
                <w:rFonts w:cs="Arial"/>
              </w:rPr>
              <w:t>and requires</w:t>
            </w:r>
            <w:r w:rsidRPr="003272C7">
              <w:rPr>
                <w:rFonts w:cs="Arial"/>
              </w:rPr>
              <w:t xml:space="preserve"> complex</w:t>
            </w:r>
            <w:r w:rsidR="00536240" w:rsidRPr="003272C7">
              <w:rPr>
                <w:rFonts w:cs="Arial"/>
              </w:rPr>
              <w:t xml:space="preserve"> and ongoing active management.</w:t>
            </w:r>
            <w:r w:rsidRPr="003272C7">
              <w:rPr>
                <w:rFonts w:cs="Arial"/>
              </w:rPr>
              <w:t xml:space="preserve"> </w:t>
            </w:r>
            <w:r w:rsidR="00536240" w:rsidRPr="003272C7">
              <w:rPr>
                <w:rFonts w:cs="Arial"/>
              </w:rPr>
              <w:t>I</w:t>
            </w:r>
            <w:r w:rsidRPr="003272C7">
              <w:rPr>
                <w:rFonts w:cs="Arial"/>
              </w:rPr>
              <w:t xml:space="preserve">t is the primary reason why the </w:t>
            </w:r>
            <w:r w:rsidR="0089763D" w:rsidRPr="003272C7">
              <w:rPr>
                <w:rFonts w:cs="Arial"/>
              </w:rPr>
              <w:t>EC</w:t>
            </w:r>
            <w:r w:rsidRPr="003272C7">
              <w:rPr>
                <w:rFonts w:cs="Arial"/>
              </w:rPr>
              <w:t xml:space="preserve"> was created under the Water Industry Act 1994. Much has been learned on how to manage this successfully through this program.</w:t>
            </w:r>
          </w:p>
          <w:p w14:paraId="24E9AF40" w14:textId="7AF662C8" w:rsidR="00B242C3" w:rsidRPr="003272C7" w:rsidRDefault="00B242C3" w:rsidP="003F35EC">
            <w:pPr>
              <w:pStyle w:val="TableBullet"/>
              <w:rPr>
                <w:rFonts w:cs="Arial"/>
              </w:rPr>
            </w:pPr>
            <w:r w:rsidRPr="003272C7">
              <w:rPr>
                <w:rFonts w:cs="Arial"/>
              </w:rPr>
              <w:t xml:space="preserve">Adapt the program to implement new policies including </w:t>
            </w:r>
            <w:r w:rsidR="00CB42B3" w:rsidRPr="003272C7">
              <w:rPr>
                <w:rFonts w:cs="Arial"/>
              </w:rPr>
              <w:t>those in</w:t>
            </w:r>
            <w:r w:rsidRPr="003272C7">
              <w:rPr>
                <w:rFonts w:cs="Arial"/>
              </w:rPr>
              <w:t xml:space="preserve"> Water is Life</w:t>
            </w:r>
            <w:r w:rsidR="000E4556" w:rsidRPr="003272C7">
              <w:rPr>
                <w:rFonts w:cs="Arial"/>
              </w:rPr>
              <w:t>,</w:t>
            </w:r>
            <w:r w:rsidRPr="003272C7">
              <w:rPr>
                <w:rFonts w:cs="Arial"/>
              </w:rPr>
              <w:t xml:space="preserve"> the </w:t>
            </w:r>
            <w:r w:rsidR="0089763D" w:rsidRPr="003272C7">
              <w:rPr>
                <w:rFonts w:cs="Arial"/>
              </w:rPr>
              <w:t xml:space="preserve">CGRSWS </w:t>
            </w:r>
            <w:r w:rsidR="000E4556" w:rsidRPr="003272C7">
              <w:rPr>
                <w:rFonts w:cs="Arial"/>
              </w:rPr>
              <w:t xml:space="preserve">and the new </w:t>
            </w:r>
            <w:r w:rsidR="0089763D" w:rsidRPr="003272C7">
              <w:rPr>
                <w:rFonts w:cs="Arial"/>
              </w:rPr>
              <w:t>VWMS</w:t>
            </w:r>
            <w:r w:rsidR="000E4556" w:rsidRPr="003272C7">
              <w:rPr>
                <w:rFonts w:cs="Arial"/>
              </w:rPr>
              <w:t xml:space="preserve"> to be released in 2025</w:t>
            </w:r>
            <w:r w:rsidRPr="003272C7">
              <w:rPr>
                <w:rFonts w:cs="Arial"/>
              </w:rPr>
              <w:t xml:space="preserve">. </w:t>
            </w:r>
            <w:r w:rsidR="007E335C" w:rsidRPr="003272C7">
              <w:rPr>
                <w:rFonts w:cs="Arial"/>
              </w:rPr>
              <w:t>These strategies require the program to adapt to the pressures of climate change, land use change and Government commitments to increasing the role and resources for</w:t>
            </w:r>
            <w:r w:rsidRPr="003272C7">
              <w:rPr>
                <w:rFonts w:cs="Arial"/>
              </w:rPr>
              <w:t xml:space="preserve"> Traditional Owners </w:t>
            </w:r>
            <w:r w:rsidR="007E335C" w:rsidRPr="003272C7">
              <w:rPr>
                <w:rFonts w:cs="Arial"/>
              </w:rPr>
              <w:t>in waterway managemen</w:t>
            </w:r>
            <w:r w:rsidR="00D27993">
              <w:rPr>
                <w:rFonts w:cs="Arial"/>
              </w:rPr>
              <w:t>t</w:t>
            </w:r>
            <w:r w:rsidR="00353ADC" w:rsidRPr="003272C7">
              <w:rPr>
                <w:rFonts w:cs="Arial"/>
              </w:rPr>
              <w:t xml:space="preserve"> and will </w:t>
            </w:r>
            <w:r w:rsidRPr="003272C7">
              <w:rPr>
                <w:rFonts w:cs="Arial"/>
              </w:rPr>
              <w:t>require further resources.</w:t>
            </w:r>
          </w:p>
          <w:p w14:paraId="33F4EE10" w14:textId="7E35958D" w:rsidR="00B242C3" w:rsidRPr="003272C7" w:rsidRDefault="00B242C3" w:rsidP="003F35EC">
            <w:pPr>
              <w:pStyle w:val="TableBullet"/>
              <w:rPr>
                <w:rFonts w:cs="Arial"/>
              </w:rPr>
            </w:pPr>
            <w:r w:rsidRPr="003272C7">
              <w:rPr>
                <w:rFonts w:cs="Arial"/>
              </w:rPr>
              <w:t xml:space="preserve">Reflecting changes in the operational context including supply chain disruptions and inflationary pressures will ultimately mean additional funding will be required to deliver projects, specifically those that have a labour or construction/works aspect. Elevated costs of materials including cement, timber and fuel have been noted by delivery partners and made delivery within project budgets particularly challenging. Economic impacts have also been compounded due to global inflationary pressures during </w:t>
            </w:r>
            <w:r w:rsidR="003356CC" w:rsidRPr="003272C7">
              <w:rPr>
                <w:rFonts w:cs="Arial"/>
              </w:rPr>
              <w:t>the EC5 period</w:t>
            </w:r>
            <w:r w:rsidRPr="003272C7">
              <w:rPr>
                <w:rFonts w:cs="Arial"/>
              </w:rPr>
              <w:t>, which has now led to further increases in the costs of essential materials, as well as contractors and suppliers.</w:t>
            </w:r>
            <w:r w:rsidR="003356CC" w:rsidRPr="003272C7">
              <w:rPr>
                <w:rFonts w:cs="Arial"/>
              </w:rPr>
              <w:t xml:space="preserve"> This will require ongoing improvements to decision making frameworks to prioritise activities at meaningful scales to meet regional objectives and statewide</w:t>
            </w:r>
            <w:r w:rsidR="005D4867" w:rsidRPr="003272C7">
              <w:rPr>
                <w:rFonts w:cs="Arial"/>
              </w:rPr>
              <w:t> </w:t>
            </w:r>
            <w:r w:rsidR="003356CC" w:rsidRPr="003272C7">
              <w:rPr>
                <w:rFonts w:cs="Arial"/>
              </w:rPr>
              <w:t>outcomes. </w:t>
            </w:r>
          </w:p>
        </w:tc>
      </w:tr>
    </w:tbl>
    <w:p w14:paraId="6E792C6F" w14:textId="77777777" w:rsidR="00B242C3" w:rsidRPr="003272C7" w:rsidRDefault="00B242C3" w:rsidP="00B242C3">
      <w:pPr>
        <w:pStyle w:val="Heading2"/>
        <w:rPr>
          <w:rFonts w:cs="Arial"/>
        </w:rPr>
      </w:pPr>
      <w:bookmarkStart w:id="77" w:name="_Toc147410804"/>
      <w:bookmarkStart w:id="78" w:name="_Toc183777812"/>
      <w:r w:rsidRPr="003272C7">
        <w:rPr>
          <w:rFonts w:cs="Arial"/>
        </w:rPr>
        <w:lastRenderedPageBreak/>
        <w:t>SIRS6: Murray Programs</w:t>
      </w:r>
      <w:bookmarkEnd w:id="77"/>
      <w:bookmarkEnd w:id="78"/>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6C3450F3" w14:textId="77777777" w:rsidTr="00142559">
        <w:trPr>
          <w:trHeight w:val="395"/>
        </w:trPr>
        <w:tc>
          <w:tcPr>
            <w:tcW w:w="979" w:type="pct"/>
            <w:shd w:val="clear" w:color="auto" w:fill="231EDC" w:themeFill="accent1"/>
          </w:tcPr>
          <w:p w14:paraId="39AA8FFE" w14:textId="00C1B2AA" w:rsidR="00B242C3" w:rsidRPr="003272C7" w:rsidRDefault="00C412A9" w:rsidP="00C34E0C">
            <w:pPr>
              <w:pStyle w:val="TableHeading"/>
              <w:rPr>
                <w:rFonts w:cs="Arial"/>
              </w:rPr>
            </w:pPr>
            <w:r w:rsidRPr="003272C7">
              <w:rPr>
                <w:rFonts w:cs="Arial"/>
              </w:rPr>
              <w:t>Initiative</w:t>
            </w:r>
          </w:p>
        </w:tc>
        <w:tc>
          <w:tcPr>
            <w:tcW w:w="4021" w:type="pct"/>
            <w:shd w:val="clear" w:color="auto" w:fill="231EDC" w:themeFill="accent1"/>
          </w:tcPr>
          <w:p w14:paraId="5F62CBE1" w14:textId="77777777" w:rsidR="00B242C3" w:rsidRPr="003272C7" w:rsidRDefault="00B242C3" w:rsidP="00C34E0C">
            <w:pPr>
              <w:pStyle w:val="TableHeading"/>
              <w:rPr>
                <w:rFonts w:cs="Arial"/>
              </w:rPr>
            </w:pPr>
            <w:r w:rsidRPr="003272C7">
              <w:rPr>
                <w:rFonts w:cs="Arial"/>
              </w:rPr>
              <w:t>12. Improving the health of Victoria’s waterways and catchments in the face of escalating impacts of climate change/ Supporting regional communities and economic recovery through healthy waterways</w:t>
            </w:r>
          </w:p>
        </w:tc>
      </w:tr>
      <w:tr w:rsidR="00B242C3" w:rsidRPr="003272C7" w14:paraId="3CA2DF60" w14:textId="77777777" w:rsidTr="00142559">
        <w:trPr>
          <w:trHeight w:val="341"/>
        </w:trPr>
        <w:tc>
          <w:tcPr>
            <w:tcW w:w="979" w:type="pct"/>
            <w:shd w:val="clear" w:color="auto" w:fill="231EDC" w:themeFill="accent1"/>
          </w:tcPr>
          <w:p w14:paraId="2E126ECB" w14:textId="77777777" w:rsidR="00B242C3" w:rsidRPr="003272C7" w:rsidRDefault="00B242C3" w:rsidP="00C34E0C">
            <w:pPr>
              <w:pStyle w:val="TableText"/>
              <w:rPr>
                <w:rFonts w:cs="Arial"/>
                <w:b/>
                <w:bCs/>
              </w:rPr>
            </w:pPr>
            <w:r w:rsidRPr="003272C7">
              <w:rPr>
                <w:rFonts w:cs="Arial"/>
                <w:b/>
                <w:bCs/>
              </w:rPr>
              <w:t>Project</w:t>
            </w:r>
          </w:p>
        </w:tc>
        <w:tc>
          <w:tcPr>
            <w:tcW w:w="4021" w:type="pct"/>
          </w:tcPr>
          <w:p w14:paraId="1431269C" w14:textId="77777777" w:rsidR="00B242C3" w:rsidRPr="003272C7" w:rsidRDefault="00B242C3" w:rsidP="00C34E0C">
            <w:pPr>
              <w:pStyle w:val="TableText"/>
              <w:rPr>
                <w:rFonts w:cs="Arial"/>
              </w:rPr>
            </w:pPr>
            <w:r w:rsidRPr="003272C7">
              <w:rPr>
                <w:rFonts w:cs="Arial"/>
              </w:rPr>
              <w:t>SIRS6: Murray Programs</w:t>
            </w:r>
          </w:p>
        </w:tc>
      </w:tr>
      <w:tr w:rsidR="00B242C3" w:rsidRPr="003272C7" w14:paraId="6D7DC370" w14:textId="77777777" w:rsidTr="00142559">
        <w:trPr>
          <w:trHeight w:val="259"/>
        </w:trPr>
        <w:tc>
          <w:tcPr>
            <w:tcW w:w="979" w:type="pct"/>
            <w:shd w:val="clear" w:color="auto" w:fill="231EDC" w:themeFill="accent1"/>
          </w:tcPr>
          <w:p w14:paraId="4F604243" w14:textId="77777777" w:rsidR="00B242C3" w:rsidRPr="003272C7" w:rsidRDefault="00B242C3" w:rsidP="00C34E0C">
            <w:pPr>
              <w:pStyle w:val="TableText"/>
              <w:rPr>
                <w:rFonts w:cs="Arial"/>
                <w:b/>
                <w:bCs/>
              </w:rPr>
            </w:pPr>
            <w:r w:rsidRPr="003272C7">
              <w:rPr>
                <w:rFonts w:cs="Arial"/>
                <w:b/>
                <w:bCs/>
              </w:rPr>
              <w:t>Description</w:t>
            </w:r>
          </w:p>
          <w:p w14:paraId="3ADADCC2" w14:textId="77777777" w:rsidR="00B242C3" w:rsidRPr="003272C7" w:rsidRDefault="00B242C3" w:rsidP="00C34E0C">
            <w:pPr>
              <w:pStyle w:val="TableText"/>
              <w:rPr>
                <w:rFonts w:cs="Arial"/>
                <w:b/>
                <w:bCs/>
              </w:rPr>
            </w:pPr>
          </w:p>
        </w:tc>
        <w:tc>
          <w:tcPr>
            <w:tcW w:w="4021" w:type="pct"/>
          </w:tcPr>
          <w:p w14:paraId="2104CA2D" w14:textId="77777777" w:rsidR="00142559" w:rsidRPr="003272C7" w:rsidRDefault="00B242C3" w:rsidP="00C34E0C">
            <w:pPr>
              <w:pStyle w:val="TableText"/>
              <w:rPr>
                <w:rFonts w:cs="Arial"/>
              </w:rPr>
            </w:pPr>
            <w:r w:rsidRPr="003272C7">
              <w:rPr>
                <w:rFonts w:cs="Arial"/>
              </w:rPr>
              <w:t>The aim of the Victorian Murray Floodplain Restoration Project (VMFRP) is to return a more natural inundation regime across approximately 14,000 ha (9 sites) of high ecological value Murray River floodplain in Victoria and improve the ecological, socio-economic and cultural values of the floodplains. All sites are part of the package of Sustainable Diversion Limit (SDL) adjustment measures under the Murray-Darling Basin Plan.</w:t>
            </w:r>
          </w:p>
          <w:p w14:paraId="1CCD1912" w14:textId="18055E71" w:rsidR="00B242C3" w:rsidRPr="003272C7" w:rsidRDefault="00B242C3" w:rsidP="00C34E0C">
            <w:pPr>
              <w:pStyle w:val="TableText"/>
              <w:rPr>
                <w:rFonts w:cs="Arial"/>
              </w:rPr>
            </w:pPr>
            <w:r w:rsidRPr="003272C7">
              <w:rPr>
                <w:rFonts w:cs="Arial"/>
              </w:rPr>
              <w:t xml:space="preserve">This </w:t>
            </w:r>
            <w:r w:rsidR="0089763D" w:rsidRPr="003272C7">
              <w:rPr>
                <w:rFonts w:cs="Arial"/>
              </w:rPr>
              <w:t>p</w:t>
            </w:r>
            <w:r w:rsidRPr="003272C7">
              <w:rPr>
                <w:rFonts w:cs="Arial"/>
              </w:rPr>
              <w:t>rogram focused on:</w:t>
            </w:r>
          </w:p>
          <w:p w14:paraId="101CD809" w14:textId="77777777" w:rsidR="00142559" w:rsidRPr="003272C7" w:rsidRDefault="00B242C3" w:rsidP="00C34E0C">
            <w:pPr>
              <w:pStyle w:val="TableBullet"/>
              <w:rPr>
                <w:rFonts w:cs="Arial"/>
              </w:rPr>
            </w:pPr>
            <w:r w:rsidRPr="003272C7">
              <w:rPr>
                <w:rFonts w:cs="Arial"/>
              </w:rPr>
              <w:t>The continuation and expansion of Traditional Owner engagement undertaken by the Mallee and North Central CMA’s and to:</w:t>
            </w:r>
          </w:p>
          <w:p w14:paraId="6B3DF7FB" w14:textId="1BC282B3" w:rsidR="00B242C3" w:rsidRPr="003272C7" w:rsidRDefault="0089763D" w:rsidP="002B601F">
            <w:pPr>
              <w:pStyle w:val="TableBullet2"/>
              <w:rPr>
                <w:rFonts w:cs="Arial"/>
              </w:rPr>
            </w:pPr>
            <w:r w:rsidRPr="003272C7">
              <w:rPr>
                <w:rFonts w:cs="Arial"/>
              </w:rPr>
              <w:t>I</w:t>
            </w:r>
            <w:r w:rsidR="00B242C3" w:rsidRPr="003272C7">
              <w:rPr>
                <w:rFonts w:cs="Arial"/>
              </w:rPr>
              <w:t>dentify within VMFRP opportunities to identify and achieve Traditional Owner values and aspirations for Country</w:t>
            </w:r>
            <w:r w:rsidRPr="003272C7">
              <w:rPr>
                <w:rFonts w:cs="Arial"/>
              </w:rPr>
              <w:t>.</w:t>
            </w:r>
          </w:p>
          <w:p w14:paraId="435F4A27" w14:textId="4F02F8FC" w:rsidR="00B242C3" w:rsidRPr="003272C7" w:rsidRDefault="0089763D" w:rsidP="002B601F">
            <w:pPr>
              <w:pStyle w:val="TableBullet2"/>
              <w:rPr>
                <w:rFonts w:cs="Arial"/>
              </w:rPr>
            </w:pPr>
            <w:r w:rsidRPr="003272C7">
              <w:rPr>
                <w:rFonts w:cs="Arial"/>
              </w:rPr>
              <w:t>In</w:t>
            </w:r>
            <w:r w:rsidR="00B242C3" w:rsidRPr="003272C7">
              <w:rPr>
                <w:rFonts w:cs="Arial"/>
              </w:rPr>
              <w:t>form long-term environmental watering operations and/or watering regimes after the VMFRP construction</w:t>
            </w:r>
            <w:r w:rsidRPr="003272C7">
              <w:rPr>
                <w:rFonts w:cs="Arial"/>
              </w:rPr>
              <w:t>.</w:t>
            </w:r>
          </w:p>
          <w:p w14:paraId="632988E1" w14:textId="77777777" w:rsidR="00142559" w:rsidRPr="003272C7" w:rsidRDefault="0089763D" w:rsidP="002B601F">
            <w:pPr>
              <w:pStyle w:val="TableBullet2"/>
              <w:rPr>
                <w:rFonts w:cs="Arial"/>
              </w:rPr>
            </w:pPr>
            <w:r w:rsidRPr="003272C7">
              <w:rPr>
                <w:rFonts w:cs="Arial"/>
              </w:rPr>
              <w:t>D</w:t>
            </w:r>
            <w:r w:rsidR="00B242C3" w:rsidRPr="003272C7">
              <w:rPr>
                <w:rFonts w:cs="Arial"/>
              </w:rPr>
              <w:t>evelop pathways with Traditional Owner groups to deliver on long-term aspirations within each VMFRP project area.</w:t>
            </w:r>
          </w:p>
          <w:p w14:paraId="2BFEEAAD" w14:textId="5F0F25C9" w:rsidR="00B242C3" w:rsidRPr="003272C7" w:rsidRDefault="00B242C3" w:rsidP="00C34E0C">
            <w:pPr>
              <w:pStyle w:val="TableBullet"/>
              <w:rPr>
                <w:rFonts w:cs="Arial"/>
              </w:rPr>
            </w:pPr>
            <w:r w:rsidRPr="003272C7">
              <w:rPr>
                <w:rFonts w:cs="Arial"/>
              </w:rPr>
              <w:t xml:space="preserve">The demonstration of the success of the VMFRP through contributing to the development of a fit for purpose and comprehensive ecological, socio-economic and cultural monitoring, evaluating and reporting </w:t>
            </w:r>
            <w:r w:rsidR="0089763D" w:rsidRPr="003272C7">
              <w:rPr>
                <w:rFonts w:cs="Arial"/>
              </w:rPr>
              <w:t>p</w:t>
            </w:r>
            <w:r w:rsidRPr="003272C7">
              <w:rPr>
                <w:rFonts w:cs="Arial"/>
              </w:rPr>
              <w:t>rogram; and to provide data to support the application of adaptive management to each environmental watering event that supports ecological, cultural and socio-economic benefits.</w:t>
            </w:r>
          </w:p>
        </w:tc>
      </w:tr>
      <w:tr w:rsidR="00B242C3" w:rsidRPr="003272C7" w14:paraId="299E7771" w14:textId="77777777" w:rsidTr="00142559">
        <w:trPr>
          <w:trHeight w:val="259"/>
        </w:trPr>
        <w:tc>
          <w:tcPr>
            <w:tcW w:w="979" w:type="pct"/>
            <w:shd w:val="clear" w:color="auto" w:fill="231EDC" w:themeFill="accent1"/>
          </w:tcPr>
          <w:p w14:paraId="0CBFA2AA" w14:textId="77777777" w:rsidR="00B242C3" w:rsidRPr="003272C7" w:rsidRDefault="00B242C3" w:rsidP="002B601F">
            <w:pPr>
              <w:pStyle w:val="TableText"/>
              <w:rPr>
                <w:rFonts w:cs="Arial"/>
                <w:b/>
                <w:bCs/>
              </w:rPr>
            </w:pPr>
            <w:r w:rsidRPr="003272C7">
              <w:rPr>
                <w:rFonts w:cs="Arial"/>
                <w:b/>
                <w:bCs/>
              </w:rPr>
              <w:t>Outputs</w:t>
            </w:r>
          </w:p>
        </w:tc>
        <w:tc>
          <w:tcPr>
            <w:tcW w:w="4021" w:type="pct"/>
          </w:tcPr>
          <w:p w14:paraId="40578A12" w14:textId="77777777" w:rsidR="00142559" w:rsidRPr="003272C7" w:rsidRDefault="00B242C3" w:rsidP="00C34E0C">
            <w:pPr>
              <w:pStyle w:val="TableBullet"/>
              <w:rPr>
                <w:rFonts w:cs="Arial"/>
              </w:rPr>
            </w:pPr>
            <w:r w:rsidRPr="003272C7">
              <w:rPr>
                <w:rFonts w:cs="Arial"/>
              </w:rPr>
              <w:t>Traditional Owner engagement and partnerships – new partnerships developed and/or existing partnerships expanded across the VMFRP area which includes 14 different Traditional Owner groups.</w:t>
            </w:r>
          </w:p>
          <w:p w14:paraId="009DB8D9" w14:textId="066DE0D9" w:rsidR="00B242C3" w:rsidRPr="003272C7" w:rsidRDefault="0089763D" w:rsidP="00C34E0C">
            <w:pPr>
              <w:pStyle w:val="TableBullet"/>
              <w:rPr>
                <w:rFonts w:cs="Arial"/>
              </w:rPr>
            </w:pPr>
            <w:r w:rsidRPr="003272C7">
              <w:rPr>
                <w:rFonts w:cs="Arial"/>
              </w:rPr>
              <w:t>C</w:t>
            </w:r>
            <w:r w:rsidR="00B242C3" w:rsidRPr="003272C7">
              <w:rPr>
                <w:rFonts w:cs="Arial"/>
              </w:rPr>
              <w:t xml:space="preserve">ompletion of </w:t>
            </w:r>
            <w:r w:rsidR="00837554" w:rsidRPr="003272C7">
              <w:rPr>
                <w:rFonts w:cs="Arial"/>
              </w:rPr>
              <w:t xml:space="preserve">48 </w:t>
            </w:r>
            <w:r w:rsidR="00B242C3" w:rsidRPr="003272C7">
              <w:rPr>
                <w:rFonts w:cs="Arial"/>
              </w:rPr>
              <w:t xml:space="preserve">Aboriginal Waterway Assessments with </w:t>
            </w:r>
            <w:r w:rsidR="00E31C2B" w:rsidRPr="003272C7">
              <w:rPr>
                <w:rFonts w:cs="Arial"/>
              </w:rPr>
              <w:t xml:space="preserve">171 </w:t>
            </w:r>
            <w:r w:rsidR="00B242C3" w:rsidRPr="003272C7">
              <w:rPr>
                <w:rFonts w:cs="Arial"/>
              </w:rPr>
              <w:t xml:space="preserve">individual participants and </w:t>
            </w:r>
            <w:r w:rsidR="00E31C2B" w:rsidRPr="003272C7">
              <w:rPr>
                <w:rFonts w:cs="Arial"/>
              </w:rPr>
              <w:t xml:space="preserve">10 </w:t>
            </w:r>
            <w:r w:rsidR="00B242C3" w:rsidRPr="003272C7">
              <w:rPr>
                <w:rFonts w:cs="Arial"/>
              </w:rPr>
              <w:t xml:space="preserve">groups, </w:t>
            </w:r>
            <w:r w:rsidR="00E31C2B" w:rsidRPr="003272C7">
              <w:rPr>
                <w:rFonts w:cs="Arial"/>
              </w:rPr>
              <w:t xml:space="preserve">undertaken with the Mallee </w:t>
            </w:r>
            <w:r w:rsidRPr="003272C7">
              <w:rPr>
                <w:rFonts w:cs="Arial"/>
              </w:rPr>
              <w:t>CMA</w:t>
            </w:r>
            <w:r w:rsidR="00E31C2B" w:rsidRPr="003272C7">
              <w:rPr>
                <w:rFonts w:cs="Arial"/>
              </w:rPr>
              <w:t>.</w:t>
            </w:r>
          </w:p>
          <w:p w14:paraId="43415589" w14:textId="17C7C63F" w:rsidR="00466D85" w:rsidRPr="003272C7" w:rsidRDefault="00B242C3" w:rsidP="00C34E0C">
            <w:pPr>
              <w:pStyle w:val="TableBullet"/>
              <w:rPr>
                <w:rFonts w:cs="Arial"/>
              </w:rPr>
            </w:pPr>
            <w:r w:rsidRPr="003272C7">
              <w:rPr>
                <w:rFonts w:cs="Arial"/>
              </w:rPr>
              <w:t xml:space="preserve">Development of </w:t>
            </w:r>
            <w:r w:rsidR="003D5D44" w:rsidRPr="003272C7">
              <w:rPr>
                <w:rFonts w:cs="Arial"/>
              </w:rPr>
              <w:t xml:space="preserve">an </w:t>
            </w:r>
            <w:r w:rsidRPr="003272C7">
              <w:rPr>
                <w:rFonts w:cs="Arial"/>
              </w:rPr>
              <w:t xml:space="preserve">ecological monitoring, evaluation and reporting </w:t>
            </w:r>
            <w:r w:rsidR="00466D85" w:rsidRPr="003272C7">
              <w:rPr>
                <w:rFonts w:cs="Arial"/>
              </w:rPr>
              <w:t>plan that ha</w:t>
            </w:r>
            <w:r w:rsidR="00290362" w:rsidRPr="003272C7">
              <w:rPr>
                <w:rFonts w:cs="Arial"/>
              </w:rPr>
              <w:t>s</w:t>
            </w:r>
            <w:r w:rsidR="00466D85" w:rsidRPr="003272C7">
              <w:rPr>
                <w:rFonts w:cs="Arial"/>
              </w:rPr>
              <w:t xml:space="preserve"> been updated to reflect the outcomes of the five central sites Minister for Planning’s assessment under the environmental effects statement/environment report process.</w:t>
            </w:r>
          </w:p>
          <w:p w14:paraId="6BEE2215" w14:textId="3BF242C7" w:rsidR="00B242C3" w:rsidRPr="003272C7" w:rsidRDefault="00290362" w:rsidP="00C34E0C">
            <w:pPr>
              <w:pStyle w:val="TableBullet"/>
              <w:rPr>
                <w:rFonts w:cs="Arial"/>
              </w:rPr>
            </w:pPr>
            <w:r w:rsidRPr="003272C7">
              <w:rPr>
                <w:rFonts w:cs="Arial"/>
              </w:rPr>
              <w:t xml:space="preserve">Collection </w:t>
            </w:r>
            <w:r w:rsidR="00B242C3" w:rsidRPr="003272C7">
              <w:rPr>
                <w:rFonts w:cs="Arial"/>
              </w:rPr>
              <w:t xml:space="preserve">of </w:t>
            </w:r>
            <w:r w:rsidRPr="003272C7">
              <w:rPr>
                <w:rFonts w:cs="Arial"/>
              </w:rPr>
              <w:t>first year</w:t>
            </w:r>
            <w:r w:rsidR="00B242C3" w:rsidRPr="003272C7">
              <w:rPr>
                <w:rFonts w:cs="Arial"/>
              </w:rPr>
              <w:t xml:space="preserve"> baseline ecological data (vegetation, fish, birds, frogs) </w:t>
            </w:r>
            <w:r w:rsidRPr="003272C7">
              <w:rPr>
                <w:rFonts w:cs="Arial"/>
              </w:rPr>
              <w:t>and further baseline ecological data collection as required post the 2022 floods</w:t>
            </w:r>
            <w:r w:rsidR="0089763D" w:rsidRPr="003272C7">
              <w:rPr>
                <w:rFonts w:cs="Arial"/>
              </w:rPr>
              <w:t>.</w:t>
            </w:r>
          </w:p>
        </w:tc>
      </w:tr>
      <w:tr w:rsidR="00B242C3" w:rsidRPr="003272C7" w14:paraId="51C6B83A" w14:textId="77777777" w:rsidTr="00913E08">
        <w:trPr>
          <w:trHeight w:val="259"/>
        </w:trPr>
        <w:tc>
          <w:tcPr>
            <w:tcW w:w="5000" w:type="pct"/>
            <w:gridSpan w:val="2"/>
            <w:shd w:val="clear" w:color="auto" w:fill="231EDC" w:themeFill="accent1"/>
          </w:tcPr>
          <w:p w14:paraId="3F58EE9C" w14:textId="77777777" w:rsidR="00B242C3" w:rsidRPr="003272C7" w:rsidRDefault="00B242C3" w:rsidP="00913E08">
            <w:pPr>
              <w:pStyle w:val="TableText"/>
              <w:rPr>
                <w:rFonts w:cs="Arial"/>
                <w:b/>
                <w:bCs/>
              </w:rPr>
            </w:pPr>
            <w:r w:rsidRPr="003272C7">
              <w:rPr>
                <w:rFonts w:cs="Arial"/>
                <w:b/>
                <w:bCs/>
              </w:rPr>
              <w:t>Summary against evaluation domains</w:t>
            </w:r>
          </w:p>
        </w:tc>
      </w:tr>
      <w:tr w:rsidR="00B242C3" w:rsidRPr="003272C7" w14:paraId="2540919C" w14:textId="77777777" w:rsidTr="00142559">
        <w:trPr>
          <w:trHeight w:val="259"/>
        </w:trPr>
        <w:tc>
          <w:tcPr>
            <w:tcW w:w="979" w:type="pct"/>
            <w:shd w:val="clear" w:color="auto" w:fill="231EDC" w:themeFill="accent1"/>
          </w:tcPr>
          <w:p w14:paraId="4F9675F1" w14:textId="77777777" w:rsidR="00B242C3" w:rsidRPr="003272C7" w:rsidRDefault="00B242C3" w:rsidP="002B601F">
            <w:pPr>
              <w:pStyle w:val="TableText"/>
              <w:rPr>
                <w:rFonts w:cs="Arial"/>
                <w:b/>
                <w:bCs/>
              </w:rPr>
            </w:pPr>
            <w:r w:rsidRPr="003272C7">
              <w:rPr>
                <w:rFonts w:cs="Arial"/>
                <w:b/>
                <w:bCs/>
              </w:rPr>
              <w:t>Impact</w:t>
            </w:r>
          </w:p>
        </w:tc>
        <w:tc>
          <w:tcPr>
            <w:tcW w:w="4021" w:type="pct"/>
          </w:tcPr>
          <w:p w14:paraId="5A377577" w14:textId="77777777" w:rsidR="00B242C3" w:rsidRPr="003272C7" w:rsidRDefault="00B242C3" w:rsidP="002B601F">
            <w:pPr>
              <w:pStyle w:val="TableTextBold"/>
              <w:rPr>
                <w:rFonts w:cs="Arial"/>
              </w:rPr>
            </w:pPr>
            <w:r w:rsidRPr="003272C7">
              <w:rPr>
                <w:rFonts w:cs="Arial"/>
              </w:rPr>
              <w:t>Traditional Owner partnerships and self-determination:</w:t>
            </w:r>
          </w:p>
          <w:p w14:paraId="142277F5" w14:textId="77777777" w:rsidR="00142559" w:rsidRPr="003272C7" w:rsidRDefault="00B242C3" w:rsidP="00C34E0C">
            <w:pPr>
              <w:pStyle w:val="TableBullet"/>
              <w:rPr>
                <w:rFonts w:cs="Arial"/>
              </w:rPr>
            </w:pPr>
            <w:r w:rsidRPr="003272C7">
              <w:rPr>
                <w:rFonts w:cs="Arial"/>
              </w:rPr>
              <w:t>Traditional Owner engagement and partnerships – new partnerships developed and/or existing partnerships expanded across the VMFRP area which includes 14 different Traditional Owner groups.</w:t>
            </w:r>
          </w:p>
          <w:p w14:paraId="1925C5A8" w14:textId="515A66B1" w:rsidR="00B242C3" w:rsidRPr="003272C7" w:rsidRDefault="00B242C3" w:rsidP="00C34E0C">
            <w:pPr>
              <w:pStyle w:val="TableBullet"/>
              <w:rPr>
                <w:rFonts w:cs="Arial"/>
              </w:rPr>
            </w:pPr>
            <w:r w:rsidRPr="003272C7">
              <w:rPr>
                <w:rFonts w:cs="Arial"/>
              </w:rPr>
              <w:t xml:space="preserve">Completion of </w:t>
            </w:r>
            <w:r w:rsidR="00290362" w:rsidRPr="003272C7">
              <w:rPr>
                <w:rFonts w:cs="Arial"/>
              </w:rPr>
              <w:t xml:space="preserve">48 </w:t>
            </w:r>
            <w:r w:rsidRPr="003272C7">
              <w:rPr>
                <w:rFonts w:cs="Arial"/>
              </w:rPr>
              <w:t xml:space="preserve">Aboriginal Waterway Assessments with </w:t>
            </w:r>
            <w:r w:rsidR="00290362" w:rsidRPr="003272C7">
              <w:rPr>
                <w:rFonts w:cs="Arial"/>
              </w:rPr>
              <w:t xml:space="preserve">171 </w:t>
            </w:r>
            <w:r w:rsidRPr="003272C7">
              <w:rPr>
                <w:rFonts w:cs="Arial"/>
              </w:rPr>
              <w:t xml:space="preserve">individual participants and </w:t>
            </w:r>
            <w:r w:rsidR="00290362" w:rsidRPr="003272C7">
              <w:rPr>
                <w:rFonts w:cs="Arial"/>
              </w:rPr>
              <w:t xml:space="preserve">10 </w:t>
            </w:r>
            <w:r w:rsidRPr="003272C7">
              <w:rPr>
                <w:rFonts w:cs="Arial"/>
              </w:rPr>
              <w:t xml:space="preserve">groups completed </w:t>
            </w:r>
            <w:r w:rsidR="00290362" w:rsidRPr="003272C7">
              <w:rPr>
                <w:rFonts w:cs="Arial"/>
              </w:rPr>
              <w:t>with</w:t>
            </w:r>
            <w:r w:rsidRPr="003272C7">
              <w:rPr>
                <w:rFonts w:cs="Arial"/>
              </w:rPr>
              <w:t xml:space="preserve"> the Mallee C</w:t>
            </w:r>
            <w:r w:rsidR="0089763D" w:rsidRPr="003272C7">
              <w:rPr>
                <w:rFonts w:cs="Arial"/>
              </w:rPr>
              <w:t>MA.</w:t>
            </w:r>
          </w:p>
          <w:p w14:paraId="058EEB6E" w14:textId="77777777" w:rsidR="00142559" w:rsidRPr="003272C7" w:rsidRDefault="00B242C3" w:rsidP="00F77463">
            <w:pPr>
              <w:pStyle w:val="TableTextBold"/>
              <w:keepNext/>
              <w:keepLines/>
              <w:rPr>
                <w:rFonts w:cs="Arial"/>
              </w:rPr>
            </w:pPr>
            <w:r w:rsidRPr="003272C7">
              <w:rPr>
                <w:rFonts w:cs="Arial"/>
              </w:rPr>
              <w:t>Improved understanding of benchmark conditions and ecological significance at all 9 sites:</w:t>
            </w:r>
          </w:p>
          <w:p w14:paraId="350D04F3" w14:textId="489E8CDE" w:rsidR="00B242C3" w:rsidRPr="003272C7" w:rsidRDefault="00B242C3" w:rsidP="00F77463">
            <w:pPr>
              <w:pStyle w:val="TableBullet"/>
              <w:keepNext/>
              <w:keepLines/>
              <w:rPr>
                <w:rFonts w:cs="Arial"/>
              </w:rPr>
            </w:pPr>
            <w:r w:rsidRPr="003272C7">
              <w:rPr>
                <w:rFonts w:cs="Arial"/>
              </w:rPr>
              <w:t xml:space="preserve">The collection of baseline ecological data (vegetation, fish, birds, frogs) has been undertaken for 2 years across the nine sites and led by the Mallee and North Central Catchment Management Authorities. This includes the establishment of an ecological database to consistently store and manage data for effective evaluation and reporting. This work also contributed to the regulatory approvals environment assessment process required for the </w:t>
            </w:r>
            <w:r w:rsidR="009F0298" w:rsidRPr="003272C7">
              <w:rPr>
                <w:rFonts w:cs="Arial"/>
              </w:rPr>
              <w:t>Environment Effects Act 1978 (Victoria)</w:t>
            </w:r>
            <w:r w:rsidR="009F0298" w:rsidRPr="003272C7" w:rsidDel="009F0298">
              <w:rPr>
                <w:rFonts w:cs="Arial"/>
              </w:rPr>
              <w:t xml:space="preserve"> </w:t>
            </w:r>
            <w:r w:rsidRPr="003272C7">
              <w:rPr>
                <w:rFonts w:cs="Arial"/>
              </w:rPr>
              <w:t xml:space="preserve">and </w:t>
            </w:r>
            <w:r w:rsidR="009F0298" w:rsidRPr="003272C7">
              <w:rPr>
                <w:rFonts w:cs="Arial"/>
              </w:rPr>
              <w:t>the Biodiversity Conservation Act 1999 (Commonwealth)</w:t>
            </w:r>
            <w:r w:rsidR="0089763D" w:rsidRPr="003272C7">
              <w:rPr>
                <w:rFonts w:cs="Arial"/>
              </w:rPr>
              <w:t>.</w:t>
            </w:r>
          </w:p>
          <w:p w14:paraId="4F83A83B" w14:textId="77777777" w:rsidR="00B242C3" w:rsidRPr="003272C7" w:rsidRDefault="00B242C3" w:rsidP="002B601F">
            <w:pPr>
              <w:pStyle w:val="TableTextBold"/>
              <w:rPr>
                <w:rFonts w:cs="Arial"/>
              </w:rPr>
            </w:pPr>
            <w:r w:rsidRPr="003272C7">
              <w:rPr>
                <w:rFonts w:cs="Arial"/>
              </w:rPr>
              <w:t>Monitoring to inform adaptive management:</w:t>
            </w:r>
          </w:p>
          <w:p w14:paraId="08D9C3FE" w14:textId="726821DD" w:rsidR="00B242C3" w:rsidRPr="003272C7" w:rsidRDefault="00B242C3" w:rsidP="00C34E0C">
            <w:pPr>
              <w:pStyle w:val="TableBullet"/>
              <w:rPr>
                <w:rFonts w:cs="Arial"/>
              </w:rPr>
            </w:pPr>
            <w:r w:rsidRPr="003272C7">
              <w:rPr>
                <w:rFonts w:cs="Arial"/>
              </w:rPr>
              <w:lastRenderedPageBreak/>
              <w:t xml:space="preserve">Development of consistent monitoring methods and evaluation for the objectives across all 9 sites and the collection of baseline data. These methods have been developed to align with similar monitoring Programs such as The Living Murray and incorporate lessons in application. This has resulted in the VMFRP monitoring Program collecting data that can be evaluated across all 9 sites which will facilitate adaptive management and effective reporting to </w:t>
            </w:r>
            <w:r w:rsidR="009F0298" w:rsidRPr="003272C7">
              <w:rPr>
                <w:rFonts w:cs="Arial"/>
              </w:rPr>
              <w:t>g</w:t>
            </w:r>
            <w:r w:rsidRPr="003272C7">
              <w:rPr>
                <w:rFonts w:cs="Arial"/>
              </w:rPr>
              <w:t xml:space="preserve">overnment and stakeholders on the benefits of the </w:t>
            </w:r>
            <w:r w:rsidR="009F0298" w:rsidRPr="003272C7">
              <w:rPr>
                <w:rFonts w:cs="Arial"/>
              </w:rPr>
              <w:t>p</w:t>
            </w:r>
            <w:r w:rsidRPr="003272C7">
              <w:rPr>
                <w:rFonts w:cs="Arial"/>
              </w:rPr>
              <w:t xml:space="preserve">rogram. In addition, a database has been established to enable the storage and integrity of the data into the future. </w:t>
            </w:r>
          </w:p>
        </w:tc>
      </w:tr>
      <w:tr w:rsidR="00B242C3" w:rsidRPr="003272C7" w14:paraId="67477CEF" w14:textId="77777777" w:rsidTr="00142559">
        <w:trPr>
          <w:trHeight w:val="259"/>
        </w:trPr>
        <w:tc>
          <w:tcPr>
            <w:tcW w:w="979" w:type="pct"/>
            <w:shd w:val="clear" w:color="auto" w:fill="231EDC" w:themeFill="accent1"/>
          </w:tcPr>
          <w:p w14:paraId="391ED933" w14:textId="77777777" w:rsidR="00B242C3" w:rsidRPr="003272C7" w:rsidRDefault="00B242C3" w:rsidP="002B601F">
            <w:pPr>
              <w:pStyle w:val="TableText"/>
              <w:rPr>
                <w:rFonts w:cs="Arial"/>
                <w:b/>
                <w:bCs/>
              </w:rPr>
            </w:pPr>
            <w:r w:rsidRPr="003272C7">
              <w:rPr>
                <w:rFonts w:cs="Arial"/>
                <w:b/>
                <w:bCs/>
              </w:rPr>
              <w:lastRenderedPageBreak/>
              <w:t>Effectiveness</w:t>
            </w:r>
          </w:p>
        </w:tc>
        <w:tc>
          <w:tcPr>
            <w:tcW w:w="4021" w:type="pct"/>
          </w:tcPr>
          <w:p w14:paraId="6F7F56F6" w14:textId="77777777" w:rsidR="00B242C3" w:rsidRPr="003272C7" w:rsidRDefault="00B242C3" w:rsidP="002B601F">
            <w:pPr>
              <w:pStyle w:val="TableText"/>
              <w:rPr>
                <w:rFonts w:cs="Arial"/>
              </w:rPr>
            </w:pPr>
            <w:r w:rsidRPr="003272C7">
              <w:rPr>
                <w:rFonts w:cs="Arial"/>
              </w:rPr>
              <w:t>This work enables DEECA to:</w:t>
            </w:r>
          </w:p>
          <w:p w14:paraId="0338089E" w14:textId="2AAF16B4" w:rsidR="00B242C3" w:rsidRPr="003272C7" w:rsidRDefault="00B242C3" w:rsidP="00C34E0C">
            <w:pPr>
              <w:pStyle w:val="TableBullet"/>
              <w:rPr>
                <w:rFonts w:cs="Arial"/>
              </w:rPr>
            </w:pPr>
            <w:r w:rsidRPr="003272C7">
              <w:rPr>
                <w:rFonts w:cs="Arial"/>
              </w:rPr>
              <w:t>deliver on key policies such as Water for Victoria and Water is Life by involving Traditional Owners in the planning and construction phase of the VMFRP; and</w:t>
            </w:r>
          </w:p>
          <w:p w14:paraId="17AF4295" w14:textId="31AA0682" w:rsidR="00B242C3" w:rsidRPr="003272C7" w:rsidRDefault="00B242C3" w:rsidP="00C34E0C">
            <w:pPr>
              <w:pStyle w:val="TableBullet"/>
              <w:rPr>
                <w:rFonts w:cs="Arial"/>
              </w:rPr>
            </w:pPr>
            <w:r w:rsidRPr="003272C7">
              <w:rPr>
                <w:rFonts w:cs="Arial"/>
              </w:rPr>
              <w:t xml:space="preserve">report on and demonstrate the success of the </w:t>
            </w:r>
            <w:r w:rsidR="009F0298" w:rsidRPr="003272C7">
              <w:rPr>
                <w:rFonts w:cs="Arial"/>
              </w:rPr>
              <w:t>p</w:t>
            </w:r>
            <w:r w:rsidRPr="003272C7">
              <w:rPr>
                <w:rFonts w:cs="Arial"/>
              </w:rPr>
              <w:t>rogram by establishing a comprehensive monitoring, evaluation and reporting Program for adaptive</w:t>
            </w:r>
            <w:r w:rsidR="00F77463" w:rsidRPr="003272C7">
              <w:rPr>
                <w:rFonts w:cs="Arial"/>
              </w:rPr>
              <w:t> </w:t>
            </w:r>
            <w:r w:rsidRPr="003272C7">
              <w:rPr>
                <w:rFonts w:cs="Arial"/>
              </w:rPr>
              <w:t>management.</w:t>
            </w:r>
          </w:p>
          <w:p w14:paraId="399A15EA" w14:textId="46DD11B2" w:rsidR="00B242C3" w:rsidRPr="003272C7" w:rsidRDefault="00B242C3" w:rsidP="00A12238">
            <w:pPr>
              <w:pStyle w:val="TableText"/>
              <w:rPr>
                <w:rFonts w:cs="Arial"/>
              </w:rPr>
            </w:pPr>
            <w:r w:rsidRPr="003272C7">
              <w:rPr>
                <w:rFonts w:cs="Arial"/>
              </w:rPr>
              <w:t xml:space="preserve">Both workstreams provide inherent value. The ecological baseline monitoring data will be retained and will form part of DEECA Water and Catchments broader floodplain </w:t>
            </w:r>
            <w:r w:rsidR="009F0298" w:rsidRPr="003272C7">
              <w:rPr>
                <w:rFonts w:cs="Arial"/>
              </w:rPr>
              <w:t>Monitoring, Evaluation and Reporting</w:t>
            </w:r>
            <w:r w:rsidRPr="003272C7">
              <w:rPr>
                <w:rFonts w:cs="Arial"/>
              </w:rPr>
              <w:t xml:space="preserve"> Program. The T</w:t>
            </w:r>
            <w:r w:rsidR="002747DE" w:rsidRPr="003272C7">
              <w:rPr>
                <w:rFonts w:cs="Arial"/>
              </w:rPr>
              <w:t xml:space="preserve">raditional </w:t>
            </w:r>
            <w:r w:rsidRPr="003272C7">
              <w:rPr>
                <w:rFonts w:cs="Arial"/>
              </w:rPr>
              <w:t>O</w:t>
            </w:r>
            <w:r w:rsidR="002747DE" w:rsidRPr="003272C7">
              <w:rPr>
                <w:rFonts w:cs="Arial"/>
              </w:rPr>
              <w:t>wner</w:t>
            </w:r>
            <w:r w:rsidRPr="003272C7">
              <w:rPr>
                <w:rFonts w:cs="Arial"/>
              </w:rPr>
              <w:t xml:space="preserve"> Aspirations work supports T</w:t>
            </w:r>
            <w:r w:rsidR="002747DE" w:rsidRPr="003272C7">
              <w:rPr>
                <w:rFonts w:cs="Arial"/>
              </w:rPr>
              <w:t xml:space="preserve">raditional </w:t>
            </w:r>
            <w:r w:rsidRPr="003272C7">
              <w:rPr>
                <w:rFonts w:cs="Arial"/>
              </w:rPr>
              <w:t>O</w:t>
            </w:r>
            <w:r w:rsidR="002747DE" w:rsidRPr="003272C7">
              <w:rPr>
                <w:rFonts w:cs="Arial"/>
              </w:rPr>
              <w:t>wner</w:t>
            </w:r>
            <w:r w:rsidRPr="003272C7">
              <w:rPr>
                <w:rFonts w:cs="Arial"/>
              </w:rPr>
              <w:t xml:space="preserve"> participation and capacity building in environmental watering planning. This knowledge and data can be applied to future environmental watering projects. </w:t>
            </w:r>
          </w:p>
        </w:tc>
      </w:tr>
      <w:tr w:rsidR="00B242C3" w:rsidRPr="003272C7" w14:paraId="6D4D8306" w14:textId="77777777" w:rsidTr="00142559">
        <w:trPr>
          <w:trHeight w:val="259"/>
        </w:trPr>
        <w:tc>
          <w:tcPr>
            <w:tcW w:w="979" w:type="pct"/>
            <w:shd w:val="clear" w:color="auto" w:fill="231EDC" w:themeFill="accent1"/>
          </w:tcPr>
          <w:p w14:paraId="3C90CF3E" w14:textId="77777777" w:rsidR="00B242C3" w:rsidRPr="003272C7" w:rsidRDefault="00B242C3" w:rsidP="00A12238">
            <w:pPr>
              <w:pStyle w:val="TableText"/>
              <w:rPr>
                <w:rFonts w:cs="Arial"/>
                <w:b/>
                <w:bCs/>
              </w:rPr>
            </w:pPr>
            <w:r w:rsidRPr="003272C7">
              <w:rPr>
                <w:rFonts w:cs="Arial"/>
                <w:b/>
                <w:bCs/>
              </w:rPr>
              <w:t>Appropriateness</w:t>
            </w:r>
          </w:p>
        </w:tc>
        <w:tc>
          <w:tcPr>
            <w:tcW w:w="4021" w:type="pct"/>
          </w:tcPr>
          <w:p w14:paraId="1A6B3F03" w14:textId="77777777" w:rsidR="00B242C3" w:rsidRPr="003272C7" w:rsidRDefault="00B242C3" w:rsidP="00A12238">
            <w:pPr>
              <w:pStyle w:val="TableText"/>
              <w:rPr>
                <w:rFonts w:cs="Arial"/>
              </w:rPr>
            </w:pPr>
            <w:r w:rsidRPr="003272C7">
              <w:rPr>
                <w:rFonts w:cs="Arial"/>
              </w:rPr>
              <w:t>At the time of funding the relevant policies the investment aimed to deliver on are:</w:t>
            </w:r>
          </w:p>
          <w:p w14:paraId="1F5D267D" w14:textId="77777777" w:rsidR="00B242C3" w:rsidRPr="003272C7" w:rsidRDefault="00B242C3" w:rsidP="00C34E0C">
            <w:pPr>
              <w:pStyle w:val="TableBullet"/>
              <w:rPr>
                <w:rFonts w:cs="Arial"/>
              </w:rPr>
            </w:pPr>
            <w:r w:rsidRPr="003272C7">
              <w:rPr>
                <w:rFonts w:cs="Arial"/>
              </w:rPr>
              <w:t>The DEECA Aboriginal Self-Determination Reform Strategy 2020-2025 titled Pupangarli Marnmarnepu ‘Owning our Future’.</w:t>
            </w:r>
          </w:p>
          <w:p w14:paraId="539A5F6D" w14:textId="77777777" w:rsidR="00B242C3" w:rsidRPr="003272C7" w:rsidRDefault="00B242C3" w:rsidP="00C34E0C">
            <w:pPr>
              <w:pStyle w:val="TableBullet"/>
              <w:rPr>
                <w:rFonts w:cs="Arial"/>
              </w:rPr>
            </w:pPr>
            <w:r w:rsidRPr="003272C7">
              <w:rPr>
                <w:rFonts w:cs="Arial"/>
              </w:rPr>
              <w:t>Water for Victoria Action 4.11</w:t>
            </w:r>
          </w:p>
          <w:p w14:paraId="644BC684" w14:textId="425AB5AF" w:rsidR="00B242C3" w:rsidRPr="003272C7" w:rsidRDefault="009F0298" w:rsidP="00C34E0C">
            <w:pPr>
              <w:pStyle w:val="TableBullet"/>
              <w:rPr>
                <w:rFonts w:cs="Arial"/>
              </w:rPr>
            </w:pPr>
            <w:r w:rsidRPr="003272C7">
              <w:rPr>
                <w:rFonts w:cs="Arial"/>
              </w:rPr>
              <w:t>Murray-Darling</w:t>
            </w:r>
            <w:r w:rsidR="00B242C3" w:rsidRPr="003272C7">
              <w:rPr>
                <w:rFonts w:cs="Arial"/>
              </w:rPr>
              <w:t xml:space="preserve"> Basin Plan</w:t>
            </w:r>
          </w:p>
          <w:p w14:paraId="4A0BA1B3" w14:textId="77777777" w:rsidR="00B242C3" w:rsidRPr="003272C7" w:rsidRDefault="00B242C3" w:rsidP="00C34E0C">
            <w:pPr>
              <w:pStyle w:val="TableBullet"/>
              <w:rPr>
                <w:rFonts w:cs="Arial"/>
              </w:rPr>
            </w:pPr>
            <w:r w:rsidRPr="003272C7">
              <w:rPr>
                <w:rFonts w:cs="Arial"/>
              </w:rPr>
              <w:t>The Traditional Owner engagement work builds upon the information generated from the Victorian Water Resource Plans (Victoria’s North and Murray) by articulating and documenting Traditional Owner land and water aspirations for the Murray Floodplain where the VMFRP works are proposed.</w:t>
            </w:r>
          </w:p>
          <w:p w14:paraId="4E6B4691" w14:textId="77777777" w:rsidR="009F0298" w:rsidRPr="003272C7" w:rsidRDefault="00B242C3" w:rsidP="00A12238">
            <w:pPr>
              <w:pStyle w:val="TableText"/>
              <w:rPr>
                <w:rFonts w:cs="Arial"/>
              </w:rPr>
            </w:pPr>
            <w:r w:rsidRPr="003272C7">
              <w:rPr>
                <w:rFonts w:cs="Arial"/>
              </w:rPr>
              <w:t>Since this project was funded, there has been a policy progression towards more Traditional Owner self-determination and genuine and meaningful outcomes with the 2022 framework, Water is Life</w:t>
            </w:r>
            <w:r w:rsidR="009F0298" w:rsidRPr="003272C7">
              <w:rPr>
                <w:rFonts w:cs="Arial"/>
              </w:rPr>
              <w:t>.</w:t>
            </w:r>
          </w:p>
          <w:p w14:paraId="35432E21" w14:textId="31E8086D" w:rsidR="00B242C3" w:rsidRPr="003272C7" w:rsidRDefault="00B242C3" w:rsidP="00A12238">
            <w:pPr>
              <w:pStyle w:val="TableText"/>
              <w:rPr>
                <w:rFonts w:cs="Arial"/>
              </w:rPr>
            </w:pPr>
            <w:r w:rsidRPr="003272C7">
              <w:rPr>
                <w:rFonts w:cs="Arial"/>
              </w:rPr>
              <w:t>Regarding the VMFRP implementation, there has been an increase in the compliance monitoring requirements through the environmental assessment under the Environment Effects Act 1978 and Environment Protection and Biodiversity Conservation Act 1999.</w:t>
            </w:r>
          </w:p>
        </w:tc>
      </w:tr>
      <w:tr w:rsidR="00B242C3" w:rsidRPr="003272C7" w14:paraId="56F1E276" w14:textId="77777777" w:rsidTr="00142559">
        <w:trPr>
          <w:trHeight w:val="259"/>
        </w:trPr>
        <w:tc>
          <w:tcPr>
            <w:tcW w:w="979" w:type="pct"/>
            <w:shd w:val="clear" w:color="auto" w:fill="231EDC" w:themeFill="accent1"/>
          </w:tcPr>
          <w:p w14:paraId="51A8719E" w14:textId="77777777" w:rsidR="00B242C3" w:rsidRPr="003272C7" w:rsidRDefault="00B242C3" w:rsidP="00A12238">
            <w:pPr>
              <w:pStyle w:val="TableText"/>
              <w:rPr>
                <w:rFonts w:cs="Arial"/>
                <w:b/>
                <w:bCs/>
              </w:rPr>
            </w:pPr>
            <w:r w:rsidRPr="003272C7">
              <w:rPr>
                <w:rFonts w:cs="Arial"/>
                <w:b/>
                <w:bCs/>
              </w:rPr>
              <w:t>Efficiency</w:t>
            </w:r>
          </w:p>
        </w:tc>
        <w:tc>
          <w:tcPr>
            <w:tcW w:w="4021" w:type="pct"/>
          </w:tcPr>
          <w:p w14:paraId="42AE0095" w14:textId="77777777" w:rsidR="00142559" w:rsidRPr="003272C7" w:rsidRDefault="00B242C3" w:rsidP="00A12238">
            <w:pPr>
              <w:pStyle w:val="TableText"/>
              <w:rPr>
                <w:rFonts w:cs="Arial"/>
              </w:rPr>
            </w:pPr>
            <w:r w:rsidRPr="003272C7">
              <w:rPr>
                <w:rFonts w:cs="Arial"/>
              </w:rPr>
              <w:t xml:space="preserve">Both projects experienced delays and access issues to the VMFRP sites due to the October 2022 flooding, in addition to the delays caused by the Covid pandemic. These delays have been managed through revised workplans and contract variations. The ecological baseline monitoring contracts with Mallee and North Central </w:t>
            </w:r>
            <w:r w:rsidR="009F0298" w:rsidRPr="003272C7">
              <w:rPr>
                <w:rFonts w:cs="Arial"/>
              </w:rPr>
              <w:t>CMA</w:t>
            </w:r>
            <w:r w:rsidRPr="003272C7">
              <w:rPr>
                <w:rFonts w:cs="Arial"/>
              </w:rPr>
              <w:t xml:space="preserve"> incorporated the ability to pivot and adapt the workstream through milestones requiring review of the </w:t>
            </w:r>
            <w:r w:rsidR="009F0298" w:rsidRPr="003272C7">
              <w:rPr>
                <w:rFonts w:cs="Arial"/>
              </w:rPr>
              <w:t xml:space="preserve">Monitoring, Evaluation and Reporting </w:t>
            </w:r>
            <w:r w:rsidRPr="003272C7">
              <w:rPr>
                <w:rFonts w:cs="Arial"/>
              </w:rPr>
              <w:t>plan and hold points to provide opportunities for alignment with any new developments such as outcomes from the regulatory approvals process.</w:t>
            </w:r>
          </w:p>
          <w:p w14:paraId="2CA527BA" w14:textId="5FC5CF49" w:rsidR="00B242C3" w:rsidRPr="003272C7" w:rsidRDefault="00B242C3" w:rsidP="00A12238">
            <w:pPr>
              <w:pStyle w:val="TableText"/>
              <w:rPr>
                <w:rFonts w:cs="Arial"/>
              </w:rPr>
            </w:pPr>
            <w:r w:rsidRPr="003272C7">
              <w:rPr>
                <w:rFonts w:cs="Arial"/>
              </w:rPr>
              <w:t xml:space="preserve">North Central </w:t>
            </w:r>
            <w:r w:rsidR="009F0298" w:rsidRPr="003272C7">
              <w:rPr>
                <w:rFonts w:cs="Arial"/>
              </w:rPr>
              <w:t>CMA</w:t>
            </w:r>
            <w:r w:rsidRPr="003272C7">
              <w:rPr>
                <w:rFonts w:cs="Arial"/>
              </w:rPr>
              <w:t xml:space="preserve"> indicated that efficiencies were made by using the same field work consultants and aligning the timing with the ecological monitoring Program for the Living Murray. </w:t>
            </w:r>
          </w:p>
        </w:tc>
      </w:tr>
      <w:tr w:rsidR="00B242C3" w:rsidRPr="003272C7" w14:paraId="5C0027FA" w14:textId="77777777" w:rsidTr="00142559">
        <w:trPr>
          <w:trHeight w:val="259"/>
        </w:trPr>
        <w:tc>
          <w:tcPr>
            <w:tcW w:w="979" w:type="pct"/>
            <w:shd w:val="clear" w:color="auto" w:fill="231EDC" w:themeFill="accent1"/>
          </w:tcPr>
          <w:p w14:paraId="1889A52E" w14:textId="77777777" w:rsidR="00B242C3" w:rsidRPr="003272C7" w:rsidRDefault="00B242C3" w:rsidP="00A12238">
            <w:pPr>
              <w:pStyle w:val="TableText"/>
              <w:rPr>
                <w:rFonts w:cs="Arial"/>
                <w:b/>
                <w:bCs/>
              </w:rPr>
            </w:pPr>
            <w:r w:rsidRPr="003272C7">
              <w:rPr>
                <w:rFonts w:cs="Arial"/>
                <w:b/>
                <w:bCs/>
              </w:rPr>
              <w:t>Legacy</w:t>
            </w:r>
          </w:p>
        </w:tc>
        <w:tc>
          <w:tcPr>
            <w:tcW w:w="4021" w:type="pct"/>
          </w:tcPr>
          <w:p w14:paraId="7392A728" w14:textId="3FA40881" w:rsidR="00B242C3" w:rsidRPr="003272C7" w:rsidRDefault="00B242C3" w:rsidP="00C34E0C">
            <w:pPr>
              <w:pStyle w:val="TableBullet"/>
              <w:rPr>
                <w:rFonts w:cs="Arial"/>
              </w:rPr>
            </w:pPr>
            <w:r w:rsidRPr="003272C7">
              <w:rPr>
                <w:rFonts w:cs="Arial"/>
              </w:rPr>
              <w:t>Investment in the T</w:t>
            </w:r>
            <w:r w:rsidR="002747DE" w:rsidRPr="003272C7">
              <w:rPr>
                <w:rFonts w:cs="Arial"/>
              </w:rPr>
              <w:t xml:space="preserve">raditional </w:t>
            </w:r>
            <w:r w:rsidRPr="003272C7">
              <w:rPr>
                <w:rFonts w:cs="Arial"/>
              </w:rPr>
              <w:t>O</w:t>
            </w:r>
            <w:r w:rsidR="002747DE" w:rsidRPr="003272C7">
              <w:rPr>
                <w:rFonts w:cs="Arial"/>
              </w:rPr>
              <w:t>wner</w:t>
            </w:r>
            <w:r w:rsidRPr="003272C7">
              <w:rPr>
                <w:rFonts w:cs="Arial"/>
              </w:rPr>
              <w:t xml:space="preserve"> partnerships is intended to foster long-term relationships for the ongoing and increased involvement of T</w:t>
            </w:r>
            <w:r w:rsidR="002747DE" w:rsidRPr="003272C7">
              <w:rPr>
                <w:rFonts w:cs="Arial"/>
              </w:rPr>
              <w:t xml:space="preserve">raditional </w:t>
            </w:r>
            <w:r w:rsidRPr="003272C7">
              <w:rPr>
                <w:rFonts w:cs="Arial"/>
              </w:rPr>
              <w:t>O</w:t>
            </w:r>
            <w:r w:rsidR="002747DE" w:rsidRPr="003272C7">
              <w:rPr>
                <w:rFonts w:cs="Arial"/>
              </w:rPr>
              <w:t>wner</w:t>
            </w:r>
            <w:r w:rsidRPr="003272C7">
              <w:rPr>
                <w:rFonts w:cs="Arial"/>
              </w:rPr>
              <w:t>s in management and operations of the infrastructure. It is important to continue to invest in these relationships that have taken a lot of time to expand and build</w:t>
            </w:r>
            <w:r w:rsidR="00F77463" w:rsidRPr="003272C7">
              <w:rPr>
                <w:rFonts w:cs="Arial"/>
              </w:rPr>
              <w:t> </w:t>
            </w:r>
            <w:r w:rsidRPr="003272C7">
              <w:rPr>
                <w:rFonts w:cs="Arial"/>
              </w:rPr>
              <w:t>trust.</w:t>
            </w:r>
          </w:p>
          <w:p w14:paraId="5C239461" w14:textId="3090C55A" w:rsidR="00B242C3" w:rsidRPr="003272C7" w:rsidRDefault="00B242C3" w:rsidP="00C34E0C">
            <w:pPr>
              <w:pStyle w:val="TableBullet"/>
              <w:rPr>
                <w:rFonts w:cs="Arial"/>
              </w:rPr>
            </w:pPr>
            <w:r w:rsidRPr="003272C7">
              <w:rPr>
                <w:rFonts w:cs="Arial"/>
              </w:rPr>
              <w:t xml:space="preserve">This is a long-term monitoring Program developed to demonstrate and report on the success of the VMFRP and to provide data to support the application of adaptive management to each environmental watering event that supports ecological outcomes, and combined with 20 years of monitoring from </w:t>
            </w:r>
            <w:r w:rsidR="001E7689" w:rsidRPr="003272C7">
              <w:rPr>
                <w:rFonts w:cs="Arial"/>
              </w:rPr>
              <w:t xml:space="preserve">The Living </w:t>
            </w:r>
            <w:r w:rsidR="001E7689" w:rsidRPr="003272C7">
              <w:rPr>
                <w:rFonts w:cs="Arial"/>
              </w:rPr>
              <w:lastRenderedPageBreak/>
              <w:t>Murray</w:t>
            </w:r>
            <w:r w:rsidRPr="003272C7">
              <w:rPr>
                <w:rFonts w:cs="Arial"/>
              </w:rPr>
              <w:t xml:space="preserve"> </w:t>
            </w:r>
            <w:r w:rsidR="001E7689" w:rsidRPr="003272C7">
              <w:rPr>
                <w:rFonts w:cs="Arial"/>
              </w:rPr>
              <w:t>program</w:t>
            </w:r>
            <w:r w:rsidRPr="003272C7">
              <w:rPr>
                <w:rFonts w:cs="Arial"/>
              </w:rPr>
              <w:t xml:space="preserve">, supports the building of a strong evidence base for environmental works projects. </w:t>
            </w:r>
          </w:p>
        </w:tc>
      </w:tr>
      <w:tr w:rsidR="00B242C3" w:rsidRPr="003272C7" w14:paraId="2E95F566" w14:textId="77777777" w:rsidTr="00142559">
        <w:trPr>
          <w:trHeight w:val="259"/>
        </w:trPr>
        <w:tc>
          <w:tcPr>
            <w:tcW w:w="979" w:type="pct"/>
            <w:shd w:val="clear" w:color="auto" w:fill="231EDC" w:themeFill="accent1"/>
          </w:tcPr>
          <w:p w14:paraId="0D0A7A64" w14:textId="77777777" w:rsidR="00B242C3" w:rsidRPr="003272C7" w:rsidRDefault="00B242C3" w:rsidP="00A12238">
            <w:pPr>
              <w:pStyle w:val="TableText"/>
              <w:rPr>
                <w:rFonts w:cs="Arial"/>
                <w:b/>
                <w:bCs/>
              </w:rPr>
            </w:pPr>
            <w:r w:rsidRPr="003272C7">
              <w:rPr>
                <w:rFonts w:cs="Arial"/>
                <w:b/>
                <w:bCs/>
              </w:rPr>
              <w:lastRenderedPageBreak/>
              <w:t>Future priorities</w:t>
            </w:r>
          </w:p>
        </w:tc>
        <w:tc>
          <w:tcPr>
            <w:tcW w:w="4021" w:type="pct"/>
          </w:tcPr>
          <w:p w14:paraId="6605F643" w14:textId="5005A40F" w:rsidR="00B242C3" w:rsidRPr="003272C7" w:rsidRDefault="009F0298" w:rsidP="00C34E0C">
            <w:pPr>
              <w:pStyle w:val="TableBullet"/>
              <w:rPr>
                <w:rFonts w:cs="Arial"/>
              </w:rPr>
            </w:pPr>
            <w:r w:rsidRPr="003272C7">
              <w:rPr>
                <w:rFonts w:cs="Arial"/>
              </w:rPr>
              <w:t>T</w:t>
            </w:r>
            <w:r w:rsidR="00B242C3" w:rsidRPr="003272C7">
              <w:rPr>
                <w:rFonts w:cs="Arial"/>
              </w:rPr>
              <w:t>o finalise baseline monitoring and address any gaps, including any further conditions arising out of regulatory approvals assessment - noting that this is conducted in an adaptive management framework where further refinements will be made pending future funding, infrastructure progressed and site objectives and risks</w:t>
            </w:r>
            <w:r w:rsidRPr="003272C7">
              <w:rPr>
                <w:rFonts w:cs="Arial"/>
              </w:rPr>
              <w:t>.</w:t>
            </w:r>
          </w:p>
          <w:p w14:paraId="0DC5616D" w14:textId="64B2FF38" w:rsidR="00B242C3" w:rsidRPr="003272C7" w:rsidRDefault="009F0298" w:rsidP="00C34E0C">
            <w:pPr>
              <w:pStyle w:val="TableBullet"/>
              <w:rPr>
                <w:rFonts w:cs="Arial"/>
              </w:rPr>
            </w:pPr>
            <w:r w:rsidRPr="003272C7">
              <w:rPr>
                <w:rFonts w:cs="Arial"/>
              </w:rPr>
              <w:t>T</w:t>
            </w:r>
            <w:r w:rsidR="00B242C3" w:rsidRPr="003272C7">
              <w:rPr>
                <w:rFonts w:cs="Arial"/>
              </w:rPr>
              <w:t xml:space="preserve">o commence policy work to prioritise and integrate the monitoring and ongoing operations and maintenance activities into the broader environmental watering policy and monitoring, evaluation and reporting </w:t>
            </w:r>
            <w:r w:rsidRPr="003272C7">
              <w:rPr>
                <w:rFonts w:cs="Arial"/>
              </w:rPr>
              <w:t>p</w:t>
            </w:r>
            <w:r w:rsidR="00B242C3" w:rsidRPr="003272C7">
              <w:rPr>
                <w:rFonts w:cs="Arial"/>
              </w:rPr>
              <w:t>rograms in Catchments Waterways Cities and Towns Division of DEECA</w:t>
            </w:r>
            <w:r w:rsidRPr="003272C7">
              <w:rPr>
                <w:rFonts w:cs="Arial"/>
              </w:rPr>
              <w:t>.</w:t>
            </w:r>
          </w:p>
          <w:p w14:paraId="68375A74" w14:textId="1B122CEF" w:rsidR="00B242C3" w:rsidRPr="003272C7" w:rsidRDefault="009F0298" w:rsidP="00C34E0C">
            <w:pPr>
              <w:pStyle w:val="TableBullet"/>
              <w:rPr>
                <w:rFonts w:cs="Arial"/>
              </w:rPr>
            </w:pPr>
            <w:r w:rsidRPr="003272C7">
              <w:rPr>
                <w:rFonts w:cs="Arial"/>
              </w:rPr>
              <w:t>T</w:t>
            </w:r>
            <w:r w:rsidR="00B242C3" w:rsidRPr="003272C7">
              <w:rPr>
                <w:rFonts w:cs="Arial"/>
              </w:rPr>
              <w:t xml:space="preserve">o uphold the commitment made by the project and the Traditional Owners to maintain trust in relationships that have taken a lot of time and investment into building. Funding will be required to continue to expand self-determined projects by Traditional Owners related to their land and water aspirations for floodplains across the VMFRP area and environmental watering more broadly. </w:t>
            </w:r>
          </w:p>
        </w:tc>
      </w:tr>
    </w:tbl>
    <w:p w14:paraId="34BEA920" w14:textId="77777777" w:rsidR="00B242C3" w:rsidRPr="003272C7" w:rsidRDefault="00B242C3" w:rsidP="00B242C3">
      <w:pPr>
        <w:pStyle w:val="Heading2"/>
        <w:rPr>
          <w:rFonts w:cs="Arial"/>
        </w:rPr>
      </w:pPr>
      <w:bookmarkStart w:id="79" w:name="_Toc147410805"/>
      <w:bookmarkStart w:id="80" w:name="_Toc183777813"/>
      <w:r w:rsidRPr="003272C7">
        <w:rPr>
          <w:rFonts w:cs="Arial"/>
        </w:rPr>
        <w:t>CWCT11: Our Catchments Our Communities Program</w:t>
      </w:r>
      <w:bookmarkEnd w:id="79"/>
      <w:bookmarkEnd w:id="80"/>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14137A1E" w14:textId="77777777" w:rsidTr="00142559">
        <w:trPr>
          <w:trHeight w:val="395"/>
        </w:trPr>
        <w:tc>
          <w:tcPr>
            <w:tcW w:w="979" w:type="pct"/>
            <w:shd w:val="clear" w:color="auto" w:fill="231EDC" w:themeFill="accent1"/>
          </w:tcPr>
          <w:p w14:paraId="116AFD94" w14:textId="1945C8D7" w:rsidR="00B242C3" w:rsidRPr="003272C7" w:rsidRDefault="00C412A9" w:rsidP="00233771">
            <w:pPr>
              <w:pStyle w:val="TableHeading"/>
              <w:rPr>
                <w:rFonts w:cs="Arial"/>
              </w:rPr>
            </w:pPr>
            <w:r w:rsidRPr="003272C7">
              <w:rPr>
                <w:rFonts w:cs="Arial"/>
              </w:rPr>
              <w:t>Initiative</w:t>
            </w:r>
          </w:p>
        </w:tc>
        <w:tc>
          <w:tcPr>
            <w:tcW w:w="4021" w:type="pct"/>
            <w:shd w:val="clear" w:color="auto" w:fill="231EDC" w:themeFill="accent1"/>
          </w:tcPr>
          <w:p w14:paraId="508EDF25" w14:textId="77777777" w:rsidR="00B242C3" w:rsidRPr="003272C7" w:rsidRDefault="00B242C3" w:rsidP="00233771">
            <w:pPr>
              <w:pStyle w:val="TableHeading"/>
              <w:rPr>
                <w:rFonts w:cs="Arial"/>
              </w:rPr>
            </w:pPr>
            <w:r w:rsidRPr="003272C7">
              <w:rPr>
                <w:rFonts w:cs="Arial"/>
              </w:rPr>
              <w:t>12. Improving the health of Victoria’s waterways and catchments in the face of escalating impacts of climate change/ Supporting regional communities and economic recovery through healthy waterways</w:t>
            </w:r>
          </w:p>
        </w:tc>
      </w:tr>
      <w:tr w:rsidR="00B242C3" w:rsidRPr="003272C7" w14:paraId="48511544" w14:textId="77777777" w:rsidTr="00142559">
        <w:trPr>
          <w:trHeight w:val="341"/>
        </w:trPr>
        <w:tc>
          <w:tcPr>
            <w:tcW w:w="979" w:type="pct"/>
            <w:shd w:val="clear" w:color="auto" w:fill="231EDC" w:themeFill="accent1"/>
          </w:tcPr>
          <w:p w14:paraId="4A40850C" w14:textId="77777777" w:rsidR="00B242C3" w:rsidRPr="003272C7" w:rsidRDefault="00B242C3" w:rsidP="00233771">
            <w:pPr>
              <w:pStyle w:val="TableText"/>
              <w:rPr>
                <w:rFonts w:cs="Arial"/>
                <w:b/>
                <w:bCs/>
              </w:rPr>
            </w:pPr>
            <w:r w:rsidRPr="003272C7">
              <w:rPr>
                <w:rFonts w:cs="Arial"/>
                <w:b/>
                <w:bCs/>
              </w:rPr>
              <w:t>Project</w:t>
            </w:r>
          </w:p>
        </w:tc>
        <w:tc>
          <w:tcPr>
            <w:tcW w:w="4021" w:type="pct"/>
          </w:tcPr>
          <w:p w14:paraId="283D0762" w14:textId="77777777" w:rsidR="00B242C3" w:rsidRPr="003272C7" w:rsidRDefault="00B242C3" w:rsidP="00233771">
            <w:pPr>
              <w:pStyle w:val="TableText"/>
              <w:rPr>
                <w:rFonts w:cs="Arial"/>
              </w:rPr>
            </w:pPr>
            <w:r w:rsidRPr="003272C7">
              <w:rPr>
                <w:rFonts w:cs="Arial"/>
              </w:rPr>
              <w:t>CWCT11: Our Catchments Our Communities Program</w:t>
            </w:r>
          </w:p>
        </w:tc>
      </w:tr>
      <w:tr w:rsidR="009F0298" w:rsidRPr="003272C7" w14:paraId="0DA1BD98" w14:textId="77777777" w:rsidTr="00142559">
        <w:trPr>
          <w:trHeight w:val="259"/>
        </w:trPr>
        <w:tc>
          <w:tcPr>
            <w:tcW w:w="979" w:type="pct"/>
            <w:shd w:val="clear" w:color="auto" w:fill="231EDC" w:themeFill="accent1"/>
          </w:tcPr>
          <w:p w14:paraId="69A9A34C" w14:textId="77777777" w:rsidR="00B242C3" w:rsidRPr="003272C7" w:rsidRDefault="00B242C3" w:rsidP="000D7EE7">
            <w:pPr>
              <w:pStyle w:val="TableText"/>
              <w:rPr>
                <w:rFonts w:cs="Arial"/>
                <w:b/>
                <w:bCs/>
              </w:rPr>
            </w:pPr>
            <w:r w:rsidRPr="003272C7">
              <w:rPr>
                <w:rFonts w:cs="Arial"/>
                <w:b/>
                <w:bCs/>
              </w:rPr>
              <w:t>Description</w:t>
            </w:r>
          </w:p>
          <w:p w14:paraId="2BEA9365" w14:textId="77777777" w:rsidR="00B242C3" w:rsidRPr="003272C7" w:rsidRDefault="00B242C3" w:rsidP="000D7EE7">
            <w:pPr>
              <w:pStyle w:val="TableText"/>
              <w:rPr>
                <w:rFonts w:cs="Arial"/>
                <w:b/>
                <w:bCs/>
              </w:rPr>
            </w:pPr>
          </w:p>
        </w:tc>
        <w:tc>
          <w:tcPr>
            <w:tcW w:w="4021" w:type="pct"/>
          </w:tcPr>
          <w:p w14:paraId="4EDFE72A" w14:textId="3ACD3CAF" w:rsidR="00613BC1" w:rsidRPr="003272C7" w:rsidRDefault="00613BC1" w:rsidP="00233771">
            <w:pPr>
              <w:pStyle w:val="TableText"/>
              <w:rPr>
                <w:rFonts w:cs="Arial"/>
              </w:rPr>
            </w:pPr>
            <w:r w:rsidRPr="003272C7">
              <w:rPr>
                <w:rFonts w:cs="Arial"/>
              </w:rPr>
              <w:t>The $21.75 million of EC5 has supported the implementation of Water for Victoria Action 3.3 Invest in integrated catchment management through delivery of the Our Catchments, Our Communities (OCOC) strategy.</w:t>
            </w:r>
          </w:p>
          <w:p w14:paraId="207046B3" w14:textId="77777777" w:rsidR="00142559" w:rsidRPr="003272C7" w:rsidRDefault="00B242C3" w:rsidP="00233771">
            <w:pPr>
              <w:pStyle w:val="TableText"/>
              <w:rPr>
                <w:rFonts w:cs="Arial"/>
              </w:rPr>
            </w:pPr>
            <w:r w:rsidRPr="003272C7">
              <w:rPr>
                <w:rFonts w:cs="Arial"/>
              </w:rPr>
              <w:t xml:space="preserve">The implementation of the OCOC </w:t>
            </w:r>
            <w:r w:rsidR="009F0298" w:rsidRPr="003272C7">
              <w:rPr>
                <w:rFonts w:cs="Arial"/>
              </w:rPr>
              <w:t>p</w:t>
            </w:r>
            <w:r w:rsidRPr="003272C7">
              <w:rPr>
                <w:rFonts w:cs="Arial"/>
              </w:rPr>
              <w:t>rogram was intended to increase the ability of CMAs to address natural resource management problems with an integrated approach and a strong drive for capacity-building in sector partners and the broader community.</w:t>
            </w:r>
          </w:p>
          <w:p w14:paraId="7148B702" w14:textId="2A3DD064" w:rsidR="00B242C3" w:rsidRPr="003272C7" w:rsidRDefault="00B242C3" w:rsidP="00233771">
            <w:pPr>
              <w:pStyle w:val="TableText"/>
              <w:rPr>
                <w:rFonts w:cs="Arial"/>
              </w:rPr>
            </w:pPr>
            <w:r w:rsidRPr="003272C7">
              <w:rPr>
                <w:rFonts w:cs="Arial"/>
              </w:rPr>
              <w:t xml:space="preserve">The </w:t>
            </w:r>
            <w:r w:rsidRPr="003272C7" w:rsidDel="00B264C2">
              <w:rPr>
                <w:rFonts w:cs="Arial"/>
              </w:rPr>
              <w:t>EC5</w:t>
            </w:r>
            <w:r w:rsidRPr="003272C7">
              <w:rPr>
                <w:rFonts w:cs="Arial"/>
              </w:rPr>
              <w:t xml:space="preserve"> funding for the OCOC Program was directed toward coordinated </w:t>
            </w:r>
            <w:r w:rsidR="00585A1E" w:rsidRPr="003272C7">
              <w:rPr>
                <w:rFonts w:cs="Arial"/>
              </w:rPr>
              <w:t>Regional</w:t>
            </w:r>
            <w:r w:rsidRPr="003272C7">
              <w:rPr>
                <w:rFonts w:cs="Arial"/>
              </w:rPr>
              <w:t xml:space="preserve"> </w:t>
            </w:r>
            <w:r w:rsidR="00585A1E" w:rsidRPr="003272C7">
              <w:rPr>
                <w:rFonts w:cs="Arial"/>
              </w:rPr>
              <w:t xml:space="preserve">Catchment </w:t>
            </w:r>
            <w:r w:rsidR="007D576A" w:rsidRPr="003272C7">
              <w:rPr>
                <w:rFonts w:cs="Arial"/>
              </w:rPr>
              <w:t xml:space="preserve">Strategy </w:t>
            </w:r>
            <w:r w:rsidRPr="003272C7">
              <w:rPr>
                <w:rFonts w:cs="Arial"/>
              </w:rPr>
              <w:t xml:space="preserve">implementation, improved partnerships and the delivery of better catchment stewardship. After </w:t>
            </w:r>
            <w:r w:rsidR="007D576A" w:rsidRPr="003272C7">
              <w:rPr>
                <w:rFonts w:cs="Arial"/>
              </w:rPr>
              <w:t>4</w:t>
            </w:r>
            <w:r w:rsidRPr="003272C7">
              <w:rPr>
                <w:rFonts w:cs="Arial"/>
              </w:rPr>
              <w:t xml:space="preserve"> years of delivery, the OCOC </w:t>
            </w:r>
            <w:r w:rsidR="009F0298" w:rsidRPr="003272C7">
              <w:rPr>
                <w:rFonts w:cs="Arial"/>
              </w:rPr>
              <w:t>p</w:t>
            </w:r>
            <w:r w:rsidRPr="003272C7">
              <w:rPr>
                <w:rFonts w:cs="Arial"/>
              </w:rPr>
              <w:t xml:space="preserve">rogram has improved progress toward healthy, sustainable and productive land, water and biodiversity maintained through </w:t>
            </w:r>
            <w:r w:rsidR="007D576A" w:rsidRPr="003272C7">
              <w:rPr>
                <w:rFonts w:cs="Arial"/>
              </w:rPr>
              <w:t>Integrated Catchment Management (</w:t>
            </w:r>
            <w:r w:rsidRPr="003272C7">
              <w:rPr>
                <w:rFonts w:cs="Arial"/>
              </w:rPr>
              <w:t>ICM</w:t>
            </w:r>
            <w:r w:rsidR="007D576A" w:rsidRPr="003272C7">
              <w:rPr>
                <w:rFonts w:cs="Arial"/>
              </w:rPr>
              <w:t>)</w:t>
            </w:r>
            <w:r w:rsidRPr="003272C7">
              <w:rPr>
                <w:rFonts w:cs="Arial"/>
              </w:rPr>
              <w:t xml:space="preserve"> that is strongly community based, regionally focused and collaborative.</w:t>
            </w:r>
          </w:p>
        </w:tc>
      </w:tr>
      <w:tr w:rsidR="009F0298" w:rsidRPr="003272C7" w14:paraId="7E898EB1" w14:textId="77777777" w:rsidTr="00142559">
        <w:trPr>
          <w:trHeight w:val="259"/>
        </w:trPr>
        <w:tc>
          <w:tcPr>
            <w:tcW w:w="979" w:type="pct"/>
            <w:shd w:val="clear" w:color="auto" w:fill="231EDC" w:themeFill="accent1"/>
          </w:tcPr>
          <w:p w14:paraId="10F3190F" w14:textId="77777777" w:rsidR="00B242C3" w:rsidRPr="003272C7" w:rsidRDefault="00B242C3" w:rsidP="00B6706B">
            <w:pPr>
              <w:pStyle w:val="TableText"/>
              <w:rPr>
                <w:rFonts w:cs="Arial"/>
                <w:b/>
                <w:bCs/>
              </w:rPr>
            </w:pPr>
            <w:r w:rsidRPr="003272C7">
              <w:rPr>
                <w:rFonts w:cs="Arial"/>
                <w:b/>
                <w:bCs/>
              </w:rPr>
              <w:t>Outputs</w:t>
            </w:r>
          </w:p>
        </w:tc>
        <w:tc>
          <w:tcPr>
            <w:tcW w:w="4021" w:type="pct"/>
          </w:tcPr>
          <w:p w14:paraId="591507B3" w14:textId="5287B4C8" w:rsidR="00B242C3" w:rsidRPr="003272C7" w:rsidRDefault="00B242C3" w:rsidP="00233771">
            <w:pPr>
              <w:pStyle w:val="TableBullet"/>
              <w:rPr>
                <w:rFonts w:cs="Arial"/>
              </w:rPr>
            </w:pPr>
            <w:r w:rsidRPr="003272C7">
              <w:rPr>
                <w:rFonts w:cs="Arial"/>
              </w:rPr>
              <w:t xml:space="preserve">Renewed all 10 Regional Catchment Strategies that set strategic directions for </w:t>
            </w:r>
            <w:r w:rsidR="009F0298" w:rsidRPr="003272C7">
              <w:rPr>
                <w:rFonts w:cs="Arial"/>
              </w:rPr>
              <w:t>natural resource management</w:t>
            </w:r>
            <w:r w:rsidRPr="003272C7">
              <w:rPr>
                <w:rFonts w:cs="Arial"/>
              </w:rPr>
              <w:t xml:space="preserve">. Renewed </w:t>
            </w:r>
            <w:r w:rsidR="009F0298" w:rsidRPr="003272C7">
              <w:rPr>
                <w:rFonts w:cs="Arial"/>
              </w:rPr>
              <w:t xml:space="preserve">Regional Catchment Strategies </w:t>
            </w:r>
            <w:r w:rsidRPr="003272C7">
              <w:rPr>
                <w:rFonts w:cs="Arial"/>
              </w:rPr>
              <w:t>contain a consistent set of ICM outcomes across the 10 CMA regions (100% of EC5 target)</w:t>
            </w:r>
            <w:r w:rsidR="009F0298" w:rsidRPr="003272C7">
              <w:rPr>
                <w:rFonts w:cs="Arial"/>
              </w:rPr>
              <w:t>.</w:t>
            </w:r>
          </w:p>
          <w:p w14:paraId="16D54129" w14:textId="733D42D2" w:rsidR="00B242C3" w:rsidRPr="003272C7" w:rsidRDefault="007D576A" w:rsidP="00233771">
            <w:pPr>
              <w:pStyle w:val="TableBullet"/>
              <w:rPr>
                <w:rFonts w:cs="Arial"/>
              </w:rPr>
            </w:pPr>
            <w:r w:rsidRPr="003272C7">
              <w:rPr>
                <w:rFonts w:cs="Arial"/>
              </w:rPr>
              <w:t>CMAs d</w:t>
            </w:r>
            <w:r w:rsidR="00B242C3" w:rsidRPr="003272C7">
              <w:rPr>
                <w:rFonts w:cs="Arial"/>
              </w:rPr>
              <w:t xml:space="preserve">elivered </w:t>
            </w:r>
            <w:r w:rsidR="004446CD" w:rsidRPr="003272C7">
              <w:rPr>
                <w:rFonts w:cs="Arial"/>
              </w:rPr>
              <w:t>46,764</w:t>
            </w:r>
            <w:r w:rsidR="00B242C3" w:rsidRPr="003272C7">
              <w:rPr>
                <w:rFonts w:cs="Arial"/>
              </w:rPr>
              <w:t> ha of place-based on-ground catchment stewardship projects deliver water, biodiversity, land health and productivity benefits for regional and local communities and Traditional Owners</w:t>
            </w:r>
            <w:r w:rsidR="00D25FB3" w:rsidRPr="003272C7">
              <w:rPr>
                <w:rFonts w:cs="Arial"/>
              </w:rPr>
              <w:t>.</w:t>
            </w:r>
          </w:p>
          <w:p w14:paraId="5831ADD3" w14:textId="77777777" w:rsidR="00142559" w:rsidRPr="003272C7" w:rsidRDefault="00D25FB3" w:rsidP="00233771">
            <w:pPr>
              <w:pStyle w:val="TableBullet"/>
              <w:rPr>
                <w:rFonts w:cs="Arial"/>
              </w:rPr>
            </w:pPr>
            <w:r w:rsidRPr="003272C7">
              <w:rPr>
                <w:rFonts w:cs="Arial"/>
              </w:rPr>
              <w:t>CMAs delivered structural works such as fencing (74 km), roads (17 km), recreational facilities (25), water troughs (25) and bridges (2).</w:t>
            </w:r>
          </w:p>
          <w:p w14:paraId="0E31814A" w14:textId="186E3D48" w:rsidR="00B242C3" w:rsidRPr="003272C7" w:rsidRDefault="00D25FB3" w:rsidP="00233771">
            <w:pPr>
              <w:pStyle w:val="TableBullet"/>
              <w:rPr>
                <w:rFonts w:cs="Arial"/>
              </w:rPr>
            </w:pPr>
            <w:r w:rsidRPr="003272C7">
              <w:rPr>
                <w:rFonts w:cs="Arial"/>
              </w:rPr>
              <w:t>CMAs deli</w:t>
            </w:r>
            <w:r w:rsidR="00E0713C" w:rsidRPr="003272C7">
              <w:rPr>
                <w:rFonts w:cs="Arial"/>
              </w:rPr>
              <w:t>vered</w:t>
            </w:r>
            <w:r w:rsidR="00B242C3" w:rsidRPr="003272C7">
              <w:rPr>
                <w:rFonts w:cs="Arial"/>
              </w:rPr>
              <w:t xml:space="preserve"> engagement events (field day, training, workshops and presentations) that attracted </w:t>
            </w:r>
            <w:r w:rsidR="00E0713C" w:rsidRPr="003272C7">
              <w:rPr>
                <w:rFonts w:cs="Arial"/>
              </w:rPr>
              <w:t>15,344</w:t>
            </w:r>
            <w:r w:rsidR="00B242C3" w:rsidRPr="003272C7">
              <w:rPr>
                <w:rFonts w:cs="Arial"/>
              </w:rPr>
              <w:t xml:space="preserve"> participants. This makes up </w:t>
            </w:r>
            <w:r w:rsidR="00E0713C" w:rsidRPr="003272C7">
              <w:rPr>
                <w:rFonts w:cs="Arial"/>
              </w:rPr>
              <w:t>185</w:t>
            </w:r>
            <w:r w:rsidR="00B242C3" w:rsidRPr="003272C7">
              <w:rPr>
                <w:rFonts w:cs="Arial"/>
              </w:rPr>
              <w:t>% of the target (</w:t>
            </w:r>
            <w:r w:rsidR="00CF06D0" w:rsidRPr="003272C7">
              <w:rPr>
                <w:rFonts w:cs="Arial"/>
              </w:rPr>
              <w:t>8282</w:t>
            </w:r>
            <w:r w:rsidR="00B242C3" w:rsidRPr="003272C7">
              <w:rPr>
                <w:rFonts w:cs="Arial"/>
              </w:rPr>
              <w:t>) for the OCOC Program for EC5</w:t>
            </w:r>
            <w:r w:rsidR="00CF06D0" w:rsidRPr="003272C7">
              <w:rPr>
                <w:rFonts w:cs="Arial"/>
              </w:rPr>
              <w:t>.</w:t>
            </w:r>
          </w:p>
          <w:p w14:paraId="1C399AA0" w14:textId="1D0716DD" w:rsidR="00B242C3" w:rsidRPr="003272C7" w:rsidRDefault="00B242C3" w:rsidP="00233771">
            <w:pPr>
              <w:pStyle w:val="TableBullet"/>
              <w:rPr>
                <w:rFonts w:cs="Arial"/>
              </w:rPr>
            </w:pPr>
            <w:r w:rsidRPr="003272C7">
              <w:rPr>
                <w:rFonts w:cs="Arial"/>
              </w:rPr>
              <w:t xml:space="preserve"> CMAs delivered partnerships (</w:t>
            </w:r>
            <w:r w:rsidR="000A39C5" w:rsidRPr="003272C7">
              <w:rPr>
                <w:rFonts w:cs="Arial"/>
              </w:rPr>
              <w:t>433</w:t>
            </w:r>
            <w:r w:rsidRPr="003272C7">
              <w:rPr>
                <w:rFonts w:cs="Arial"/>
              </w:rPr>
              <w:t>), assessments (</w:t>
            </w:r>
            <w:r w:rsidR="000A39C5" w:rsidRPr="003272C7">
              <w:rPr>
                <w:rFonts w:cs="Arial"/>
              </w:rPr>
              <w:t>1028</w:t>
            </w:r>
            <w:r w:rsidRPr="003272C7">
              <w:rPr>
                <w:rFonts w:cs="Arial"/>
              </w:rPr>
              <w:t>), management agreements (</w:t>
            </w:r>
            <w:r w:rsidR="000A39C5" w:rsidRPr="003272C7">
              <w:rPr>
                <w:rFonts w:cs="Arial"/>
              </w:rPr>
              <w:t>128</w:t>
            </w:r>
            <w:r w:rsidRPr="003272C7">
              <w:rPr>
                <w:rFonts w:cs="Arial"/>
              </w:rPr>
              <w:t>)</w:t>
            </w:r>
            <w:r w:rsidR="004929C3" w:rsidRPr="003272C7">
              <w:rPr>
                <w:rFonts w:cs="Arial"/>
              </w:rPr>
              <w:t>, publications (383</w:t>
            </w:r>
            <w:r w:rsidRPr="003272C7">
              <w:rPr>
                <w:rFonts w:cs="Arial"/>
              </w:rPr>
              <w:t>) and plans (</w:t>
            </w:r>
            <w:r w:rsidR="004929C3" w:rsidRPr="003272C7">
              <w:rPr>
                <w:rFonts w:cs="Arial"/>
              </w:rPr>
              <w:t>203</w:t>
            </w:r>
            <w:r w:rsidRPr="003272C7">
              <w:rPr>
                <w:rFonts w:cs="Arial"/>
              </w:rPr>
              <w:t>).</w:t>
            </w:r>
          </w:p>
          <w:p w14:paraId="6C794A60" w14:textId="77777777" w:rsidR="00142559" w:rsidRPr="003272C7" w:rsidRDefault="004929C3" w:rsidP="00233771">
            <w:pPr>
              <w:pStyle w:val="TableBullet"/>
              <w:rPr>
                <w:rFonts w:cs="Arial"/>
              </w:rPr>
            </w:pPr>
            <w:r w:rsidRPr="003272C7">
              <w:rPr>
                <w:rFonts w:cs="Arial"/>
              </w:rPr>
              <w:t xml:space="preserve">CMAs have recorded twelve formal partnerships with Traditional Owner groups and 22 with Aboriginal Victorians. Traditional Owner voices feature in planning (e.g. in </w:t>
            </w:r>
            <w:r w:rsidR="009F0298" w:rsidRPr="003272C7">
              <w:rPr>
                <w:rFonts w:cs="Arial"/>
              </w:rPr>
              <w:t>Regional Catchment Strategies</w:t>
            </w:r>
            <w:r w:rsidRPr="003272C7">
              <w:rPr>
                <w:rFonts w:cs="Arial"/>
              </w:rPr>
              <w:t>) and on-ground delivery and are supporting Aboriginal self-determination.</w:t>
            </w:r>
          </w:p>
          <w:p w14:paraId="68ED9C14" w14:textId="0578203C" w:rsidR="00B242C3" w:rsidRPr="003272C7" w:rsidRDefault="00B242C3" w:rsidP="00233771">
            <w:pPr>
              <w:pStyle w:val="TableBullet"/>
              <w:rPr>
                <w:rFonts w:cs="Arial"/>
              </w:rPr>
            </w:pPr>
            <w:r w:rsidRPr="003272C7">
              <w:rPr>
                <w:rFonts w:cs="Arial"/>
              </w:rPr>
              <w:lastRenderedPageBreak/>
              <w:t>DEECA has delivered annual events (summits, workshops and seminars) sharing knowledge and building capacity amongst catchment partners/peers and the community</w:t>
            </w:r>
            <w:r w:rsidR="009F0298" w:rsidRPr="003272C7">
              <w:rPr>
                <w:rFonts w:cs="Arial"/>
              </w:rPr>
              <w:t>.</w:t>
            </w:r>
          </w:p>
        </w:tc>
      </w:tr>
      <w:tr w:rsidR="00B242C3" w:rsidRPr="003272C7" w14:paraId="306CF03B" w14:textId="77777777" w:rsidTr="00913E08">
        <w:trPr>
          <w:trHeight w:val="259"/>
        </w:trPr>
        <w:tc>
          <w:tcPr>
            <w:tcW w:w="5000" w:type="pct"/>
            <w:gridSpan w:val="2"/>
            <w:shd w:val="clear" w:color="auto" w:fill="231EDC" w:themeFill="accent1"/>
          </w:tcPr>
          <w:p w14:paraId="7E341DEC" w14:textId="19CB9F72" w:rsidR="00B242C3" w:rsidRPr="003272C7" w:rsidRDefault="004250D5" w:rsidP="00B6706B">
            <w:pPr>
              <w:pStyle w:val="TableText"/>
              <w:rPr>
                <w:rFonts w:cs="Arial"/>
                <w:b/>
                <w:bCs/>
              </w:rPr>
            </w:pPr>
            <w:r w:rsidRPr="003272C7">
              <w:rPr>
                <w:rFonts w:cs="Arial"/>
                <w:b/>
                <w:bCs/>
                <w:szCs w:val="18"/>
              </w:rPr>
              <w:lastRenderedPageBreak/>
              <w:t>Summary against evaluation domains</w:t>
            </w:r>
          </w:p>
        </w:tc>
      </w:tr>
      <w:tr w:rsidR="00B242C3" w:rsidRPr="003272C7" w14:paraId="038D9F9E" w14:textId="77777777" w:rsidTr="00142559">
        <w:trPr>
          <w:trHeight w:val="259"/>
        </w:trPr>
        <w:tc>
          <w:tcPr>
            <w:tcW w:w="979" w:type="pct"/>
            <w:shd w:val="clear" w:color="auto" w:fill="231EDC" w:themeFill="accent1"/>
          </w:tcPr>
          <w:p w14:paraId="5E48C6E5" w14:textId="77777777" w:rsidR="00B242C3" w:rsidRPr="003272C7" w:rsidRDefault="00B242C3" w:rsidP="00B6706B">
            <w:pPr>
              <w:pStyle w:val="TableText"/>
              <w:rPr>
                <w:rFonts w:cs="Arial"/>
                <w:b/>
                <w:bCs/>
              </w:rPr>
            </w:pPr>
            <w:r w:rsidRPr="003272C7">
              <w:rPr>
                <w:rFonts w:cs="Arial"/>
                <w:b/>
                <w:bCs/>
              </w:rPr>
              <w:t>Impact</w:t>
            </w:r>
          </w:p>
        </w:tc>
        <w:tc>
          <w:tcPr>
            <w:tcW w:w="4021" w:type="pct"/>
          </w:tcPr>
          <w:p w14:paraId="290339A0" w14:textId="76356D77" w:rsidR="00B242C3" w:rsidRPr="003272C7" w:rsidRDefault="00B242C3" w:rsidP="00233771">
            <w:pPr>
              <w:pStyle w:val="TableBullet"/>
              <w:rPr>
                <w:rFonts w:cs="Arial"/>
              </w:rPr>
            </w:pPr>
            <w:r w:rsidRPr="003272C7">
              <w:rPr>
                <w:rFonts w:cs="Arial"/>
              </w:rPr>
              <w:t xml:space="preserve">The OCOC Program has increased the area of active stewardship improving catchment health and resilience across Victoria aligned to </w:t>
            </w:r>
            <w:r w:rsidR="009F0298" w:rsidRPr="003272C7">
              <w:rPr>
                <w:rFonts w:cs="Arial"/>
              </w:rPr>
              <w:t xml:space="preserve">Regional Catchment Strategy </w:t>
            </w:r>
            <w:r w:rsidRPr="003272C7">
              <w:rPr>
                <w:rFonts w:cs="Arial"/>
              </w:rPr>
              <w:t>priorities.</w:t>
            </w:r>
          </w:p>
          <w:p w14:paraId="7BC68151" w14:textId="01552FFF" w:rsidR="00B242C3" w:rsidRPr="003272C7" w:rsidRDefault="00B242C3" w:rsidP="00683A86">
            <w:pPr>
              <w:pStyle w:val="TableTextBold"/>
              <w:rPr>
                <w:rFonts w:cs="Arial"/>
              </w:rPr>
            </w:pPr>
            <w:r w:rsidRPr="003272C7">
              <w:rPr>
                <w:rFonts w:cs="Arial"/>
              </w:rPr>
              <w:t>Evidence of contribution to long-term Program outcomes (as per the OCOC Program logic and agreed quality and quantity indicators)</w:t>
            </w:r>
            <w:r w:rsidR="009F0298" w:rsidRPr="003272C7">
              <w:rPr>
                <w:rFonts w:cs="Arial"/>
              </w:rPr>
              <w:t>:</w:t>
            </w:r>
          </w:p>
          <w:p w14:paraId="095C0A99" w14:textId="2E0D011D" w:rsidR="00B242C3" w:rsidRPr="003272C7" w:rsidRDefault="00B242C3" w:rsidP="00233771">
            <w:pPr>
              <w:pStyle w:val="TableBullet"/>
              <w:rPr>
                <w:rFonts w:cs="Arial"/>
              </w:rPr>
            </w:pPr>
            <w:r w:rsidRPr="003272C7">
              <w:rPr>
                <w:rFonts w:cs="Arial"/>
              </w:rPr>
              <w:t xml:space="preserve">CMAs have delivered </w:t>
            </w:r>
            <w:r w:rsidR="00D11DDC" w:rsidRPr="003272C7">
              <w:rPr>
                <w:rFonts w:cs="Arial"/>
              </w:rPr>
              <w:t xml:space="preserve">17,530 </w:t>
            </w:r>
            <w:r w:rsidRPr="003272C7">
              <w:rPr>
                <w:rFonts w:cs="Arial"/>
              </w:rPr>
              <w:t>goods and services related to planning and regulation. These include engagement events (</w:t>
            </w:r>
            <w:r w:rsidR="00D11DDC" w:rsidRPr="003272C7">
              <w:rPr>
                <w:rFonts w:cs="Arial"/>
              </w:rPr>
              <w:t>15,344</w:t>
            </w:r>
            <w:r w:rsidRPr="003272C7">
              <w:rPr>
                <w:rFonts w:cs="Arial"/>
              </w:rPr>
              <w:t>), partnerships (</w:t>
            </w:r>
            <w:r w:rsidR="00D11DDC" w:rsidRPr="003272C7">
              <w:rPr>
                <w:rFonts w:cs="Arial"/>
              </w:rPr>
              <w:t>433</w:t>
            </w:r>
            <w:r w:rsidRPr="003272C7">
              <w:rPr>
                <w:rFonts w:cs="Arial"/>
              </w:rPr>
              <w:t>), assessments (</w:t>
            </w:r>
            <w:r w:rsidR="00515183" w:rsidRPr="003272C7">
              <w:rPr>
                <w:rFonts w:cs="Arial"/>
              </w:rPr>
              <w:t>1028</w:t>
            </w:r>
            <w:r w:rsidRPr="003272C7">
              <w:rPr>
                <w:rFonts w:cs="Arial"/>
              </w:rPr>
              <w:t>), publications (</w:t>
            </w:r>
            <w:r w:rsidR="00515183" w:rsidRPr="003272C7">
              <w:rPr>
                <w:rFonts w:cs="Arial"/>
              </w:rPr>
              <w:t>383</w:t>
            </w:r>
            <w:r w:rsidRPr="003272C7">
              <w:rPr>
                <w:rFonts w:cs="Arial"/>
              </w:rPr>
              <w:t>), management agreements (</w:t>
            </w:r>
            <w:r w:rsidR="00515183" w:rsidRPr="003272C7">
              <w:rPr>
                <w:rFonts w:cs="Arial"/>
              </w:rPr>
              <w:t>128</w:t>
            </w:r>
            <w:r w:rsidRPr="003272C7">
              <w:rPr>
                <w:rFonts w:cs="Arial"/>
              </w:rPr>
              <w:t>) and plans (</w:t>
            </w:r>
            <w:r w:rsidR="00515183" w:rsidRPr="003272C7">
              <w:rPr>
                <w:rFonts w:cs="Arial"/>
              </w:rPr>
              <w:t>203</w:t>
            </w:r>
            <w:r w:rsidRPr="003272C7">
              <w:rPr>
                <w:rFonts w:cs="Arial"/>
              </w:rPr>
              <w:t xml:space="preserve">). This makes up </w:t>
            </w:r>
            <w:r w:rsidR="00515183" w:rsidRPr="003272C7">
              <w:rPr>
                <w:rFonts w:cs="Arial"/>
              </w:rPr>
              <w:t>178</w:t>
            </w:r>
            <w:r w:rsidRPr="003272C7">
              <w:rPr>
                <w:rFonts w:cs="Arial"/>
              </w:rPr>
              <w:t>% of the target (</w:t>
            </w:r>
            <w:r w:rsidR="00983AEA" w:rsidRPr="003272C7">
              <w:rPr>
                <w:rFonts w:cs="Arial"/>
              </w:rPr>
              <w:t>9838</w:t>
            </w:r>
            <w:r w:rsidRPr="003272C7">
              <w:rPr>
                <w:rFonts w:cs="Arial"/>
              </w:rPr>
              <w:t>) for EC5</w:t>
            </w:r>
            <w:r w:rsidR="00983AEA" w:rsidRPr="003272C7">
              <w:rPr>
                <w:rFonts w:cs="Arial"/>
              </w:rPr>
              <w:t>.</w:t>
            </w:r>
          </w:p>
          <w:p w14:paraId="559240D4" w14:textId="77777777" w:rsidR="00142559" w:rsidRPr="003272C7" w:rsidRDefault="00B242C3" w:rsidP="00233771">
            <w:pPr>
              <w:pStyle w:val="TableBullet"/>
              <w:rPr>
                <w:rFonts w:cs="Arial"/>
              </w:rPr>
            </w:pPr>
            <w:r w:rsidRPr="003272C7">
              <w:rPr>
                <w:rFonts w:cs="Arial"/>
              </w:rPr>
              <w:t xml:space="preserve">CMAs have delivered </w:t>
            </w:r>
            <w:r w:rsidR="00983AEA" w:rsidRPr="003272C7">
              <w:rPr>
                <w:rFonts w:cs="Arial"/>
              </w:rPr>
              <w:t>46,764</w:t>
            </w:r>
            <w:r w:rsidRPr="003272C7">
              <w:rPr>
                <w:rFonts w:cs="Arial"/>
              </w:rPr>
              <w:t> ha of land under active catchment stewardship in Victoria. Active stewardship include environment works, management services, management agreement, assessment and plan.</w:t>
            </w:r>
          </w:p>
          <w:p w14:paraId="033BEBBF" w14:textId="51556F0E" w:rsidR="00B242C3" w:rsidRPr="003272C7" w:rsidRDefault="00B242C3" w:rsidP="00683A86">
            <w:pPr>
              <w:pStyle w:val="TableTextBold"/>
              <w:rPr>
                <w:rFonts w:cs="Arial"/>
              </w:rPr>
            </w:pPr>
            <w:r w:rsidRPr="003272C7">
              <w:rPr>
                <w:rFonts w:cs="Arial"/>
              </w:rPr>
              <w:t>Evidence of delivery of the four short-term Program outcomes (as per the OCOC Program logic and agreed quality and quantity indicators)</w:t>
            </w:r>
            <w:r w:rsidR="009F0298" w:rsidRPr="003272C7">
              <w:rPr>
                <w:rFonts w:cs="Arial"/>
              </w:rPr>
              <w:t>:</w:t>
            </w:r>
          </w:p>
          <w:p w14:paraId="2CCFB1B7" w14:textId="1722DFEC" w:rsidR="00B242C3" w:rsidRPr="003272C7" w:rsidRDefault="00B242C3" w:rsidP="00233771">
            <w:pPr>
              <w:pStyle w:val="TableBullet"/>
              <w:rPr>
                <w:rFonts w:cs="Arial"/>
              </w:rPr>
            </w:pPr>
            <w:r w:rsidRPr="003272C7">
              <w:rPr>
                <w:rFonts w:cs="Arial"/>
              </w:rPr>
              <w:t xml:space="preserve">CMAs have recorded </w:t>
            </w:r>
            <w:r w:rsidR="009F0298" w:rsidRPr="003272C7">
              <w:rPr>
                <w:rFonts w:cs="Arial"/>
              </w:rPr>
              <w:t>12</w:t>
            </w:r>
            <w:r w:rsidR="00983AEA" w:rsidRPr="003272C7">
              <w:rPr>
                <w:rFonts w:cs="Arial"/>
              </w:rPr>
              <w:t xml:space="preserve"> </w:t>
            </w:r>
            <w:r w:rsidRPr="003272C7">
              <w:rPr>
                <w:rFonts w:cs="Arial"/>
              </w:rPr>
              <w:t>formal partnerships with Traditional Owner groups</w:t>
            </w:r>
            <w:r w:rsidR="00550398" w:rsidRPr="003272C7">
              <w:rPr>
                <w:rFonts w:cs="Arial"/>
              </w:rPr>
              <w:t xml:space="preserve"> and 22 with Aboriginal Victorians. Traditional Owner voices feature in planning (e.g. in </w:t>
            </w:r>
            <w:r w:rsidR="009F0298" w:rsidRPr="003272C7">
              <w:rPr>
                <w:rFonts w:cs="Arial"/>
              </w:rPr>
              <w:t>Regional Catchment Strategies</w:t>
            </w:r>
            <w:r w:rsidR="00550398" w:rsidRPr="003272C7">
              <w:rPr>
                <w:rFonts w:cs="Arial"/>
              </w:rPr>
              <w:t>) and on-ground delivery and are supporting Aboriginal self-determination</w:t>
            </w:r>
            <w:r w:rsidRPr="003272C7">
              <w:rPr>
                <w:rFonts w:cs="Arial"/>
              </w:rPr>
              <w:t>.</w:t>
            </w:r>
          </w:p>
          <w:p w14:paraId="36E17D38" w14:textId="05712237" w:rsidR="00B242C3" w:rsidRPr="003272C7" w:rsidRDefault="00B242C3" w:rsidP="00233771">
            <w:pPr>
              <w:pStyle w:val="TableBullet"/>
              <w:rPr>
                <w:rFonts w:cs="Arial"/>
              </w:rPr>
            </w:pPr>
            <w:r w:rsidRPr="003272C7">
              <w:rPr>
                <w:rFonts w:cs="Arial"/>
              </w:rPr>
              <w:t xml:space="preserve">Case studies/ most significant change stories – included in the </w:t>
            </w:r>
            <w:r w:rsidR="005F5A0D" w:rsidRPr="003272C7">
              <w:rPr>
                <w:rFonts w:cs="Arial"/>
              </w:rPr>
              <w:t xml:space="preserve">mid-term </w:t>
            </w:r>
            <w:r w:rsidRPr="003272C7">
              <w:rPr>
                <w:rFonts w:cs="Arial"/>
              </w:rPr>
              <w:t>evaluation report</w:t>
            </w:r>
            <w:r w:rsidR="005F5A0D" w:rsidRPr="003272C7">
              <w:rPr>
                <w:rFonts w:cs="Arial"/>
              </w:rPr>
              <w:t xml:space="preserve"> (2023).</w:t>
            </w:r>
          </w:p>
        </w:tc>
      </w:tr>
      <w:tr w:rsidR="00B242C3" w:rsidRPr="003272C7" w14:paraId="452F930A" w14:textId="77777777" w:rsidTr="00142559">
        <w:trPr>
          <w:trHeight w:val="259"/>
        </w:trPr>
        <w:tc>
          <w:tcPr>
            <w:tcW w:w="979" w:type="pct"/>
            <w:shd w:val="clear" w:color="auto" w:fill="231EDC" w:themeFill="accent1"/>
          </w:tcPr>
          <w:p w14:paraId="6B3134CE" w14:textId="77777777" w:rsidR="00B242C3" w:rsidRPr="003272C7" w:rsidRDefault="00B242C3" w:rsidP="00B6706B">
            <w:pPr>
              <w:pStyle w:val="TableText"/>
              <w:rPr>
                <w:rFonts w:cs="Arial"/>
                <w:b/>
                <w:bCs/>
              </w:rPr>
            </w:pPr>
            <w:r w:rsidRPr="003272C7">
              <w:rPr>
                <w:rFonts w:cs="Arial"/>
                <w:b/>
                <w:bCs/>
              </w:rPr>
              <w:t>Effectiveness</w:t>
            </w:r>
          </w:p>
        </w:tc>
        <w:tc>
          <w:tcPr>
            <w:tcW w:w="4021" w:type="pct"/>
          </w:tcPr>
          <w:p w14:paraId="59C3BCD1" w14:textId="716BAEDF" w:rsidR="00B242C3" w:rsidRPr="003272C7" w:rsidRDefault="00B242C3" w:rsidP="00B6706B">
            <w:pPr>
              <w:pStyle w:val="TableText"/>
              <w:rPr>
                <w:rFonts w:cs="Arial"/>
              </w:rPr>
            </w:pPr>
            <w:r w:rsidRPr="003272C7">
              <w:rPr>
                <w:rFonts w:cs="Arial"/>
              </w:rPr>
              <w:t>Indicated through delivery in line with work plan</w:t>
            </w:r>
            <w:r w:rsidR="009F0298" w:rsidRPr="003272C7">
              <w:rPr>
                <w:rFonts w:cs="Arial"/>
              </w:rPr>
              <w:t>,</w:t>
            </w:r>
          </w:p>
        </w:tc>
      </w:tr>
      <w:tr w:rsidR="00B242C3" w:rsidRPr="003272C7" w14:paraId="5CB9BC3C" w14:textId="77777777" w:rsidTr="00142559">
        <w:trPr>
          <w:trHeight w:val="259"/>
        </w:trPr>
        <w:tc>
          <w:tcPr>
            <w:tcW w:w="979" w:type="pct"/>
            <w:shd w:val="clear" w:color="auto" w:fill="231EDC" w:themeFill="accent1"/>
          </w:tcPr>
          <w:p w14:paraId="4D28BCCD" w14:textId="77777777" w:rsidR="00B242C3" w:rsidRPr="003272C7" w:rsidRDefault="00B242C3" w:rsidP="00B6706B">
            <w:pPr>
              <w:pStyle w:val="TableText"/>
              <w:rPr>
                <w:rFonts w:cs="Arial"/>
                <w:b/>
                <w:bCs/>
              </w:rPr>
            </w:pPr>
            <w:r w:rsidRPr="003272C7">
              <w:rPr>
                <w:rFonts w:cs="Arial"/>
                <w:b/>
                <w:bCs/>
              </w:rPr>
              <w:t>Appropriateness</w:t>
            </w:r>
          </w:p>
        </w:tc>
        <w:tc>
          <w:tcPr>
            <w:tcW w:w="4021" w:type="pct"/>
          </w:tcPr>
          <w:p w14:paraId="2EDFD9F8" w14:textId="77777777" w:rsidR="00B242C3" w:rsidRPr="003272C7" w:rsidRDefault="00B242C3" w:rsidP="00B6706B">
            <w:pPr>
              <w:pStyle w:val="TableText"/>
              <w:rPr>
                <w:rFonts w:cs="Arial"/>
              </w:rPr>
            </w:pPr>
            <w:r w:rsidRPr="003272C7">
              <w:rPr>
                <w:rFonts w:cs="Arial"/>
              </w:rPr>
              <w:t xml:space="preserve">The careful design of the OCOC Program ensures that all OCOC projects and activities align with the long-term outcome of OCOC – Action stewardship to improve catchment health and resilience. Therefore, all of the OCOC Program’s delivery approaches (e.g. implementation, monitoring, reporting, communications and engagement methods) have been appropriate to the objectives of the Program. </w:t>
            </w:r>
          </w:p>
        </w:tc>
      </w:tr>
      <w:tr w:rsidR="00B242C3" w:rsidRPr="003272C7" w14:paraId="691A329B" w14:textId="77777777" w:rsidTr="00142559">
        <w:trPr>
          <w:trHeight w:val="259"/>
        </w:trPr>
        <w:tc>
          <w:tcPr>
            <w:tcW w:w="979" w:type="pct"/>
            <w:shd w:val="clear" w:color="auto" w:fill="231EDC" w:themeFill="accent1"/>
          </w:tcPr>
          <w:p w14:paraId="5C772C07" w14:textId="77777777" w:rsidR="00B242C3" w:rsidRPr="003272C7" w:rsidRDefault="00B242C3" w:rsidP="00B6706B">
            <w:pPr>
              <w:pStyle w:val="TableText"/>
              <w:rPr>
                <w:rFonts w:cs="Arial"/>
                <w:b/>
                <w:bCs/>
              </w:rPr>
            </w:pPr>
            <w:r w:rsidRPr="003272C7">
              <w:rPr>
                <w:rFonts w:cs="Arial"/>
                <w:b/>
                <w:bCs/>
              </w:rPr>
              <w:t>Efficiency</w:t>
            </w:r>
          </w:p>
        </w:tc>
        <w:tc>
          <w:tcPr>
            <w:tcW w:w="4021" w:type="pct"/>
          </w:tcPr>
          <w:p w14:paraId="62E0E766" w14:textId="1B3107BF" w:rsidR="00B242C3" w:rsidRPr="003272C7" w:rsidRDefault="00B242C3" w:rsidP="00B6706B">
            <w:pPr>
              <w:pStyle w:val="TableText"/>
              <w:rPr>
                <w:rFonts w:cs="Arial"/>
              </w:rPr>
            </w:pPr>
            <w:r w:rsidRPr="003272C7">
              <w:rPr>
                <w:rFonts w:cs="Arial"/>
              </w:rPr>
              <w:t xml:space="preserve">There were minimal outputs during the 2020-21 financial year due to the COVID-19 global pandemic restricting engagement and on-ground works. Focus was redirected to renewing the </w:t>
            </w:r>
            <w:r w:rsidR="009F0298" w:rsidRPr="003272C7">
              <w:rPr>
                <w:rFonts w:cs="Arial"/>
              </w:rPr>
              <w:t xml:space="preserve">Regional Catchment Strategies </w:t>
            </w:r>
            <w:r w:rsidRPr="003272C7">
              <w:rPr>
                <w:rFonts w:cs="Arial"/>
              </w:rPr>
              <w:t>and collaborative planning (online). The OCOC Program deliver</w:t>
            </w:r>
            <w:r w:rsidR="00D00E8D" w:rsidRPr="003272C7">
              <w:rPr>
                <w:rFonts w:cs="Arial"/>
              </w:rPr>
              <w:t>ed</w:t>
            </w:r>
            <w:r w:rsidRPr="003272C7">
              <w:rPr>
                <w:rFonts w:cs="Arial"/>
              </w:rPr>
              <w:t xml:space="preserve"> all the deliverables </w:t>
            </w:r>
            <w:r w:rsidR="00D00E8D" w:rsidRPr="003272C7">
              <w:rPr>
                <w:rFonts w:cs="Arial"/>
              </w:rPr>
              <w:t>related to environmental works (118%), management services (145%) and planning and regulation (178), and most of deliverables for structural works (89%).</w:t>
            </w:r>
          </w:p>
        </w:tc>
      </w:tr>
      <w:tr w:rsidR="00B242C3" w:rsidRPr="003272C7" w14:paraId="771119A0" w14:textId="77777777" w:rsidTr="00142559">
        <w:trPr>
          <w:trHeight w:val="259"/>
        </w:trPr>
        <w:tc>
          <w:tcPr>
            <w:tcW w:w="979" w:type="pct"/>
            <w:shd w:val="clear" w:color="auto" w:fill="231EDC" w:themeFill="accent1"/>
          </w:tcPr>
          <w:p w14:paraId="2D145C7F" w14:textId="77777777" w:rsidR="00B242C3" w:rsidRPr="003272C7" w:rsidRDefault="00B242C3" w:rsidP="00B6706B">
            <w:pPr>
              <w:pStyle w:val="TableText"/>
              <w:rPr>
                <w:rFonts w:cs="Arial"/>
                <w:b/>
                <w:bCs/>
              </w:rPr>
            </w:pPr>
            <w:r w:rsidRPr="003272C7">
              <w:rPr>
                <w:rFonts w:cs="Arial"/>
                <w:b/>
                <w:bCs/>
              </w:rPr>
              <w:t>Legacy</w:t>
            </w:r>
          </w:p>
        </w:tc>
        <w:tc>
          <w:tcPr>
            <w:tcW w:w="4021" w:type="pct"/>
          </w:tcPr>
          <w:p w14:paraId="00488B19" w14:textId="77777777" w:rsidR="00142559" w:rsidRPr="003272C7" w:rsidRDefault="00B242C3" w:rsidP="00233771">
            <w:pPr>
              <w:pStyle w:val="TableBullet"/>
              <w:rPr>
                <w:rFonts w:cs="Arial"/>
              </w:rPr>
            </w:pPr>
            <w:r w:rsidRPr="003272C7">
              <w:rPr>
                <w:rFonts w:cs="Arial"/>
              </w:rPr>
              <w:t xml:space="preserve">Several state-wide approaches and processes have been developed through this investment to provide an enduring, efficient and consistent approach to </w:t>
            </w:r>
            <w:r w:rsidR="009F0298" w:rsidRPr="003272C7">
              <w:rPr>
                <w:rFonts w:cs="Arial"/>
              </w:rPr>
              <w:t>p</w:t>
            </w:r>
            <w:r w:rsidRPr="003272C7">
              <w:rPr>
                <w:rFonts w:cs="Arial"/>
              </w:rPr>
              <w:t xml:space="preserve">rogram implementation and reporting across the 10 CMAs, such as </w:t>
            </w:r>
            <w:r w:rsidR="00BD39C9" w:rsidRPr="003272C7">
              <w:rPr>
                <w:rFonts w:cs="Arial"/>
              </w:rPr>
              <w:t>t</w:t>
            </w:r>
            <w:r w:rsidRPr="003272C7">
              <w:rPr>
                <w:rFonts w:cs="Arial"/>
              </w:rPr>
              <w:t xml:space="preserve">he Aboriginal Participation Guidelines for Victorian CMAs, </w:t>
            </w:r>
            <w:r w:rsidR="00BD39C9" w:rsidRPr="003272C7">
              <w:rPr>
                <w:rFonts w:cs="Arial"/>
              </w:rPr>
              <w:t>t</w:t>
            </w:r>
            <w:r w:rsidRPr="003272C7">
              <w:rPr>
                <w:rFonts w:cs="Arial"/>
              </w:rPr>
              <w:t xml:space="preserve">he Community Engagement and Partnerships Framework for CMAs, The </w:t>
            </w:r>
            <w:r w:rsidR="009F0298" w:rsidRPr="003272C7">
              <w:rPr>
                <w:rFonts w:cs="Arial"/>
              </w:rPr>
              <w:t xml:space="preserve">Regional Catchment Strategies </w:t>
            </w:r>
            <w:r w:rsidRPr="003272C7">
              <w:rPr>
                <w:rFonts w:cs="Arial"/>
              </w:rPr>
              <w:t xml:space="preserve">Outcomes Framework, DEECA Standard Outputs, and the </w:t>
            </w:r>
            <w:r w:rsidR="000F3590" w:rsidRPr="003272C7">
              <w:rPr>
                <w:rFonts w:cs="Arial"/>
              </w:rPr>
              <w:t>Catchment Partnership Agreements</w:t>
            </w:r>
            <w:r w:rsidRPr="003272C7">
              <w:rPr>
                <w:rFonts w:cs="Arial"/>
              </w:rPr>
              <w:t xml:space="preserve"> Framework.</w:t>
            </w:r>
          </w:p>
          <w:p w14:paraId="3E5AEC6E" w14:textId="26BB7371" w:rsidR="00B242C3" w:rsidRPr="003272C7" w:rsidRDefault="00B242C3" w:rsidP="00233771">
            <w:pPr>
              <w:pStyle w:val="TableBullet"/>
              <w:rPr>
                <w:rFonts w:cs="Arial"/>
              </w:rPr>
            </w:pPr>
            <w:r w:rsidRPr="003272C7">
              <w:rPr>
                <w:rFonts w:cs="Arial"/>
              </w:rPr>
              <w:t>Partnerships and engagement focused on creating long-term learning and behaviour change.</w:t>
            </w:r>
          </w:p>
          <w:p w14:paraId="412D0477" w14:textId="77777777" w:rsidR="00B242C3" w:rsidRPr="003272C7" w:rsidRDefault="00B242C3" w:rsidP="00233771">
            <w:pPr>
              <w:pStyle w:val="TableBullet"/>
              <w:rPr>
                <w:rFonts w:cs="Arial"/>
              </w:rPr>
            </w:pPr>
            <w:r w:rsidRPr="003272C7">
              <w:rPr>
                <w:rFonts w:cs="Arial"/>
              </w:rPr>
              <w:t>Benefits of on ground works will endure with ongoing stewardship</w:t>
            </w:r>
          </w:p>
        </w:tc>
      </w:tr>
      <w:tr w:rsidR="00B242C3" w:rsidRPr="003272C7" w14:paraId="2D2F8168" w14:textId="77777777" w:rsidTr="00142559">
        <w:trPr>
          <w:trHeight w:val="259"/>
        </w:trPr>
        <w:tc>
          <w:tcPr>
            <w:tcW w:w="979" w:type="pct"/>
            <w:shd w:val="clear" w:color="auto" w:fill="231EDC" w:themeFill="accent1"/>
          </w:tcPr>
          <w:p w14:paraId="66110B81" w14:textId="77777777" w:rsidR="00B242C3" w:rsidRPr="003272C7" w:rsidRDefault="00B242C3" w:rsidP="00B6706B">
            <w:pPr>
              <w:pStyle w:val="TableText"/>
              <w:rPr>
                <w:rFonts w:cs="Arial"/>
                <w:b/>
                <w:bCs/>
              </w:rPr>
            </w:pPr>
            <w:r w:rsidRPr="003272C7">
              <w:rPr>
                <w:rFonts w:cs="Arial"/>
                <w:b/>
                <w:bCs/>
              </w:rPr>
              <w:t>Future priorities</w:t>
            </w:r>
          </w:p>
        </w:tc>
        <w:tc>
          <w:tcPr>
            <w:tcW w:w="4021" w:type="pct"/>
          </w:tcPr>
          <w:p w14:paraId="35EB7344" w14:textId="77777777" w:rsidR="00142559" w:rsidRPr="003272C7" w:rsidRDefault="00DF76F8" w:rsidP="00B6706B">
            <w:pPr>
              <w:pStyle w:val="TableTextBold"/>
              <w:rPr>
                <w:rFonts w:cs="Arial"/>
              </w:rPr>
            </w:pPr>
            <w:r w:rsidRPr="003272C7">
              <w:rPr>
                <w:rFonts w:cs="Arial"/>
              </w:rPr>
              <w:t>Active stewardship to support healthy catchments, community resilience and Traditional Owner aspirations for Country, including: </w:t>
            </w:r>
          </w:p>
          <w:p w14:paraId="7538A0B2" w14:textId="77777777" w:rsidR="00142559" w:rsidRPr="003272C7" w:rsidRDefault="00DF76F8" w:rsidP="00233771">
            <w:pPr>
              <w:pStyle w:val="TableBullet"/>
              <w:rPr>
                <w:rFonts w:cs="Arial"/>
              </w:rPr>
            </w:pPr>
            <w:r w:rsidRPr="003272C7">
              <w:rPr>
                <w:rFonts w:cs="Arial"/>
                <w:b/>
                <w:bCs/>
              </w:rPr>
              <w:t>Catchment Stewardship Projects</w:t>
            </w:r>
            <w:r w:rsidR="00232C9A" w:rsidRPr="003272C7">
              <w:rPr>
                <w:rFonts w:cs="Arial"/>
                <w:b/>
                <w:bCs/>
              </w:rPr>
              <w:t>:</w:t>
            </w:r>
            <w:r w:rsidR="00232C9A" w:rsidRPr="003272C7">
              <w:rPr>
                <w:rFonts w:cs="Arial"/>
              </w:rPr>
              <w:t xml:space="preserve"> </w:t>
            </w:r>
            <w:r w:rsidRPr="003272C7">
              <w:rPr>
                <w:rFonts w:cs="Arial"/>
              </w:rPr>
              <w:t>catchment stewardship projects that deliver integrated catchment management with key partners, leverage coordinated investment for on ground environmental works, build capacity and change land management practices.</w:t>
            </w:r>
          </w:p>
          <w:p w14:paraId="4C6E18FF" w14:textId="77777777" w:rsidR="00142559" w:rsidRPr="003272C7" w:rsidRDefault="00DF76F8" w:rsidP="00233771">
            <w:pPr>
              <w:pStyle w:val="TableBullet"/>
              <w:rPr>
                <w:rFonts w:cs="Arial"/>
              </w:rPr>
            </w:pPr>
            <w:r w:rsidRPr="003272C7">
              <w:rPr>
                <w:rFonts w:cs="Arial"/>
                <w:b/>
                <w:bCs/>
              </w:rPr>
              <w:t>Catchment Partnerships</w:t>
            </w:r>
            <w:r w:rsidR="00232C9A" w:rsidRPr="003272C7">
              <w:rPr>
                <w:rFonts w:cs="Arial"/>
                <w:b/>
                <w:bCs/>
              </w:rPr>
              <w:t>:</w:t>
            </w:r>
            <w:r w:rsidR="00232C9A" w:rsidRPr="003272C7">
              <w:rPr>
                <w:rFonts w:cs="Arial"/>
              </w:rPr>
              <w:t xml:space="preserve"> </w:t>
            </w:r>
            <w:r w:rsidRPr="003272C7">
              <w:rPr>
                <w:rFonts w:cs="Arial"/>
              </w:rPr>
              <w:t xml:space="preserve">CMAs to form partnerships with Traditional Owners, water corporations, Environmental Agencies, community groups, landholders, industry, and other non-governmental sector partners (such as Trust for Nature, </w:t>
            </w:r>
            <w:r w:rsidRPr="003272C7">
              <w:rPr>
                <w:rFonts w:cs="Arial"/>
              </w:rPr>
              <w:lastRenderedPageBreak/>
              <w:t xml:space="preserve">Landcare networks and Greening Australia) to coordinate the implementation of 10 statutory Regional Catchment Strategies. These partnerships provide a forum for collaboration, enabling partners to align their efforts and leverage investment into projects and activities that deliver </w:t>
            </w:r>
            <w:r w:rsidR="00232C9A" w:rsidRPr="003272C7">
              <w:rPr>
                <w:rFonts w:cs="Arial"/>
              </w:rPr>
              <w:t>Regional Catchment Strategies</w:t>
            </w:r>
            <w:r w:rsidRPr="003272C7">
              <w:rPr>
                <w:rFonts w:cs="Arial"/>
              </w:rPr>
              <w:t>.</w:t>
            </w:r>
          </w:p>
          <w:p w14:paraId="36F341C9" w14:textId="684665CF" w:rsidR="00B242C3" w:rsidRPr="003272C7" w:rsidRDefault="00DF76F8" w:rsidP="00233771">
            <w:pPr>
              <w:pStyle w:val="TableBullet"/>
              <w:rPr>
                <w:rFonts w:cs="Arial"/>
              </w:rPr>
            </w:pPr>
            <w:r w:rsidRPr="003272C7">
              <w:rPr>
                <w:rFonts w:cs="Arial"/>
                <w:b/>
                <w:bCs/>
              </w:rPr>
              <w:t>Statewide Program Delivery</w:t>
            </w:r>
            <w:r w:rsidR="00232C9A" w:rsidRPr="003272C7">
              <w:rPr>
                <w:rFonts w:cs="Arial"/>
                <w:b/>
                <w:bCs/>
              </w:rPr>
              <w:t>:</w:t>
            </w:r>
            <w:r w:rsidR="00232C9A" w:rsidRPr="003272C7">
              <w:rPr>
                <w:rFonts w:cs="Arial"/>
              </w:rPr>
              <w:t xml:space="preserve"> </w:t>
            </w:r>
            <w:r w:rsidRPr="003272C7">
              <w:rPr>
                <w:rFonts w:cs="Arial"/>
              </w:rPr>
              <w:t xml:space="preserve">maintenance and development of DEECA standards for </w:t>
            </w:r>
            <w:r w:rsidR="00232C9A" w:rsidRPr="003272C7">
              <w:rPr>
                <w:rFonts w:cs="Arial"/>
              </w:rPr>
              <w:t>n</w:t>
            </w:r>
            <w:r w:rsidRPr="003272C7">
              <w:rPr>
                <w:rFonts w:cs="Arial"/>
              </w:rPr>
              <w:t>atural</w:t>
            </w:r>
            <w:r w:rsidR="00232C9A" w:rsidRPr="003272C7">
              <w:rPr>
                <w:rFonts w:cs="Arial"/>
              </w:rPr>
              <w:t xml:space="preserve"> r</w:t>
            </w:r>
            <w:r w:rsidRPr="003272C7">
              <w:rPr>
                <w:rFonts w:cs="Arial"/>
              </w:rPr>
              <w:t xml:space="preserve">esource </w:t>
            </w:r>
            <w:r w:rsidR="00232C9A" w:rsidRPr="003272C7">
              <w:rPr>
                <w:rFonts w:cs="Arial"/>
              </w:rPr>
              <w:t>m</w:t>
            </w:r>
            <w:r w:rsidRPr="003272C7">
              <w:rPr>
                <w:rFonts w:cs="Arial"/>
              </w:rPr>
              <w:t xml:space="preserve">anagement delivery and data reporting; guidance for annual catchment condition and management reporting for CMAs; </w:t>
            </w:r>
            <w:r w:rsidR="00232C9A" w:rsidRPr="003272C7">
              <w:rPr>
                <w:rFonts w:cs="Arial"/>
              </w:rPr>
              <w:t xml:space="preserve">Regional Catchment Strategies </w:t>
            </w:r>
            <w:r w:rsidRPr="003272C7">
              <w:rPr>
                <w:rFonts w:cs="Arial"/>
              </w:rPr>
              <w:t xml:space="preserve">implementation reporting and mid-term </w:t>
            </w:r>
            <w:r w:rsidR="00232C9A" w:rsidRPr="003272C7">
              <w:rPr>
                <w:rFonts w:cs="Arial"/>
              </w:rPr>
              <w:t xml:space="preserve">Regional Catchment Strategies </w:t>
            </w:r>
            <w:r w:rsidRPr="003272C7">
              <w:rPr>
                <w:rFonts w:cs="Arial"/>
              </w:rPr>
              <w:t xml:space="preserve">review in 2025; review of the effectiveness of Special Water Supply Catchment Areas that protect Victoria’s drinking water supplies; and implementation of the </w:t>
            </w:r>
            <w:r w:rsidRPr="00623380">
              <w:rPr>
                <w:rFonts w:cs="Arial"/>
                <w:i/>
                <w:iCs/>
              </w:rPr>
              <w:t>Victorian R</w:t>
            </w:r>
            <w:r w:rsidR="5F070AAF" w:rsidRPr="00623380">
              <w:rPr>
                <w:rFonts w:cs="Arial"/>
                <w:i/>
                <w:iCs/>
              </w:rPr>
              <w:t>ural</w:t>
            </w:r>
            <w:r w:rsidRPr="00623380">
              <w:rPr>
                <w:rFonts w:cs="Arial"/>
                <w:i/>
                <w:iCs/>
              </w:rPr>
              <w:t xml:space="preserve"> Drainage Strategy</w:t>
            </w:r>
            <w:r w:rsidRPr="003272C7">
              <w:rPr>
                <w:rFonts w:cs="Arial"/>
              </w:rPr>
              <w:t xml:space="preserve"> in partnership with </w:t>
            </w:r>
            <w:r w:rsidR="00232C9A" w:rsidRPr="003272C7">
              <w:rPr>
                <w:rFonts w:cs="Arial"/>
              </w:rPr>
              <w:t>CMAs</w:t>
            </w:r>
            <w:r w:rsidRPr="003272C7">
              <w:rPr>
                <w:rFonts w:cs="Arial"/>
              </w:rPr>
              <w:t>.</w:t>
            </w:r>
            <w:r w:rsidR="00142559" w:rsidRPr="003272C7">
              <w:rPr>
                <w:rFonts w:cs="Arial"/>
              </w:rPr>
              <w:t xml:space="preserve"> </w:t>
            </w:r>
          </w:p>
        </w:tc>
      </w:tr>
    </w:tbl>
    <w:p w14:paraId="73E1B674" w14:textId="77777777" w:rsidR="00B242C3" w:rsidRPr="003272C7" w:rsidRDefault="00B242C3" w:rsidP="00B242C3">
      <w:pPr>
        <w:pStyle w:val="Heading2"/>
        <w:rPr>
          <w:rFonts w:cs="Arial"/>
        </w:rPr>
      </w:pPr>
      <w:bookmarkStart w:id="81" w:name="_Toc147410806"/>
      <w:bookmarkStart w:id="82" w:name="_Toc183777814"/>
      <w:r w:rsidRPr="003272C7">
        <w:rPr>
          <w:rFonts w:cs="Arial"/>
        </w:rPr>
        <w:lastRenderedPageBreak/>
        <w:t>SIRS5: Macalister Irrigation District Modernisation Project – Phase 2</w:t>
      </w:r>
      <w:bookmarkEnd w:id="81"/>
      <w:bookmarkEnd w:id="82"/>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26F4C817" w14:textId="77777777" w:rsidTr="00142559">
        <w:trPr>
          <w:trHeight w:val="395"/>
        </w:trPr>
        <w:tc>
          <w:tcPr>
            <w:tcW w:w="979" w:type="pct"/>
            <w:shd w:val="clear" w:color="auto" w:fill="231EDC" w:themeFill="accent1"/>
          </w:tcPr>
          <w:p w14:paraId="3521818B" w14:textId="25369412" w:rsidR="00B242C3" w:rsidRPr="003272C7" w:rsidRDefault="00C412A9" w:rsidP="00683A86">
            <w:pPr>
              <w:pStyle w:val="TableHeading"/>
              <w:rPr>
                <w:rFonts w:cs="Arial"/>
              </w:rPr>
            </w:pPr>
            <w:r w:rsidRPr="003272C7">
              <w:rPr>
                <w:rFonts w:cs="Arial"/>
              </w:rPr>
              <w:t>Initiative</w:t>
            </w:r>
          </w:p>
        </w:tc>
        <w:tc>
          <w:tcPr>
            <w:tcW w:w="4021" w:type="pct"/>
            <w:shd w:val="clear" w:color="auto" w:fill="231EDC" w:themeFill="accent1"/>
          </w:tcPr>
          <w:p w14:paraId="61737FA5" w14:textId="77777777" w:rsidR="00B242C3" w:rsidRPr="003272C7" w:rsidRDefault="00B242C3" w:rsidP="00683A86">
            <w:pPr>
              <w:pStyle w:val="TableHeading"/>
              <w:rPr>
                <w:rFonts w:cs="Arial"/>
              </w:rPr>
            </w:pPr>
            <w:r w:rsidRPr="003272C7">
              <w:rPr>
                <w:rFonts w:cs="Arial"/>
              </w:rPr>
              <w:t>13. Macalister Irrigation District Modernisation Project – Phase 2</w:t>
            </w:r>
          </w:p>
        </w:tc>
      </w:tr>
      <w:tr w:rsidR="00B242C3" w:rsidRPr="003272C7" w14:paraId="48756C58" w14:textId="77777777" w:rsidTr="00142559">
        <w:trPr>
          <w:trHeight w:val="341"/>
        </w:trPr>
        <w:tc>
          <w:tcPr>
            <w:tcW w:w="979" w:type="pct"/>
            <w:shd w:val="clear" w:color="auto" w:fill="231EDC" w:themeFill="accent1"/>
          </w:tcPr>
          <w:p w14:paraId="17ACEA75" w14:textId="77777777" w:rsidR="00B242C3" w:rsidRPr="003272C7" w:rsidRDefault="00B242C3" w:rsidP="00683A86">
            <w:pPr>
              <w:pStyle w:val="TableText"/>
              <w:rPr>
                <w:rFonts w:cs="Arial"/>
                <w:b/>
                <w:bCs/>
              </w:rPr>
            </w:pPr>
            <w:r w:rsidRPr="003272C7">
              <w:rPr>
                <w:rFonts w:cs="Arial"/>
                <w:b/>
                <w:bCs/>
              </w:rPr>
              <w:t>Project</w:t>
            </w:r>
          </w:p>
        </w:tc>
        <w:tc>
          <w:tcPr>
            <w:tcW w:w="4021" w:type="pct"/>
          </w:tcPr>
          <w:p w14:paraId="5FAB44A6" w14:textId="77777777" w:rsidR="00B242C3" w:rsidRPr="003272C7" w:rsidRDefault="00B242C3" w:rsidP="00683A86">
            <w:pPr>
              <w:pStyle w:val="TableText"/>
              <w:rPr>
                <w:rFonts w:cs="Arial"/>
              </w:rPr>
            </w:pPr>
            <w:r w:rsidRPr="003272C7">
              <w:rPr>
                <w:rFonts w:cs="Arial"/>
              </w:rPr>
              <w:t>SIRS5: Macalister Irrigation District Modernisation Project – Phase 2</w:t>
            </w:r>
          </w:p>
        </w:tc>
      </w:tr>
      <w:tr w:rsidR="00B242C3" w:rsidRPr="003272C7" w14:paraId="2785D381" w14:textId="77777777" w:rsidTr="00142559">
        <w:trPr>
          <w:trHeight w:val="259"/>
        </w:trPr>
        <w:tc>
          <w:tcPr>
            <w:tcW w:w="979" w:type="pct"/>
            <w:shd w:val="clear" w:color="auto" w:fill="231EDC" w:themeFill="accent1"/>
          </w:tcPr>
          <w:p w14:paraId="5BCA5637" w14:textId="77777777" w:rsidR="00B242C3" w:rsidRPr="003272C7" w:rsidRDefault="00B242C3" w:rsidP="00683A86">
            <w:pPr>
              <w:pStyle w:val="TableText"/>
              <w:rPr>
                <w:rFonts w:cs="Arial"/>
                <w:b/>
                <w:bCs/>
              </w:rPr>
            </w:pPr>
            <w:r w:rsidRPr="003272C7">
              <w:rPr>
                <w:rFonts w:cs="Arial"/>
                <w:b/>
                <w:bCs/>
              </w:rPr>
              <w:t>Description</w:t>
            </w:r>
          </w:p>
          <w:p w14:paraId="7C5A6B8C" w14:textId="77777777" w:rsidR="00B242C3" w:rsidRPr="003272C7" w:rsidRDefault="00B242C3" w:rsidP="00683A86">
            <w:pPr>
              <w:pStyle w:val="TableText"/>
              <w:rPr>
                <w:rFonts w:cs="Arial"/>
                <w:b/>
                <w:bCs/>
              </w:rPr>
            </w:pPr>
          </w:p>
        </w:tc>
        <w:tc>
          <w:tcPr>
            <w:tcW w:w="4021" w:type="pct"/>
          </w:tcPr>
          <w:p w14:paraId="31016BA3" w14:textId="77777777" w:rsidR="000B5EF2" w:rsidRPr="003272C7" w:rsidRDefault="00B242C3" w:rsidP="000B5EF2">
            <w:pPr>
              <w:pStyle w:val="TableText"/>
              <w:rPr>
                <w:rFonts w:cs="Arial"/>
              </w:rPr>
            </w:pPr>
            <w:r w:rsidRPr="003272C7">
              <w:rPr>
                <w:rFonts w:cs="Arial"/>
              </w:rPr>
              <w:t>The Macalister Irrigation District (MID) covers 53,000 ha in the Gippsland region, contributing an estimated $500 million each year to the Victorian economy through agricultural activities including dairy, cropping, beef production and vegetable growing. The district is constrained by low service levels and inefficient on-farm irrigation practices, limiting on-farm productivity and profitability. The MID also contributes approximately 30% of nutrient run-off received by the Gippsland Lakes. In addition, the condition of ageing infrastructure and assets at risk of failure not only impacts delivery efficiency (at 75%) but has the potential to interrupt supply to almost all the MID and severely damage local industry. Improving water security and efficiency was the key driver for the State investing in the modernisation project.</w:t>
            </w:r>
          </w:p>
          <w:p w14:paraId="7728E90A" w14:textId="77777777" w:rsidR="00142559" w:rsidRPr="003272C7" w:rsidRDefault="00B242C3" w:rsidP="000B5EF2">
            <w:pPr>
              <w:pStyle w:val="TableText"/>
              <w:rPr>
                <w:rFonts w:cs="Arial"/>
              </w:rPr>
            </w:pPr>
            <w:r w:rsidRPr="003272C7">
              <w:rPr>
                <w:rFonts w:cs="Arial"/>
              </w:rPr>
              <w:t>The $62.6 million MID Modernisation Phase 2 Project is aimed at modernising the irrigation district which would result in achieving up to an estimated 10.3 GL of water savings and improve agricultural productivity in the district.</w:t>
            </w:r>
          </w:p>
          <w:p w14:paraId="378FED0D" w14:textId="57DDE862" w:rsidR="00B242C3" w:rsidRPr="003272C7" w:rsidRDefault="00B242C3" w:rsidP="00CA2FE7">
            <w:pPr>
              <w:pStyle w:val="TableText"/>
              <w:rPr>
                <w:rFonts w:cs="Arial"/>
              </w:rPr>
            </w:pPr>
            <w:r w:rsidRPr="003272C7">
              <w:rPr>
                <w:rFonts w:cs="Arial"/>
              </w:rPr>
              <w:t>The project is funded with one-third contribution from the Southern Rural Water, and one-fifth from the state and half from the Australian Government through the National Water Infrastructure Development Fund.</w:t>
            </w:r>
          </w:p>
        </w:tc>
      </w:tr>
      <w:tr w:rsidR="00B242C3" w:rsidRPr="003272C7" w14:paraId="0096E969" w14:textId="77777777" w:rsidTr="00142559">
        <w:trPr>
          <w:trHeight w:val="259"/>
        </w:trPr>
        <w:tc>
          <w:tcPr>
            <w:tcW w:w="979" w:type="pct"/>
            <w:shd w:val="clear" w:color="auto" w:fill="231EDC" w:themeFill="accent1"/>
          </w:tcPr>
          <w:p w14:paraId="540FD627" w14:textId="77777777" w:rsidR="00B242C3" w:rsidRPr="003272C7" w:rsidRDefault="00B242C3" w:rsidP="00CA2FE7">
            <w:pPr>
              <w:pStyle w:val="TableText"/>
              <w:rPr>
                <w:rFonts w:cs="Arial"/>
                <w:b/>
                <w:bCs/>
              </w:rPr>
            </w:pPr>
            <w:r w:rsidRPr="003272C7">
              <w:rPr>
                <w:rFonts w:cs="Arial"/>
                <w:b/>
                <w:bCs/>
              </w:rPr>
              <w:t>Outputs</w:t>
            </w:r>
          </w:p>
        </w:tc>
        <w:tc>
          <w:tcPr>
            <w:tcW w:w="4021" w:type="pct"/>
          </w:tcPr>
          <w:p w14:paraId="7E976B48" w14:textId="2343C11A" w:rsidR="00B242C3" w:rsidRPr="003272C7" w:rsidRDefault="00B242C3" w:rsidP="00CA2FE7">
            <w:pPr>
              <w:pStyle w:val="TableText"/>
              <w:rPr>
                <w:rFonts w:cs="Arial"/>
              </w:rPr>
            </w:pPr>
            <w:r w:rsidRPr="003272C7">
              <w:rPr>
                <w:rFonts w:cs="Arial"/>
              </w:rPr>
              <w:t xml:space="preserve">The works are treating approximately </w:t>
            </w:r>
            <w:r w:rsidR="00F21CE5" w:rsidRPr="003272C7">
              <w:rPr>
                <w:rFonts w:cs="Arial"/>
              </w:rPr>
              <w:t>80 </w:t>
            </w:r>
            <w:r w:rsidRPr="003272C7">
              <w:rPr>
                <w:rFonts w:cs="Arial"/>
              </w:rPr>
              <w:t xml:space="preserve">kms of open leaky channels, constructing roughly 34 km of pipelines and decommissioning of an estimated 50 kms of old channels. Additionally, the project rationalises </w:t>
            </w:r>
            <w:r w:rsidR="00F21CE5" w:rsidRPr="003272C7">
              <w:rPr>
                <w:rFonts w:cs="Arial"/>
              </w:rPr>
              <w:t xml:space="preserve">up to </w:t>
            </w:r>
            <w:r w:rsidRPr="003272C7">
              <w:rPr>
                <w:rFonts w:cs="Arial"/>
              </w:rPr>
              <w:t xml:space="preserve">450 old, inefficient and manual outlets throughout the district by </w:t>
            </w:r>
            <w:r w:rsidR="00F21CE5" w:rsidRPr="003272C7">
              <w:rPr>
                <w:rFonts w:cs="Arial"/>
              </w:rPr>
              <w:t>either upgrade or removal. The final number of outlets installed will be finalised as the project reaches practical completion in late 2024, and will be reported in the next reporting period.</w:t>
            </w:r>
          </w:p>
          <w:p w14:paraId="11FBB68D" w14:textId="77777777" w:rsidR="00B242C3" w:rsidRPr="003272C7" w:rsidRDefault="00B242C3" w:rsidP="00CA2FE7">
            <w:pPr>
              <w:pStyle w:val="TableText"/>
              <w:rPr>
                <w:rFonts w:cs="Arial"/>
              </w:rPr>
            </w:pPr>
            <w:r w:rsidRPr="003272C7">
              <w:rPr>
                <w:rFonts w:cs="Arial"/>
              </w:rPr>
              <w:t>16.7% of the anticipated water savings will be retained for the environment, with the remaining for agriculture.</w:t>
            </w:r>
          </w:p>
        </w:tc>
      </w:tr>
      <w:tr w:rsidR="00B242C3" w:rsidRPr="003272C7" w14:paraId="65F8F7F9" w14:textId="77777777" w:rsidTr="007865D1">
        <w:trPr>
          <w:trHeight w:val="259"/>
        </w:trPr>
        <w:tc>
          <w:tcPr>
            <w:tcW w:w="5000" w:type="pct"/>
            <w:gridSpan w:val="2"/>
            <w:shd w:val="clear" w:color="auto" w:fill="231EDC" w:themeFill="accent1"/>
          </w:tcPr>
          <w:p w14:paraId="38851EBD" w14:textId="77777777" w:rsidR="00B242C3" w:rsidRPr="003272C7" w:rsidRDefault="00B242C3" w:rsidP="007865D1">
            <w:pPr>
              <w:pStyle w:val="TableText"/>
              <w:rPr>
                <w:rFonts w:cs="Arial"/>
                <w:b/>
                <w:bCs/>
              </w:rPr>
            </w:pPr>
            <w:r w:rsidRPr="003272C7">
              <w:rPr>
                <w:rFonts w:cs="Arial"/>
                <w:b/>
                <w:bCs/>
              </w:rPr>
              <w:t>Summary against evaluation domains</w:t>
            </w:r>
          </w:p>
        </w:tc>
      </w:tr>
      <w:tr w:rsidR="00B242C3" w:rsidRPr="003272C7" w14:paraId="5AA17BD4" w14:textId="77777777" w:rsidTr="00142559">
        <w:trPr>
          <w:trHeight w:val="259"/>
        </w:trPr>
        <w:tc>
          <w:tcPr>
            <w:tcW w:w="979" w:type="pct"/>
            <w:shd w:val="clear" w:color="auto" w:fill="231EDC" w:themeFill="accent1"/>
          </w:tcPr>
          <w:p w14:paraId="1B4E036B" w14:textId="77777777" w:rsidR="00B242C3" w:rsidRPr="003272C7" w:rsidRDefault="00B242C3" w:rsidP="00CA2FE7">
            <w:pPr>
              <w:pStyle w:val="TableText"/>
              <w:rPr>
                <w:rFonts w:cs="Arial"/>
                <w:b/>
                <w:bCs/>
              </w:rPr>
            </w:pPr>
            <w:r w:rsidRPr="003272C7">
              <w:rPr>
                <w:rFonts w:cs="Arial"/>
                <w:b/>
                <w:bCs/>
              </w:rPr>
              <w:t>Impact</w:t>
            </w:r>
          </w:p>
        </w:tc>
        <w:tc>
          <w:tcPr>
            <w:tcW w:w="4021" w:type="pct"/>
          </w:tcPr>
          <w:p w14:paraId="1AE5F24B" w14:textId="4AF2FA2C" w:rsidR="00B242C3" w:rsidRPr="003272C7" w:rsidRDefault="00B242C3" w:rsidP="001D59D8">
            <w:pPr>
              <w:pStyle w:val="TableTextBold"/>
              <w:rPr>
                <w:rFonts w:cs="Arial"/>
              </w:rPr>
            </w:pPr>
            <w:r w:rsidRPr="003272C7">
              <w:rPr>
                <w:rFonts w:cs="Arial"/>
              </w:rPr>
              <w:t>Create a sustainable, resilient, and efficient supply system</w:t>
            </w:r>
            <w:r w:rsidR="00232C9A" w:rsidRPr="003272C7">
              <w:rPr>
                <w:rFonts w:cs="Arial"/>
              </w:rPr>
              <w:t>:</w:t>
            </w:r>
          </w:p>
          <w:p w14:paraId="69BE0DF2" w14:textId="77777777" w:rsidR="00142559" w:rsidRPr="003272C7" w:rsidRDefault="00B242C3" w:rsidP="00683A86">
            <w:pPr>
              <w:pStyle w:val="TableBullet"/>
              <w:rPr>
                <w:rFonts w:cs="Arial"/>
              </w:rPr>
            </w:pPr>
            <w:r w:rsidRPr="003272C7">
              <w:rPr>
                <w:rFonts w:cs="Arial"/>
              </w:rPr>
              <w:t>The MID Phase 2 project is on track to meet the Water Savings target of up to10.3 GL which will undergo Auditing before being realised by Water Recovery at the conclusion of the project.</w:t>
            </w:r>
          </w:p>
          <w:p w14:paraId="75500798" w14:textId="08A62AA1" w:rsidR="00B242C3" w:rsidRPr="003272C7" w:rsidRDefault="00B242C3" w:rsidP="00683A86">
            <w:pPr>
              <w:pStyle w:val="TableBullet"/>
              <w:rPr>
                <w:rFonts w:cs="Arial"/>
              </w:rPr>
            </w:pPr>
            <w:r w:rsidRPr="003272C7">
              <w:rPr>
                <w:rFonts w:cs="Arial"/>
              </w:rPr>
              <w:t xml:space="preserve">The project to date </w:t>
            </w:r>
            <w:r w:rsidR="00CA2DDE" w:rsidRPr="003272C7">
              <w:rPr>
                <w:rFonts w:cs="Arial"/>
              </w:rPr>
              <w:t>has modernised</w:t>
            </w:r>
            <w:r w:rsidRPr="003272C7">
              <w:rPr>
                <w:rFonts w:cs="Arial"/>
              </w:rPr>
              <w:t xml:space="preserve"> just over 80 km of irrigation network, improving delivery efficiency as irrigated properties are connected to the modernised system. </w:t>
            </w:r>
            <w:r w:rsidR="003B3DBA" w:rsidRPr="003272C7">
              <w:rPr>
                <w:rFonts w:cs="Arial"/>
              </w:rPr>
              <w:t>The project has modernised</w:t>
            </w:r>
            <w:r w:rsidR="005700E5" w:rsidRPr="003272C7">
              <w:rPr>
                <w:rFonts w:cs="Arial"/>
              </w:rPr>
              <w:t xml:space="preserve"> over 120</w:t>
            </w:r>
            <w:r w:rsidRPr="003272C7">
              <w:rPr>
                <w:rFonts w:cs="Arial"/>
              </w:rPr>
              <w:t xml:space="preserve"> outlets and </w:t>
            </w:r>
            <w:r w:rsidR="005700E5" w:rsidRPr="003272C7">
              <w:rPr>
                <w:rFonts w:cs="Arial"/>
              </w:rPr>
              <w:t xml:space="preserve">6 </w:t>
            </w:r>
            <w:r w:rsidRPr="003272C7">
              <w:rPr>
                <w:rFonts w:cs="Arial"/>
              </w:rPr>
              <w:t xml:space="preserve">regulators </w:t>
            </w:r>
            <w:r w:rsidR="005700E5" w:rsidRPr="003272C7">
              <w:rPr>
                <w:rFonts w:cs="Arial"/>
              </w:rPr>
              <w:t>across both Stratford and Nuntin supply channels.</w:t>
            </w:r>
          </w:p>
          <w:p w14:paraId="1A404816" w14:textId="151143E7" w:rsidR="00B242C3" w:rsidRPr="003272C7" w:rsidRDefault="00B242C3" w:rsidP="001D59D8">
            <w:pPr>
              <w:pStyle w:val="TableTextBold"/>
              <w:rPr>
                <w:rFonts w:cs="Arial"/>
              </w:rPr>
            </w:pPr>
            <w:r w:rsidRPr="003272C7">
              <w:rPr>
                <w:rFonts w:cs="Arial"/>
              </w:rPr>
              <w:t>Stimulate adoption of on-farm best-practices</w:t>
            </w:r>
            <w:r w:rsidR="00232C9A" w:rsidRPr="003272C7">
              <w:rPr>
                <w:rFonts w:cs="Arial"/>
              </w:rPr>
              <w:t>:</w:t>
            </w:r>
          </w:p>
          <w:p w14:paraId="0C8099DF" w14:textId="77777777" w:rsidR="00142559" w:rsidRPr="003272C7" w:rsidRDefault="00B242C3" w:rsidP="00683A86">
            <w:pPr>
              <w:pStyle w:val="TableBullet"/>
              <w:rPr>
                <w:rFonts w:cs="Arial"/>
              </w:rPr>
            </w:pPr>
            <w:r w:rsidRPr="003272C7">
              <w:rPr>
                <w:rFonts w:cs="Arial"/>
              </w:rPr>
              <w:t xml:space="preserve">To date the cumulative connections for MID Phase 2 number </w:t>
            </w:r>
            <w:r w:rsidR="005F4D4D" w:rsidRPr="003272C7">
              <w:rPr>
                <w:rFonts w:cs="Arial"/>
              </w:rPr>
              <w:t>over 250</w:t>
            </w:r>
            <w:r w:rsidRPr="003272C7">
              <w:rPr>
                <w:rFonts w:cs="Arial"/>
              </w:rPr>
              <w:t xml:space="preserve"> properties with 25 on-farm plans developed for irrigated landholders in the MID.</w:t>
            </w:r>
          </w:p>
          <w:p w14:paraId="1B40630F" w14:textId="35BC1BBB" w:rsidR="00B242C3" w:rsidRPr="003272C7" w:rsidRDefault="00B242C3" w:rsidP="00683A86">
            <w:pPr>
              <w:pStyle w:val="TableBullet"/>
              <w:rPr>
                <w:rFonts w:cs="Arial"/>
              </w:rPr>
            </w:pPr>
            <w:r w:rsidRPr="003272C7">
              <w:rPr>
                <w:rFonts w:cs="Arial"/>
              </w:rPr>
              <w:lastRenderedPageBreak/>
              <w:t xml:space="preserve">The MID Phase 2 project has provided a linkage between infrastructure projects and complimentary sustainable irrigation </w:t>
            </w:r>
            <w:r w:rsidR="00445736" w:rsidRPr="003272C7">
              <w:rPr>
                <w:rFonts w:cs="Arial"/>
              </w:rPr>
              <w:t>project</w:t>
            </w:r>
            <w:r w:rsidRPr="003272C7">
              <w:rPr>
                <w:rFonts w:cs="Arial"/>
              </w:rPr>
              <w:t>s on-farm by the delivery of whole farm planning and on-farm efficiency incentives to landholders to maximise the benefits of both modernisation and on-farm Programs. This has led to better water use efficiency and reduced runoff of nutrient load into the Gippsland lakes, thereby enhancing its water quality and biodiversity and delivery of on farm plans</w:t>
            </w:r>
          </w:p>
          <w:p w14:paraId="1024F82A" w14:textId="0B8A69A6" w:rsidR="00B242C3" w:rsidRPr="003272C7" w:rsidRDefault="00B242C3" w:rsidP="001D59D8">
            <w:pPr>
              <w:pStyle w:val="TableTextBold"/>
              <w:rPr>
                <w:rFonts w:cs="Arial"/>
              </w:rPr>
            </w:pPr>
            <w:r w:rsidRPr="003272C7">
              <w:rPr>
                <w:rFonts w:cs="Arial"/>
              </w:rPr>
              <w:t>Eliminate ‘base-flow’ export to rivers and lakes</w:t>
            </w:r>
            <w:r w:rsidR="00232C9A" w:rsidRPr="003272C7">
              <w:rPr>
                <w:rFonts w:cs="Arial"/>
              </w:rPr>
              <w:t>:</w:t>
            </w:r>
          </w:p>
          <w:p w14:paraId="75512232" w14:textId="77777777" w:rsidR="00B242C3" w:rsidRPr="003272C7" w:rsidRDefault="00B242C3" w:rsidP="00683A86">
            <w:pPr>
              <w:pStyle w:val="TableBullet"/>
              <w:rPr>
                <w:rFonts w:cs="Arial"/>
              </w:rPr>
            </w:pPr>
            <w:r w:rsidRPr="003272C7">
              <w:rPr>
                <w:rFonts w:cs="Arial"/>
              </w:rPr>
              <w:t>While the project continues to modernise the irrigation network in the MID, monitoring efforts are unable to commence until its rationalised conclusion. Southern Rural Water is responsible for monitoring and reporting water quality and responding to events for which nutrient run-off is the cause; i.e. algae blooms in the Gippsland Lakes</w:t>
            </w:r>
          </w:p>
          <w:p w14:paraId="2E29F066" w14:textId="77777777" w:rsidR="00142559" w:rsidRPr="003272C7" w:rsidRDefault="00B242C3" w:rsidP="001D59D8">
            <w:pPr>
              <w:pStyle w:val="TableTextBold"/>
              <w:rPr>
                <w:rFonts w:cs="Arial"/>
              </w:rPr>
            </w:pPr>
            <w:r w:rsidRPr="003272C7">
              <w:rPr>
                <w:rFonts w:cs="Arial"/>
              </w:rPr>
              <w:t>Local employment:</w:t>
            </w:r>
          </w:p>
          <w:p w14:paraId="4499C82F" w14:textId="5A41ECE5" w:rsidR="00B242C3" w:rsidRPr="003272C7" w:rsidRDefault="00B242C3" w:rsidP="00683A86">
            <w:pPr>
              <w:pStyle w:val="TableBullet"/>
              <w:rPr>
                <w:rFonts w:cs="Arial"/>
              </w:rPr>
            </w:pPr>
            <w:r w:rsidRPr="003272C7">
              <w:rPr>
                <w:rFonts w:cs="Arial"/>
              </w:rPr>
              <w:t>Over the life of the project, MID Phase 2 anticipated creation of an estimated 250 jobs including the contracted requirement to utilise the Working for Victoria (Building Stimulus). To date, approximately 76 direct jobs have been created in the 3 years of project delivery.</w:t>
            </w:r>
          </w:p>
        </w:tc>
      </w:tr>
      <w:tr w:rsidR="00B242C3" w:rsidRPr="003272C7" w14:paraId="7E525DF0" w14:textId="77777777" w:rsidTr="00142559">
        <w:trPr>
          <w:trHeight w:val="259"/>
        </w:trPr>
        <w:tc>
          <w:tcPr>
            <w:tcW w:w="979" w:type="pct"/>
            <w:shd w:val="clear" w:color="auto" w:fill="231EDC" w:themeFill="accent1"/>
          </w:tcPr>
          <w:p w14:paraId="00185C2C" w14:textId="77777777" w:rsidR="00B242C3" w:rsidRPr="003272C7" w:rsidRDefault="00B242C3" w:rsidP="001D59D8">
            <w:pPr>
              <w:pStyle w:val="TableText"/>
              <w:rPr>
                <w:rFonts w:cs="Arial"/>
                <w:b/>
                <w:bCs/>
              </w:rPr>
            </w:pPr>
            <w:r w:rsidRPr="003272C7">
              <w:rPr>
                <w:rFonts w:cs="Arial"/>
                <w:b/>
                <w:bCs/>
              </w:rPr>
              <w:lastRenderedPageBreak/>
              <w:t>Effectiveness</w:t>
            </w:r>
          </w:p>
        </w:tc>
        <w:tc>
          <w:tcPr>
            <w:tcW w:w="4021" w:type="pct"/>
          </w:tcPr>
          <w:p w14:paraId="4194A388" w14:textId="48D60CF6" w:rsidR="00B242C3" w:rsidRPr="003272C7" w:rsidRDefault="00B242C3" w:rsidP="00683A86">
            <w:pPr>
              <w:pStyle w:val="TableBullet"/>
              <w:rPr>
                <w:rFonts w:cs="Arial"/>
              </w:rPr>
            </w:pPr>
            <w:r w:rsidRPr="003272C7">
              <w:rPr>
                <w:rFonts w:cs="Arial"/>
              </w:rPr>
              <w:t xml:space="preserve">During tender processes for the two largest infrastructure components of the project; the modernisation of the Newry and Nuntin channels, a significant increase in costs were realised, driven by the COVID-19 pandemic and the consequential inflation of construction related costs since the initial bid. Works on the Newry and Nuntin pipelines </w:t>
            </w:r>
            <w:r w:rsidR="005F4D4D" w:rsidRPr="003272C7">
              <w:rPr>
                <w:rFonts w:cs="Arial"/>
              </w:rPr>
              <w:t xml:space="preserve">could not </w:t>
            </w:r>
            <w:r w:rsidRPr="003272C7">
              <w:rPr>
                <w:rFonts w:cs="Arial"/>
              </w:rPr>
              <w:t>both be delivered within the current project budget. The Newry component of the works proceed</w:t>
            </w:r>
            <w:r w:rsidR="00524C54" w:rsidRPr="003272C7">
              <w:rPr>
                <w:rFonts w:cs="Arial"/>
              </w:rPr>
              <w:t>ed</w:t>
            </w:r>
            <w:r w:rsidRPr="003272C7">
              <w:rPr>
                <w:rFonts w:cs="Arial"/>
              </w:rPr>
              <w:t xml:space="preserve"> as it </w:t>
            </w:r>
            <w:r w:rsidR="000D0692" w:rsidRPr="003272C7">
              <w:rPr>
                <w:rFonts w:cs="Arial"/>
              </w:rPr>
              <w:t xml:space="preserve">included a more </w:t>
            </w:r>
            <w:r w:rsidRPr="003272C7">
              <w:rPr>
                <w:rFonts w:cs="Arial"/>
              </w:rPr>
              <w:t xml:space="preserve">significant scope of work and </w:t>
            </w:r>
            <w:r w:rsidR="000D0692" w:rsidRPr="003272C7">
              <w:rPr>
                <w:rFonts w:cs="Arial"/>
              </w:rPr>
              <w:t xml:space="preserve">was </w:t>
            </w:r>
            <w:r w:rsidRPr="003272C7">
              <w:rPr>
                <w:rFonts w:cs="Arial"/>
              </w:rPr>
              <w:t xml:space="preserve">more critical to the efficient operation of the </w:t>
            </w:r>
            <w:r w:rsidR="00232C9A" w:rsidRPr="003272C7">
              <w:rPr>
                <w:rFonts w:cs="Arial"/>
              </w:rPr>
              <w:t>i</w:t>
            </w:r>
            <w:r w:rsidRPr="003272C7">
              <w:rPr>
                <w:rFonts w:cs="Arial"/>
              </w:rPr>
              <w:t xml:space="preserve">rrigation </w:t>
            </w:r>
            <w:r w:rsidR="00232C9A" w:rsidRPr="003272C7">
              <w:rPr>
                <w:rFonts w:cs="Arial"/>
              </w:rPr>
              <w:t>d</w:t>
            </w:r>
            <w:r w:rsidRPr="003272C7">
              <w:rPr>
                <w:rFonts w:cs="Arial"/>
              </w:rPr>
              <w:t>istrict</w:t>
            </w:r>
            <w:r w:rsidR="00232C9A" w:rsidRPr="003272C7">
              <w:rPr>
                <w:rFonts w:cs="Arial"/>
              </w:rPr>
              <w:t>.</w:t>
            </w:r>
            <w:r w:rsidRPr="003272C7">
              <w:rPr>
                <w:rFonts w:cs="Arial"/>
              </w:rPr>
              <w:br/>
              <w:t xml:space="preserve">A variation </w:t>
            </w:r>
            <w:r w:rsidR="000D0692" w:rsidRPr="003272C7">
              <w:rPr>
                <w:rFonts w:cs="Arial"/>
              </w:rPr>
              <w:t>was executed in late 2023</w:t>
            </w:r>
            <w:r w:rsidRPr="003272C7">
              <w:rPr>
                <w:rFonts w:cs="Arial"/>
              </w:rPr>
              <w:t xml:space="preserve"> between the </w:t>
            </w:r>
            <w:r w:rsidR="00232C9A" w:rsidRPr="003272C7">
              <w:rPr>
                <w:rFonts w:cs="Arial"/>
              </w:rPr>
              <w:t>Victorian Government</w:t>
            </w:r>
            <w:r w:rsidRPr="003272C7">
              <w:rPr>
                <w:rFonts w:cs="Arial"/>
              </w:rPr>
              <w:t xml:space="preserve">, Australian Government and Southern Rural Water to revise the scope of project. This variation </w:t>
            </w:r>
            <w:r w:rsidR="000D0692" w:rsidRPr="003272C7">
              <w:rPr>
                <w:rFonts w:cs="Arial"/>
              </w:rPr>
              <w:t>removed</w:t>
            </w:r>
            <w:r w:rsidRPr="003272C7">
              <w:rPr>
                <w:rFonts w:cs="Arial"/>
              </w:rPr>
              <w:t xml:space="preserve"> the Nuntin pipeline construction from the </w:t>
            </w:r>
            <w:r w:rsidR="000D0692" w:rsidRPr="003272C7">
              <w:rPr>
                <w:rFonts w:cs="Arial"/>
              </w:rPr>
              <w:t>p</w:t>
            </w:r>
            <w:r w:rsidRPr="003272C7">
              <w:rPr>
                <w:rFonts w:cs="Arial"/>
              </w:rPr>
              <w:t>rogram of works and replace</w:t>
            </w:r>
            <w:r w:rsidR="006D129B" w:rsidRPr="003272C7">
              <w:rPr>
                <w:rFonts w:cs="Arial"/>
              </w:rPr>
              <w:t>d</w:t>
            </w:r>
            <w:r w:rsidRPr="003272C7">
              <w:rPr>
                <w:rFonts w:cs="Arial"/>
              </w:rPr>
              <w:t xml:space="preserve"> the milestone with the installation of an automated transition outlet and automated regulator on the Nuntin channel system. The scope change ha</w:t>
            </w:r>
            <w:r w:rsidR="006D129B" w:rsidRPr="003272C7">
              <w:rPr>
                <w:rFonts w:cs="Arial"/>
              </w:rPr>
              <w:t>d</w:t>
            </w:r>
            <w:r w:rsidRPr="003272C7">
              <w:rPr>
                <w:rFonts w:cs="Arial"/>
              </w:rPr>
              <w:t xml:space="preserve"> no impact on the associated Australian Government funding, with the full </w:t>
            </w:r>
            <w:r w:rsidR="006D129B" w:rsidRPr="003272C7">
              <w:rPr>
                <w:rFonts w:cs="Arial"/>
              </w:rPr>
              <w:t>funding remaining available for the completion of the project.</w:t>
            </w:r>
            <w:r w:rsidRPr="003272C7">
              <w:rPr>
                <w:rFonts w:cs="Arial"/>
              </w:rPr>
              <w:t xml:space="preserve"> Southern Rural Water continues to investigate opportunities to deliver the Nuntin component of the MID 2 Project. </w:t>
            </w:r>
          </w:p>
        </w:tc>
      </w:tr>
      <w:tr w:rsidR="00B242C3" w:rsidRPr="003272C7" w14:paraId="41CB5F08" w14:textId="77777777" w:rsidTr="00142559">
        <w:trPr>
          <w:trHeight w:val="259"/>
        </w:trPr>
        <w:tc>
          <w:tcPr>
            <w:tcW w:w="979" w:type="pct"/>
            <w:shd w:val="clear" w:color="auto" w:fill="231EDC" w:themeFill="accent1"/>
          </w:tcPr>
          <w:p w14:paraId="38EABD3E" w14:textId="77777777" w:rsidR="00B242C3" w:rsidRPr="003272C7" w:rsidRDefault="00B242C3" w:rsidP="001F4851">
            <w:pPr>
              <w:pStyle w:val="TableText"/>
              <w:rPr>
                <w:rFonts w:cs="Arial"/>
                <w:b/>
                <w:bCs/>
              </w:rPr>
            </w:pPr>
            <w:r w:rsidRPr="003272C7">
              <w:rPr>
                <w:rFonts w:cs="Arial"/>
                <w:b/>
                <w:bCs/>
              </w:rPr>
              <w:t>Appropriateness</w:t>
            </w:r>
          </w:p>
        </w:tc>
        <w:tc>
          <w:tcPr>
            <w:tcW w:w="4021" w:type="pct"/>
          </w:tcPr>
          <w:p w14:paraId="0E074D5B" w14:textId="77777777" w:rsidR="00142559" w:rsidRPr="003272C7" w:rsidRDefault="00B242C3" w:rsidP="00683A86">
            <w:pPr>
              <w:pStyle w:val="TableBullet"/>
              <w:rPr>
                <w:rFonts w:cs="Arial"/>
              </w:rPr>
            </w:pPr>
            <w:r w:rsidRPr="003272C7">
              <w:rPr>
                <w:rFonts w:cs="Arial"/>
              </w:rPr>
              <w:t>The MID Phase 2 Project is funded in line with Victoria’s statutory functions as set out in the Water Act 1989 and is consistent with policy objectives (b), (c), (d), and (e) contained within Part 4 of the Victorian Climate Change Act 2017. The MID is also consistent with the Pilot Water Sector Climate Change Adaptation Action Plan which has been developed as a requirement under the Climate Change Act 2017.</w:t>
            </w:r>
          </w:p>
          <w:p w14:paraId="31EC027E" w14:textId="77777777" w:rsidR="00142559" w:rsidRPr="003272C7" w:rsidRDefault="00B242C3" w:rsidP="00683A86">
            <w:pPr>
              <w:pStyle w:val="TableBullet"/>
              <w:rPr>
                <w:rFonts w:cs="Arial"/>
              </w:rPr>
            </w:pPr>
            <w:r w:rsidRPr="003272C7">
              <w:rPr>
                <w:rFonts w:cs="Arial"/>
              </w:rPr>
              <w:t>The MID Phase 2 Project has been affected by the COVID-19 Pandemic through escalation of construction costs, supply chain delays, rescoping constraints and inflated manufacturing costs.</w:t>
            </w:r>
          </w:p>
          <w:p w14:paraId="0862174D" w14:textId="77777777" w:rsidR="00142559" w:rsidRPr="003272C7" w:rsidRDefault="00B242C3" w:rsidP="00683A86">
            <w:pPr>
              <w:pStyle w:val="TableBullet"/>
              <w:rPr>
                <w:rFonts w:cs="Arial"/>
              </w:rPr>
            </w:pPr>
            <w:r w:rsidRPr="003272C7">
              <w:rPr>
                <w:rFonts w:cs="Arial"/>
              </w:rPr>
              <w:t>Strategically the scope of projects available for funding partnerships has increased; at the time of bidding rural-only projects were tabled. Since the MID Phase 2 Project, regional, and rural-urban interfaces have been considered and awarded funding, and there is an increase in integrated water management including recycled water projects.</w:t>
            </w:r>
          </w:p>
          <w:p w14:paraId="16CC970C" w14:textId="5B19D08A" w:rsidR="00B242C3" w:rsidRPr="003272C7" w:rsidRDefault="00B242C3" w:rsidP="00683A86">
            <w:pPr>
              <w:pStyle w:val="TableBullet"/>
              <w:rPr>
                <w:rFonts w:cs="Arial"/>
              </w:rPr>
            </w:pPr>
            <w:r w:rsidRPr="003272C7">
              <w:rPr>
                <w:rFonts w:cs="Arial"/>
              </w:rPr>
              <w:t>Since initial bidding on the MID Phase 2 Project, new projects are more rigorously considered for Traditional Owner outcomes, through early engagement consistent with community expectation, the State’s commitment to Aboriginal self-determination and reflected in the changes to funding frameworks of the Australian Government’s National Water Grid Fund.</w:t>
            </w:r>
          </w:p>
        </w:tc>
      </w:tr>
      <w:tr w:rsidR="00B242C3" w:rsidRPr="003272C7" w14:paraId="0726D7E3" w14:textId="77777777" w:rsidTr="00142559">
        <w:trPr>
          <w:trHeight w:val="259"/>
        </w:trPr>
        <w:tc>
          <w:tcPr>
            <w:tcW w:w="979" w:type="pct"/>
            <w:shd w:val="clear" w:color="auto" w:fill="231EDC" w:themeFill="accent1"/>
          </w:tcPr>
          <w:p w14:paraId="32098E2C" w14:textId="77777777" w:rsidR="00B242C3" w:rsidRPr="003272C7" w:rsidRDefault="00B242C3" w:rsidP="008A624A">
            <w:pPr>
              <w:pStyle w:val="TableText"/>
              <w:rPr>
                <w:rFonts w:cs="Arial"/>
                <w:b/>
                <w:bCs/>
              </w:rPr>
            </w:pPr>
            <w:r w:rsidRPr="003272C7">
              <w:rPr>
                <w:rFonts w:cs="Arial"/>
                <w:b/>
                <w:bCs/>
              </w:rPr>
              <w:t>Efficiency</w:t>
            </w:r>
          </w:p>
        </w:tc>
        <w:tc>
          <w:tcPr>
            <w:tcW w:w="4021" w:type="pct"/>
          </w:tcPr>
          <w:p w14:paraId="08077DAA" w14:textId="77777777" w:rsidR="00142559" w:rsidRPr="003272C7" w:rsidRDefault="00B242C3" w:rsidP="00683A86">
            <w:pPr>
              <w:pStyle w:val="TableBullet"/>
              <w:rPr>
                <w:rFonts w:cs="Arial"/>
              </w:rPr>
            </w:pPr>
            <w:r w:rsidRPr="003272C7">
              <w:rPr>
                <w:rFonts w:cs="Arial"/>
              </w:rPr>
              <w:t xml:space="preserve">Project governance has supported efficient delivery through regular meetings of the Project control group, </w:t>
            </w:r>
            <w:r w:rsidR="00232C9A" w:rsidRPr="003272C7">
              <w:rPr>
                <w:rFonts w:cs="Arial"/>
              </w:rPr>
              <w:t>Rural Water Projects</w:t>
            </w:r>
            <w:r w:rsidRPr="003272C7">
              <w:rPr>
                <w:rFonts w:cs="Arial"/>
              </w:rPr>
              <w:t xml:space="preserve"> team, regular field visits, monthly reporting to the Australian Government, quarterly financial reports.</w:t>
            </w:r>
          </w:p>
          <w:p w14:paraId="1D30BD23" w14:textId="735E69A3" w:rsidR="00B242C3" w:rsidRPr="003272C7" w:rsidRDefault="00B242C3" w:rsidP="00683A86">
            <w:pPr>
              <w:pStyle w:val="TableBullet"/>
              <w:rPr>
                <w:rFonts w:cs="Arial"/>
              </w:rPr>
            </w:pPr>
            <w:r w:rsidRPr="003272C7">
              <w:rPr>
                <w:rFonts w:cs="Arial"/>
              </w:rPr>
              <w:lastRenderedPageBreak/>
              <w:t>By mutual agreement with funding partners and through negotiations with the Australian Government, milestone and payment schedules of relevant milestones were varied by deed or agreement, as required, to account for increased costs.</w:t>
            </w:r>
          </w:p>
          <w:p w14:paraId="71D4AE12" w14:textId="2AB39FE4" w:rsidR="00B242C3" w:rsidRPr="003272C7" w:rsidRDefault="00B242C3" w:rsidP="00683A86">
            <w:pPr>
              <w:pStyle w:val="TableBullet"/>
              <w:rPr>
                <w:rFonts w:cs="Arial"/>
              </w:rPr>
            </w:pPr>
            <w:r w:rsidRPr="003272C7">
              <w:rPr>
                <w:rFonts w:cs="Arial"/>
              </w:rPr>
              <w:t>Following receipt of Milestone Achievement Reports, 100% of milestone payments were made on schedule as per individual project funding agreements</w:t>
            </w:r>
            <w:r w:rsidR="00232C9A" w:rsidRPr="003272C7">
              <w:rPr>
                <w:rFonts w:cs="Arial"/>
              </w:rPr>
              <w:t>.</w:t>
            </w:r>
          </w:p>
        </w:tc>
      </w:tr>
      <w:tr w:rsidR="00B242C3" w:rsidRPr="003272C7" w14:paraId="18BDD9F1" w14:textId="77777777" w:rsidTr="00142559">
        <w:trPr>
          <w:trHeight w:val="259"/>
        </w:trPr>
        <w:tc>
          <w:tcPr>
            <w:tcW w:w="979" w:type="pct"/>
            <w:shd w:val="clear" w:color="auto" w:fill="231EDC" w:themeFill="accent1"/>
          </w:tcPr>
          <w:p w14:paraId="7834CFF1" w14:textId="77777777" w:rsidR="00B242C3" w:rsidRPr="003272C7" w:rsidRDefault="00B242C3" w:rsidP="008A624A">
            <w:pPr>
              <w:pStyle w:val="TableText"/>
              <w:rPr>
                <w:rFonts w:cs="Arial"/>
                <w:b/>
                <w:bCs/>
              </w:rPr>
            </w:pPr>
            <w:r w:rsidRPr="003272C7">
              <w:rPr>
                <w:rFonts w:cs="Arial"/>
                <w:b/>
                <w:bCs/>
              </w:rPr>
              <w:lastRenderedPageBreak/>
              <w:t>Legacy</w:t>
            </w:r>
          </w:p>
        </w:tc>
        <w:tc>
          <w:tcPr>
            <w:tcW w:w="4021" w:type="pct"/>
          </w:tcPr>
          <w:p w14:paraId="1D1A3E66" w14:textId="30793504" w:rsidR="00B242C3" w:rsidRPr="003272C7" w:rsidRDefault="00B242C3" w:rsidP="00683A86">
            <w:pPr>
              <w:pStyle w:val="TableBullet"/>
              <w:rPr>
                <w:rFonts w:cs="Arial"/>
              </w:rPr>
            </w:pPr>
            <w:r w:rsidRPr="003272C7">
              <w:rPr>
                <w:rFonts w:cs="Arial"/>
              </w:rPr>
              <w:t>Up to 10.3 GL of long-term water savings</w:t>
            </w:r>
            <w:r w:rsidR="00232C9A" w:rsidRPr="003272C7">
              <w:rPr>
                <w:rFonts w:cs="Arial"/>
              </w:rPr>
              <w:t>.</w:t>
            </w:r>
          </w:p>
          <w:p w14:paraId="4D6352EF" w14:textId="702F7D55" w:rsidR="00B242C3" w:rsidRPr="003272C7" w:rsidRDefault="00B242C3" w:rsidP="00683A86">
            <w:pPr>
              <w:pStyle w:val="TableBullet"/>
              <w:rPr>
                <w:rFonts w:cs="Arial"/>
              </w:rPr>
            </w:pPr>
            <w:r w:rsidRPr="003272C7">
              <w:rPr>
                <w:rFonts w:cs="Arial"/>
              </w:rPr>
              <w:t>Enduring improved on-farm practices through sustainable farm planning</w:t>
            </w:r>
            <w:r w:rsidR="00232C9A" w:rsidRPr="003272C7">
              <w:rPr>
                <w:rFonts w:cs="Arial"/>
              </w:rPr>
              <w:t>.</w:t>
            </w:r>
          </w:p>
          <w:p w14:paraId="04F01B0A" w14:textId="1ABDA30C" w:rsidR="00CE2D87" w:rsidRPr="003272C7" w:rsidRDefault="00CE2D87" w:rsidP="00683A86">
            <w:pPr>
              <w:pStyle w:val="TableBullet"/>
              <w:rPr>
                <w:rFonts w:cs="Arial"/>
              </w:rPr>
            </w:pPr>
            <w:r w:rsidRPr="003272C7">
              <w:rPr>
                <w:rFonts w:cs="Arial"/>
              </w:rPr>
              <w:t>Improved service delivery to rural customers</w:t>
            </w:r>
            <w:r w:rsidR="00232C9A" w:rsidRPr="003272C7">
              <w:rPr>
                <w:rFonts w:cs="Arial"/>
              </w:rPr>
              <w:t>.</w:t>
            </w:r>
          </w:p>
          <w:p w14:paraId="12D88D9F" w14:textId="323C6600" w:rsidR="00B242C3" w:rsidRPr="003272C7" w:rsidRDefault="00CE2D87" w:rsidP="00683A86">
            <w:pPr>
              <w:pStyle w:val="TableBullet"/>
              <w:rPr>
                <w:rFonts w:cs="Arial"/>
              </w:rPr>
            </w:pPr>
            <w:r w:rsidRPr="003272C7">
              <w:rPr>
                <w:rFonts w:cs="Arial"/>
              </w:rPr>
              <w:t>During the construction of the project, Traditional Owner grinding stones were identified, these have been removed in partnership with the Gunaikurnai Land and Waters Aboriginal Corporation. They will be relocated for display at a permanent site at Lake Glenmaggie. Southern Rural Water and</w:t>
            </w:r>
            <w:r w:rsidR="00232C9A" w:rsidRPr="003272C7">
              <w:rPr>
                <w:rFonts w:cs="Arial"/>
              </w:rPr>
              <w:t xml:space="preserve"> the</w:t>
            </w:r>
            <w:r w:rsidRPr="003272C7">
              <w:rPr>
                <w:rFonts w:cs="Arial"/>
              </w:rPr>
              <w:t xml:space="preserve"> </w:t>
            </w:r>
            <w:r w:rsidR="00232C9A" w:rsidRPr="003272C7">
              <w:rPr>
                <w:rFonts w:cs="Arial"/>
              </w:rPr>
              <w:t xml:space="preserve">Gunaikurnai Land and Waters Aboriginal Corporation </w:t>
            </w:r>
            <w:r w:rsidRPr="003272C7">
              <w:rPr>
                <w:rFonts w:cs="Arial"/>
              </w:rPr>
              <w:t>are working together to formalise designs for the display and associated gardens.</w:t>
            </w:r>
          </w:p>
        </w:tc>
      </w:tr>
      <w:tr w:rsidR="00B242C3" w:rsidRPr="003272C7" w14:paraId="49981A57" w14:textId="77777777" w:rsidTr="00142559">
        <w:trPr>
          <w:trHeight w:val="259"/>
        </w:trPr>
        <w:tc>
          <w:tcPr>
            <w:tcW w:w="979" w:type="pct"/>
            <w:shd w:val="clear" w:color="auto" w:fill="231EDC" w:themeFill="accent1"/>
          </w:tcPr>
          <w:p w14:paraId="465EA979" w14:textId="77777777" w:rsidR="00B242C3" w:rsidRPr="003272C7" w:rsidRDefault="00B242C3" w:rsidP="008A624A">
            <w:pPr>
              <w:pStyle w:val="TableText"/>
              <w:rPr>
                <w:rFonts w:cs="Arial"/>
                <w:b/>
                <w:bCs/>
              </w:rPr>
            </w:pPr>
            <w:r w:rsidRPr="003272C7">
              <w:rPr>
                <w:rFonts w:cs="Arial"/>
                <w:b/>
                <w:bCs/>
              </w:rPr>
              <w:t>Future priorities</w:t>
            </w:r>
          </w:p>
        </w:tc>
        <w:tc>
          <w:tcPr>
            <w:tcW w:w="4021" w:type="pct"/>
          </w:tcPr>
          <w:p w14:paraId="38986644" w14:textId="77777777" w:rsidR="00B242C3" w:rsidRPr="003272C7" w:rsidRDefault="00B242C3" w:rsidP="00683A86">
            <w:pPr>
              <w:pStyle w:val="TableBullet"/>
              <w:rPr>
                <w:rFonts w:cs="Arial"/>
              </w:rPr>
            </w:pPr>
            <w:r w:rsidRPr="003272C7">
              <w:rPr>
                <w:rFonts w:cs="Arial"/>
              </w:rPr>
              <w:t>Southern Rural Water and the governance team continue to investigate further opportunities to modernise the MID. Southern Rural Water has developed the ‘Macalister Fresh’ concept which builds on modernisation by creating industry and community partnerships to market the region’s agricultural sector, and a business case is being developed with funding provided through the State with delivery in track for June 2024. The outcome of successful project bids arising from this business case will add significant economic, social, environmental and heritage value to the modernisation.</w:t>
            </w:r>
          </w:p>
        </w:tc>
      </w:tr>
    </w:tbl>
    <w:p w14:paraId="45AD5E63" w14:textId="77777777" w:rsidR="00B242C3" w:rsidRPr="003272C7" w:rsidRDefault="00B242C3" w:rsidP="00B242C3">
      <w:pPr>
        <w:pStyle w:val="Heading2"/>
        <w:rPr>
          <w:rFonts w:cs="Arial"/>
        </w:rPr>
      </w:pPr>
      <w:bookmarkStart w:id="83" w:name="_Toc147410807"/>
      <w:bookmarkStart w:id="84" w:name="_Toc183777815"/>
      <w:r w:rsidRPr="003272C7">
        <w:rPr>
          <w:rFonts w:cs="Arial"/>
        </w:rPr>
        <w:t>WRS19: Resilient Water Markets, Regional Communities and Infrastructure (Stream 1 and 2)</w:t>
      </w:r>
      <w:bookmarkEnd w:id="83"/>
      <w:bookmarkEnd w:id="84"/>
    </w:p>
    <w:tbl>
      <w:tblPr>
        <w:tblStyle w:val="TableGridLight"/>
        <w:tblW w:w="5000" w:type="pct"/>
        <w:tblBorders>
          <w:top w:val="single" w:sz="4" w:space="0" w:color="E6E6E6" w:themeColor="background2"/>
          <w:left w:val="single" w:sz="4" w:space="0" w:color="E6E6E6" w:themeColor="background2"/>
          <w:bottom w:val="single" w:sz="4" w:space="0" w:color="E6E6E6" w:themeColor="background2"/>
          <w:right w:val="single" w:sz="4" w:space="0" w:color="E6E6E6" w:themeColor="background2"/>
          <w:insideH w:val="single" w:sz="4" w:space="0" w:color="E6E6E6" w:themeColor="background2"/>
          <w:insideV w:val="single" w:sz="4" w:space="0" w:color="E6E6E6" w:themeColor="background2"/>
        </w:tblBorders>
        <w:tblLook w:val="0420" w:firstRow="1" w:lastRow="0" w:firstColumn="0" w:lastColumn="0" w:noHBand="0" w:noVBand="1"/>
      </w:tblPr>
      <w:tblGrid>
        <w:gridCol w:w="1885"/>
        <w:gridCol w:w="7743"/>
      </w:tblGrid>
      <w:tr w:rsidR="00B242C3" w:rsidRPr="003272C7" w14:paraId="62877155" w14:textId="77777777" w:rsidTr="00142559">
        <w:trPr>
          <w:trHeight w:val="395"/>
        </w:trPr>
        <w:tc>
          <w:tcPr>
            <w:tcW w:w="979" w:type="pct"/>
            <w:shd w:val="clear" w:color="auto" w:fill="231EDC" w:themeFill="accent1"/>
          </w:tcPr>
          <w:p w14:paraId="270AD342" w14:textId="39DB3BF6" w:rsidR="00B242C3" w:rsidRPr="003272C7" w:rsidRDefault="00C412A9" w:rsidP="002F63BB">
            <w:pPr>
              <w:pStyle w:val="TableHeading"/>
              <w:rPr>
                <w:rFonts w:cs="Arial"/>
              </w:rPr>
            </w:pPr>
            <w:r w:rsidRPr="003272C7">
              <w:rPr>
                <w:rFonts w:cs="Arial"/>
              </w:rPr>
              <w:t>Initiative</w:t>
            </w:r>
          </w:p>
        </w:tc>
        <w:tc>
          <w:tcPr>
            <w:tcW w:w="4021" w:type="pct"/>
            <w:shd w:val="clear" w:color="auto" w:fill="231EDC" w:themeFill="accent1"/>
          </w:tcPr>
          <w:p w14:paraId="655755E7" w14:textId="77777777" w:rsidR="00B242C3" w:rsidRPr="003272C7" w:rsidRDefault="00B242C3" w:rsidP="002F63BB">
            <w:pPr>
              <w:pStyle w:val="TableHeading"/>
              <w:rPr>
                <w:rFonts w:cs="Arial"/>
              </w:rPr>
            </w:pPr>
            <w:r w:rsidRPr="003272C7">
              <w:rPr>
                <w:rFonts w:cs="Arial"/>
              </w:rPr>
              <w:t>14. Resilient Water Markets, Regional Communities and Infrastructure</w:t>
            </w:r>
          </w:p>
        </w:tc>
      </w:tr>
      <w:tr w:rsidR="00B242C3" w:rsidRPr="003272C7" w14:paraId="79D649E5" w14:textId="77777777" w:rsidTr="00142559">
        <w:trPr>
          <w:trHeight w:val="341"/>
        </w:trPr>
        <w:tc>
          <w:tcPr>
            <w:tcW w:w="979" w:type="pct"/>
            <w:shd w:val="clear" w:color="auto" w:fill="231EDC" w:themeFill="accent1"/>
          </w:tcPr>
          <w:p w14:paraId="0113B1BC" w14:textId="77777777" w:rsidR="00B242C3" w:rsidRPr="003272C7" w:rsidRDefault="00B242C3" w:rsidP="002F63BB">
            <w:pPr>
              <w:pStyle w:val="TableText"/>
              <w:rPr>
                <w:rFonts w:cs="Arial"/>
                <w:b/>
                <w:bCs/>
              </w:rPr>
            </w:pPr>
            <w:r w:rsidRPr="003272C7">
              <w:rPr>
                <w:rFonts w:cs="Arial"/>
                <w:b/>
                <w:bCs/>
              </w:rPr>
              <w:t>Project</w:t>
            </w:r>
          </w:p>
        </w:tc>
        <w:tc>
          <w:tcPr>
            <w:tcW w:w="4021" w:type="pct"/>
          </w:tcPr>
          <w:p w14:paraId="6B962354" w14:textId="77777777" w:rsidR="00B242C3" w:rsidRPr="003272C7" w:rsidRDefault="00B242C3" w:rsidP="002F63BB">
            <w:pPr>
              <w:pStyle w:val="TableText"/>
              <w:rPr>
                <w:rFonts w:cs="Arial"/>
              </w:rPr>
            </w:pPr>
            <w:r w:rsidRPr="003272C7">
              <w:rPr>
                <w:rFonts w:cs="Arial"/>
              </w:rPr>
              <w:t>WRS19: Resilient Water Markets, Regional Communities and Infrastructure (Stream 1 and 2)</w:t>
            </w:r>
          </w:p>
        </w:tc>
      </w:tr>
      <w:tr w:rsidR="00B242C3" w:rsidRPr="003272C7" w14:paraId="760697DE" w14:textId="77777777" w:rsidTr="00142559">
        <w:trPr>
          <w:trHeight w:val="259"/>
        </w:trPr>
        <w:tc>
          <w:tcPr>
            <w:tcW w:w="979" w:type="pct"/>
            <w:shd w:val="clear" w:color="auto" w:fill="231EDC" w:themeFill="accent1"/>
          </w:tcPr>
          <w:p w14:paraId="2CDDCFA7" w14:textId="77777777" w:rsidR="00B242C3" w:rsidRPr="003272C7" w:rsidRDefault="00B242C3" w:rsidP="002F63BB">
            <w:pPr>
              <w:pStyle w:val="TableText"/>
              <w:rPr>
                <w:rFonts w:cs="Arial"/>
                <w:b/>
                <w:bCs/>
              </w:rPr>
            </w:pPr>
            <w:r w:rsidRPr="003272C7">
              <w:rPr>
                <w:rFonts w:cs="Arial"/>
                <w:b/>
                <w:bCs/>
              </w:rPr>
              <w:t>Description</w:t>
            </w:r>
          </w:p>
          <w:p w14:paraId="5473FE14" w14:textId="77777777" w:rsidR="00B242C3" w:rsidRPr="003272C7" w:rsidRDefault="00B242C3" w:rsidP="002F63BB">
            <w:pPr>
              <w:pStyle w:val="TableText"/>
              <w:rPr>
                <w:rFonts w:cs="Arial"/>
                <w:b/>
                <w:bCs/>
              </w:rPr>
            </w:pPr>
          </w:p>
        </w:tc>
        <w:tc>
          <w:tcPr>
            <w:tcW w:w="4021" w:type="pct"/>
          </w:tcPr>
          <w:p w14:paraId="1FDB7C40" w14:textId="77777777" w:rsidR="00142559" w:rsidRPr="003272C7" w:rsidRDefault="008C63C7" w:rsidP="002F63BB">
            <w:pPr>
              <w:pStyle w:val="TableText"/>
              <w:rPr>
                <w:rFonts w:cs="Arial"/>
              </w:rPr>
            </w:pPr>
            <w:r w:rsidRPr="003272C7">
              <w:rPr>
                <w:rFonts w:cs="Arial"/>
              </w:rPr>
              <w:t>This project was intended to position DEECA programs to support water reliability and community and investor confidence in a period of increasing demand for water and significant intergovernmental reform.</w:t>
            </w:r>
          </w:p>
          <w:p w14:paraId="40FECAA4" w14:textId="65E1BB4E" w:rsidR="008C63C7" w:rsidRPr="003272C7" w:rsidRDefault="008C63C7" w:rsidP="002F63BB">
            <w:pPr>
              <w:pStyle w:val="TableText"/>
              <w:rPr>
                <w:rFonts w:cs="Arial"/>
              </w:rPr>
            </w:pPr>
            <w:r w:rsidRPr="003272C7">
              <w:rPr>
                <w:rFonts w:cs="Arial"/>
              </w:rPr>
              <w:t>It sought to address community concerns about the practices of water brokers through broker reform and regulation and involvement in inter-governmental reform.</w:t>
            </w:r>
          </w:p>
          <w:p w14:paraId="7425D590" w14:textId="77777777" w:rsidR="00142559" w:rsidRPr="003272C7" w:rsidRDefault="008C63C7" w:rsidP="002F63BB">
            <w:pPr>
              <w:pStyle w:val="TableText"/>
              <w:rPr>
                <w:rFonts w:cs="Arial"/>
              </w:rPr>
            </w:pPr>
            <w:r w:rsidRPr="003272C7">
              <w:rPr>
                <w:rFonts w:cs="Arial"/>
              </w:rPr>
              <w:t>It also sought to build foundational data on the effects of flow changes on the ecological and cultural values of the lower Goulburn River to inform reforms to trade and operating rules. Finally, it sought to manage delivery shortfall risk to bulk, urban and environmental water and improve community understanding of Murray operations and delivery risk to build public confidence in the process of managing shortfall events.</w:t>
            </w:r>
          </w:p>
          <w:p w14:paraId="400AB676" w14:textId="6F7199CA" w:rsidR="00B242C3" w:rsidRPr="003272C7" w:rsidRDefault="008C63C7" w:rsidP="002F63BB">
            <w:pPr>
              <w:pStyle w:val="TableText"/>
              <w:rPr>
                <w:rFonts w:cs="Arial"/>
              </w:rPr>
            </w:pPr>
            <w:r w:rsidRPr="003272C7">
              <w:rPr>
                <w:rFonts w:cs="Arial"/>
              </w:rPr>
              <w:t xml:space="preserve">This project had significant alignment with, and builds on the foundational outcomes targeted through </w:t>
            </w:r>
            <w:r w:rsidR="00232C9A" w:rsidRPr="003272C7">
              <w:rPr>
                <w:rFonts w:cs="Arial"/>
              </w:rPr>
              <w:t>WRS1: Retail Entitlements and Markets</w:t>
            </w:r>
            <w:r w:rsidRPr="003272C7">
              <w:rPr>
                <w:rFonts w:cs="Arial"/>
              </w:rPr>
              <w:t xml:space="preserve"> which sought to improve confidence and transparency of retail entitlements, and </w:t>
            </w:r>
            <w:r w:rsidR="00232C9A" w:rsidRPr="003272C7">
              <w:rPr>
                <w:rFonts w:cs="Arial"/>
              </w:rPr>
              <w:t xml:space="preserve">WRS4: Water Market Transparency </w:t>
            </w:r>
            <w:r w:rsidRPr="003272C7">
              <w:rPr>
                <w:rFonts w:cs="Arial"/>
              </w:rPr>
              <w:t>that supported Victoria</w:t>
            </w:r>
            <w:r w:rsidRPr="00623380">
              <w:rPr>
                <w:rFonts w:cs="Arial" w:hint="eastAsia"/>
              </w:rPr>
              <w:t>’</w:t>
            </w:r>
            <w:r w:rsidRPr="003272C7">
              <w:rPr>
                <w:rFonts w:cs="Arial"/>
              </w:rPr>
              <w:t>s representation and response to the ACCC inquiry into Murray-Darling Basin Water Markets. </w:t>
            </w:r>
          </w:p>
        </w:tc>
      </w:tr>
      <w:tr w:rsidR="00B242C3" w:rsidRPr="003272C7" w14:paraId="6F3D8B7D" w14:textId="77777777" w:rsidTr="00142559">
        <w:trPr>
          <w:trHeight w:val="259"/>
        </w:trPr>
        <w:tc>
          <w:tcPr>
            <w:tcW w:w="979" w:type="pct"/>
            <w:shd w:val="clear" w:color="auto" w:fill="231EDC" w:themeFill="accent1"/>
          </w:tcPr>
          <w:p w14:paraId="75FD1908" w14:textId="77777777" w:rsidR="00B242C3" w:rsidRPr="003272C7" w:rsidRDefault="00B242C3" w:rsidP="002F63BB">
            <w:pPr>
              <w:pStyle w:val="TableText"/>
              <w:rPr>
                <w:rFonts w:cs="Arial"/>
                <w:b/>
                <w:bCs/>
              </w:rPr>
            </w:pPr>
            <w:r w:rsidRPr="003272C7">
              <w:rPr>
                <w:rFonts w:cs="Arial"/>
                <w:b/>
                <w:bCs/>
              </w:rPr>
              <w:t>Outputs</w:t>
            </w:r>
          </w:p>
        </w:tc>
        <w:tc>
          <w:tcPr>
            <w:tcW w:w="4021" w:type="pct"/>
          </w:tcPr>
          <w:p w14:paraId="0E1C2955" w14:textId="77777777" w:rsidR="00142559" w:rsidRPr="003272C7" w:rsidRDefault="00056652" w:rsidP="002F63BB">
            <w:pPr>
              <w:pStyle w:val="TableNumber"/>
              <w:numPr>
                <w:ilvl w:val="0"/>
                <w:numId w:val="175"/>
              </w:numPr>
              <w:rPr>
                <w:rFonts w:cs="Arial"/>
                <w:b/>
                <w:bCs/>
              </w:rPr>
            </w:pPr>
            <w:r w:rsidRPr="003272C7">
              <w:rPr>
                <w:rFonts w:cs="Arial"/>
                <w:b/>
                <w:bCs/>
              </w:rPr>
              <w:t>Interstate broker regulation scheme</w:t>
            </w:r>
            <w:r w:rsidR="00232C9A" w:rsidRPr="003272C7">
              <w:rPr>
                <w:rFonts w:cs="Arial"/>
                <w:b/>
                <w:bCs/>
              </w:rPr>
              <w:t>:</w:t>
            </w:r>
          </w:p>
          <w:p w14:paraId="5C6B9EA1" w14:textId="025B92D2" w:rsidR="00056652" w:rsidRPr="003272C7" w:rsidRDefault="00232C9A" w:rsidP="002F63BB">
            <w:pPr>
              <w:pStyle w:val="TableBullet"/>
              <w:rPr>
                <w:rFonts w:cs="Arial"/>
              </w:rPr>
            </w:pPr>
            <w:r w:rsidRPr="003272C7">
              <w:rPr>
                <w:rFonts w:cs="Arial"/>
              </w:rPr>
              <w:t>Provided</w:t>
            </w:r>
            <w:r w:rsidR="00056652" w:rsidRPr="003272C7">
              <w:rPr>
                <w:rFonts w:cs="Arial"/>
              </w:rPr>
              <w:t xml:space="preserve"> input on the Victorian component of an interstate broker regulation scheme that delivers an agreed interstate standard of conduct, submitted feedback on a draft Bill to amend the Commonwealth Water Act 2007 to insert a framework for a mandatory Intermediaries Code (the Code) and ensured Victoria was represented at interjurisdictional meetings to discuss the development of the Code (this work also aligned to the Water Market Reform Roadmap which was delivered as part of the </w:t>
            </w:r>
            <w:r w:rsidRPr="003272C7">
              <w:rPr>
                <w:rFonts w:cs="Arial"/>
              </w:rPr>
              <w:t xml:space="preserve">WRS4: Water Market Transparency </w:t>
            </w:r>
            <w:r w:rsidR="00056652" w:rsidRPr="003272C7">
              <w:rPr>
                <w:rFonts w:cs="Arial"/>
              </w:rPr>
              <w:t>projec</w:t>
            </w:r>
            <w:r w:rsidRPr="003272C7">
              <w:rPr>
                <w:rFonts w:cs="Arial"/>
              </w:rPr>
              <w:t>t.</w:t>
            </w:r>
          </w:p>
          <w:p w14:paraId="27B16A4B" w14:textId="44FC1317" w:rsidR="00056652" w:rsidRPr="003272C7" w:rsidRDefault="00056652" w:rsidP="002F63BB">
            <w:pPr>
              <w:pStyle w:val="TableBullet"/>
              <w:rPr>
                <w:rFonts w:cs="Arial"/>
              </w:rPr>
            </w:pPr>
            <w:r w:rsidRPr="003272C7">
              <w:rPr>
                <w:rFonts w:cs="Arial"/>
              </w:rPr>
              <w:lastRenderedPageBreak/>
              <w:t>Prepared intergovernmental briefing materials for Victorian representatives to support the above</w:t>
            </w:r>
            <w:r w:rsidR="00232C9A" w:rsidRPr="003272C7">
              <w:rPr>
                <w:rFonts w:cs="Arial"/>
              </w:rPr>
              <w:t>.</w:t>
            </w:r>
          </w:p>
          <w:p w14:paraId="5C4796FC" w14:textId="40F3DE0C" w:rsidR="00056652" w:rsidRPr="003272C7" w:rsidRDefault="00056652" w:rsidP="002F63BB">
            <w:pPr>
              <w:pStyle w:val="TableNumber"/>
              <w:rPr>
                <w:rFonts w:cs="Arial"/>
                <w:b/>
                <w:bCs/>
              </w:rPr>
            </w:pPr>
            <w:r w:rsidRPr="003272C7">
              <w:rPr>
                <w:rFonts w:cs="Arial"/>
                <w:b/>
                <w:bCs/>
              </w:rPr>
              <w:t>Murray operations and delivery risks</w:t>
            </w:r>
            <w:r w:rsidR="00232C9A" w:rsidRPr="003272C7">
              <w:rPr>
                <w:rFonts w:cs="Arial"/>
                <w:b/>
                <w:bCs/>
              </w:rPr>
              <w:t>:</w:t>
            </w:r>
          </w:p>
          <w:p w14:paraId="6BA364E4" w14:textId="77777777" w:rsidR="00142559" w:rsidRPr="003272C7" w:rsidRDefault="00056652" w:rsidP="003234DD">
            <w:pPr>
              <w:pStyle w:val="TableTextBold"/>
              <w:rPr>
                <w:rFonts w:cs="Arial"/>
              </w:rPr>
            </w:pPr>
            <w:r w:rsidRPr="003272C7">
              <w:rPr>
                <w:rFonts w:cs="Arial"/>
              </w:rPr>
              <w:t>2A: Improving community understanding of Murray operations and delivery risk</w:t>
            </w:r>
          </w:p>
          <w:p w14:paraId="3BC76836" w14:textId="1F5BE77E" w:rsidR="00056652" w:rsidRPr="003272C7" w:rsidRDefault="00056652" w:rsidP="002F63BB">
            <w:pPr>
              <w:pStyle w:val="TableBullet"/>
              <w:rPr>
                <w:rFonts w:cs="Arial"/>
              </w:rPr>
            </w:pPr>
            <w:r w:rsidRPr="003272C7">
              <w:rPr>
                <w:rFonts w:cs="Arial"/>
              </w:rPr>
              <w:t xml:space="preserve">Prepared communication tools and materials for delivery risks to disseminate community information and updates on delivery risks in the River Murray system. This included developing the </w:t>
            </w:r>
            <w:hyperlink r:id="rId29" w:tgtFrame="_blank" w:history="1">
              <w:r w:rsidRPr="003272C7">
                <w:rPr>
                  <w:rStyle w:val="Hyperlink"/>
                  <w:rFonts w:cs="Arial"/>
                </w:rPr>
                <w:t>Victorian River Murray Shortfall Response Plan</w:t>
              </w:r>
            </w:hyperlink>
            <w:r w:rsidRPr="003272C7">
              <w:rPr>
                <w:rFonts w:cs="Arial"/>
              </w:rPr>
              <w:t xml:space="preserve"> to provide confidence and transparency in shortfall risk event management</w:t>
            </w:r>
          </w:p>
          <w:p w14:paraId="6BF5A35A" w14:textId="72DB76E1" w:rsidR="00056652" w:rsidRPr="003272C7" w:rsidRDefault="00056652" w:rsidP="002F63BB">
            <w:pPr>
              <w:pStyle w:val="TableBullet"/>
              <w:rPr>
                <w:rFonts w:cs="Arial"/>
              </w:rPr>
            </w:pPr>
            <w:r w:rsidRPr="003272C7">
              <w:rPr>
                <w:rFonts w:cs="Arial"/>
              </w:rPr>
              <w:t xml:space="preserve">Initiated annual workshops with </w:t>
            </w:r>
            <w:r w:rsidR="00232C9A" w:rsidRPr="003272C7">
              <w:rPr>
                <w:rFonts w:cs="Arial"/>
              </w:rPr>
              <w:t>a</w:t>
            </w:r>
            <w:r w:rsidRPr="003272C7">
              <w:rPr>
                <w:rFonts w:cs="Arial"/>
              </w:rPr>
              <w:t xml:space="preserve">uthorities including Victorian </w:t>
            </w:r>
            <w:r w:rsidR="00232C9A" w:rsidRPr="003272C7">
              <w:rPr>
                <w:rFonts w:cs="Arial"/>
              </w:rPr>
              <w:t>s</w:t>
            </w:r>
            <w:r w:rsidRPr="003272C7">
              <w:rPr>
                <w:rFonts w:cs="Arial"/>
              </w:rPr>
              <w:t xml:space="preserve">tate </w:t>
            </w:r>
            <w:r w:rsidR="00232C9A" w:rsidRPr="003272C7">
              <w:rPr>
                <w:rFonts w:cs="Arial"/>
              </w:rPr>
              <w:t>a</w:t>
            </w:r>
            <w:r w:rsidRPr="003272C7">
              <w:rPr>
                <w:rFonts w:cs="Arial"/>
              </w:rPr>
              <w:t xml:space="preserve">uthorities (e.g. Agriculture Victoria), </w:t>
            </w:r>
            <w:r w:rsidR="00232C9A" w:rsidRPr="003272C7">
              <w:rPr>
                <w:rFonts w:cs="Arial"/>
              </w:rPr>
              <w:t>r</w:t>
            </w:r>
            <w:r w:rsidRPr="003272C7">
              <w:rPr>
                <w:rFonts w:cs="Arial"/>
              </w:rPr>
              <w:t xml:space="preserve">ural </w:t>
            </w:r>
            <w:r w:rsidR="00232C9A" w:rsidRPr="003272C7">
              <w:rPr>
                <w:rFonts w:cs="Arial"/>
              </w:rPr>
              <w:t>w</w:t>
            </w:r>
            <w:r w:rsidRPr="003272C7">
              <w:rPr>
                <w:rFonts w:cs="Arial"/>
              </w:rPr>
              <w:t xml:space="preserve">ater </w:t>
            </w:r>
            <w:r w:rsidR="00232C9A" w:rsidRPr="003272C7">
              <w:rPr>
                <w:rFonts w:cs="Arial"/>
              </w:rPr>
              <w:t>c</w:t>
            </w:r>
            <w:r w:rsidRPr="003272C7">
              <w:rPr>
                <w:rFonts w:cs="Arial"/>
              </w:rPr>
              <w:t xml:space="preserve">orporations, </w:t>
            </w:r>
            <w:r w:rsidR="00232C9A" w:rsidRPr="003272C7">
              <w:rPr>
                <w:rFonts w:cs="Arial"/>
              </w:rPr>
              <w:t>e</w:t>
            </w:r>
            <w:r w:rsidRPr="003272C7">
              <w:rPr>
                <w:rFonts w:cs="Arial"/>
              </w:rPr>
              <w:t>nvironmental</w:t>
            </w:r>
            <w:r w:rsidR="00232C9A" w:rsidRPr="003272C7">
              <w:rPr>
                <w:rFonts w:cs="Arial"/>
              </w:rPr>
              <w:t xml:space="preserve"> w</w:t>
            </w:r>
            <w:r w:rsidRPr="003272C7">
              <w:rPr>
                <w:rFonts w:cs="Arial"/>
              </w:rPr>
              <w:t xml:space="preserve">ater </w:t>
            </w:r>
            <w:r w:rsidR="00232C9A" w:rsidRPr="003272C7">
              <w:rPr>
                <w:rFonts w:cs="Arial"/>
              </w:rPr>
              <w:t>h</w:t>
            </w:r>
            <w:r w:rsidRPr="003272C7">
              <w:rPr>
                <w:rFonts w:cs="Arial"/>
              </w:rPr>
              <w:t>olders, the MDBA and Basin States to build clear and consistent messaging on delivery risks to community water market participants</w:t>
            </w:r>
            <w:r w:rsidR="00232C9A" w:rsidRPr="003272C7">
              <w:rPr>
                <w:rFonts w:cs="Arial"/>
              </w:rPr>
              <w:t>.</w:t>
            </w:r>
          </w:p>
          <w:p w14:paraId="49889554" w14:textId="23124D4E" w:rsidR="00056652" w:rsidRPr="003272C7" w:rsidRDefault="00056652" w:rsidP="002F63BB">
            <w:pPr>
              <w:pStyle w:val="TableBullet"/>
              <w:rPr>
                <w:rFonts w:cs="Arial"/>
              </w:rPr>
            </w:pPr>
            <w:r w:rsidRPr="003272C7">
              <w:rPr>
                <w:rFonts w:cs="Arial"/>
              </w:rPr>
              <w:t>Completed assessment of annual reports on applications for water extraction from the River Murray system in the lower Murray region</w:t>
            </w:r>
            <w:r w:rsidR="00232C9A" w:rsidRPr="003272C7">
              <w:rPr>
                <w:rFonts w:cs="Arial"/>
              </w:rPr>
              <w:t>.</w:t>
            </w:r>
          </w:p>
          <w:p w14:paraId="17D58512" w14:textId="06C9F0F0" w:rsidR="00056652" w:rsidRPr="003272C7" w:rsidRDefault="00056652" w:rsidP="002F63BB">
            <w:pPr>
              <w:pStyle w:val="TableBullet"/>
              <w:rPr>
                <w:rFonts w:cs="Arial"/>
              </w:rPr>
            </w:pPr>
            <w:r w:rsidRPr="003272C7">
              <w:rPr>
                <w:rFonts w:cs="Arial"/>
              </w:rPr>
              <w:t>Completed ‘Closing the Loop’ feedback report addressing concerns from stakeholders and water users on management and communication of delivery risks</w:t>
            </w:r>
            <w:r w:rsidR="00232C9A" w:rsidRPr="003272C7">
              <w:rPr>
                <w:rFonts w:cs="Arial"/>
              </w:rPr>
              <w:t>.</w:t>
            </w:r>
          </w:p>
          <w:p w14:paraId="755EB6F0" w14:textId="77777777" w:rsidR="00056652" w:rsidRPr="003272C7" w:rsidRDefault="00056652" w:rsidP="00141D95">
            <w:pPr>
              <w:pStyle w:val="TableTextBold"/>
              <w:rPr>
                <w:rFonts w:cs="Arial"/>
              </w:rPr>
            </w:pPr>
            <w:r w:rsidRPr="003272C7">
              <w:rPr>
                <w:rFonts w:cs="Arial"/>
              </w:rPr>
              <w:t>2B: Managing delivery shortfall risk</w:t>
            </w:r>
          </w:p>
          <w:p w14:paraId="4D9D0641" w14:textId="25138860" w:rsidR="00056652" w:rsidRPr="003272C7" w:rsidRDefault="00056652" w:rsidP="002F63BB">
            <w:pPr>
              <w:pStyle w:val="TableBullet"/>
              <w:rPr>
                <w:rFonts w:cs="Arial"/>
              </w:rPr>
            </w:pPr>
            <w:r w:rsidRPr="003272C7">
              <w:rPr>
                <w:rFonts w:cs="Arial"/>
              </w:rPr>
              <w:t xml:space="preserve">Supported the Minister of Water’s determination of 218 lower Murray works licence applications and completed final works licence application assessments before the Place of Take (PoT) framework replaced this requirement (see </w:t>
            </w:r>
            <w:r w:rsidR="00232C9A" w:rsidRPr="003272C7">
              <w:rPr>
                <w:rFonts w:cs="Arial"/>
              </w:rPr>
              <w:t xml:space="preserve">WRS1: Retail Entitlements and Markets </w:t>
            </w:r>
            <w:r w:rsidRPr="003272C7">
              <w:rPr>
                <w:rFonts w:cs="Arial"/>
              </w:rPr>
              <w:t>for PoT framework output)</w:t>
            </w:r>
            <w:r w:rsidR="00232C9A" w:rsidRPr="003272C7">
              <w:rPr>
                <w:rFonts w:cs="Arial"/>
              </w:rPr>
              <w:t>.</w:t>
            </w:r>
          </w:p>
          <w:p w14:paraId="4438AB6E" w14:textId="77777777" w:rsidR="00142559" w:rsidRPr="003272C7" w:rsidRDefault="00056652" w:rsidP="002F63BB">
            <w:pPr>
              <w:pStyle w:val="TableBullet"/>
              <w:rPr>
                <w:rFonts w:cs="Arial"/>
              </w:rPr>
            </w:pPr>
            <w:r w:rsidRPr="003272C7">
              <w:rPr>
                <w:rFonts w:cs="Arial"/>
              </w:rPr>
              <w:t>Actively worked with Basin agencies to monitor and manage shortfall risks and, ultimately, established interim shortfall sharing arrangements for bulk, urban and environmental water holders for 2023-24. Supporting activities included active monitoring of river operational risks with the MDBA and water corporations; participating in the interjurisdictional Capacity Policy Working Group to understand, mitigate, manage and respond to shortfall risks; helping to coordinate cross-state crop area mapping to better understand future crop demands; and reviewing infrastructure and operation options to resolve known risks identified in the Barmah-Millewa Feasibility Study through the Barmah-Millewa Program</w:t>
            </w:r>
            <w:r w:rsidR="00232C9A" w:rsidRPr="003272C7">
              <w:rPr>
                <w:rFonts w:cs="Arial"/>
              </w:rPr>
              <w:t>.</w:t>
            </w:r>
          </w:p>
          <w:p w14:paraId="25047E59" w14:textId="23530D79" w:rsidR="00056652" w:rsidRPr="003272C7" w:rsidRDefault="00056652" w:rsidP="00035D7F">
            <w:pPr>
              <w:pStyle w:val="TableHeading"/>
              <w:rPr>
                <w:rFonts w:cs="Arial"/>
              </w:rPr>
            </w:pPr>
            <w:r w:rsidRPr="003272C7">
              <w:rPr>
                <w:rFonts w:cs="Arial"/>
              </w:rPr>
              <w:t>2C: Environmental, Cultural and Recreational Assessments for the lower Goulburn River and surrounding areas</w:t>
            </w:r>
          </w:p>
          <w:p w14:paraId="0654D420" w14:textId="77777777" w:rsidR="00142559" w:rsidRPr="003272C7" w:rsidRDefault="00056652" w:rsidP="002F63BB">
            <w:pPr>
              <w:pStyle w:val="TableBullet"/>
              <w:rPr>
                <w:rFonts w:cs="Arial"/>
              </w:rPr>
            </w:pPr>
            <w:r w:rsidRPr="003272C7">
              <w:rPr>
                <w:rFonts w:cs="Arial"/>
              </w:rPr>
              <w:t>Conducted environmental sampling on the lower Goulburn River, Lower Broken Creek and Campaspe River to better understand the potential effects of a new flow regime for the delivery of traded and environmental water. This, included convening a Scientific Advisory Panel (SAP) to assess the ecological risks and opportunities of different operating rules for the lower Goulburn. Annual SAP reports were finalised and published, including monitoring reports for the lower Goulburn River and Lower Broken Creek. The Lower Goulburn Flows Collaborative Partnership Group was also established to bring together key organisations involved in monitoring environmental and cultural impacts of the operating rules.</w:t>
            </w:r>
          </w:p>
          <w:p w14:paraId="5E6EC423" w14:textId="77777777" w:rsidR="00142559" w:rsidRPr="003272C7" w:rsidRDefault="00056652" w:rsidP="002F63BB">
            <w:pPr>
              <w:pStyle w:val="TableBullet"/>
              <w:rPr>
                <w:rFonts w:cs="Arial"/>
              </w:rPr>
            </w:pPr>
            <w:r w:rsidRPr="003272C7">
              <w:rPr>
                <w:rFonts w:cs="Arial"/>
              </w:rPr>
              <w:t>Completed Aboriginal Water Assessments, and undertook annual surveys on culturally significant locations for the Goulburn River, Broken Creek and Campaspe. DEECA also facilitated meetings and two-way learning between scientists and Traditional Owners.</w:t>
            </w:r>
          </w:p>
          <w:p w14:paraId="2BC2D2F7" w14:textId="77777777" w:rsidR="00142559" w:rsidRPr="003272C7" w:rsidRDefault="00056652" w:rsidP="002F63BB">
            <w:pPr>
              <w:pStyle w:val="TableBullet"/>
              <w:rPr>
                <w:rFonts w:cs="Arial"/>
              </w:rPr>
            </w:pPr>
            <w:r w:rsidRPr="003272C7">
              <w:rPr>
                <w:rFonts w:cs="Arial"/>
              </w:rPr>
              <w:t>Consulted with recreational fishing representation groups (e.g. Victorian Fisheries Authority) to assess impacts to recreational fishing access.</w:t>
            </w:r>
          </w:p>
          <w:p w14:paraId="21F51987" w14:textId="77777777" w:rsidR="00142559" w:rsidRPr="003272C7" w:rsidRDefault="00056652" w:rsidP="002F63BB">
            <w:pPr>
              <w:pStyle w:val="TableBullet"/>
              <w:rPr>
                <w:rFonts w:cs="Arial"/>
              </w:rPr>
            </w:pPr>
            <w:r w:rsidRPr="003272C7">
              <w:rPr>
                <w:rFonts w:cs="Arial"/>
              </w:rPr>
              <w:t>Produced a report (2022) with Goulburn Broken CMA and Streamology on the social values of recreational site availability (e.g. sandbars), and the effects of different flow regimes and operating rule settings, in the lower Goulburn River.</w:t>
            </w:r>
          </w:p>
          <w:p w14:paraId="6D6C4FC8" w14:textId="7AE79968" w:rsidR="00B242C3" w:rsidRPr="003272C7" w:rsidRDefault="00056652" w:rsidP="002F63BB">
            <w:pPr>
              <w:pStyle w:val="TableBullet"/>
              <w:rPr>
                <w:rFonts w:cs="Arial"/>
              </w:rPr>
            </w:pPr>
            <w:r w:rsidRPr="003272C7">
              <w:rPr>
                <w:rFonts w:cs="Arial"/>
              </w:rPr>
              <w:t>Used the environmental, cultural and recreational assessments and information listed above to evaluate the effect of inter-valley trade and proposed operating rules for the Goulburn River on these values </w:t>
            </w:r>
          </w:p>
        </w:tc>
      </w:tr>
      <w:tr w:rsidR="00B242C3" w:rsidRPr="003272C7" w14:paraId="237617CA" w14:textId="77777777" w:rsidTr="000452FB">
        <w:trPr>
          <w:trHeight w:val="251"/>
        </w:trPr>
        <w:tc>
          <w:tcPr>
            <w:tcW w:w="5000" w:type="pct"/>
            <w:gridSpan w:val="2"/>
            <w:shd w:val="clear" w:color="auto" w:fill="231EDC" w:themeFill="accent1"/>
          </w:tcPr>
          <w:p w14:paraId="271D208A" w14:textId="77777777" w:rsidR="00B242C3" w:rsidRPr="003272C7" w:rsidRDefault="00B242C3" w:rsidP="000452FB">
            <w:pPr>
              <w:pStyle w:val="TableText"/>
              <w:rPr>
                <w:rFonts w:cs="Arial"/>
                <w:b/>
                <w:bCs/>
              </w:rPr>
            </w:pPr>
            <w:r w:rsidRPr="003272C7">
              <w:rPr>
                <w:rFonts w:cs="Arial"/>
                <w:b/>
                <w:bCs/>
              </w:rPr>
              <w:lastRenderedPageBreak/>
              <w:t>Summary against evaluation domains</w:t>
            </w:r>
          </w:p>
        </w:tc>
      </w:tr>
      <w:tr w:rsidR="00B242C3" w:rsidRPr="003272C7" w14:paraId="378FF1CA" w14:textId="77777777" w:rsidTr="00142559">
        <w:trPr>
          <w:trHeight w:val="259"/>
        </w:trPr>
        <w:tc>
          <w:tcPr>
            <w:tcW w:w="979" w:type="pct"/>
            <w:shd w:val="clear" w:color="auto" w:fill="231EDC" w:themeFill="accent1"/>
          </w:tcPr>
          <w:p w14:paraId="047B6911" w14:textId="77777777" w:rsidR="00B242C3" w:rsidRPr="003272C7" w:rsidRDefault="00B242C3" w:rsidP="00035D7F">
            <w:pPr>
              <w:pStyle w:val="TableText"/>
              <w:rPr>
                <w:rFonts w:cs="Arial"/>
                <w:b/>
                <w:bCs/>
              </w:rPr>
            </w:pPr>
            <w:r w:rsidRPr="003272C7">
              <w:rPr>
                <w:rFonts w:cs="Arial"/>
                <w:b/>
                <w:bCs/>
              </w:rPr>
              <w:t>Impact</w:t>
            </w:r>
          </w:p>
        </w:tc>
        <w:tc>
          <w:tcPr>
            <w:tcW w:w="4021" w:type="pct"/>
          </w:tcPr>
          <w:p w14:paraId="4D3AE6C8" w14:textId="77777777" w:rsidR="0077074D" w:rsidRPr="003272C7" w:rsidRDefault="0077074D" w:rsidP="002F63BB">
            <w:pPr>
              <w:pStyle w:val="TableBullet"/>
              <w:rPr>
                <w:rFonts w:cs="Arial"/>
              </w:rPr>
            </w:pPr>
            <w:r w:rsidRPr="003272C7">
              <w:rPr>
                <w:rFonts w:cs="Arial"/>
              </w:rPr>
              <w:t>The project has supported the security of Victoria’s water system by providing confidence and a level of certainty on how shortfall risks will be managed. Interim shortfall sharing arrangements have been put in place to support the system’s resilience to any emerging capacity and delivery risks in 2024. This also supports efficient water use by underpinning the security of the water market, which in turn, enables efficient, effective resource sharing.</w:t>
            </w:r>
          </w:p>
          <w:p w14:paraId="797C65DC" w14:textId="3754077E" w:rsidR="00142559" w:rsidRPr="003272C7" w:rsidRDefault="0077074D" w:rsidP="002F63BB">
            <w:pPr>
              <w:pStyle w:val="TableBullet"/>
              <w:rPr>
                <w:rFonts w:cs="Arial"/>
              </w:rPr>
            </w:pPr>
            <w:r w:rsidRPr="003272C7">
              <w:rPr>
                <w:rFonts w:cs="Arial"/>
              </w:rPr>
              <w:t>The project directly supports the effectiveness of water governance by providing greater consistency of regulation of water brokers across states. The ACCC recognised Victoria’s leading position in many areas of its Murray-Darling Basin</w:t>
            </w:r>
            <w:r w:rsidR="00811A44" w:rsidRPr="003272C7">
              <w:rPr>
                <w:rFonts w:cs="Arial"/>
              </w:rPr>
              <w:t> </w:t>
            </w:r>
            <w:r w:rsidRPr="003272C7">
              <w:rPr>
                <w:rFonts w:cs="Arial"/>
              </w:rPr>
              <w:t>water market inquiry, including Victoria’s transparency of water market</w:t>
            </w:r>
            <w:r w:rsidR="00811A44" w:rsidRPr="003272C7">
              <w:rPr>
                <w:rFonts w:cs="Arial"/>
              </w:rPr>
              <w:t> </w:t>
            </w:r>
            <w:r w:rsidRPr="003272C7">
              <w:rPr>
                <w:rFonts w:cs="Arial"/>
              </w:rPr>
              <w:t>intermediaries.</w:t>
            </w:r>
          </w:p>
          <w:p w14:paraId="72F409C0" w14:textId="77777777" w:rsidR="00142559" w:rsidRPr="003272C7" w:rsidRDefault="0077074D" w:rsidP="002F63BB">
            <w:pPr>
              <w:pStyle w:val="TableBullet"/>
              <w:rPr>
                <w:rFonts w:cs="Arial"/>
              </w:rPr>
            </w:pPr>
            <w:r w:rsidRPr="003272C7">
              <w:rPr>
                <w:rFonts w:cs="Arial"/>
              </w:rPr>
              <w:t xml:space="preserve">The project has also improved data availability and understanding of environmental, cultural and recreational impacts of operating rules in the lower Goulburn River, Lower Broken Creek and Campaspe River. This has provided information to inform improved trade and operating rules in the Goulburn that reduce risks to waterway and catchment health and incorporate social and cultural values, while also meeting irrigation and consumptive water use demands (see </w:t>
            </w:r>
            <w:r w:rsidR="00232C9A" w:rsidRPr="003272C7">
              <w:rPr>
                <w:rFonts w:cs="Arial"/>
              </w:rPr>
              <w:t xml:space="preserve">WRS1: Retail Entitlements and Markets </w:t>
            </w:r>
            <w:r w:rsidRPr="003272C7">
              <w:rPr>
                <w:rFonts w:cs="Arial"/>
              </w:rPr>
              <w:t>evaluation report for specific impacts from the Goulburn trade review and new rules). Long-term monitoring will improve decision-making over time.</w:t>
            </w:r>
          </w:p>
          <w:p w14:paraId="088A2A93" w14:textId="02C725D0" w:rsidR="00B242C3" w:rsidRPr="003272C7" w:rsidRDefault="0077074D" w:rsidP="002F63BB">
            <w:pPr>
              <w:pStyle w:val="TableBullet"/>
              <w:rPr>
                <w:rFonts w:cs="Arial"/>
              </w:rPr>
            </w:pPr>
            <w:r w:rsidRPr="003272C7">
              <w:rPr>
                <w:rFonts w:cs="Arial"/>
              </w:rPr>
              <w:t>The project has increased opportunities for a Traditional Owner voice in River Operations. Two-way learning events were facilitated among Traditional Owners and the SAP, as well as ongoing opportunities for mutual learning and connection with DEECA, waterway managers and river operators. Following the commencement of the operating rules in 2022, governance arrangements were</w:t>
            </w:r>
            <w:r w:rsidR="00811A44" w:rsidRPr="003272C7">
              <w:rPr>
                <w:rFonts w:cs="Arial"/>
              </w:rPr>
              <w:t> </w:t>
            </w:r>
            <w:r w:rsidRPr="003272C7">
              <w:rPr>
                <w:rFonts w:cs="Arial"/>
              </w:rPr>
              <w:t>renewed via co-design with Traditional Owners to provide oversight over the</w:t>
            </w:r>
            <w:r w:rsidR="00811A44" w:rsidRPr="003272C7">
              <w:rPr>
                <w:rFonts w:cs="Arial"/>
              </w:rPr>
              <w:t> </w:t>
            </w:r>
            <w:r w:rsidRPr="003272C7">
              <w:rPr>
                <w:rFonts w:cs="Arial"/>
              </w:rPr>
              <w:t>rules.</w:t>
            </w:r>
            <w:r w:rsidR="00B242C3" w:rsidRPr="003272C7">
              <w:rPr>
                <w:rFonts w:cs="Arial"/>
              </w:rPr>
              <w:t xml:space="preserve"> </w:t>
            </w:r>
          </w:p>
        </w:tc>
      </w:tr>
      <w:tr w:rsidR="00B242C3" w:rsidRPr="003272C7" w14:paraId="7AE195FB" w14:textId="77777777" w:rsidTr="00142559">
        <w:trPr>
          <w:trHeight w:val="259"/>
        </w:trPr>
        <w:tc>
          <w:tcPr>
            <w:tcW w:w="979" w:type="pct"/>
            <w:shd w:val="clear" w:color="auto" w:fill="231EDC" w:themeFill="accent1"/>
          </w:tcPr>
          <w:p w14:paraId="283BA88D" w14:textId="77777777" w:rsidR="00B242C3" w:rsidRPr="003272C7" w:rsidRDefault="00B242C3" w:rsidP="00035D7F">
            <w:pPr>
              <w:pStyle w:val="TableText"/>
              <w:rPr>
                <w:rFonts w:cs="Arial"/>
                <w:b/>
                <w:bCs/>
              </w:rPr>
            </w:pPr>
            <w:r w:rsidRPr="003272C7">
              <w:rPr>
                <w:rFonts w:cs="Arial"/>
                <w:b/>
                <w:bCs/>
              </w:rPr>
              <w:t>Effectiveness</w:t>
            </w:r>
          </w:p>
        </w:tc>
        <w:tc>
          <w:tcPr>
            <w:tcW w:w="4021" w:type="pct"/>
          </w:tcPr>
          <w:p w14:paraId="1851E0E0" w14:textId="77777777" w:rsidR="00142559" w:rsidRPr="003272C7" w:rsidRDefault="004860EA" w:rsidP="002F63BB">
            <w:pPr>
              <w:pStyle w:val="TableBullet"/>
              <w:rPr>
                <w:rFonts w:cs="Arial"/>
              </w:rPr>
            </w:pPr>
            <w:r w:rsidRPr="003272C7">
              <w:rPr>
                <w:rFonts w:cs="Arial"/>
              </w:rPr>
              <w:t>The overall project has met a number of targets and progressed important work in collaboration with the other Basin states, which will benefit Victoria in the short and long term.</w:t>
            </w:r>
          </w:p>
          <w:p w14:paraId="25BE3143" w14:textId="7A12C9E1" w:rsidR="00142559" w:rsidRPr="003272C7" w:rsidRDefault="004860EA" w:rsidP="002F63BB">
            <w:pPr>
              <w:pStyle w:val="TableBullet"/>
              <w:rPr>
                <w:rFonts w:cs="Arial"/>
              </w:rPr>
            </w:pPr>
            <w:r w:rsidRPr="003272C7">
              <w:rPr>
                <w:rFonts w:cs="Arial"/>
              </w:rPr>
              <w:t xml:space="preserve">The project successfully developed foundational data that was used to inform effective decision-making and long-term reform of Goulburn to Murray Trade rules (see </w:t>
            </w:r>
            <w:r w:rsidR="00232C9A" w:rsidRPr="003272C7">
              <w:rPr>
                <w:rFonts w:cs="Arial"/>
              </w:rPr>
              <w:t>WRS1: Retail Entitlements and Markets</w:t>
            </w:r>
            <w:r w:rsidRPr="003272C7">
              <w:rPr>
                <w:rFonts w:cs="Arial"/>
              </w:rPr>
              <w:t xml:space="preserve">). Initial monitoring results from the </w:t>
            </w:r>
            <w:hyperlink r:id="rId30" w:tgtFrame="_blank" w:history="1">
              <w:r w:rsidRPr="003272C7">
                <w:rPr>
                  <w:rStyle w:val="Hyperlink"/>
                  <w:rFonts w:cs="Arial"/>
                </w:rPr>
                <w:t>2022-23 Scientific Advisory Panel</w:t>
              </w:r>
            </w:hyperlink>
            <w:r w:rsidRPr="003272C7">
              <w:rPr>
                <w:rFonts w:cs="Arial"/>
              </w:rPr>
              <w:t xml:space="preserve"> on the Goulburn to Murray Trade rules indicate a positive environmental response in the lower Goulburn since the rules were introduced in 2022. The wet conditions so far have meant that the effectiveness of the rules has yet to be tested in years of high IVT demand. There has also been greater trade opportunity from the Goulburn to the Murray under the new rules than expected, which is a positive outcome for Murray irrigators.</w:t>
            </w:r>
          </w:p>
          <w:p w14:paraId="13BDFEB8" w14:textId="7D1EE82E" w:rsidR="00B242C3" w:rsidRPr="003272C7" w:rsidRDefault="004860EA" w:rsidP="002F63BB">
            <w:pPr>
              <w:pStyle w:val="TableBullet"/>
              <w:rPr>
                <w:rFonts w:cs="Arial"/>
              </w:rPr>
            </w:pPr>
            <w:r w:rsidRPr="003272C7">
              <w:rPr>
                <w:rFonts w:cs="Arial"/>
              </w:rPr>
              <w:t>Draft broker regulations have been released that will support better water market transparency and confidence once implemented. Interim shortfall sharing arrangements provide arrangements to effectively manage capacity and delivery risks in 2024. </w:t>
            </w:r>
          </w:p>
        </w:tc>
      </w:tr>
      <w:tr w:rsidR="00B242C3" w:rsidRPr="003272C7" w14:paraId="26967E15" w14:textId="77777777" w:rsidTr="00142559">
        <w:trPr>
          <w:trHeight w:val="259"/>
        </w:trPr>
        <w:tc>
          <w:tcPr>
            <w:tcW w:w="979" w:type="pct"/>
            <w:shd w:val="clear" w:color="auto" w:fill="231EDC" w:themeFill="accent1"/>
          </w:tcPr>
          <w:p w14:paraId="3B43C6C7" w14:textId="77777777" w:rsidR="00B242C3" w:rsidRPr="003272C7" w:rsidRDefault="00B242C3" w:rsidP="00035D7F">
            <w:pPr>
              <w:pStyle w:val="TableText"/>
              <w:rPr>
                <w:rFonts w:cs="Arial"/>
                <w:b/>
                <w:bCs/>
              </w:rPr>
            </w:pPr>
            <w:r w:rsidRPr="003272C7">
              <w:rPr>
                <w:rFonts w:cs="Arial"/>
                <w:b/>
                <w:bCs/>
              </w:rPr>
              <w:t>Appropriateness</w:t>
            </w:r>
          </w:p>
        </w:tc>
        <w:tc>
          <w:tcPr>
            <w:tcW w:w="4021" w:type="pct"/>
          </w:tcPr>
          <w:p w14:paraId="1B42533B" w14:textId="1CDC2DDB" w:rsidR="00B242C3" w:rsidRPr="003272C7" w:rsidRDefault="004860EA" w:rsidP="00035D7F">
            <w:pPr>
              <w:pStyle w:val="TableText"/>
              <w:rPr>
                <w:rFonts w:cs="Arial"/>
              </w:rPr>
            </w:pPr>
            <w:r w:rsidRPr="003272C7">
              <w:rPr>
                <w:rFonts w:cs="Arial"/>
              </w:rPr>
              <w:t>This project directly aligns with key management strategies includin</w:t>
            </w:r>
            <w:r w:rsidR="00987A84" w:rsidRPr="003272C7">
              <w:rPr>
                <w:rFonts w:cs="Arial"/>
              </w:rPr>
              <w:t>g</w:t>
            </w:r>
            <w:r w:rsidR="00B242C3" w:rsidRPr="003272C7">
              <w:rPr>
                <w:rFonts w:cs="Arial"/>
              </w:rPr>
              <w:t xml:space="preserve"> actions in Chapter 9 of Water for Victoria, </w:t>
            </w:r>
            <w:r w:rsidR="00987A84" w:rsidRPr="003272C7">
              <w:rPr>
                <w:rFonts w:cs="Arial"/>
              </w:rPr>
              <w:t>in particular actions 9.3 – Improving water market effectiveness, 9.4 – Improving Water Market Information and 9.6 – Improving Trading Rules in Northern Victoria</w:t>
            </w:r>
            <w:r w:rsidR="007E5BE8" w:rsidRPr="003272C7">
              <w:rPr>
                <w:rFonts w:cs="Arial"/>
              </w:rPr>
              <w:t>.</w:t>
            </w:r>
          </w:p>
          <w:p w14:paraId="290263E8" w14:textId="121E5F99" w:rsidR="000D492D" w:rsidRPr="003272C7" w:rsidRDefault="00B242C3" w:rsidP="002F63BB">
            <w:pPr>
              <w:pStyle w:val="TableBullet"/>
              <w:rPr>
                <w:rFonts w:cs="Arial"/>
              </w:rPr>
            </w:pPr>
            <w:r w:rsidRPr="003272C7">
              <w:rPr>
                <w:rFonts w:cs="Arial"/>
              </w:rPr>
              <w:t xml:space="preserve">This project also </w:t>
            </w:r>
            <w:r w:rsidR="007E5BE8" w:rsidRPr="003272C7">
              <w:rPr>
                <w:rFonts w:cs="Arial"/>
              </w:rPr>
              <w:t xml:space="preserve">supported </w:t>
            </w:r>
            <w:r w:rsidRPr="003272C7">
              <w:rPr>
                <w:rFonts w:cs="Arial"/>
              </w:rPr>
              <w:t xml:space="preserve">progress </w:t>
            </w:r>
            <w:r w:rsidR="007E5BE8" w:rsidRPr="003272C7">
              <w:rPr>
                <w:rFonts w:cs="Arial"/>
              </w:rPr>
              <w:t>of</w:t>
            </w:r>
            <w:r w:rsidRPr="003272C7">
              <w:rPr>
                <w:rFonts w:cs="Arial"/>
              </w:rPr>
              <w:t xml:space="preserve"> Victoria’s contribution to two of the four 2021 Murray–Darling Basin Ministerial Council</w:t>
            </w:r>
            <w:r w:rsidR="000D492D" w:rsidRPr="003272C7">
              <w:rPr>
                <w:rFonts w:cs="Arial"/>
              </w:rPr>
              <w:t xml:space="preserve"> priorities.</w:t>
            </w:r>
          </w:p>
          <w:p w14:paraId="7AA63B6A" w14:textId="77777777" w:rsidR="00142559" w:rsidRPr="003272C7" w:rsidRDefault="00B242C3" w:rsidP="00035D7F">
            <w:pPr>
              <w:pStyle w:val="TableNumber"/>
              <w:numPr>
                <w:ilvl w:val="0"/>
                <w:numId w:val="176"/>
              </w:numPr>
              <w:rPr>
                <w:rFonts w:cs="Arial"/>
              </w:rPr>
            </w:pPr>
            <w:r w:rsidRPr="003272C7">
              <w:rPr>
                <w:rFonts w:cs="Arial"/>
              </w:rPr>
              <w:t>delivery risks in the Murray system</w:t>
            </w:r>
          </w:p>
          <w:p w14:paraId="5A7FCC22" w14:textId="506981D2" w:rsidR="00B242C3" w:rsidRPr="003272C7" w:rsidRDefault="00B242C3" w:rsidP="00035D7F">
            <w:pPr>
              <w:pStyle w:val="TableNumber"/>
              <w:rPr>
                <w:rFonts w:cs="Arial"/>
              </w:rPr>
            </w:pPr>
            <w:r w:rsidRPr="003272C7">
              <w:rPr>
                <w:rFonts w:cs="Arial"/>
              </w:rPr>
              <w:t>timely implementation of key reforms from the ACCC Murray-Darling Basin water markets inquiry (2021).</w:t>
            </w:r>
          </w:p>
          <w:p w14:paraId="472DDBF0" w14:textId="5014B331" w:rsidR="00142559" w:rsidRPr="003272C7" w:rsidRDefault="0020153C" w:rsidP="00035D7F">
            <w:pPr>
              <w:pStyle w:val="TableText"/>
              <w:rPr>
                <w:rFonts w:cs="Arial"/>
              </w:rPr>
            </w:pPr>
            <w:r w:rsidRPr="00623380">
              <w:rPr>
                <w:rFonts w:cs="Arial"/>
              </w:rPr>
              <w:t xml:space="preserve">As part of this project, a program has been set up to continue to monitor the implementation of operating rules for the Goulburn River to build the technical </w:t>
            </w:r>
            <w:r w:rsidRPr="00623380">
              <w:rPr>
                <w:rFonts w:cs="Arial"/>
              </w:rPr>
              <w:lastRenderedPageBreak/>
              <w:t>understanding of the how the operating rules are performing under a range of</w:t>
            </w:r>
            <w:r w:rsidR="004D02C2" w:rsidRPr="003272C7">
              <w:rPr>
                <w:rFonts w:cs="Arial"/>
              </w:rPr>
              <w:t> </w:t>
            </w:r>
            <w:r w:rsidRPr="00623380">
              <w:rPr>
                <w:rFonts w:cs="Arial"/>
              </w:rPr>
              <w:t>conditions.</w:t>
            </w:r>
          </w:p>
          <w:p w14:paraId="6BAEA901" w14:textId="115A103E" w:rsidR="00B242C3" w:rsidRPr="003272C7" w:rsidRDefault="00486748" w:rsidP="002F63BB">
            <w:pPr>
              <w:pStyle w:val="TableBullet"/>
              <w:rPr>
                <w:rFonts w:cs="Arial"/>
              </w:rPr>
            </w:pPr>
            <w:r w:rsidRPr="00623380">
              <w:rPr>
                <w:rFonts w:cs="Arial"/>
              </w:rPr>
              <w:t>This is the most appropriate way to approach these problems and learning in this area and will allow the Victorian Government to improve settings over time, and enable agencies involved in river operations to adapt and apply a changed operating regime under the new rules. </w:t>
            </w:r>
          </w:p>
        </w:tc>
      </w:tr>
      <w:tr w:rsidR="00B242C3" w:rsidRPr="003272C7" w14:paraId="254842FA" w14:textId="77777777" w:rsidTr="00142559">
        <w:trPr>
          <w:trHeight w:val="259"/>
        </w:trPr>
        <w:tc>
          <w:tcPr>
            <w:tcW w:w="979" w:type="pct"/>
            <w:shd w:val="clear" w:color="auto" w:fill="231EDC" w:themeFill="accent1"/>
          </w:tcPr>
          <w:p w14:paraId="766FA2B3" w14:textId="77777777" w:rsidR="00B242C3" w:rsidRPr="003272C7" w:rsidRDefault="00B242C3" w:rsidP="00035D7F">
            <w:pPr>
              <w:pStyle w:val="TableText"/>
              <w:rPr>
                <w:rFonts w:cs="Arial"/>
                <w:b/>
                <w:bCs/>
              </w:rPr>
            </w:pPr>
            <w:r w:rsidRPr="003272C7">
              <w:rPr>
                <w:rFonts w:cs="Arial"/>
                <w:b/>
                <w:bCs/>
              </w:rPr>
              <w:lastRenderedPageBreak/>
              <w:t>Efficiency</w:t>
            </w:r>
          </w:p>
        </w:tc>
        <w:tc>
          <w:tcPr>
            <w:tcW w:w="4021" w:type="pct"/>
          </w:tcPr>
          <w:p w14:paraId="3B77F755" w14:textId="77777777" w:rsidR="00142559" w:rsidRPr="003272C7" w:rsidRDefault="00EE0C2A" w:rsidP="002F63BB">
            <w:pPr>
              <w:pStyle w:val="TableBullet"/>
              <w:rPr>
                <w:rFonts w:cs="Arial"/>
              </w:rPr>
            </w:pPr>
            <w:r w:rsidRPr="003272C7">
              <w:rPr>
                <w:rFonts w:cs="Arial"/>
              </w:rPr>
              <w:t>All individual projects have been delivered on time and on budget, indicating well developed scopes and managed projects.</w:t>
            </w:r>
          </w:p>
          <w:p w14:paraId="33C19A46" w14:textId="32748751" w:rsidR="00B242C3" w:rsidRPr="003272C7" w:rsidRDefault="00EE0C2A" w:rsidP="002F63BB">
            <w:pPr>
              <w:pStyle w:val="TableBullet"/>
              <w:rPr>
                <w:rFonts w:cs="Arial"/>
              </w:rPr>
            </w:pPr>
            <w:r w:rsidRPr="003272C7">
              <w:rPr>
                <w:rFonts w:cs="Arial"/>
              </w:rPr>
              <w:t>The investment into foundational evidence and stakeholder consultation have supported effective Goulburn to Murray trade changes, thereby reducing potential inefficiencies from implementing ineffective or unsupported changes.</w:t>
            </w:r>
          </w:p>
        </w:tc>
      </w:tr>
      <w:tr w:rsidR="00B242C3" w:rsidRPr="003272C7" w14:paraId="3C2C3809" w14:textId="77777777" w:rsidTr="00142559">
        <w:trPr>
          <w:trHeight w:val="259"/>
        </w:trPr>
        <w:tc>
          <w:tcPr>
            <w:tcW w:w="979" w:type="pct"/>
            <w:shd w:val="clear" w:color="auto" w:fill="231EDC" w:themeFill="accent1"/>
          </w:tcPr>
          <w:p w14:paraId="603E389A" w14:textId="77777777" w:rsidR="00B242C3" w:rsidRPr="003272C7" w:rsidRDefault="00B242C3" w:rsidP="00035D7F">
            <w:pPr>
              <w:pStyle w:val="TableText"/>
              <w:rPr>
                <w:rFonts w:cs="Arial"/>
                <w:b/>
                <w:bCs/>
              </w:rPr>
            </w:pPr>
            <w:r w:rsidRPr="003272C7">
              <w:rPr>
                <w:rFonts w:cs="Arial"/>
                <w:b/>
                <w:bCs/>
              </w:rPr>
              <w:t>Legacy</w:t>
            </w:r>
          </w:p>
        </w:tc>
        <w:tc>
          <w:tcPr>
            <w:tcW w:w="4021" w:type="pct"/>
          </w:tcPr>
          <w:p w14:paraId="4E0E463C" w14:textId="42D663F9" w:rsidR="00B242C3" w:rsidRPr="003272C7" w:rsidRDefault="00B242C3" w:rsidP="002F63BB">
            <w:pPr>
              <w:pStyle w:val="TableBullet"/>
              <w:rPr>
                <w:rFonts w:cs="Arial"/>
              </w:rPr>
            </w:pPr>
            <w:r w:rsidRPr="003272C7">
              <w:rPr>
                <w:rFonts w:cs="Arial"/>
              </w:rPr>
              <w:t>The introduction of a framework for the Intermediaries Code in the Water Act 2007 (</w:t>
            </w:r>
            <w:r w:rsidR="00232C9A" w:rsidRPr="003272C7">
              <w:rPr>
                <w:rFonts w:cs="Arial"/>
              </w:rPr>
              <w:t>Commonwealth</w:t>
            </w:r>
            <w:r w:rsidRPr="003272C7">
              <w:rPr>
                <w:rFonts w:cs="Arial"/>
              </w:rPr>
              <w:t>) shows clear intent for the introduction of a Brokers Code. The legacy of the introduction of the Code is yet to be realised, but with the framework being enshrined in legislation, it is expected to have long-term effects.</w:t>
            </w:r>
          </w:p>
          <w:p w14:paraId="3084E076" w14:textId="692358A8" w:rsidR="00B242C3" w:rsidRPr="003272C7" w:rsidRDefault="00B242C3" w:rsidP="002F63BB">
            <w:pPr>
              <w:pStyle w:val="TableBullet"/>
              <w:rPr>
                <w:rFonts w:cs="Arial"/>
              </w:rPr>
            </w:pPr>
            <w:r w:rsidRPr="003272C7">
              <w:rPr>
                <w:rFonts w:cs="Arial"/>
              </w:rPr>
              <w:t>Changes to the Goulburn to Murray trade and operating rules were based on a holistic understanding of implications for environmental, cultural and recreational values, and will provide enduring benefits.</w:t>
            </w:r>
            <w:r w:rsidR="00F21099" w:rsidRPr="003272C7">
              <w:rPr>
                <w:rFonts w:cs="Arial"/>
              </w:rPr>
              <w:t xml:space="preserve"> Monitoring over future years will provide evidence of whether the rules will continue to perform as expected under a range of conditions.</w:t>
            </w:r>
          </w:p>
          <w:p w14:paraId="14A940EB" w14:textId="1922941D" w:rsidR="00B242C3" w:rsidRPr="003272C7" w:rsidRDefault="00F21099" w:rsidP="002F63BB">
            <w:pPr>
              <w:pStyle w:val="TableBullet"/>
              <w:rPr>
                <w:rFonts w:cs="Arial"/>
              </w:rPr>
            </w:pPr>
            <w:r w:rsidRPr="003272C7">
              <w:rPr>
                <w:rFonts w:cs="Arial"/>
              </w:rPr>
              <w:t>Regular updates to the Shortfall Response Plan on the VWR will continue to provide information to the community and investors about delivery risks.</w:t>
            </w:r>
          </w:p>
        </w:tc>
      </w:tr>
      <w:tr w:rsidR="00B242C3" w:rsidRPr="003272C7" w14:paraId="0082FB70" w14:textId="77777777" w:rsidTr="00142559">
        <w:trPr>
          <w:trHeight w:val="259"/>
        </w:trPr>
        <w:tc>
          <w:tcPr>
            <w:tcW w:w="979" w:type="pct"/>
            <w:shd w:val="clear" w:color="auto" w:fill="231EDC" w:themeFill="accent1"/>
          </w:tcPr>
          <w:p w14:paraId="076E81BF" w14:textId="77777777" w:rsidR="00B242C3" w:rsidRPr="003272C7" w:rsidRDefault="00B242C3" w:rsidP="00035D7F">
            <w:pPr>
              <w:pStyle w:val="TableText"/>
              <w:rPr>
                <w:rFonts w:cs="Arial"/>
                <w:b/>
                <w:bCs/>
              </w:rPr>
            </w:pPr>
            <w:r w:rsidRPr="003272C7">
              <w:rPr>
                <w:rFonts w:cs="Arial"/>
                <w:b/>
                <w:bCs/>
              </w:rPr>
              <w:t>Future priorities</w:t>
            </w:r>
          </w:p>
        </w:tc>
        <w:tc>
          <w:tcPr>
            <w:tcW w:w="4021" w:type="pct"/>
          </w:tcPr>
          <w:p w14:paraId="292848D2" w14:textId="77777777" w:rsidR="00142559" w:rsidRPr="003272C7" w:rsidRDefault="005E2A7C" w:rsidP="00035D7F">
            <w:pPr>
              <w:pStyle w:val="TableText"/>
              <w:rPr>
                <w:rFonts w:cs="Arial"/>
              </w:rPr>
            </w:pPr>
            <w:r w:rsidRPr="00623380">
              <w:rPr>
                <w:rFonts w:cs="Arial"/>
              </w:rPr>
              <w:t>Policy needs to continue to evolve and adapt to achieve positive and holistic benefits for Victoria as conditions change. Key priorities for this project include:</w:t>
            </w:r>
          </w:p>
          <w:p w14:paraId="741AB692" w14:textId="265C1EE9" w:rsidR="005E2A7C" w:rsidRPr="003272C7" w:rsidRDefault="00C046E0" w:rsidP="002F63BB">
            <w:pPr>
              <w:pStyle w:val="TableBullet"/>
              <w:rPr>
                <w:rFonts w:cs="Arial"/>
              </w:rPr>
            </w:pPr>
            <w:r w:rsidRPr="003272C7">
              <w:rPr>
                <w:rFonts w:cs="Arial"/>
              </w:rPr>
              <w:t xml:space="preserve">Supporting monitoring and assessment of the impacts of the new Goulburn to Murray trade and operating rule on the environmental condition of the lower Goulburn River and developing a plan to transition </w:t>
            </w:r>
            <w:r w:rsidR="00C558F1" w:rsidRPr="003272C7">
              <w:rPr>
                <w:rFonts w:cs="Arial"/>
              </w:rPr>
              <w:t>monitoring</w:t>
            </w:r>
            <w:r w:rsidRPr="003272C7">
              <w:rPr>
                <w:rFonts w:cs="Arial"/>
              </w:rPr>
              <w:t xml:space="preserve"> to business-as</w:t>
            </w:r>
            <w:r w:rsidR="004D02C2" w:rsidRPr="003272C7">
              <w:rPr>
                <w:rFonts w:cs="Arial"/>
              </w:rPr>
              <w:t> </w:t>
            </w:r>
            <w:r w:rsidRPr="003272C7">
              <w:rPr>
                <w:rFonts w:cs="Arial"/>
              </w:rPr>
              <w:t>-</w:t>
            </w:r>
            <w:r w:rsidR="004D02C2" w:rsidRPr="003272C7">
              <w:rPr>
                <w:rFonts w:cs="Arial"/>
              </w:rPr>
              <w:t> </w:t>
            </w:r>
            <w:r w:rsidRPr="003272C7">
              <w:rPr>
                <w:rFonts w:cs="Arial"/>
              </w:rPr>
              <w:t>usual</w:t>
            </w:r>
            <w:r w:rsidR="00C558F1" w:rsidRPr="003272C7">
              <w:rPr>
                <w:rFonts w:cs="Arial"/>
              </w:rPr>
              <w:t>.</w:t>
            </w:r>
          </w:p>
          <w:p w14:paraId="082F1A60" w14:textId="51D8CBA6" w:rsidR="00C558F1" w:rsidRPr="003272C7" w:rsidRDefault="00C558F1" w:rsidP="002F63BB">
            <w:pPr>
              <w:pStyle w:val="TableBullet"/>
              <w:rPr>
                <w:rFonts w:cs="Arial"/>
              </w:rPr>
            </w:pPr>
            <w:r w:rsidRPr="003272C7">
              <w:rPr>
                <w:rFonts w:cs="Arial"/>
              </w:rPr>
              <w:t>Integrating the operating rules for the lower Goulburn River into Victoria’s bulk entitlements framework to ensure Victorian river operators adhere to operating rules and have a transparent basis for doing so.</w:t>
            </w:r>
          </w:p>
          <w:p w14:paraId="352278E2" w14:textId="77777777" w:rsidR="00142559" w:rsidRPr="003272C7" w:rsidRDefault="00A44FEA" w:rsidP="002F63BB">
            <w:pPr>
              <w:pStyle w:val="TableBullet"/>
              <w:rPr>
                <w:rFonts w:cs="Arial"/>
              </w:rPr>
            </w:pPr>
            <w:r w:rsidRPr="00623380">
              <w:rPr>
                <w:rFonts w:cs="Arial"/>
              </w:rPr>
              <w:t>Responding to increasing delivery risks in the River Murray and continuing to improve the framework for sharing delivery capacity of the system. This will include continuing to work with the Basin agencies to investigate Ministerial Council-approved policy and infrastructure options identified in the Barmah-Millewa Feasibility Study through the Water Delivery Optimisation Program.</w:t>
            </w:r>
          </w:p>
          <w:p w14:paraId="33D4A9CD" w14:textId="077F2E5E" w:rsidR="00B242C3" w:rsidRPr="003272C7" w:rsidRDefault="00A44FEA" w:rsidP="002F63BB">
            <w:pPr>
              <w:pStyle w:val="TableBullet"/>
              <w:rPr>
                <w:rFonts w:cs="Arial"/>
              </w:rPr>
            </w:pPr>
            <w:r w:rsidRPr="003272C7">
              <w:rPr>
                <w:rFonts w:cs="Arial"/>
              </w:rPr>
              <w:t>More broadly, continuing to represent Victoria’s interests in managing our rivers and protecting our share of the water in the River Murray.</w:t>
            </w:r>
          </w:p>
        </w:tc>
      </w:tr>
    </w:tbl>
    <w:p w14:paraId="00F9800D" w14:textId="77777777" w:rsidR="00534DCD" w:rsidRPr="003272C7" w:rsidRDefault="00534DCD" w:rsidP="00B242C3">
      <w:pPr>
        <w:pStyle w:val="BodyText"/>
        <w:rPr>
          <w:rFonts w:cs="Arial"/>
        </w:rPr>
      </w:pPr>
    </w:p>
    <w:sectPr w:rsidR="00534DCD" w:rsidRPr="003272C7" w:rsidSect="0065303D">
      <w:headerReference w:type="default" r:id="rId31"/>
      <w:footerReference w:type="even" r:id="rId32"/>
      <w:footerReference w:type="default" r:id="rId33"/>
      <w:footerReference w:type="first" r:id="rId34"/>
      <w:pgSz w:w="11906" w:h="16838" w:code="9"/>
      <w:pgMar w:top="1134" w:right="1134" w:bottom="567" w:left="1134" w:header="56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92D7C" w14:textId="77777777" w:rsidR="00FB5641" w:rsidRDefault="00FB5641" w:rsidP="00066DE7">
      <w:r>
        <w:separator/>
      </w:r>
    </w:p>
    <w:p w14:paraId="2C928C52" w14:textId="77777777" w:rsidR="00FB5641" w:rsidRDefault="00FB5641"/>
  </w:endnote>
  <w:endnote w:type="continuationSeparator" w:id="0">
    <w:p w14:paraId="4F584C6A" w14:textId="77777777" w:rsidR="00FB5641" w:rsidRDefault="00FB5641" w:rsidP="00066DE7">
      <w:r>
        <w:continuationSeparator/>
      </w:r>
    </w:p>
    <w:p w14:paraId="09785102" w14:textId="77777777" w:rsidR="00FB5641" w:rsidRDefault="00FB5641"/>
  </w:endnote>
  <w:endnote w:type="continuationNotice" w:id="1">
    <w:p w14:paraId="0EFE1679" w14:textId="77777777" w:rsidR="00FB5641" w:rsidRDefault="00FB5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panose1 w:val="020B0603030503030204"/>
    <w:charset w:val="00"/>
    <w:family w:val="swiss"/>
    <w:pitch w:val="variable"/>
    <w:sig w:usb0="A00000EF" w:usb1="0000E0EB" w:usb2="00000008" w:usb3="00000000" w:csb0="00000001" w:csb1="00000000"/>
    <w:embedRegular r:id="rId1" w:fontKey="{E38294B9-A945-4D77-BD03-7DC4424FD9E0}"/>
    <w:embedBold r:id="rId2" w:fontKey="{F2AE45F5-1A1A-479A-8176-C94B0ADE8965}"/>
    <w:embedItalic r:id="rId3" w:fontKey="{F6B51A3B-70E9-4132-9C99-CB4FB30809D4}"/>
    <w:embedBoldItalic r:id="rId4" w:fontKey="{9FC23DF3-520A-4265-BF83-6E6626F7C186}"/>
  </w:font>
  <w:font w:name="Calibri">
    <w:panose1 w:val="020F0502020204030204"/>
    <w:charset w:val="00"/>
    <w:family w:val="swiss"/>
    <w:pitch w:val="variable"/>
    <w:sig w:usb0="E4002EFF" w:usb1="C200247B" w:usb2="00000009" w:usb3="00000000" w:csb0="000001FF" w:csb1="00000000"/>
    <w:embedRegular r:id="rId5" w:fontKey="{66538C65-2B0D-478D-A97A-3DA9A9F1B300}"/>
    <w:embedBold r:id="rId6" w:fontKey="{2C53AED2-552E-4D80-AAB7-BB35B4DA0124}"/>
    <w:embedBoldItalic r:id="rId7" w:fontKey="{4D150D90-E67A-4669-AF2E-9EC1F541D28E}"/>
  </w:font>
  <w:font w:name="Jacobs Chronos Light">
    <w:panose1 w:val="020B0403030503030204"/>
    <w:charset w:val="00"/>
    <w:family w:val="swiss"/>
    <w:pitch w:val="variable"/>
    <w:sig w:usb0="A00000EF" w:usb1="0000E0EB" w:usb2="00000008" w:usb3="00000000" w:csb0="00000001" w:csb1="00000000"/>
    <w:embedRegular r:id="rId8" w:fontKey="{960D1FF4-E198-47D4-BA5E-FA1CACC0BACC}"/>
    <w:embedBold r:id="rId9" w:fontKey="{13C6BB43-EEAC-4941-9E86-C3069B905967}"/>
    <w:embedItalic r:id="rId10" w:fontKey="{AB8967CE-E20B-4098-9C51-E189D9CC0F20}"/>
  </w:font>
  <w:font w:name="MS Mincho">
    <w:altName w:val="ＭＳ 明朝"/>
    <w:panose1 w:val="02020609040205080304"/>
    <w:charset w:val="80"/>
    <w:family w:val="modern"/>
    <w:pitch w:val="fixed"/>
    <w:sig w:usb0="E00002FF" w:usb1="6AC7FDFB" w:usb2="08000012" w:usb3="00000000" w:csb0="0002009F" w:csb1="00000000"/>
    <w:embedRegular r:id="rId11" w:subsetted="1" w:fontKey="{EB811261-C7D0-4F0A-ABB5-7FD1A2E6C6CA}"/>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2" w:fontKey="{2C8B2FA1-C23A-43A2-97F5-2330E9C46D65}"/>
  </w:font>
  <w:font w:name="Jacobs Chronos Cd">
    <w:panose1 w:val="020B0506030503030204"/>
    <w:charset w:val="00"/>
    <w:family w:val="swiss"/>
    <w:pitch w:val="variable"/>
    <w:sig w:usb0="A00000EF" w:usb1="0000E0EB" w:usb2="00000008" w:usb3="00000000" w:csb0="00000001" w:csb1="00000000"/>
    <w:embedRegular r:id="rId13" w:fontKey="{2F348A7D-F1E0-4915-BF47-6CCA4ABC3055}"/>
    <w:embedBold r:id="rId14" w:fontKey="{B90BFF61-125E-4DD5-895C-2FAAEA571C71}"/>
    <w:embedItalic r:id="rId15" w:fontKey="{D05CD532-93FD-46E8-AA78-FEB55BEFDA5B}"/>
  </w:font>
  <w:font w:name="Consolas">
    <w:panose1 w:val="020B0609020204030204"/>
    <w:charset w:val="00"/>
    <w:family w:val="modern"/>
    <w:pitch w:val="fixed"/>
    <w:sig w:usb0="E00006FF" w:usb1="0000FCFF" w:usb2="00000001" w:usb3="00000000" w:csb0="0000019F" w:csb1="00000000"/>
    <w:embedRegular r:id="rId16" w:fontKey="{045696DE-0B13-475E-9593-98CFE5075FA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95F1A" w14:textId="316F48FB" w:rsidR="00A50E09" w:rsidRDefault="00A50E09">
    <w:pPr>
      <w:pStyle w:val="Footer"/>
    </w:pPr>
    <w:r>
      <w:rPr>
        <w:noProof/>
      </w:rPr>
      <mc:AlternateContent>
        <mc:Choice Requires="wps">
          <w:drawing>
            <wp:anchor distT="0" distB="0" distL="0" distR="0" simplePos="0" relativeHeight="251658241" behindDoc="0" locked="0" layoutInCell="1" allowOverlap="1" wp14:anchorId="154F8C67" wp14:editId="178C022A">
              <wp:simplePos x="635" y="635"/>
              <wp:positionH relativeFrom="page">
                <wp:align>center</wp:align>
              </wp:positionH>
              <wp:positionV relativeFrom="page">
                <wp:align>bottom</wp:align>
              </wp:positionV>
              <wp:extent cx="551815" cy="376555"/>
              <wp:effectExtent l="0" t="0" r="635" b="0"/>
              <wp:wrapNone/>
              <wp:docPr id="62214403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CE52FE6" w14:textId="1F6B4F27"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F8C67"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1CE52FE6" w14:textId="1F6B4F27"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64D7" w14:textId="53D756CC" w:rsidR="00534DCD" w:rsidRDefault="00534DCD"/>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C61A1D" w:rsidRPr="00360972" w14:paraId="7A919B7D" w14:textId="77777777" w:rsidTr="00ED7BC5">
      <w:trPr>
        <w:trHeight w:val="737"/>
      </w:trPr>
      <w:tc>
        <w:tcPr>
          <w:tcW w:w="4074" w:type="pct"/>
          <w:tcBorders>
            <w:top w:val="single" w:sz="2" w:space="0" w:color="231EDC" w:themeColor="accent1"/>
          </w:tcBorders>
          <w:tcMar>
            <w:top w:w="113" w:type="dxa"/>
            <w:left w:w="0" w:type="dxa"/>
            <w:right w:w="0" w:type="dxa"/>
          </w:tcMar>
        </w:tcPr>
        <w:sdt>
          <w:sdtPr>
            <w:rPr>
              <w:rFonts w:eastAsia="Calibri" w:cs="Arial"/>
              <w:noProof/>
              <w:color w:val="000000"/>
              <w:szCs w:val="18"/>
            </w:rPr>
            <w:alias w:val="Document number"/>
            <w:tag w:val="&lt;?xml version=&quot;1.0&quot; encoding=&quot;utf-16&quot;?&gt;&#10;&lt;PrecedentInstruction&gt;&#10;  &lt;UpdateAfterVariables /&gt;&#10;&lt;/PrecedentInstruction&gt;"/>
            <w:id w:val="-162704885"/>
            <w:placeholder>
              <w:docPart w:val="AE9715A2551A4CCE900C951EC35EB273"/>
            </w:placeholder>
            <w:dataBinding w:xpath="/*[local-name()='root']/*[local-name()='DocumentNumber']" w:storeItemID="{8F33FB8F-8118-4915-86A8-F93B7C2B254E}"/>
            <w:text w:multiLine="1"/>
          </w:sdtPr>
          <w:sdtContent>
            <w:p w14:paraId="3CB76379" w14:textId="54DCF0C5" w:rsidR="00C61A1D" w:rsidRDefault="00CA67A6" w:rsidP="00FC5F07">
              <w:pPr>
                <w:pStyle w:val="Footer"/>
              </w:pPr>
              <w:r>
                <w:rPr>
                  <w:rFonts w:eastAsia="Calibri" w:cs="Arial"/>
                  <w:noProof/>
                  <w:color w:val="000000"/>
                  <w:szCs w:val="18"/>
                </w:rPr>
                <w:t>Final</w:t>
              </w:r>
            </w:p>
          </w:sdtContent>
        </w:sdt>
      </w:tc>
      <w:tc>
        <w:tcPr>
          <w:tcW w:w="926" w:type="pct"/>
          <w:tcBorders>
            <w:top w:val="single" w:sz="2" w:space="0" w:color="231EDC" w:themeColor="accent1"/>
          </w:tcBorders>
          <w:tcMar>
            <w:top w:w="113" w:type="dxa"/>
            <w:right w:w="0" w:type="dxa"/>
          </w:tcMar>
        </w:tcPr>
        <w:p w14:paraId="626FEADA" w14:textId="77777777" w:rsidR="00C61A1D" w:rsidRPr="00661DA6" w:rsidRDefault="00C61A1D" w:rsidP="00C06DED">
          <w:pPr>
            <w:pStyle w:val="Footer"/>
            <w:jc w:val="right"/>
          </w:pPr>
          <w:r>
            <w:fldChar w:fldCharType="begin"/>
          </w:r>
          <w:r>
            <w:instrText xml:space="preserve"> PAGE   \* MERGEFORMAT </w:instrText>
          </w:r>
          <w:r>
            <w:fldChar w:fldCharType="separate"/>
          </w:r>
          <w:r>
            <w:t>1</w:t>
          </w:r>
          <w:r>
            <w:rPr>
              <w:noProof/>
            </w:rPr>
            <w:fldChar w:fldCharType="end"/>
          </w:r>
        </w:p>
      </w:tc>
    </w:tr>
  </w:tbl>
  <w:p w14:paraId="3F06F2A3" w14:textId="77777777" w:rsidR="00C61A1D" w:rsidRPr="006902C0" w:rsidRDefault="00C61A1D" w:rsidP="00C06DED">
    <w:pPr>
      <w:pStyle w:val="HeaderSpac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24302" w14:textId="16519033" w:rsidR="00A50E09" w:rsidRDefault="00A50E09">
    <w:pPr>
      <w:pStyle w:val="Footer"/>
    </w:pPr>
    <w:r>
      <w:rPr>
        <w:noProof/>
      </w:rPr>
      <mc:AlternateContent>
        <mc:Choice Requires="wps">
          <w:drawing>
            <wp:anchor distT="0" distB="0" distL="0" distR="0" simplePos="0" relativeHeight="251658240" behindDoc="0" locked="0" layoutInCell="1" allowOverlap="1" wp14:anchorId="5215AE72" wp14:editId="013C4FAF">
              <wp:simplePos x="635" y="635"/>
              <wp:positionH relativeFrom="page">
                <wp:align>center</wp:align>
              </wp:positionH>
              <wp:positionV relativeFrom="page">
                <wp:align>bottom</wp:align>
              </wp:positionV>
              <wp:extent cx="551815" cy="376555"/>
              <wp:effectExtent l="0" t="0" r="635" b="0"/>
              <wp:wrapNone/>
              <wp:docPr id="14548995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C503D0E" w14:textId="2D433840"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15AE72" id="_x0000_t202" coordsize="21600,21600" o:spt="202" path="m,l,21600r21600,l21600,xe">
              <v:stroke joinstyle="miter"/>
              <v:path gradientshapeok="t" o:connecttype="rect"/>
            </v:shapetype>
            <v:shape id="Text Box 1" o:spid="_x0000_s1027"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7C503D0E" w14:textId="2D433840"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F7B7" w14:textId="2E07C506" w:rsidR="00A50E09" w:rsidRDefault="00A50E09">
    <w:pPr>
      <w:pStyle w:val="Footer"/>
    </w:pPr>
    <w:r>
      <w:rPr>
        <w:noProof/>
      </w:rPr>
      <mc:AlternateContent>
        <mc:Choice Requires="wps">
          <w:drawing>
            <wp:anchor distT="0" distB="0" distL="0" distR="0" simplePos="0" relativeHeight="251658244" behindDoc="0" locked="0" layoutInCell="1" allowOverlap="1" wp14:anchorId="7B1E40FB" wp14:editId="0F522DC7">
              <wp:simplePos x="635" y="635"/>
              <wp:positionH relativeFrom="page">
                <wp:align>center</wp:align>
              </wp:positionH>
              <wp:positionV relativeFrom="page">
                <wp:align>bottom</wp:align>
              </wp:positionV>
              <wp:extent cx="551815" cy="376555"/>
              <wp:effectExtent l="0" t="0" r="635" b="0"/>
              <wp:wrapNone/>
              <wp:docPr id="8817093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64AD4F" w14:textId="67596DD0"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1E40FB"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E64AD4F" w14:textId="67596DD0"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A9DB" w14:textId="330344AF" w:rsidR="003A31FA" w:rsidRDefault="003A31FA"/>
  <w:tbl>
    <w:tblPr>
      <w:tblStyle w:val="TableGrid"/>
      <w:tblW w:w="5000" w:type="pct"/>
      <w:tblBorders>
        <w:top w:val="none" w:sz="0" w:space="0" w:color="auto"/>
        <w:left w:val="none" w:sz="0" w:space="0" w:color="auto"/>
        <w:bottom w:val="none" w:sz="0" w:space="0" w:color="auto"/>
        <w:right w:val="none" w:sz="0" w:space="0" w:color="auto"/>
        <w:insideH w:val="single" w:sz="2" w:space="0" w:color="231EDC"/>
        <w:insideV w:val="none" w:sz="0" w:space="0" w:color="auto"/>
      </w:tblBorders>
      <w:tblCellMar>
        <w:top w:w="113" w:type="dxa"/>
      </w:tblCellMar>
      <w:tblLook w:val="04A0" w:firstRow="1" w:lastRow="0" w:firstColumn="1" w:lastColumn="0" w:noHBand="0" w:noVBand="1"/>
    </w:tblPr>
    <w:tblGrid>
      <w:gridCol w:w="7853"/>
      <w:gridCol w:w="1785"/>
    </w:tblGrid>
    <w:tr w:rsidR="003A31FA" w:rsidRPr="00360972" w14:paraId="5DF1CDBF" w14:textId="77777777" w:rsidTr="00ED7BC5">
      <w:trPr>
        <w:trHeight w:val="737"/>
      </w:trPr>
      <w:tc>
        <w:tcPr>
          <w:tcW w:w="4074" w:type="pct"/>
          <w:tcBorders>
            <w:top w:val="single" w:sz="2" w:space="0" w:color="231EDC" w:themeColor="accent1"/>
          </w:tcBorders>
          <w:tcMar>
            <w:top w:w="113" w:type="dxa"/>
            <w:left w:w="0" w:type="dxa"/>
            <w:right w:w="0" w:type="dxa"/>
          </w:tcMar>
        </w:tcPr>
        <w:sdt>
          <w:sdtPr>
            <w:alias w:val="Document number"/>
            <w:tag w:val="&lt;?xml version=&quot;1.0&quot; encoding=&quot;utf-16&quot;?&gt;&#10;&lt;PrecedentInstruction&gt;&#10;  &lt;UpdateAfterVariables /&gt;&#10;&lt;/PrecedentInstruction&gt;"/>
            <w:id w:val="1247309097"/>
            <w:placeholder>
              <w:docPart w:val="A4ACAC65D9EB4863BBCC018A6F044609"/>
            </w:placeholder>
            <w:dataBinding w:xpath="/*[local-name()='root']/*[local-name()='DocumentNumber']" w:storeItemID="{8F33FB8F-8118-4915-86A8-F93B7C2B254E}"/>
            <w:text w:multiLine="1"/>
          </w:sdtPr>
          <w:sdtContent>
            <w:p w14:paraId="5D0DDD25" w14:textId="4388DD4D" w:rsidR="003A31FA" w:rsidRDefault="00CA67A6" w:rsidP="00FC5F07">
              <w:pPr>
                <w:pStyle w:val="Footer"/>
              </w:pPr>
              <w:r>
                <w:t>Final</w:t>
              </w:r>
            </w:p>
          </w:sdtContent>
        </w:sdt>
      </w:tc>
      <w:tc>
        <w:tcPr>
          <w:tcW w:w="926" w:type="pct"/>
          <w:tcBorders>
            <w:top w:val="single" w:sz="2" w:space="0" w:color="231EDC" w:themeColor="accent1"/>
          </w:tcBorders>
          <w:tcMar>
            <w:top w:w="113" w:type="dxa"/>
            <w:right w:w="0" w:type="dxa"/>
          </w:tcMar>
        </w:tcPr>
        <w:p w14:paraId="77E9C32F" w14:textId="77777777" w:rsidR="003A31FA" w:rsidRPr="00661DA6" w:rsidRDefault="003A31FA" w:rsidP="00C06DED">
          <w:pPr>
            <w:pStyle w:val="Footer"/>
            <w:jc w:val="right"/>
          </w:pPr>
          <w:r>
            <w:fldChar w:fldCharType="begin"/>
          </w:r>
          <w:r>
            <w:instrText xml:space="preserve"> PAGE   \* MERGEFORMAT </w:instrText>
          </w:r>
          <w:r>
            <w:fldChar w:fldCharType="separate"/>
          </w:r>
          <w:r>
            <w:t>1</w:t>
          </w:r>
          <w:r>
            <w:rPr>
              <w:noProof/>
            </w:rPr>
            <w:fldChar w:fldCharType="end"/>
          </w:r>
        </w:p>
      </w:tc>
    </w:tr>
  </w:tbl>
  <w:p w14:paraId="206EF2FA" w14:textId="77777777" w:rsidR="003A31FA" w:rsidRPr="006902C0" w:rsidRDefault="003A31FA" w:rsidP="00C06DED">
    <w:pPr>
      <w:pStyle w:val="HeaderSpac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6431" w14:textId="414292E7" w:rsidR="00A50E09" w:rsidRDefault="00A50E09">
    <w:pPr>
      <w:pStyle w:val="Footer"/>
    </w:pPr>
    <w:r>
      <w:rPr>
        <w:noProof/>
      </w:rPr>
      <mc:AlternateContent>
        <mc:Choice Requires="wps">
          <w:drawing>
            <wp:anchor distT="0" distB="0" distL="0" distR="0" simplePos="0" relativeHeight="251658243" behindDoc="0" locked="0" layoutInCell="1" allowOverlap="1" wp14:anchorId="320A8FEB" wp14:editId="747CC975">
              <wp:simplePos x="635" y="635"/>
              <wp:positionH relativeFrom="page">
                <wp:align>center</wp:align>
              </wp:positionH>
              <wp:positionV relativeFrom="page">
                <wp:align>bottom</wp:align>
              </wp:positionV>
              <wp:extent cx="551815" cy="376555"/>
              <wp:effectExtent l="0" t="0" r="635" b="0"/>
              <wp:wrapNone/>
              <wp:docPr id="20033883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FFE8AB5" w14:textId="631C4CD2"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0A8FEB"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FFE8AB5" w14:textId="631C4CD2" w:rsidR="00A50E09" w:rsidRPr="00A50E09" w:rsidRDefault="00A50E09" w:rsidP="00A50E09">
                    <w:pPr>
                      <w:rPr>
                        <w:rFonts w:ascii="Calibri" w:eastAsia="Calibri" w:hAnsi="Calibri" w:cs="Calibri"/>
                        <w:noProof/>
                        <w:color w:val="000000"/>
                        <w:sz w:val="24"/>
                        <w:szCs w:val="24"/>
                      </w:rPr>
                    </w:pPr>
                    <w:r w:rsidRPr="00A50E09">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9F455" w14:textId="77777777" w:rsidR="00FB5641" w:rsidRDefault="00FB5641" w:rsidP="00066DE7">
      <w:r>
        <w:separator/>
      </w:r>
    </w:p>
    <w:p w14:paraId="514F35C6" w14:textId="77777777" w:rsidR="00FB5641" w:rsidRDefault="00FB5641"/>
  </w:footnote>
  <w:footnote w:type="continuationSeparator" w:id="0">
    <w:p w14:paraId="24843290" w14:textId="77777777" w:rsidR="00FB5641" w:rsidRDefault="00FB5641" w:rsidP="00066DE7">
      <w:r>
        <w:continuationSeparator/>
      </w:r>
    </w:p>
    <w:p w14:paraId="7E9473CF" w14:textId="77777777" w:rsidR="00FB5641" w:rsidRDefault="00FB5641"/>
    <w:p w14:paraId="202BC091" w14:textId="77777777" w:rsidR="00FB5641" w:rsidRDefault="00FB5641"/>
    <w:p w14:paraId="49873199" w14:textId="77777777" w:rsidR="00FB5641" w:rsidRDefault="00FB5641"/>
    <w:p w14:paraId="628699E4" w14:textId="77777777" w:rsidR="00FB5641" w:rsidRDefault="00FB5641"/>
    <w:p w14:paraId="60CA9B77" w14:textId="77777777" w:rsidR="00FB5641" w:rsidRDefault="00FB5641"/>
    <w:p w14:paraId="57BB03B0" w14:textId="77777777" w:rsidR="00FB5641" w:rsidRDefault="00FB5641"/>
    <w:p w14:paraId="3C896083" w14:textId="77777777" w:rsidR="00FB5641" w:rsidRDefault="00FB5641"/>
    <w:p w14:paraId="7D4858CE" w14:textId="77777777" w:rsidR="00FB5641" w:rsidRDefault="00FB5641"/>
  </w:footnote>
  <w:footnote w:type="continuationNotice" w:id="1">
    <w:p w14:paraId="68961224" w14:textId="77777777" w:rsidR="00FB5641" w:rsidRDefault="00FB5641"/>
  </w:footnote>
  <w:footnote w:id="2">
    <w:p w14:paraId="4BC56F16" w14:textId="77777777" w:rsidR="00B242C3" w:rsidRDefault="00B242C3" w:rsidP="00B242C3">
      <w:pPr>
        <w:pStyle w:val="FootnoteText"/>
      </w:pPr>
      <w:r>
        <w:rPr>
          <w:rStyle w:val="FootnoteReference"/>
        </w:rPr>
        <w:footnoteRef/>
      </w:r>
      <w:r>
        <w:t xml:space="preserve"> Details and specific evidence for these findings are presented in the relevant sections of </w:t>
      </w:r>
      <w:r w:rsidRPr="00DD3897">
        <w:t>The IWM Program Phase 2 Evaluation (Jacobs 2023)</w:t>
      </w:r>
      <w:r>
        <w:t>.</w:t>
      </w:r>
    </w:p>
  </w:footnote>
  <w:footnote w:id="3">
    <w:p w14:paraId="4C5CB032" w14:textId="09BBCF1E" w:rsidR="002631D7" w:rsidRPr="0071677F" w:rsidRDefault="002631D7">
      <w:pPr>
        <w:pStyle w:val="FootnoteText"/>
        <w:rPr>
          <w:lang w:val="en-US"/>
        </w:rPr>
      </w:pPr>
      <w:r>
        <w:rPr>
          <w:rStyle w:val="FootnoteReference"/>
        </w:rPr>
        <w:footnoteRef/>
      </w:r>
      <w:r>
        <w:t xml:space="preserve"> </w:t>
      </w:r>
      <w:r w:rsidR="00CB108B">
        <w:rPr>
          <w:lang w:val="en-US"/>
        </w:rPr>
        <w:t>Accumulated number of schools registered to SWEP since launch in 2012.</w:t>
      </w:r>
    </w:p>
  </w:footnote>
  <w:footnote w:id="4">
    <w:p w14:paraId="5734543D" w14:textId="65F08F01" w:rsidR="00824F3C" w:rsidRPr="00AE4915" w:rsidRDefault="00824F3C">
      <w:pPr>
        <w:pStyle w:val="FootnoteText"/>
        <w:rPr>
          <w:rFonts w:cs="Arial"/>
          <w:szCs w:val="16"/>
          <w:lang w:val="en-US"/>
        </w:rPr>
      </w:pPr>
      <w:r w:rsidRPr="00AE4915">
        <w:rPr>
          <w:rStyle w:val="FootnoteReference"/>
          <w:rFonts w:cs="Arial"/>
          <w:szCs w:val="16"/>
        </w:rPr>
        <w:footnoteRef/>
      </w:r>
      <w:r w:rsidRPr="00AE4915">
        <w:rPr>
          <w:rFonts w:cs="Arial"/>
          <w:szCs w:val="16"/>
        </w:rPr>
        <w:t xml:space="preserve"> </w:t>
      </w:r>
      <w:r w:rsidR="007E7C4A" w:rsidRPr="00AE4915">
        <w:rPr>
          <w:rStyle w:val="normaltextrun"/>
          <w:rFonts w:cs="Arial"/>
          <w:szCs w:val="16"/>
          <w:shd w:val="clear" w:color="auto" w:fill="FFFFFF"/>
        </w:rPr>
        <w:t>Combined target made up of </w:t>
      </w:r>
      <w:r w:rsidR="007E7C4A" w:rsidRPr="00AE4915">
        <w:rPr>
          <w:rStyle w:val="normaltextrun"/>
          <w:rFonts w:cs="Arial"/>
          <w:i/>
          <w:iCs/>
          <w:szCs w:val="16"/>
          <w:shd w:val="clear" w:color="auto" w:fill="FFFFFF"/>
        </w:rPr>
        <w:t>Making Victorians Water Wise</w:t>
      </w:r>
      <w:r w:rsidR="007E7C4A" w:rsidRPr="00AE4915">
        <w:rPr>
          <w:rStyle w:val="normaltextrun"/>
          <w:rFonts w:cs="Arial"/>
          <w:szCs w:val="16"/>
          <w:shd w:val="clear" w:color="auto" w:fill="FFFFFF"/>
        </w:rPr>
        <w:t> (4,235 rebates) and </w:t>
      </w:r>
      <w:r w:rsidR="007E7C4A" w:rsidRPr="00AE4915">
        <w:rPr>
          <w:rStyle w:val="normaltextrun"/>
          <w:rFonts w:cs="Arial"/>
          <w:i/>
          <w:iCs/>
          <w:szCs w:val="16"/>
          <w:shd w:val="clear" w:color="auto" w:fill="FFFFFF"/>
        </w:rPr>
        <w:t>Delivering community benefits through implementation of the Central and Gippsland Region Sustainable Water Strategy</w:t>
      </w:r>
      <w:r w:rsidR="007E7C4A" w:rsidRPr="00AE4915">
        <w:rPr>
          <w:rStyle w:val="normaltextrun"/>
          <w:rFonts w:cs="Arial"/>
          <w:szCs w:val="16"/>
          <w:shd w:val="clear" w:color="auto" w:fill="FFFFFF"/>
        </w:rPr>
        <w:t> (1,040 rebates).</w:t>
      </w:r>
    </w:p>
  </w:footnote>
  <w:footnote w:id="5">
    <w:p w14:paraId="07A36217" w14:textId="00513862" w:rsidR="00650285" w:rsidRPr="00AE4915" w:rsidRDefault="00650285" w:rsidP="00C51015">
      <w:pPr>
        <w:pStyle w:val="FootnoteText"/>
        <w:rPr>
          <w:rFonts w:cs="Arial"/>
          <w:szCs w:val="16"/>
          <w:bdr w:val="none" w:sz="0" w:space="0" w:color="auto" w:frame="1"/>
        </w:rPr>
      </w:pPr>
      <w:r w:rsidRPr="00AE4915">
        <w:rPr>
          <w:rStyle w:val="FootnoteReference"/>
          <w:rFonts w:cs="Arial"/>
          <w:szCs w:val="16"/>
        </w:rPr>
        <w:footnoteRef/>
      </w:r>
      <w:r w:rsidRPr="00AE4915">
        <w:rPr>
          <w:rFonts w:cs="Arial"/>
          <w:szCs w:val="16"/>
        </w:rPr>
        <w:t xml:space="preserve"> B</w:t>
      </w:r>
      <w:r w:rsidRPr="00AE4915">
        <w:rPr>
          <w:rStyle w:val="normaltextrun"/>
          <w:rFonts w:cs="Arial"/>
          <w:szCs w:val="16"/>
          <w:bdr w:val="none" w:sz="0" w:space="0" w:color="auto" w:frame="1"/>
        </w:rPr>
        <w:t>ased on 2023-24 average water and wastewater charges of $2.53 per kilolitre.</w:t>
      </w:r>
    </w:p>
  </w:footnote>
  <w:footnote w:id="6">
    <w:p w14:paraId="679933E2" w14:textId="2AB828F1" w:rsidR="00B242C3" w:rsidRPr="00AE4915" w:rsidRDefault="00B242C3" w:rsidP="00B242C3">
      <w:pPr>
        <w:pStyle w:val="FootnoteText"/>
        <w:rPr>
          <w:rFonts w:cs="Arial"/>
          <w:szCs w:val="16"/>
        </w:rPr>
      </w:pPr>
      <w:r w:rsidRPr="00AE4915">
        <w:rPr>
          <w:rStyle w:val="FootnoteReference"/>
          <w:rFonts w:cs="Arial"/>
          <w:szCs w:val="16"/>
        </w:rPr>
        <w:footnoteRef/>
      </w:r>
      <w:r w:rsidRPr="00AE4915">
        <w:rPr>
          <w:rFonts w:cs="Arial"/>
          <w:szCs w:val="16"/>
        </w:rPr>
        <w:t xml:space="preserve"> </w:t>
      </w:r>
      <w:r w:rsidR="008E1926" w:rsidRPr="00AE4915">
        <w:rPr>
          <w:rStyle w:val="normaltextrun"/>
          <w:rFonts w:cs="Arial"/>
          <w:szCs w:val="16"/>
          <w:shd w:val="clear" w:color="auto" w:fill="FFFFFF"/>
        </w:rPr>
        <w:t>2023, Community Rebate Program (CRP) and Community Housing Retrofit Program (CHRP) Evaluation Report, Marsden Jacobs.</w:t>
      </w:r>
    </w:p>
  </w:footnote>
  <w:footnote w:id="7">
    <w:p w14:paraId="65550E73" w14:textId="3E18783D" w:rsidR="000131F6" w:rsidRPr="00AE4915" w:rsidRDefault="000131F6" w:rsidP="00C51015">
      <w:pPr>
        <w:pStyle w:val="FootnoteText"/>
        <w:rPr>
          <w:rFonts w:cs="Arial"/>
          <w:szCs w:val="16"/>
          <w:bdr w:val="none" w:sz="0" w:space="0" w:color="auto" w:frame="1"/>
        </w:rPr>
      </w:pPr>
      <w:r w:rsidRPr="00AE4915">
        <w:rPr>
          <w:rStyle w:val="FootnoteReference"/>
          <w:rFonts w:cs="Arial"/>
          <w:szCs w:val="16"/>
        </w:rPr>
        <w:footnoteRef/>
      </w:r>
      <w:r w:rsidRPr="00AE4915">
        <w:rPr>
          <w:rFonts w:cs="Arial"/>
          <w:szCs w:val="16"/>
        </w:rPr>
        <w:t xml:space="preserve"> </w:t>
      </w:r>
      <w:r w:rsidR="004F4D5D" w:rsidRPr="00AE4915">
        <w:rPr>
          <w:rStyle w:val="normaltextrun"/>
          <w:rFonts w:cs="Arial"/>
          <w:szCs w:val="16"/>
          <w:bdr w:val="none" w:sz="0" w:space="0" w:color="auto" w:frame="1"/>
        </w:rPr>
        <w:t>Leak event is occurrence where water used is above 0 litres between 12:00AM – 1:00AM.</w:t>
      </w:r>
    </w:p>
  </w:footnote>
  <w:footnote w:id="8">
    <w:p w14:paraId="7B686633" w14:textId="5A55D11E" w:rsidR="00B242C3" w:rsidRPr="00AE4915" w:rsidRDefault="00B242C3" w:rsidP="00C51015">
      <w:pPr>
        <w:pStyle w:val="FootnoteText"/>
        <w:rPr>
          <w:rFonts w:cs="Arial"/>
          <w:szCs w:val="16"/>
        </w:rPr>
      </w:pPr>
      <w:r w:rsidRPr="00AE4915">
        <w:rPr>
          <w:rStyle w:val="FootnoteReference"/>
          <w:rFonts w:cs="Arial"/>
          <w:szCs w:val="16"/>
        </w:rPr>
        <w:footnoteRef/>
      </w:r>
      <w:r w:rsidRPr="00AE4915">
        <w:rPr>
          <w:rFonts w:cs="Arial"/>
          <w:szCs w:val="16"/>
        </w:rPr>
        <w:t xml:space="preserve"> 2022, </w:t>
      </w:r>
      <w:hyperlink r:id="rId1" w:history="1">
        <w:r w:rsidRPr="00AE4915">
          <w:rPr>
            <w:rStyle w:val="Hyperlink"/>
            <w:rFonts w:cs="Arial"/>
            <w:color w:val="auto"/>
            <w:szCs w:val="16"/>
            <w:u w:val="none"/>
          </w:rPr>
          <w:t>WELS Strategic Plan 2022-25</w:t>
        </w:r>
      </w:hyperlink>
      <w:r w:rsidRPr="00AE4915">
        <w:rPr>
          <w:rFonts w:cs="Arial"/>
          <w:szCs w:val="16"/>
        </w:rPr>
        <w:t xml:space="preserve">, </w:t>
      </w:r>
      <w:r w:rsidR="0045290F" w:rsidRPr="00AE4915">
        <w:rPr>
          <w:rFonts w:cs="Arial"/>
          <w:szCs w:val="16"/>
        </w:rPr>
        <w:t xml:space="preserve">Australian Government </w:t>
      </w:r>
      <w:r w:rsidRPr="00AE4915">
        <w:rPr>
          <w:rFonts w:cs="Arial"/>
          <w:szCs w:val="16"/>
        </w:rPr>
        <w:t>Department of Climate Change, Energy, the Environment and Water.</w:t>
      </w:r>
    </w:p>
  </w:footnote>
  <w:footnote w:id="9">
    <w:p w14:paraId="52A3C2E7" w14:textId="7A344DE5" w:rsidR="00B6333B" w:rsidRPr="00C51015" w:rsidRDefault="00B6333B" w:rsidP="00C51015">
      <w:pPr>
        <w:pStyle w:val="FootnoteText"/>
        <w:rPr>
          <w:rFonts w:ascii="Jacobs Chronos Cd" w:hAnsi="Jacobs Chronos Cd" w:cs="Jacobs Chronos Cd"/>
          <w:szCs w:val="16"/>
          <w:shd w:val="clear" w:color="auto" w:fill="FFFFFF"/>
        </w:rPr>
      </w:pPr>
      <w:r w:rsidRPr="00AE4915">
        <w:rPr>
          <w:rStyle w:val="FootnoteReference"/>
          <w:rFonts w:cs="Arial"/>
          <w:szCs w:val="16"/>
        </w:rPr>
        <w:footnoteRef/>
      </w:r>
      <w:r w:rsidRPr="00AE4915">
        <w:rPr>
          <w:rFonts w:cs="Arial"/>
          <w:szCs w:val="16"/>
        </w:rPr>
        <w:t xml:space="preserve"> </w:t>
      </w:r>
      <w:r w:rsidR="00C62BBE" w:rsidRPr="00AE4915">
        <w:rPr>
          <w:rFonts w:cs="Arial"/>
          <w:szCs w:val="16"/>
        </w:rPr>
        <w:t>2</w:t>
      </w:r>
      <w:r w:rsidR="0045290F" w:rsidRPr="00AE4915">
        <w:rPr>
          <w:rStyle w:val="normaltextrun"/>
          <w:rFonts w:cs="Arial"/>
          <w:szCs w:val="16"/>
          <w:shd w:val="clear" w:color="auto" w:fill="FFFFFF"/>
        </w:rPr>
        <w:t>015, Evaluation of the environmental and economic impacts of the WELS scheme, Institute of Sustainable Futures for the Australian Government Department of Agriculture and Water Resources.</w:t>
      </w:r>
    </w:p>
  </w:footnote>
  <w:footnote w:id="10">
    <w:p w14:paraId="6F25B174" w14:textId="77777777" w:rsidR="00B242C3" w:rsidRPr="00FD608B" w:rsidRDefault="00B242C3" w:rsidP="00B242C3">
      <w:pPr>
        <w:pStyle w:val="FootnoteText"/>
        <w:rPr>
          <w:rFonts w:cs="Arial"/>
          <w:szCs w:val="16"/>
        </w:rPr>
      </w:pPr>
      <w:r w:rsidRPr="00FD608B">
        <w:rPr>
          <w:rStyle w:val="FootnoteReference"/>
          <w:rFonts w:cs="Arial"/>
          <w:szCs w:val="16"/>
        </w:rPr>
        <w:footnoteRef/>
      </w:r>
      <w:r w:rsidRPr="00FD608B">
        <w:rPr>
          <w:rFonts w:cs="Arial"/>
          <w:szCs w:val="16"/>
        </w:rPr>
        <w:t xml:space="preserve"> 2022, </w:t>
      </w:r>
      <w:hyperlink r:id="rId2" w:history="1">
        <w:r w:rsidRPr="00FD608B">
          <w:rPr>
            <w:rStyle w:val="Hyperlink"/>
            <w:rFonts w:cs="Arial"/>
            <w:color w:val="auto"/>
            <w:szCs w:val="16"/>
            <w:u w:val="none"/>
          </w:rPr>
          <w:t>Melbourne’s Water Outlook</w:t>
        </w:r>
      </w:hyperlink>
      <w:r w:rsidRPr="00FD608B">
        <w:rPr>
          <w:rFonts w:cs="Arial"/>
          <w:szCs w:val="16"/>
        </w:rPr>
        <w:t>, Greater Western Water, Melbourne Water, South East Water, Yarra Valley Water.</w:t>
      </w:r>
    </w:p>
  </w:footnote>
  <w:footnote w:id="11">
    <w:p w14:paraId="1D07B69D" w14:textId="1EDDBB5F" w:rsidR="0051470C" w:rsidRPr="0079212B" w:rsidRDefault="0051470C">
      <w:pPr>
        <w:pStyle w:val="FootnoteText"/>
        <w:rPr>
          <w:lang w:val="en-US"/>
        </w:rPr>
      </w:pPr>
      <w:r w:rsidRPr="00FD608B">
        <w:rPr>
          <w:rStyle w:val="FootnoteReference"/>
          <w:rFonts w:cs="Arial"/>
          <w:szCs w:val="16"/>
        </w:rPr>
        <w:footnoteRef/>
      </w:r>
      <w:r w:rsidRPr="00FD608B">
        <w:rPr>
          <w:rFonts w:cs="Arial"/>
          <w:szCs w:val="16"/>
        </w:rPr>
        <w:t xml:space="preserve"> </w:t>
      </w:r>
      <w:hyperlink r:id="rId3" w:tgtFrame="_blank" w:history="1">
        <w:r w:rsidRPr="00FD608B">
          <w:rPr>
            <w:rStyle w:val="normaltextrun"/>
            <w:rFonts w:cs="Arial"/>
            <w:szCs w:val="16"/>
            <w:shd w:val="clear" w:color="auto" w:fill="E1E3E6"/>
          </w:rPr>
          <w:t>Historical Water Storage Levels</w:t>
        </w:r>
      </w:hyperlink>
      <w:r w:rsidRPr="00FD608B">
        <w:rPr>
          <w:rStyle w:val="normaltextrun"/>
          <w:rFonts w:cs="Arial"/>
          <w:szCs w:val="16"/>
          <w:shd w:val="clear" w:color="auto" w:fill="FFFFFF"/>
        </w:rPr>
        <w:t>, Melbourne Water</w:t>
      </w:r>
    </w:p>
  </w:footnote>
  <w:footnote w:id="12">
    <w:p w14:paraId="1415A3F5" w14:textId="77777777" w:rsidR="00B242C3" w:rsidRDefault="00B242C3" w:rsidP="00B242C3">
      <w:pPr>
        <w:pStyle w:val="FootnoteText"/>
        <w:ind w:left="0" w:firstLine="0"/>
      </w:pPr>
      <w:r>
        <w:rPr>
          <w:rStyle w:val="FootnoteReference"/>
        </w:rPr>
        <w:footnoteRef/>
      </w:r>
      <w:r>
        <w:t xml:space="preserve"> 2023, CRP and CHRP Evaluation Report Draft, Marsden Jacobs (report to be finalised in September 2023), pg. 35.</w:t>
      </w:r>
    </w:p>
  </w:footnote>
  <w:footnote w:id="13">
    <w:p w14:paraId="1D3FA860" w14:textId="77777777" w:rsidR="00B242C3" w:rsidRDefault="00B242C3" w:rsidP="00B242C3">
      <w:pPr>
        <w:pStyle w:val="FootnoteText"/>
      </w:pPr>
      <w:r>
        <w:rPr>
          <w:rStyle w:val="FootnoteReference"/>
        </w:rPr>
        <w:footnoteRef/>
      </w:r>
      <w:r>
        <w:t xml:space="preserve"> 2023, CRP and CHRP Evaluation Report Draft, Marsden Jacobs (report to be finalised in September 2023), pg. 77.</w:t>
      </w:r>
    </w:p>
  </w:footnote>
  <w:footnote w:id="14">
    <w:p w14:paraId="2E2B3175" w14:textId="5F9E3304" w:rsidR="00B242C3" w:rsidRDefault="00B242C3" w:rsidP="00B242C3">
      <w:pPr>
        <w:pStyle w:val="FootnoteText"/>
        <w:ind w:left="0" w:firstLine="0"/>
      </w:pPr>
      <w:r>
        <w:rPr>
          <w:rStyle w:val="FootnoteReference"/>
        </w:rPr>
        <w:footnoteRef/>
      </w:r>
      <w:r>
        <w:t xml:space="preserve"> </w:t>
      </w:r>
      <w:r w:rsidR="00B8409D" w:rsidRPr="0079212B">
        <w:t>2023, Community Rebate Program (CRP) and Community Housing Retrofit Program (CHRP) Evaluation Report, Marsden Jacobs.</w:t>
      </w:r>
    </w:p>
  </w:footnote>
  <w:footnote w:id="15">
    <w:p w14:paraId="4A153364" w14:textId="45735F53" w:rsidR="00B242C3" w:rsidRDefault="00B242C3" w:rsidP="004250D5">
      <w:pPr>
        <w:pStyle w:val="FootnoteText"/>
      </w:pPr>
      <w:r>
        <w:rPr>
          <w:rStyle w:val="FootnoteReference"/>
        </w:rPr>
        <w:footnoteRef/>
      </w:r>
      <w:r>
        <w:t xml:space="preserve"> Victorian Environmental Flows Monitoring and Assessment Program</w:t>
      </w:r>
    </w:p>
  </w:footnote>
  <w:footnote w:id="16">
    <w:p w14:paraId="2A614DA9" w14:textId="259E89DE" w:rsidR="00B242C3" w:rsidRDefault="00B242C3" w:rsidP="004250D5">
      <w:pPr>
        <w:pStyle w:val="FootnoteText"/>
      </w:pPr>
      <w:r>
        <w:rPr>
          <w:rStyle w:val="FootnoteReference"/>
        </w:rPr>
        <w:footnoteRef/>
      </w:r>
      <w:r>
        <w:t xml:space="preserve"> Wetland Monitoring and Assessment Program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AA6CA" w14:textId="77777777" w:rsidR="00594EA6" w:rsidRDefault="00594EA6" w:rsidP="00594EA6"/>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8"/>
      <w:gridCol w:w="3460"/>
    </w:tblGrid>
    <w:tr w:rsidR="00594EA6" w:rsidRPr="00066DE7" w14:paraId="58309705" w14:textId="77777777" w:rsidTr="00B84807">
      <w:trPr>
        <w:trHeight w:val="652"/>
      </w:trPr>
      <w:tc>
        <w:tcPr>
          <w:tcW w:w="6178" w:type="dxa"/>
          <w:vAlign w:val="bottom"/>
        </w:tcPr>
        <w:sdt>
          <w:sdtPr>
            <w:rPr>
              <w:rFonts w:ascii="Arial" w:hAnsi="Arial" w:cs="Arial"/>
            </w:rPr>
            <w:alias w:val="Document title"/>
            <w:tag w:val="Document title"/>
            <w:id w:val="-879170055"/>
            <w:dataBinding w:xpath="/*[local-name()='root']/*[local-name()='DocumentTitle']" w:storeItemID="{8F33FB8F-8118-4915-86A8-F93B7C2B254E}"/>
            <w:text w:multiLine="1"/>
          </w:sdtPr>
          <w:sdtContent>
            <w:p w14:paraId="6B9D6008" w14:textId="3AF52657" w:rsidR="00594EA6" w:rsidRPr="00B35690" w:rsidRDefault="00594EA6" w:rsidP="00594EA6">
              <w:pPr>
                <w:pStyle w:val="Header"/>
              </w:pPr>
              <w:r>
                <w:rPr>
                  <w:rFonts w:ascii="Arial" w:hAnsi="Arial" w:cs="Arial"/>
                </w:rPr>
                <w:t xml:space="preserve">Appendix A: Project summaries </w:t>
              </w:r>
            </w:p>
          </w:sdtContent>
        </w:sdt>
      </w:tc>
      <w:tc>
        <w:tcPr>
          <w:tcW w:w="3460" w:type="dxa"/>
          <w:vAlign w:val="bottom"/>
        </w:tcPr>
        <w:p w14:paraId="0F7A0C25" w14:textId="77777777" w:rsidR="00594EA6" w:rsidRPr="00066DE7" w:rsidRDefault="00594EA6" w:rsidP="00594EA6">
          <w:pPr>
            <w:pStyle w:val="Header"/>
            <w:spacing w:before="120" w:after="120"/>
            <w:jc w:val="right"/>
            <w:rPr>
              <w:b/>
              <w:bCs/>
              <w:sz w:val="18"/>
              <w:szCs w:val="18"/>
            </w:rPr>
          </w:pPr>
          <w:r>
            <w:rPr>
              <w:b/>
              <w:bCs/>
              <w:noProof/>
              <w:sz w:val="18"/>
              <w:szCs w:val="18"/>
            </w:rPr>
            <w:drawing>
              <wp:inline distT="0" distB="0" distL="0" distR="0" wp14:anchorId="3C652C12" wp14:editId="10588FA6">
                <wp:extent cx="1231392" cy="286512"/>
                <wp:effectExtent l="0" t="0" r="6985" b="0"/>
                <wp:docPr id="1" name="Picture 1"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7D0E3217" w14:textId="77777777" w:rsidR="00704ADC" w:rsidRPr="00594EA6" w:rsidRDefault="00704ADC" w:rsidP="00B7644F">
    <w:pPr>
      <w:pStyle w:val="HeaderSpac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CFF9" w14:textId="77777777" w:rsidR="00B7644F" w:rsidRDefault="00B7644F" w:rsidP="00B7644F"/>
  <w:tbl>
    <w:tblPr>
      <w:tblStyle w:val="TableGrid"/>
      <w:tblW w:w="5000" w:type="pct"/>
      <w:tblBorders>
        <w:top w:val="none" w:sz="0" w:space="0" w:color="auto"/>
        <w:left w:val="none" w:sz="0" w:space="0" w:color="auto"/>
        <w:bottom w:val="single" w:sz="2" w:space="0" w:color="231EDC" w:themeColor="accent1"/>
        <w:right w:val="none" w:sz="0" w:space="0" w:color="auto"/>
        <w:insideH w:val="none" w:sz="0" w:space="0" w:color="auto"/>
        <w:insideV w:val="none" w:sz="0" w:space="0" w:color="auto"/>
      </w:tblBorders>
      <w:tblLayout w:type="fixed"/>
      <w:tblCellMar>
        <w:left w:w="0" w:type="dxa"/>
        <w:bottom w:w="113" w:type="dxa"/>
        <w:right w:w="0" w:type="dxa"/>
      </w:tblCellMar>
      <w:tblLook w:val="04A0" w:firstRow="1" w:lastRow="0" w:firstColumn="1" w:lastColumn="0" w:noHBand="0" w:noVBand="1"/>
    </w:tblPr>
    <w:tblGrid>
      <w:gridCol w:w="6178"/>
      <w:gridCol w:w="3460"/>
    </w:tblGrid>
    <w:tr w:rsidR="00B7644F" w:rsidRPr="00066DE7" w14:paraId="74F1E3DA" w14:textId="77777777" w:rsidTr="00B84807">
      <w:trPr>
        <w:trHeight w:val="652"/>
      </w:trPr>
      <w:tc>
        <w:tcPr>
          <w:tcW w:w="6178" w:type="dxa"/>
          <w:vAlign w:val="bottom"/>
        </w:tcPr>
        <w:sdt>
          <w:sdtPr>
            <w:rPr>
              <w:rFonts w:ascii="Arial" w:hAnsi="Arial" w:cs="Arial"/>
            </w:rPr>
            <w:alias w:val="Document title"/>
            <w:tag w:val="Document title"/>
            <w:id w:val="-72047948"/>
            <w:dataBinding w:xpath="/*[local-name()='root']/*[local-name()='DocumentTitle']" w:storeItemID="{8F33FB8F-8118-4915-86A8-F93B7C2B254E}"/>
            <w:text w:multiLine="1"/>
          </w:sdtPr>
          <w:sdtContent>
            <w:p w14:paraId="45B636B5" w14:textId="41D4A981" w:rsidR="00B7644F" w:rsidRPr="00B35690" w:rsidRDefault="00B7644F" w:rsidP="00B7644F">
              <w:pPr>
                <w:pStyle w:val="Header"/>
              </w:pPr>
              <w:r>
                <w:rPr>
                  <w:rFonts w:ascii="Arial" w:hAnsi="Arial" w:cs="Arial"/>
                </w:rPr>
                <w:t xml:space="preserve">Appendix A: Project summaries </w:t>
              </w:r>
            </w:p>
          </w:sdtContent>
        </w:sdt>
      </w:tc>
      <w:tc>
        <w:tcPr>
          <w:tcW w:w="3460" w:type="dxa"/>
          <w:vAlign w:val="bottom"/>
        </w:tcPr>
        <w:p w14:paraId="7A5DA0E1" w14:textId="77777777" w:rsidR="00B7644F" w:rsidRPr="00066DE7" w:rsidRDefault="00B7644F" w:rsidP="00B7644F">
          <w:pPr>
            <w:pStyle w:val="Header"/>
            <w:spacing w:before="120" w:after="120"/>
            <w:jc w:val="right"/>
            <w:rPr>
              <w:b/>
              <w:bCs/>
              <w:sz w:val="18"/>
              <w:szCs w:val="18"/>
            </w:rPr>
          </w:pPr>
          <w:r>
            <w:rPr>
              <w:b/>
              <w:bCs/>
              <w:noProof/>
              <w:sz w:val="18"/>
              <w:szCs w:val="18"/>
            </w:rPr>
            <w:drawing>
              <wp:inline distT="0" distB="0" distL="0" distR="0" wp14:anchorId="03B48A88" wp14:editId="40333F46">
                <wp:extent cx="1231392" cy="286512"/>
                <wp:effectExtent l="0" t="0" r="6985" b="0"/>
                <wp:docPr id="2105662611" name="Picture 2105662611" descr="Brand Logo"/>
                <wp:cNvGraphicFramePr/>
                <a:graphic xmlns:a="http://schemas.openxmlformats.org/drawingml/2006/main">
                  <a:graphicData uri="http://schemas.openxmlformats.org/drawingml/2006/picture">
                    <pic:pic xmlns:pic="http://schemas.openxmlformats.org/drawingml/2006/picture">
                      <pic:nvPicPr>
                        <pic:cNvPr id="1" name="Picture 1" descr="Brand Logo"/>
                        <pic:cNvPicPr/>
                      </pic:nvPicPr>
                      <pic:blipFill>
                        <a:blip r:embed="rId1">
                          <a:extLst>
                            <a:ext uri="{28A0092B-C50C-407E-A947-70E740481C1C}">
                              <a14:useLocalDpi xmlns:a14="http://schemas.microsoft.com/office/drawing/2010/main" val="0"/>
                            </a:ext>
                          </a:extLst>
                        </a:blip>
                        <a:stretch>
                          <a:fillRect/>
                        </a:stretch>
                      </pic:blipFill>
                      <pic:spPr>
                        <a:xfrm>
                          <a:off x="0" y="0"/>
                          <a:ext cx="1231392" cy="286512"/>
                        </a:xfrm>
                        <a:prstGeom prst="rect">
                          <a:avLst/>
                        </a:prstGeom>
                      </pic:spPr>
                    </pic:pic>
                  </a:graphicData>
                </a:graphic>
              </wp:inline>
            </w:drawing>
          </w:r>
        </w:p>
      </w:tc>
    </w:tr>
  </w:tbl>
  <w:p w14:paraId="2F40C550" w14:textId="77777777" w:rsidR="003A31FA" w:rsidRPr="00B7644F" w:rsidRDefault="003A31FA" w:rsidP="00B7644F">
    <w:pPr>
      <w:pStyle w:val="HeaderSpac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3411"/>
    <w:multiLevelType w:val="multilevel"/>
    <w:tmpl w:val="E16817F0"/>
    <w:lvl w:ilvl="0">
      <w:start w:val="1"/>
      <w:numFmt w:val="bullet"/>
      <w:lvlText w:val=""/>
      <w:lvlJc w:val="left"/>
      <w:pPr>
        <w:ind w:left="568" w:hanging="284"/>
      </w:pPr>
      <w:rPr>
        <w:rFonts w:ascii="Wingdings" w:hAnsi="Wingdings" w:hint="default"/>
        <w:spacing w:val="-10"/>
      </w:rPr>
    </w:lvl>
    <w:lvl w:ilvl="1">
      <w:start w:val="1"/>
      <w:numFmt w:val="lowerRoman"/>
      <w:lvlText w:val="%2."/>
      <w:lvlJc w:val="left"/>
      <w:pPr>
        <w:tabs>
          <w:tab w:val="num" w:pos="851"/>
        </w:tabs>
        <w:ind w:left="851" w:hanging="283"/>
      </w:pPr>
      <w:rPr>
        <w:rFonts w:hint="default"/>
        <w:spacing w:val="0"/>
        <w:w w:val="100"/>
        <w:kern w:val="0"/>
        <w:position w:val="0"/>
      </w:rPr>
    </w:lvl>
    <w:lvl w:ilvl="2">
      <w:start w:val="1"/>
      <w:numFmt w:val="none"/>
      <w:lvlRestart w:val="1"/>
      <w:lvlText w:val=""/>
      <w:lvlJc w:val="left"/>
      <w:pPr>
        <w:tabs>
          <w:tab w:val="num" w:pos="284"/>
        </w:tabs>
        <w:ind w:left="284" w:firstLine="0"/>
      </w:pPr>
      <w:rPr>
        <w:rFonts w:hint="default"/>
        <w:color w:val="auto"/>
        <w:spacing w:val="-4"/>
      </w:rPr>
    </w:lvl>
    <w:lvl w:ilvl="3">
      <w:start w:val="1"/>
      <w:numFmt w:val="none"/>
      <w:lvlText w:val=""/>
      <w:lvlJc w:val="left"/>
      <w:pPr>
        <w:tabs>
          <w:tab w:val="num" w:pos="284"/>
        </w:tabs>
        <w:ind w:left="284" w:hanging="5670"/>
      </w:pPr>
      <w:rPr>
        <w:rFonts w:hint="default"/>
        <w:spacing w:val="-10"/>
        <w:w w:val="100"/>
      </w:rPr>
    </w:lvl>
    <w:lvl w:ilvl="4">
      <w:start w:val="1"/>
      <w:numFmt w:val="none"/>
      <w:lvlText w:val=""/>
      <w:lvlJc w:val="left"/>
      <w:pPr>
        <w:tabs>
          <w:tab w:val="num" w:pos="284"/>
        </w:tabs>
        <w:ind w:left="284" w:firstLine="0"/>
      </w:pPr>
      <w:rPr>
        <w:rFonts w:hint="default"/>
      </w:rPr>
    </w:lvl>
    <w:lvl w:ilvl="5">
      <w:start w:val="1"/>
      <w:numFmt w:val="none"/>
      <w:lvlText w:val=""/>
      <w:lvlJc w:val="left"/>
      <w:pPr>
        <w:tabs>
          <w:tab w:val="num" w:pos="284"/>
        </w:tabs>
        <w:ind w:left="284" w:firstLine="0"/>
      </w:pPr>
      <w:rPr>
        <w:rFonts w:hint="default"/>
      </w:rPr>
    </w:lvl>
    <w:lvl w:ilvl="6">
      <w:start w:val="1"/>
      <w:numFmt w:val="none"/>
      <w:lvlRestart w:val="1"/>
      <w:lvlText w:val="%7"/>
      <w:lvlJc w:val="left"/>
      <w:pPr>
        <w:tabs>
          <w:tab w:val="num" w:pos="284"/>
        </w:tabs>
        <w:ind w:left="284" w:firstLine="0"/>
      </w:pPr>
      <w:rPr>
        <w:rFonts w:hint="default"/>
      </w:rPr>
    </w:lvl>
    <w:lvl w:ilvl="7">
      <w:start w:val="1"/>
      <w:numFmt w:val="none"/>
      <w:lvlText w:val="%8."/>
      <w:lvlJc w:val="left"/>
      <w:pPr>
        <w:tabs>
          <w:tab w:val="num" w:pos="284"/>
        </w:tabs>
        <w:ind w:left="284" w:firstLine="0"/>
      </w:pPr>
      <w:rPr>
        <w:rFonts w:hint="default"/>
        <w:position w:val="0"/>
      </w:rPr>
    </w:lvl>
    <w:lvl w:ilvl="8">
      <w:start w:val="1"/>
      <w:numFmt w:val="none"/>
      <w:lvlText w:val=""/>
      <w:lvlJc w:val="left"/>
      <w:pPr>
        <w:tabs>
          <w:tab w:val="num" w:pos="284"/>
        </w:tabs>
        <w:ind w:left="284" w:firstLine="0"/>
      </w:pPr>
      <w:rPr>
        <w:rFonts w:hint="default"/>
        <w:position w:val="2"/>
        <w:sz w:val="20"/>
        <w:szCs w:val="20"/>
      </w:rPr>
    </w:lvl>
  </w:abstractNum>
  <w:abstractNum w:abstractNumId="1" w15:restartNumberingAfterBreak="0">
    <w:nsid w:val="00F15789"/>
    <w:multiLevelType w:val="multilevel"/>
    <w:tmpl w:val="C6A66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4819AE"/>
    <w:multiLevelType w:val="multilevel"/>
    <w:tmpl w:val="A2AE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1">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8116C6"/>
    <w:multiLevelType w:val="hybridMultilevel"/>
    <w:tmpl w:val="9A7C2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5A273F"/>
    <w:multiLevelType w:val="multilevel"/>
    <w:tmpl w:val="93EA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326F86"/>
    <w:multiLevelType w:val="hybridMultilevel"/>
    <w:tmpl w:val="8990DD2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6145471"/>
    <w:multiLevelType w:val="multilevel"/>
    <w:tmpl w:val="4F24725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68E22F6"/>
    <w:multiLevelType w:val="multilevel"/>
    <w:tmpl w:val="0A6406FE"/>
    <w:numStyleLink w:val="BodyTextNumbering"/>
  </w:abstractNum>
  <w:abstractNum w:abstractNumId="9" w15:restartNumberingAfterBreak="0">
    <w:nsid w:val="07CE24F7"/>
    <w:multiLevelType w:val="multilevel"/>
    <w:tmpl w:val="1ACC8A0C"/>
    <w:styleLink w:val="TableBullets"/>
    <w:lvl w:ilvl="0">
      <w:start w:val="1"/>
      <w:numFmt w:val="bullet"/>
      <w:pStyle w:val="TableBullet"/>
      <w:lvlText w:val=""/>
      <w:lvlJc w:val="left"/>
      <w:pPr>
        <w:ind w:left="284" w:hanging="284"/>
      </w:pPr>
      <w:rPr>
        <w:rFonts w:ascii="Wingdings" w:hAnsi="Wingdings" w:hint="default"/>
      </w:rPr>
    </w:lvl>
    <w:lvl w:ilvl="1">
      <w:start w:val="1"/>
      <w:numFmt w:val="bullet"/>
      <w:pStyle w:val="TableBullet2"/>
      <w:lvlText w:val="-"/>
      <w:lvlJc w:val="left"/>
      <w:pPr>
        <w:ind w:left="567" w:hanging="283"/>
      </w:pPr>
      <w:rPr>
        <w:rFonts w:ascii="Arial" w:hAnsi="Arial" w:cs="Arial" w:hint="default"/>
      </w:rPr>
    </w:lvl>
    <w:lvl w:ilvl="2">
      <w:start w:val="1"/>
      <w:numFmt w:val="bullet"/>
      <w:pStyle w:val="TableBullet3"/>
      <w:lvlText w:val=""/>
      <w:lvlJc w:val="left"/>
      <w:pPr>
        <w:ind w:left="851" w:hanging="284"/>
      </w:pPr>
      <w:rPr>
        <w:rFonts w:ascii="Wingdings" w:hAnsi="Wingdings" w:hint="default"/>
      </w:rPr>
    </w:lvl>
    <w:lvl w:ilvl="3">
      <w:start w:val="1"/>
      <w:numFmt w:val="bullet"/>
      <w:pStyle w:val="TableBullet4"/>
      <w:lvlText w:val="-"/>
      <w:lvlJc w:val="left"/>
      <w:pPr>
        <w:ind w:left="1440" w:hanging="360"/>
      </w:pPr>
      <w:rPr>
        <w:rFonts w:ascii="Jacobs Chronos" w:hAnsi="Jacobs Chronos" w:hint="default"/>
      </w:rPr>
    </w:lvl>
    <w:lvl w:ilvl="4">
      <w:start w:val="1"/>
      <w:numFmt w:val="bullet"/>
      <w:pStyle w:val="TableBullet5"/>
      <w:lvlText w:val=""/>
      <w:lvlJc w:val="left"/>
      <w:pPr>
        <w:ind w:left="1800" w:hanging="360"/>
      </w:pPr>
      <w:rPr>
        <w:rFonts w:ascii="Wingdings" w:hAnsi="Wingdings" w:hint="default"/>
      </w:rPr>
    </w:lvl>
    <w:lvl w:ilvl="5">
      <w:start w:val="1"/>
      <w:numFmt w:val="bullet"/>
      <w:pStyle w:val="TableBullet6"/>
      <w:lvlText w:val="-"/>
      <w:lvlJc w:val="left"/>
      <w:pPr>
        <w:ind w:left="2160" w:hanging="360"/>
      </w:pPr>
      <w:rPr>
        <w:rFonts w:ascii="Jacobs Chronos" w:hAnsi="Jacobs Chronos" w:hint="default"/>
      </w:rPr>
    </w:lvl>
    <w:lvl w:ilvl="6">
      <w:start w:val="1"/>
      <w:numFmt w:val="bullet"/>
      <w:pStyle w:val="TableBullet7"/>
      <w:lvlText w:val=""/>
      <w:lvlJc w:val="left"/>
      <w:pPr>
        <w:ind w:left="2520" w:hanging="360"/>
      </w:pPr>
      <w:rPr>
        <w:rFonts w:ascii="Wingdings" w:hAnsi="Wingdings" w:hint="default"/>
      </w:rPr>
    </w:lvl>
    <w:lvl w:ilvl="7">
      <w:start w:val="1"/>
      <w:numFmt w:val="bullet"/>
      <w:pStyle w:val="TableBullet8"/>
      <w:lvlText w:val=""/>
      <w:lvlJc w:val="left"/>
      <w:pPr>
        <w:ind w:left="2880" w:hanging="360"/>
      </w:pPr>
      <w:rPr>
        <w:rFonts w:ascii="Wingdings" w:hAnsi="Wingdings" w:hint="default"/>
      </w:rPr>
    </w:lvl>
    <w:lvl w:ilvl="8">
      <w:start w:val="1"/>
      <w:numFmt w:val="bullet"/>
      <w:pStyle w:val="TableBullet9"/>
      <w:lvlText w:val=""/>
      <w:lvlJc w:val="left"/>
      <w:pPr>
        <w:ind w:left="3240" w:hanging="360"/>
      </w:pPr>
      <w:rPr>
        <w:rFonts w:ascii="Wingdings" w:hAnsi="Wingdings" w:hint="default"/>
      </w:rPr>
    </w:lvl>
  </w:abstractNum>
  <w:abstractNum w:abstractNumId="10" w15:restartNumberingAfterBreak="0">
    <w:nsid w:val="07FD2A52"/>
    <w:multiLevelType w:val="multilevel"/>
    <w:tmpl w:val="917C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0D61B5"/>
    <w:multiLevelType w:val="hybridMultilevel"/>
    <w:tmpl w:val="3F341B0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A9E1001"/>
    <w:multiLevelType w:val="hybridMultilevel"/>
    <w:tmpl w:val="97A40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817580"/>
    <w:multiLevelType w:val="multilevel"/>
    <w:tmpl w:val="2622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E73C3E"/>
    <w:multiLevelType w:val="multilevel"/>
    <w:tmpl w:val="6C26566E"/>
    <w:styleLink w:val="Headings"/>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decimal"/>
      <w:pStyle w:val="Heading7"/>
      <w:lvlText w:val="%1.%2.%3.%4.%5.%6.%7"/>
      <w:lvlJc w:val="left"/>
      <w:pPr>
        <w:ind w:left="1134" w:hanging="1134"/>
      </w:pPr>
      <w:rPr>
        <w:rFonts w:hint="default"/>
      </w:rPr>
    </w:lvl>
    <w:lvl w:ilvl="7">
      <w:start w:val="1"/>
      <w:numFmt w:val="decimal"/>
      <w:pStyle w:val="Heading8"/>
      <w:lvlText w:val="%1.%2.%3.%4.%5.%6.%7.%8"/>
      <w:lvlJc w:val="left"/>
      <w:pPr>
        <w:ind w:left="1134" w:hanging="1134"/>
      </w:pPr>
      <w:rPr>
        <w:rFonts w:hint="default"/>
      </w:rPr>
    </w:lvl>
    <w:lvl w:ilvl="8">
      <w:start w:val="1"/>
      <w:numFmt w:val="decimal"/>
      <w:pStyle w:val="Heading9Fill-In"/>
      <w:lvlText w:val="%1.%2.%3.%4.%5.%6.%7.%8.%9"/>
      <w:lvlJc w:val="left"/>
      <w:pPr>
        <w:ind w:left="1134" w:hanging="1134"/>
      </w:pPr>
      <w:rPr>
        <w:rFonts w:hint="default"/>
      </w:rPr>
    </w:lvl>
  </w:abstractNum>
  <w:abstractNum w:abstractNumId="15" w15:restartNumberingAfterBreak="0">
    <w:nsid w:val="0C351215"/>
    <w:multiLevelType w:val="multilevel"/>
    <w:tmpl w:val="6C1270E4"/>
    <w:name w:val="DELWPHeadings"/>
    <w:lvl w:ilvl="0">
      <w:start w:val="1"/>
      <w:numFmt w:val="none"/>
      <w:lvlRestart w:val="0"/>
      <w:suff w:val="nothing"/>
      <w:lvlText w:val=""/>
      <w:lvlJc w:val="left"/>
      <w:pPr>
        <w:ind w:left="0" w:firstLine="0"/>
      </w:pPr>
      <w:rPr>
        <w:rFonts w:hint="default"/>
        <w:color w:val="333333" w:themeColor="text2"/>
        <w:sz w:val="4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765" w:hanging="765"/>
      </w:pPr>
      <w:rPr>
        <w:rFonts w:hint="default"/>
      </w:rPr>
    </w:lvl>
    <w:lvl w:ilvl="5">
      <w:start w:val="1"/>
      <w:numFmt w:val="decimal"/>
      <w:lvlText w:val="%1.%2.%3.%4.%5.%6"/>
      <w:lvlJc w:val="left"/>
      <w:pPr>
        <w:ind w:left="765" w:hanging="765"/>
      </w:pPr>
      <w:rPr>
        <w:rFonts w:hint="default"/>
      </w:rPr>
    </w:lvl>
    <w:lvl w:ilvl="6">
      <w:start w:val="1"/>
      <w:numFmt w:val="decimal"/>
      <w:lvlText w:val="%1.%2.%3.%4.%5.%6.%7."/>
      <w:lvlJc w:val="left"/>
      <w:pPr>
        <w:ind w:left="765" w:hanging="765"/>
      </w:pPr>
      <w:rPr>
        <w:rFonts w:hint="default"/>
      </w:rPr>
    </w:lvl>
    <w:lvl w:ilvl="7">
      <w:start w:val="1"/>
      <w:numFmt w:val="decimal"/>
      <w:lvlText w:val="%1.%2.%3.%4.%5.%6.%7.%8."/>
      <w:lvlJc w:val="left"/>
      <w:pPr>
        <w:ind w:left="765" w:hanging="765"/>
      </w:pPr>
      <w:rPr>
        <w:rFonts w:hint="default"/>
      </w:rPr>
    </w:lvl>
    <w:lvl w:ilvl="8">
      <w:start w:val="1"/>
      <w:numFmt w:val="decimal"/>
      <w:lvlText w:val="%1.%2.%3.%4.%5.%6.%7.%8.%9."/>
      <w:lvlJc w:val="left"/>
      <w:pPr>
        <w:ind w:left="765" w:hanging="765"/>
      </w:pPr>
      <w:rPr>
        <w:rFonts w:hint="default"/>
      </w:rPr>
    </w:lvl>
  </w:abstractNum>
  <w:abstractNum w:abstractNumId="16" w15:restartNumberingAfterBreak="0">
    <w:nsid w:val="0C832BEE"/>
    <w:multiLevelType w:val="multilevel"/>
    <w:tmpl w:val="5F86F79A"/>
    <w:styleLink w:val="PhotologNumberList"/>
    <w:lvl w:ilvl="0">
      <w:start w:val="1"/>
      <w:numFmt w:val="decimal"/>
      <w:pStyle w:val="PhotologNumber"/>
      <w:suff w:val="space"/>
      <w:lvlText w:val="Photograph %1:"/>
      <w:lvlJc w:val="left"/>
      <w:pPr>
        <w:ind w:left="360" w:hanging="360"/>
      </w:pPr>
      <w:rPr>
        <w:rFonts w:asciiTheme="majorHAnsi" w:hAnsiTheme="majorHAnsi" w:hint="default"/>
        <w:b/>
        <w:i w:val="0"/>
        <w:color w:val="auto"/>
        <w:sz w:val="20"/>
      </w:rPr>
    </w:lvl>
    <w:lvl w:ilvl="1">
      <w:start w:val="1"/>
      <w:numFmt w:val="lowerLetter"/>
      <w:pStyle w:val="PhotologNumber2"/>
      <w:lvlText w:val="%2)"/>
      <w:lvlJc w:val="left"/>
      <w:pPr>
        <w:ind w:left="720" w:hanging="360"/>
      </w:pPr>
      <w:rPr>
        <w:rFonts w:hint="default"/>
      </w:rPr>
    </w:lvl>
    <w:lvl w:ilvl="2">
      <w:start w:val="1"/>
      <w:numFmt w:val="lowerRoman"/>
      <w:pStyle w:val="PhotologNumber3"/>
      <w:lvlText w:val="%3)"/>
      <w:lvlJc w:val="left"/>
      <w:pPr>
        <w:ind w:left="1080" w:hanging="360"/>
      </w:pPr>
      <w:rPr>
        <w:rFonts w:hint="default"/>
      </w:rPr>
    </w:lvl>
    <w:lvl w:ilvl="3">
      <w:start w:val="1"/>
      <w:numFmt w:val="decimal"/>
      <w:pStyle w:val="PhotologNumber4"/>
      <w:lvlText w:val="(%4)"/>
      <w:lvlJc w:val="left"/>
      <w:pPr>
        <w:ind w:left="1440" w:hanging="360"/>
      </w:pPr>
      <w:rPr>
        <w:rFonts w:hint="default"/>
      </w:rPr>
    </w:lvl>
    <w:lvl w:ilvl="4">
      <w:start w:val="1"/>
      <w:numFmt w:val="lowerLetter"/>
      <w:pStyle w:val="PhotologNumber5"/>
      <w:lvlText w:val="(%5)"/>
      <w:lvlJc w:val="left"/>
      <w:pPr>
        <w:ind w:left="1800" w:hanging="360"/>
      </w:pPr>
      <w:rPr>
        <w:rFonts w:hint="default"/>
      </w:rPr>
    </w:lvl>
    <w:lvl w:ilvl="5">
      <w:start w:val="1"/>
      <w:numFmt w:val="lowerRoman"/>
      <w:pStyle w:val="PhotologNumber6"/>
      <w:lvlText w:val="(%6)"/>
      <w:lvlJc w:val="left"/>
      <w:pPr>
        <w:ind w:left="2160" w:hanging="360"/>
      </w:pPr>
      <w:rPr>
        <w:rFonts w:hint="default"/>
      </w:rPr>
    </w:lvl>
    <w:lvl w:ilvl="6">
      <w:start w:val="1"/>
      <w:numFmt w:val="decimal"/>
      <w:pStyle w:val="PhotologNumber7"/>
      <w:lvlText w:val="%7."/>
      <w:lvlJc w:val="left"/>
      <w:pPr>
        <w:ind w:left="2520" w:hanging="360"/>
      </w:pPr>
      <w:rPr>
        <w:rFonts w:hint="default"/>
      </w:rPr>
    </w:lvl>
    <w:lvl w:ilvl="7">
      <w:start w:val="1"/>
      <w:numFmt w:val="lowerLetter"/>
      <w:pStyle w:val="PhotologNumber8"/>
      <w:lvlText w:val="%8."/>
      <w:lvlJc w:val="left"/>
      <w:pPr>
        <w:ind w:left="2880" w:hanging="360"/>
      </w:pPr>
      <w:rPr>
        <w:rFonts w:hint="default"/>
      </w:rPr>
    </w:lvl>
    <w:lvl w:ilvl="8">
      <w:start w:val="1"/>
      <w:numFmt w:val="lowerRoman"/>
      <w:pStyle w:val="PhotologNumber9"/>
      <w:lvlText w:val="%9."/>
      <w:lvlJc w:val="left"/>
      <w:pPr>
        <w:ind w:left="3240" w:hanging="360"/>
      </w:pPr>
      <w:rPr>
        <w:rFonts w:hint="default"/>
      </w:rPr>
    </w:lvl>
  </w:abstractNum>
  <w:abstractNum w:abstractNumId="17" w15:restartNumberingAfterBreak="0">
    <w:nsid w:val="0CB35FAA"/>
    <w:multiLevelType w:val="multilevel"/>
    <w:tmpl w:val="7B1C8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9E46AD"/>
    <w:multiLevelType w:val="multilevel"/>
    <w:tmpl w:val="ECBEE670"/>
    <w:styleLink w:val="InstructionNumbering"/>
    <w:lvl w:ilvl="0">
      <w:start w:val="1"/>
      <w:numFmt w:val="decimal"/>
      <w:pStyle w:val="InstructionNumber"/>
      <w:lvlText w:val="%1."/>
      <w:lvlJc w:val="left"/>
      <w:pPr>
        <w:ind w:left="720" w:hanging="720"/>
      </w:pPr>
      <w:rPr>
        <w:rFonts w:hint="default"/>
      </w:rPr>
    </w:lvl>
    <w:lvl w:ilvl="1">
      <w:start w:val="1"/>
      <w:numFmt w:val="bullet"/>
      <w:pStyle w:val="InstructionBullet"/>
      <w:lvlText w:val="◦"/>
      <w:lvlJc w:val="left"/>
      <w:pPr>
        <w:ind w:left="1077" w:hanging="357"/>
      </w:pPr>
      <w:rPr>
        <w:rFonts w:ascii="Calibri" w:hAnsi="Calibri" w:cs="Times New Roman" w:hint="default"/>
        <w:color w:val="231EDC" w:themeColor="accent1"/>
      </w:rPr>
    </w:lvl>
    <w:lvl w:ilvl="2">
      <w:start w:val="1"/>
      <w:numFmt w:val="bullet"/>
      <w:pStyle w:val="InstructionBullet2"/>
      <w:lvlText w:val=""/>
      <w:lvlJc w:val="left"/>
      <w:pPr>
        <w:ind w:left="1080" w:hanging="360"/>
      </w:pPr>
      <w:rPr>
        <w:rFonts w:ascii="Wingdings" w:hAnsi="Wingdings" w:hint="default"/>
      </w:rPr>
    </w:lvl>
    <w:lvl w:ilvl="3">
      <w:start w:val="1"/>
      <w:numFmt w:val="bullet"/>
      <w:pStyle w:val="InstructionBullet3"/>
      <w:lvlText w:val=""/>
      <w:lvlJc w:val="left"/>
      <w:pPr>
        <w:ind w:left="1440" w:hanging="360"/>
      </w:pPr>
      <w:rPr>
        <w:rFonts w:ascii="Wingdings" w:hAnsi="Wingdings" w:hint="default"/>
      </w:rPr>
    </w:lvl>
    <w:lvl w:ilvl="4">
      <w:start w:val="1"/>
      <w:numFmt w:val="bullet"/>
      <w:pStyle w:val="InstructionBullet4"/>
      <w:lvlText w:val=""/>
      <w:lvlJc w:val="left"/>
      <w:pPr>
        <w:ind w:left="1800" w:hanging="360"/>
      </w:pPr>
      <w:rPr>
        <w:rFonts w:ascii="Wingdings" w:hAnsi="Wingdings" w:hint="default"/>
      </w:rPr>
    </w:lvl>
    <w:lvl w:ilvl="5">
      <w:start w:val="1"/>
      <w:numFmt w:val="bullet"/>
      <w:pStyle w:val="InstructionBullet5"/>
      <w:lvlText w:val=""/>
      <w:lvlJc w:val="left"/>
      <w:pPr>
        <w:ind w:left="2160" w:hanging="360"/>
      </w:pPr>
      <w:rPr>
        <w:rFonts w:ascii="Wingdings" w:hAnsi="Wingdings" w:hint="default"/>
      </w:rPr>
    </w:lvl>
    <w:lvl w:ilvl="6">
      <w:start w:val="1"/>
      <w:numFmt w:val="bullet"/>
      <w:pStyle w:val="InstructionBullet6"/>
      <w:lvlText w:val=""/>
      <w:lvlJc w:val="left"/>
      <w:pPr>
        <w:ind w:left="2520" w:hanging="360"/>
      </w:pPr>
      <w:rPr>
        <w:rFonts w:ascii="Wingdings" w:hAnsi="Wingdings" w:hint="default"/>
      </w:rPr>
    </w:lvl>
    <w:lvl w:ilvl="7">
      <w:start w:val="1"/>
      <w:numFmt w:val="bullet"/>
      <w:pStyle w:val="InstructionBullet7"/>
      <w:lvlText w:val=""/>
      <w:lvlJc w:val="left"/>
      <w:pPr>
        <w:ind w:left="2880" w:hanging="360"/>
      </w:pPr>
      <w:rPr>
        <w:rFonts w:ascii="Wingdings" w:hAnsi="Wingdings" w:hint="default"/>
      </w:rPr>
    </w:lvl>
    <w:lvl w:ilvl="8">
      <w:start w:val="1"/>
      <w:numFmt w:val="bullet"/>
      <w:pStyle w:val="InstructionBullet8"/>
      <w:lvlText w:val=""/>
      <w:lvlJc w:val="left"/>
      <w:pPr>
        <w:ind w:left="3240" w:hanging="360"/>
      </w:pPr>
      <w:rPr>
        <w:rFonts w:ascii="Wingdings" w:hAnsi="Wingdings" w:hint="default"/>
      </w:rPr>
    </w:lvl>
  </w:abstractNum>
  <w:abstractNum w:abstractNumId="19" w15:restartNumberingAfterBreak="0">
    <w:nsid w:val="0FB2573F"/>
    <w:multiLevelType w:val="multilevel"/>
    <w:tmpl w:val="D18EE714"/>
    <w:name w:val="TableFootnotes"/>
    <w:lvl w:ilvl="0">
      <w:start w:val="1"/>
      <w:numFmt w:val="lowerLetter"/>
      <w:pStyle w:val="Footnotes"/>
      <w:lvlText w:val="%1."/>
      <w:lvlJc w:val="left"/>
      <w:pPr>
        <w:ind w:left="284" w:hanging="284"/>
      </w:pPr>
      <w:rPr>
        <w:rFonts w:hint="default"/>
        <w:spacing w:val="-10"/>
      </w:rPr>
    </w:lvl>
    <w:lvl w:ilvl="1">
      <w:start w:val="1"/>
      <w:numFmt w:val="lowerRoman"/>
      <w:pStyle w:val="Footnotes2"/>
      <w:lvlText w:val="%2."/>
      <w:lvlJc w:val="left"/>
      <w:pPr>
        <w:tabs>
          <w:tab w:val="num" w:pos="567"/>
        </w:tabs>
        <w:ind w:left="567" w:hanging="283"/>
      </w:pPr>
      <w:rPr>
        <w:rFonts w:hint="default"/>
        <w:spacing w:val="0"/>
        <w:w w:val="100"/>
        <w:kern w:val="0"/>
        <w:position w:val="0"/>
      </w:rPr>
    </w:lvl>
    <w:lvl w:ilvl="2">
      <w:start w:val="1"/>
      <w:numFmt w:val="none"/>
      <w:lvlRestart w:val="1"/>
      <w:lvlText w:val=""/>
      <w:lvlJc w:val="left"/>
      <w:pPr>
        <w:tabs>
          <w:tab w:val="num" w:pos="0"/>
        </w:tabs>
        <w:ind w:left="0" w:firstLine="0"/>
      </w:pPr>
      <w:rPr>
        <w:rFonts w:hint="default"/>
        <w:color w:val="auto"/>
        <w:spacing w:val="-4"/>
      </w:rPr>
    </w:lvl>
    <w:lvl w:ilvl="3">
      <w:start w:val="1"/>
      <w:numFmt w:val="none"/>
      <w:lvlText w:val=""/>
      <w:lvlJc w:val="left"/>
      <w:pPr>
        <w:tabs>
          <w:tab w:val="num" w:pos="0"/>
        </w:tabs>
        <w:ind w:left="0" w:hanging="5670"/>
      </w:pPr>
      <w:rPr>
        <w:rFonts w:hint="default"/>
        <w:spacing w:val="-10"/>
        <w:w w:val="100"/>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Restart w:val="1"/>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position w:val="0"/>
      </w:rPr>
    </w:lvl>
    <w:lvl w:ilvl="8">
      <w:start w:val="1"/>
      <w:numFmt w:val="none"/>
      <w:lvlText w:val=""/>
      <w:lvlJc w:val="left"/>
      <w:pPr>
        <w:tabs>
          <w:tab w:val="num" w:pos="0"/>
        </w:tabs>
        <w:ind w:left="0" w:firstLine="0"/>
      </w:pPr>
      <w:rPr>
        <w:rFonts w:hint="default"/>
        <w:position w:val="2"/>
        <w:sz w:val="20"/>
        <w:szCs w:val="20"/>
      </w:rPr>
    </w:lvl>
  </w:abstractNum>
  <w:abstractNum w:abstractNumId="20" w15:restartNumberingAfterBreak="0">
    <w:nsid w:val="105F49F2"/>
    <w:multiLevelType w:val="hybridMultilevel"/>
    <w:tmpl w:val="143EF932"/>
    <w:lvl w:ilvl="0" w:tplc="FFFFFFFF">
      <w:start w:val="1"/>
      <w:numFmt w:val="bullet"/>
      <w:lvlText w:val="o"/>
      <w:lvlJc w:val="left"/>
      <w:pPr>
        <w:ind w:left="1077" w:hanging="360"/>
      </w:pPr>
      <w:rPr>
        <w:rFonts w:ascii="Courier New" w:hAnsi="Courier New"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120164BC"/>
    <w:multiLevelType w:val="multilevel"/>
    <w:tmpl w:val="5F86F79A"/>
    <w:numStyleLink w:val="PhotologNumberList"/>
  </w:abstractNum>
  <w:abstractNum w:abstractNumId="22" w15:restartNumberingAfterBreak="0">
    <w:nsid w:val="141A5095"/>
    <w:multiLevelType w:val="multilevel"/>
    <w:tmpl w:val="7B1A3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292F2F"/>
    <w:multiLevelType w:val="hybridMultilevel"/>
    <w:tmpl w:val="B44C50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925A26"/>
    <w:multiLevelType w:val="hybridMultilevel"/>
    <w:tmpl w:val="6876DA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520CF1"/>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7541FD8"/>
    <w:multiLevelType w:val="multilevel"/>
    <w:tmpl w:val="CBAC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7DD3F0E"/>
    <w:multiLevelType w:val="multilevel"/>
    <w:tmpl w:val="61F2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8715252"/>
    <w:multiLevelType w:val="multilevel"/>
    <w:tmpl w:val="AD2A96D6"/>
    <w:numStyleLink w:val="SequentialNumbering"/>
  </w:abstractNum>
  <w:abstractNum w:abstractNumId="29" w15:restartNumberingAfterBreak="0">
    <w:nsid w:val="1A1B4193"/>
    <w:multiLevelType w:val="multilevel"/>
    <w:tmpl w:val="1CF68600"/>
    <w:styleLink w:val="ProjectBullets"/>
    <w:lvl w:ilvl="0">
      <w:start w:val="1"/>
      <w:numFmt w:val="bullet"/>
      <w:pStyle w:val="ProjectBullet"/>
      <w:lvlText w:val=""/>
      <w:lvlJc w:val="left"/>
      <w:pPr>
        <w:ind w:left="170" w:hanging="170"/>
      </w:pPr>
      <w:rPr>
        <w:rFonts w:ascii="Wingdings" w:hAnsi="Wingdings" w:hint="default"/>
      </w:rPr>
    </w:lvl>
    <w:lvl w:ilvl="1">
      <w:start w:val="1"/>
      <w:numFmt w:val="bullet"/>
      <w:pStyle w:val="ProjectBullet2ndLevel"/>
      <w:lvlText w:val="-"/>
      <w:lvlJc w:val="left"/>
      <w:pPr>
        <w:ind w:left="340" w:hanging="170"/>
      </w:pPr>
      <w:rPr>
        <w:rFonts w:ascii="Arial" w:hAnsi="Arial" w:cs="Times New Roman" w:hint="default"/>
      </w:rPr>
    </w:lvl>
    <w:lvl w:ilvl="2">
      <w:start w:val="1"/>
      <w:numFmt w:val="bullet"/>
      <w:pStyle w:val="ProjectBullet3"/>
      <w:lvlText w:val="-"/>
      <w:lvlJc w:val="left"/>
      <w:pPr>
        <w:ind w:left="1080" w:hanging="360"/>
      </w:pPr>
      <w:rPr>
        <w:rFonts w:ascii="Jacobs Chronos" w:hAnsi="Jacobs Chronos" w:hint="default"/>
      </w:rPr>
    </w:lvl>
    <w:lvl w:ilvl="3">
      <w:start w:val="1"/>
      <w:numFmt w:val="bullet"/>
      <w:pStyle w:val="ProjectBullet4"/>
      <w:lvlText w:val="-"/>
      <w:lvlJc w:val="left"/>
      <w:pPr>
        <w:ind w:left="1440" w:hanging="360"/>
      </w:pPr>
      <w:rPr>
        <w:rFonts w:ascii="Jacobs Chronos" w:hAnsi="Jacobs Chronos" w:hint="default"/>
      </w:rPr>
    </w:lvl>
    <w:lvl w:ilvl="4">
      <w:start w:val="1"/>
      <w:numFmt w:val="bullet"/>
      <w:pStyle w:val="ProjectBullet5"/>
      <w:lvlText w:val="-"/>
      <w:lvlJc w:val="left"/>
      <w:pPr>
        <w:ind w:left="1800" w:hanging="360"/>
      </w:pPr>
      <w:rPr>
        <w:rFonts w:ascii="Jacobs Chronos" w:hAnsi="Jacobs Chronos" w:hint="default"/>
      </w:rPr>
    </w:lvl>
    <w:lvl w:ilvl="5">
      <w:start w:val="1"/>
      <w:numFmt w:val="bullet"/>
      <w:pStyle w:val="ProjectBullet6"/>
      <w:lvlText w:val="-"/>
      <w:lvlJc w:val="left"/>
      <w:pPr>
        <w:ind w:left="2160" w:hanging="360"/>
      </w:pPr>
      <w:rPr>
        <w:rFonts w:ascii="Jacobs Chronos" w:hAnsi="Jacobs Chronos" w:hint="default"/>
      </w:rPr>
    </w:lvl>
    <w:lvl w:ilvl="6">
      <w:start w:val="1"/>
      <w:numFmt w:val="bullet"/>
      <w:pStyle w:val="ProjectBullet7"/>
      <w:lvlText w:val="-"/>
      <w:lvlJc w:val="left"/>
      <w:pPr>
        <w:ind w:left="2520" w:hanging="360"/>
      </w:pPr>
      <w:rPr>
        <w:rFonts w:ascii="Jacobs Chronos" w:hAnsi="Jacobs Chronos" w:hint="default"/>
      </w:rPr>
    </w:lvl>
    <w:lvl w:ilvl="7">
      <w:start w:val="1"/>
      <w:numFmt w:val="bullet"/>
      <w:pStyle w:val="ProjectBullet8"/>
      <w:lvlText w:val="-"/>
      <w:lvlJc w:val="left"/>
      <w:pPr>
        <w:ind w:left="2880" w:hanging="360"/>
      </w:pPr>
      <w:rPr>
        <w:rFonts w:ascii="Jacobs Chronos" w:hAnsi="Jacobs Chronos" w:hint="default"/>
      </w:rPr>
    </w:lvl>
    <w:lvl w:ilvl="8">
      <w:start w:val="1"/>
      <w:numFmt w:val="bullet"/>
      <w:pStyle w:val="ProjectBullet9"/>
      <w:lvlText w:val="-"/>
      <w:lvlJc w:val="left"/>
      <w:pPr>
        <w:ind w:left="3240" w:hanging="360"/>
      </w:pPr>
      <w:rPr>
        <w:rFonts w:ascii="Jacobs Chronos" w:hAnsi="Jacobs Chronos" w:hint="default"/>
      </w:rPr>
    </w:lvl>
  </w:abstractNum>
  <w:abstractNum w:abstractNumId="30" w15:restartNumberingAfterBreak="0">
    <w:nsid w:val="1A3B1091"/>
    <w:multiLevelType w:val="hybridMultilevel"/>
    <w:tmpl w:val="0CC66386"/>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A683D9D"/>
    <w:multiLevelType w:val="multilevel"/>
    <w:tmpl w:val="CA2A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BD26CCB"/>
    <w:multiLevelType w:val="multilevel"/>
    <w:tmpl w:val="DBFA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6634C9"/>
    <w:multiLevelType w:val="multilevel"/>
    <w:tmpl w:val="88AE1E06"/>
    <w:styleLink w:val="Bullets"/>
    <w:lvl w:ilvl="0">
      <w:start w:val="1"/>
      <w:numFmt w:val="bullet"/>
      <w:lvlText w:val=""/>
      <w:lvlJc w:val="left"/>
      <w:pPr>
        <w:ind w:left="357" w:hanging="357"/>
      </w:pPr>
      <w:rPr>
        <w:rFonts w:ascii="Wingdings" w:hAnsi="Wingdings" w:hint="default"/>
      </w:rPr>
    </w:lvl>
    <w:lvl w:ilvl="1">
      <w:start w:val="1"/>
      <w:numFmt w:val="bullet"/>
      <w:lvlText w:val="-"/>
      <w:lvlJc w:val="left"/>
      <w:pPr>
        <w:ind w:left="714" w:hanging="357"/>
      </w:pPr>
      <w:rPr>
        <w:rFonts w:ascii="Jacobs Chronos" w:hAnsi="Jacobs Chronos" w:hint="default"/>
      </w:rPr>
    </w:lvl>
    <w:lvl w:ilvl="2">
      <w:start w:val="1"/>
      <w:numFmt w:val="bullet"/>
      <w:lvlText w:val=""/>
      <w:lvlJc w:val="left"/>
      <w:pPr>
        <w:ind w:left="1077" w:hanging="363"/>
      </w:pPr>
      <w:rPr>
        <w:rFonts w:ascii="Wingdings" w:hAnsi="Wingdings" w:hint="default"/>
      </w:rPr>
    </w:lvl>
    <w:lvl w:ilvl="3">
      <w:start w:val="1"/>
      <w:numFmt w:val="bullet"/>
      <w:lvlText w:val="-"/>
      <w:lvlJc w:val="left"/>
      <w:pPr>
        <w:ind w:left="1361" w:hanging="284"/>
      </w:pPr>
      <w:rPr>
        <w:rFonts w:ascii="Jacobs Chronos" w:hAnsi="Jacobs Chronos" w:hint="default"/>
      </w:rPr>
    </w:lvl>
    <w:lvl w:ilvl="4">
      <w:start w:val="1"/>
      <w:numFmt w:val="bullet"/>
      <w:lvlText w:val=""/>
      <w:lvlJc w:val="left"/>
      <w:pPr>
        <w:ind w:left="1644" w:hanging="283"/>
      </w:pPr>
      <w:rPr>
        <w:rFonts w:ascii="Wingdings" w:hAnsi="Wingdings" w:hint="default"/>
      </w:rPr>
    </w:lvl>
    <w:lvl w:ilvl="5">
      <w:start w:val="1"/>
      <w:numFmt w:val="bullet"/>
      <w:lvlText w:val="-"/>
      <w:lvlJc w:val="left"/>
      <w:pPr>
        <w:ind w:left="1985" w:hanging="341"/>
      </w:pPr>
      <w:rPr>
        <w:rFonts w:ascii="Jacobs Chronos" w:hAnsi="Jacobs Chrono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34" w15:restartNumberingAfterBreak="0">
    <w:nsid w:val="1D591D7F"/>
    <w:multiLevelType w:val="multilevel"/>
    <w:tmpl w:val="254A0E6C"/>
    <w:styleLink w:val="CapabilityBullets"/>
    <w:lvl w:ilvl="0">
      <w:start w:val="1"/>
      <w:numFmt w:val="bullet"/>
      <w:pStyle w:val="CapabilityBullet"/>
      <w:lvlText w:val=""/>
      <w:lvlJc w:val="left"/>
      <w:pPr>
        <w:ind w:left="170" w:hanging="170"/>
      </w:pPr>
      <w:rPr>
        <w:rFonts w:ascii="Wingdings" w:hAnsi="Wingdings" w:hint="default"/>
      </w:rPr>
    </w:lvl>
    <w:lvl w:ilvl="1">
      <w:start w:val="1"/>
      <w:numFmt w:val="bullet"/>
      <w:pStyle w:val="CapabilityBullet2ndLevel"/>
      <w:lvlText w:val="-"/>
      <w:lvlJc w:val="left"/>
      <w:pPr>
        <w:ind w:left="340" w:hanging="170"/>
      </w:pPr>
      <w:rPr>
        <w:rFonts w:ascii="Arial" w:hAnsi="Arial" w:cs="Times New Roman" w:hint="default"/>
      </w:rPr>
    </w:lvl>
    <w:lvl w:ilvl="2">
      <w:start w:val="1"/>
      <w:numFmt w:val="bullet"/>
      <w:pStyle w:val="CapabilityBullet3"/>
      <w:lvlText w:val="-"/>
      <w:lvlJc w:val="left"/>
      <w:pPr>
        <w:ind w:left="1080" w:hanging="360"/>
      </w:pPr>
      <w:rPr>
        <w:rFonts w:ascii="Jacobs Chronos" w:hAnsi="Jacobs Chronos" w:hint="default"/>
      </w:rPr>
    </w:lvl>
    <w:lvl w:ilvl="3">
      <w:start w:val="1"/>
      <w:numFmt w:val="bullet"/>
      <w:pStyle w:val="CapabilityBullet4"/>
      <w:lvlText w:val="-"/>
      <w:lvlJc w:val="left"/>
      <w:pPr>
        <w:ind w:left="1440" w:hanging="360"/>
      </w:pPr>
      <w:rPr>
        <w:rFonts w:ascii="Jacobs Chronos" w:hAnsi="Jacobs Chronos" w:hint="default"/>
      </w:rPr>
    </w:lvl>
    <w:lvl w:ilvl="4">
      <w:start w:val="1"/>
      <w:numFmt w:val="bullet"/>
      <w:pStyle w:val="CapabilityBullet5"/>
      <w:lvlText w:val="-"/>
      <w:lvlJc w:val="left"/>
      <w:pPr>
        <w:ind w:left="1800" w:hanging="360"/>
      </w:pPr>
      <w:rPr>
        <w:rFonts w:ascii="Jacobs Chronos" w:hAnsi="Jacobs Chronos" w:hint="default"/>
      </w:rPr>
    </w:lvl>
    <w:lvl w:ilvl="5">
      <w:start w:val="1"/>
      <w:numFmt w:val="bullet"/>
      <w:pStyle w:val="CapabilityBullet6"/>
      <w:lvlText w:val="-"/>
      <w:lvlJc w:val="left"/>
      <w:pPr>
        <w:ind w:left="2160" w:hanging="360"/>
      </w:pPr>
      <w:rPr>
        <w:rFonts w:ascii="Jacobs Chronos" w:hAnsi="Jacobs Chronos" w:hint="default"/>
      </w:rPr>
    </w:lvl>
    <w:lvl w:ilvl="6">
      <w:start w:val="1"/>
      <w:numFmt w:val="bullet"/>
      <w:pStyle w:val="CapabilityBullet7"/>
      <w:lvlText w:val="-"/>
      <w:lvlJc w:val="left"/>
      <w:pPr>
        <w:ind w:left="2520" w:hanging="360"/>
      </w:pPr>
      <w:rPr>
        <w:rFonts w:ascii="Jacobs Chronos" w:hAnsi="Jacobs Chronos" w:hint="default"/>
      </w:rPr>
    </w:lvl>
    <w:lvl w:ilvl="7">
      <w:start w:val="1"/>
      <w:numFmt w:val="bullet"/>
      <w:pStyle w:val="CapabilityBullet8"/>
      <w:lvlText w:val="-"/>
      <w:lvlJc w:val="left"/>
      <w:pPr>
        <w:ind w:left="2880" w:hanging="360"/>
      </w:pPr>
      <w:rPr>
        <w:rFonts w:ascii="Jacobs Chronos" w:hAnsi="Jacobs Chronos" w:hint="default"/>
      </w:rPr>
    </w:lvl>
    <w:lvl w:ilvl="8">
      <w:start w:val="1"/>
      <w:numFmt w:val="bullet"/>
      <w:pStyle w:val="CapabilityBullet9"/>
      <w:lvlText w:val="-"/>
      <w:lvlJc w:val="left"/>
      <w:pPr>
        <w:ind w:left="3240" w:hanging="360"/>
      </w:pPr>
      <w:rPr>
        <w:rFonts w:ascii="Jacobs Chronos" w:hAnsi="Jacobs Chronos" w:hint="default"/>
      </w:rPr>
    </w:lvl>
  </w:abstractNum>
  <w:abstractNum w:abstractNumId="35" w15:restartNumberingAfterBreak="0">
    <w:nsid w:val="1DAD260D"/>
    <w:multiLevelType w:val="hybridMultilevel"/>
    <w:tmpl w:val="735298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DBE2BFD"/>
    <w:multiLevelType w:val="multilevel"/>
    <w:tmpl w:val="CF5A662E"/>
    <w:styleLink w:val="TableNumbers"/>
    <w:lvl w:ilvl="0">
      <w:start w:val="1"/>
      <w:numFmt w:val="decimal"/>
      <w:pStyle w:val="TableNumber"/>
      <w:lvlText w:val="%1."/>
      <w:lvlJc w:val="left"/>
      <w:pPr>
        <w:ind w:left="284" w:hanging="284"/>
      </w:pPr>
      <w:rPr>
        <w:rFonts w:hint="default"/>
      </w:rPr>
    </w:lvl>
    <w:lvl w:ilvl="1">
      <w:start w:val="1"/>
      <w:numFmt w:val="lowerLetter"/>
      <w:pStyle w:val="TableNumber2"/>
      <w:lvlText w:val="%2."/>
      <w:lvlJc w:val="left"/>
      <w:pPr>
        <w:ind w:left="567" w:hanging="283"/>
      </w:pPr>
      <w:rPr>
        <w:rFonts w:hint="default"/>
      </w:rPr>
    </w:lvl>
    <w:lvl w:ilvl="2">
      <w:start w:val="1"/>
      <w:numFmt w:val="lowerRoman"/>
      <w:pStyle w:val="TableNumber3"/>
      <w:lvlText w:val="%3."/>
      <w:lvlJc w:val="left"/>
      <w:pPr>
        <w:tabs>
          <w:tab w:val="num" w:pos="567"/>
        </w:tabs>
        <w:ind w:left="851" w:hanging="284"/>
      </w:pPr>
      <w:rPr>
        <w:rFonts w:hint="default"/>
      </w:rPr>
    </w:lvl>
    <w:lvl w:ilvl="3">
      <w:start w:val="1"/>
      <w:numFmt w:val="decimal"/>
      <w:pStyle w:val="TableNumber4"/>
      <w:lvlText w:val="(%4)"/>
      <w:lvlJc w:val="left"/>
      <w:pPr>
        <w:ind w:left="1440" w:hanging="360"/>
      </w:pPr>
      <w:rPr>
        <w:rFonts w:hint="default"/>
      </w:rPr>
    </w:lvl>
    <w:lvl w:ilvl="4">
      <w:start w:val="1"/>
      <w:numFmt w:val="lowerLetter"/>
      <w:pStyle w:val="TableNumber5"/>
      <w:lvlText w:val="(%5)"/>
      <w:lvlJc w:val="left"/>
      <w:pPr>
        <w:ind w:left="1800" w:hanging="360"/>
      </w:pPr>
      <w:rPr>
        <w:rFonts w:hint="default"/>
      </w:rPr>
    </w:lvl>
    <w:lvl w:ilvl="5">
      <w:start w:val="1"/>
      <w:numFmt w:val="lowerRoman"/>
      <w:pStyle w:val="TableNumber6"/>
      <w:lvlText w:val="(%6)"/>
      <w:lvlJc w:val="left"/>
      <w:pPr>
        <w:ind w:left="2160" w:hanging="360"/>
      </w:pPr>
      <w:rPr>
        <w:rFonts w:hint="default"/>
      </w:rPr>
    </w:lvl>
    <w:lvl w:ilvl="6">
      <w:start w:val="1"/>
      <w:numFmt w:val="decimal"/>
      <w:pStyle w:val="TableNumber7"/>
      <w:lvlText w:val="%7."/>
      <w:lvlJc w:val="left"/>
      <w:pPr>
        <w:ind w:left="2520" w:hanging="360"/>
      </w:pPr>
      <w:rPr>
        <w:rFonts w:hint="default"/>
      </w:rPr>
    </w:lvl>
    <w:lvl w:ilvl="7">
      <w:start w:val="1"/>
      <w:numFmt w:val="lowerLetter"/>
      <w:pStyle w:val="TableNumber8"/>
      <w:lvlText w:val="%8."/>
      <w:lvlJc w:val="left"/>
      <w:pPr>
        <w:ind w:left="2880" w:hanging="360"/>
      </w:pPr>
      <w:rPr>
        <w:rFonts w:hint="default"/>
      </w:rPr>
    </w:lvl>
    <w:lvl w:ilvl="8">
      <w:start w:val="1"/>
      <w:numFmt w:val="lowerRoman"/>
      <w:pStyle w:val="TableNumber9"/>
      <w:lvlText w:val="%9."/>
      <w:lvlJc w:val="left"/>
      <w:pPr>
        <w:ind w:left="3240" w:hanging="360"/>
      </w:pPr>
      <w:rPr>
        <w:rFonts w:hint="default"/>
      </w:rPr>
    </w:lvl>
  </w:abstractNum>
  <w:abstractNum w:abstractNumId="37" w15:restartNumberingAfterBreak="0">
    <w:nsid w:val="1EB67005"/>
    <w:multiLevelType w:val="multilevel"/>
    <w:tmpl w:val="9E7E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ECC30BB"/>
    <w:multiLevelType w:val="multilevel"/>
    <w:tmpl w:val="6A12B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0435197"/>
    <w:multiLevelType w:val="multilevel"/>
    <w:tmpl w:val="B3D80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06C0071"/>
    <w:multiLevelType w:val="multilevel"/>
    <w:tmpl w:val="32C63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1225EA0"/>
    <w:multiLevelType w:val="hybridMultilevel"/>
    <w:tmpl w:val="E892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18075F3"/>
    <w:multiLevelType w:val="multilevel"/>
    <w:tmpl w:val="8E90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26B0B99"/>
    <w:multiLevelType w:val="hybridMultilevel"/>
    <w:tmpl w:val="1E40C6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29563D1"/>
    <w:multiLevelType w:val="hybridMultilevel"/>
    <w:tmpl w:val="4AE4848A"/>
    <w:lvl w:ilvl="0" w:tplc="51244778">
      <w:start w:val="1"/>
      <w:numFmt w:val="bullet"/>
      <w:pStyle w:val="TableDash2ndLevel"/>
      <w:lvlText w:val="-"/>
      <w:lvlJc w:val="left"/>
      <w:pPr>
        <w:ind w:left="720" w:hanging="360"/>
      </w:pPr>
      <w:rPr>
        <w:rFonts w:ascii="Jacobs Chronos" w:hAnsi="Jacobs Chronos" w:hint="default"/>
        <w14:numSpacing w14:val="tabular"/>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3FB043D"/>
    <w:multiLevelType w:val="multilevel"/>
    <w:tmpl w:val="7466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52E1B67"/>
    <w:multiLevelType w:val="hybridMultilevel"/>
    <w:tmpl w:val="0A581F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6430CE3"/>
    <w:multiLevelType w:val="multilevel"/>
    <w:tmpl w:val="2E64F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8492BF6"/>
    <w:multiLevelType w:val="hybridMultilevel"/>
    <w:tmpl w:val="86BC759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297E099E"/>
    <w:multiLevelType w:val="hybridMultilevel"/>
    <w:tmpl w:val="5E14ABB4"/>
    <w:lvl w:ilvl="0" w:tplc="C8BED02A">
      <w:start w:val="1"/>
      <w:numFmt w:val="bullet"/>
      <w:pStyle w:val="Tablet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132C2F"/>
    <w:multiLevelType w:val="multilevel"/>
    <w:tmpl w:val="67E2C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B564AA8"/>
    <w:multiLevelType w:val="hybridMultilevel"/>
    <w:tmpl w:val="91FAA5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2E971CD7"/>
    <w:multiLevelType w:val="hybridMultilevel"/>
    <w:tmpl w:val="55FAB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147A2E"/>
    <w:multiLevelType w:val="hybridMultilevel"/>
    <w:tmpl w:val="FE6E7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5E2ABA"/>
    <w:multiLevelType w:val="hybridMultilevel"/>
    <w:tmpl w:val="C598E6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1A829EA"/>
    <w:multiLevelType w:val="hybridMultilevel"/>
    <w:tmpl w:val="3FE470C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469578D"/>
    <w:multiLevelType w:val="multilevel"/>
    <w:tmpl w:val="1016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4765594"/>
    <w:multiLevelType w:val="multilevel"/>
    <w:tmpl w:val="8D8CCC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34D33836"/>
    <w:multiLevelType w:val="hybridMultilevel"/>
    <w:tmpl w:val="7CCE5E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55B2A47"/>
    <w:multiLevelType w:val="hybridMultilevel"/>
    <w:tmpl w:val="485C5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64827A0"/>
    <w:multiLevelType w:val="hybridMultilevel"/>
    <w:tmpl w:val="B80296C6"/>
    <w:lvl w:ilvl="0" w:tplc="04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36F47674"/>
    <w:multiLevelType w:val="hybridMultilevel"/>
    <w:tmpl w:val="F88A8A76"/>
    <w:lvl w:ilvl="0" w:tplc="04090005">
      <w:start w:val="1"/>
      <w:numFmt w:val="bullet"/>
      <w:lvlText w:val=""/>
      <w:lvlJc w:val="left"/>
      <w:pPr>
        <w:ind w:left="405" w:hanging="360"/>
      </w:pPr>
      <w:rPr>
        <w:rFonts w:ascii="Wingdings" w:hAnsi="Wingdings"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2" w15:restartNumberingAfterBreak="0">
    <w:nsid w:val="375879B3"/>
    <w:multiLevelType w:val="multilevel"/>
    <w:tmpl w:val="34982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90A7D9B"/>
    <w:multiLevelType w:val="multilevel"/>
    <w:tmpl w:val="FD3EDA9E"/>
    <w:numStyleLink w:val="CVResumeBullets"/>
  </w:abstractNum>
  <w:abstractNum w:abstractNumId="64" w15:restartNumberingAfterBreak="0">
    <w:nsid w:val="39472479"/>
    <w:multiLevelType w:val="multilevel"/>
    <w:tmpl w:val="1CF68600"/>
    <w:numStyleLink w:val="ProjectBullets"/>
  </w:abstractNum>
  <w:abstractNum w:abstractNumId="65" w15:restartNumberingAfterBreak="0">
    <w:nsid w:val="39C02F23"/>
    <w:multiLevelType w:val="hybridMultilevel"/>
    <w:tmpl w:val="09E61F80"/>
    <w:lvl w:ilvl="0" w:tplc="E31E9090">
      <w:start w:val="1"/>
      <w:numFmt w:val="bullet"/>
      <w:pStyle w:val="TableBullet2ndLevel"/>
      <w:lvlText w:val="-"/>
      <w:lvlJc w:val="left"/>
      <w:pPr>
        <w:ind w:left="890" w:hanging="360"/>
      </w:pPr>
      <w:rPr>
        <w:rFonts w:ascii="Jacobs Chronos" w:hAnsi="Jacobs Chronos" w:hint="default"/>
      </w:rPr>
    </w:lvl>
    <w:lvl w:ilvl="1" w:tplc="AD8C6614" w:tentative="1">
      <w:start w:val="1"/>
      <w:numFmt w:val="bullet"/>
      <w:lvlText w:val="o"/>
      <w:lvlJc w:val="left"/>
      <w:pPr>
        <w:ind w:left="1610" w:hanging="360"/>
      </w:pPr>
      <w:rPr>
        <w:rFonts w:ascii="Courier New" w:hAnsi="Courier New" w:cs="Courier New" w:hint="default"/>
      </w:rPr>
    </w:lvl>
    <w:lvl w:ilvl="2" w:tplc="79F08AC2" w:tentative="1">
      <w:start w:val="1"/>
      <w:numFmt w:val="bullet"/>
      <w:lvlText w:val=""/>
      <w:lvlJc w:val="left"/>
      <w:pPr>
        <w:ind w:left="2330" w:hanging="360"/>
      </w:pPr>
      <w:rPr>
        <w:rFonts w:ascii="Wingdings" w:hAnsi="Wingdings" w:hint="default"/>
      </w:rPr>
    </w:lvl>
    <w:lvl w:ilvl="3" w:tplc="A8C04D1A" w:tentative="1">
      <w:start w:val="1"/>
      <w:numFmt w:val="bullet"/>
      <w:lvlText w:val=""/>
      <w:lvlJc w:val="left"/>
      <w:pPr>
        <w:ind w:left="3050" w:hanging="360"/>
      </w:pPr>
      <w:rPr>
        <w:rFonts w:ascii="Symbol" w:hAnsi="Symbol" w:hint="default"/>
      </w:rPr>
    </w:lvl>
    <w:lvl w:ilvl="4" w:tplc="573C031C" w:tentative="1">
      <w:start w:val="1"/>
      <w:numFmt w:val="bullet"/>
      <w:lvlText w:val="o"/>
      <w:lvlJc w:val="left"/>
      <w:pPr>
        <w:ind w:left="3770" w:hanging="360"/>
      </w:pPr>
      <w:rPr>
        <w:rFonts w:ascii="Courier New" w:hAnsi="Courier New" w:cs="Courier New" w:hint="default"/>
      </w:rPr>
    </w:lvl>
    <w:lvl w:ilvl="5" w:tplc="A31E4A58" w:tentative="1">
      <w:start w:val="1"/>
      <w:numFmt w:val="bullet"/>
      <w:lvlText w:val=""/>
      <w:lvlJc w:val="left"/>
      <w:pPr>
        <w:ind w:left="4490" w:hanging="360"/>
      </w:pPr>
      <w:rPr>
        <w:rFonts w:ascii="Wingdings" w:hAnsi="Wingdings" w:hint="default"/>
      </w:rPr>
    </w:lvl>
    <w:lvl w:ilvl="6" w:tplc="6E5ADCBA" w:tentative="1">
      <w:start w:val="1"/>
      <w:numFmt w:val="bullet"/>
      <w:lvlText w:val=""/>
      <w:lvlJc w:val="left"/>
      <w:pPr>
        <w:ind w:left="5210" w:hanging="360"/>
      </w:pPr>
      <w:rPr>
        <w:rFonts w:ascii="Symbol" w:hAnsi="Symbol" w:hint="default"/>
      </w:rPr>
    </w:lvl>
    <w:lvl w:ilvl="7" w:tplc="79ECEFC6" w:tentative="1">
      <w:start w:val="1"/>
      <w:numFmt w:val="bullet"/>
      <w:lvlText w:val="o"/>
      <w:lvlJc w:val="left"/>
      <w:pPr>
        <w:ind w:left="5930" w:hanging="360"/>
      </w:pPr>
      <w:rPr>
        <w:rFonts w:ascii="Courier New" w:hAnsi="Courier New" w:cs="Courier New" w:hint="default"/>
      </w:rPr>
    </w:lvl>
    <w:lvl w:ilvl="8" w:tplc="03DC882A" w:tentative="1">
      <w:start w:val="1"/>
      <w:numFmt w:val="bullet"/>
      <w:lvlText w:val=""/>
      <w:lvlJc w:val="left"/>
      <w:pPr>
        <w:ind w:left="6650" w:hanging="360"/>
      </w:pPr>
      <w:rPr>
        <w:rFonts w:ascii="Wingdings" w:hAnsi="Wingdings" w:hint="default"/>
      </w:rPr>
    </w:lvl>
  </w:abstractNum>
  <w:abstractNum w:abstractNumId="66" w15:restartNumberingAfterBreak="0">
    <w:nsid w:val="3B254C16"/>
    <w:multiLevelType w:val="multilevel"/>
    <w:tmpl w:val="1ACC8A0C"/>
    <w:numStyleLink w:val="TableBullets"/>
  </w:abstractNum>
  <w:abstractNum w:abstractNumId="67" w15:restartNumberingAfterBreak="0">
    <w:nsid w:val="3B6B2C77"/>
    <w:multiLevelType w:val="multilevel"/>
    <w:tmpl w:val="ECBEE670"/>
    <w:numStyleLink w:val="InstructionNumbering"/>
  </w:abstractNum>
  <w:abstractNum w:abstractNumId="68" w15:restartNumberingAfterBreak="0">
    <w:nsid w:val="3C4B48B2"/>
    <w:multiLevelType w:val="multilevel"/>
    <w:tmpl w:val="410E3D6C"/>
    <w:lvl w:ilvl="0">
      <w:start w:val="1"/>
      <w:numFmt w:val="decimal"/>
      <w:lvlText w:val="%1."/>
      <w:lvlJc w:val="left"/>
      <w:pPr>
        <w:ind w:left="357" w:hanging="357"/>
      </w:pPr>
      <w:rPr>
        <w:rFonts w:hint="default"/>
      </w:rPr>
    </w:lvl>
    <w:lvl w:ilvl="1">
      <w:start w:val="1"/>
      <w:numFmt w:val="bullet"/>
      <w:lvlText w:val="-"/>
      <w:lvlJc w:val="left"/>
      <w:pPr>
        <w:ind w:left="714" w:hanging="357"/>
      </w:pPr>
      <w:rPr>
        <w:rFonts w:ascii="Jacobs Chronos" w:hAnsi="Jacobs Chronos" w:hint="default"/>
      </w:rPr>
    </w:lvl>
    <w:lvl w:ilvl="2">
      <w:start w:val="1"/>
      <w:numFmt w:val="bullet"/>
      <w:lvlText w:val=""/>
      <w:lvlJc w:val="left"/>
      <w:pPr>
        <w:ind w:left="1077" w:hanging="363"/>
      </w:pPr>
      <w:rPr>
        <w:rFonts w:ascii="Wingdings" w:hAnsi="Wingdings" w:hint="default"/>
      </w:rPr>
    </w:lvl>
    <w:lvl w:ilvl="3">
      <w:start w:val="1"/>
      <w:numFmt w:val="bullet"/>
      <w:lvlText w:val="-"/>
      <w:lvlJc w:val="left"/>
      <w:pPr>
        <w:ind w:left="1361" w:hanging="284"/>
      </w:pPr>
      <w:rPr>
        <w:rFonts w:ascii="Jacobs Chronos" w:hAnsi="Jacobs Chronos" w:hint="default"/>
      </w:rPr>
    </w:lvl>
    <w:lvl w:ilvl="4">
      <w:start w:val="1"/>
      <w:numFmt w:val="bullet"/>
      <w:lvlText w:val=""/>
      <w:lvlJc w:val="left"/>
      <w:pPr>
        <w:ind w:left="1644" w:hanging="283"/>
      </w:pPr>
      <w:rPr>
        <w:rFonts w:ascii="Wingdings" w:hAnsi="Wingdings" w:hint="default"/>
      </w:rPr>
    </w:lvl>
    <w:lvl w:ilvl="5">
      <w:start w:val="1"/>
      <w:numFmt w:val="bullet"/>
      <w:lvlText w:val="-"/>
      <w:lvlJc w:val="left"/>
      <w:pPr>
        <w:ind w:left="1985" w:hanging="341"/>
      </w:pPr>
      <w:rPr>
        <w:rFonts w:ascii="Jacobs Chronos" w:hAnsi="Jacobs Chrono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69" w15:restartNumberingAfterBreak="0">
    <w:nsid w:val="3C985538"/>
    <w:multiLevelType w:val="multilevel"/>
    <w:tmpl w:val="462208E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3CC50ABD"/>
    <w:multiLevelType w:val="multilevel"/>
    <w:tmpl w:val="5E98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F107EE6"/>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F6D7DC2"/>
    <w:multiLevelType w:val="multilevel"/>
    <w:tmpl w:val="462208E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3FBB373E"/>
    <w:multiLevelType w:val="multilevel"/>
    <w:tmpl w:val="CF5A662E"/>
    <w:numStyleLink w:val="TableNumbers"/>
  </w:abstractNum>
  <w:abstractNum w:abstractNumId="74" w15:restartNumberingAfterBreak="0">
    <w:nsid w:val="402A4280"/>
    <w:multiLevelType w:val="multilevel"/>
    <w:tmpl w:val="F332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AC594D"/>
    <w:multiLevelType w:val="hybridMultilevel"/>
    <w:tmpl w:val="D626F2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0F07887"/>
    <w:multiLevelType w:val="hybridMultilevel"/>
    <w:tmpl w:val="5AC6C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2445A42"/>
    <w:multiLevelType w:val="multilevel"/>
    <w:tmpl w:val="E2B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37A7076"/>
    <w:multiLevelType w:val="hybridMultilevel"/>
    <w:tmpl w:val="641028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43850D13"/>
    <w:multiLevelType w:val="hybridMultilevel"/>
    <w:tmpl w:val="7CDC6E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42179BD"/>
    <w:multiLevelType w:val="hybridMultilevel"/>
    <w:tmpl w:val="322AFF52"/>
    <w:lvl w:ilvl="0" w:tplc="BA086990">
      <w:start w:val="1"/>
      <w:numFmt w:val="bullet"/>
      <w:lvlText w:val=""/>
      <w:lvlJc w:val="left"/>
      <w:pPr>
        <w:ind w:left="1080" w:hanging="360"/>
      </w:pPr>
      <w:rPr>
        <w:rFonts w:ascii="Symbol" w:hAnsi="Symbol"/>
      </w:rPr>
    </w:lvl>
    <w:lvl w:ilvl="1" w:tplc="4754EA1C">
      <w:start w:val="1"/>
      <w:numFmt w:val="bullet"/>
      <w:lvlText w:val=""/>
      <w:lvlJc w:val="left"/>
      <w:pPr>
        <w:ind w:left="1080" w:hanging="360"/>
      </w:pPr>
      <w:rPr>
        <w:rFonts w:ascii="Symbol" w:hAnsi="Symbol"/>
      </w:rPr>
    </w:lvl>
    <w:lvl w:ilvl="2" w:tplc="F10AB962">
      <w:start w:val="1"/>
      <w:numFmt w:val="bullet"/>
      <w:lvlText w:val=""/>
      <w:lvlJc w:val="left"/>
      <w:pPr>
        <w:ind w:left="1080" w:hanging="360"/>
      </w:pPr>
      <w:rPr>
        <w:rFonts w:ascii="Symbol" w:hAnsi="Symbol"/>
      </w:rPr>
    </w:lvl>
    <w:lvl w:ilvl="3" w:tplc="5FB641F4">
      <w:start w:val="1"/>
      <w:numFmt w:val="bullet"/>
      <w:lvlText w:val=""/>
      <w:lvlJc w:val="left"/>
      <w:pPr>
        <w:ind w:left="1080" w:hanging="360"/>
      </w:pPr>
      <w:rPr>
        <w:rFonts w:ascii="Symbol" w:hAnsi="Symbol"/>
      </w:rPr>
    </w:lvl>
    <w:lvl w:ilvl="4" w:tplc="820A4472">
      <w:start w:val="1"/>
      <w:numFmt w:val="bullet"/>
      <w:lvlText w:val=""/>
      <w:lvlJc w:val="left"/>
      <w:pPr>
        <w:ind w:left="1080" w:hanging="360"/>
      </w:pPr>
      <w:rPr>
        <w:rFonts w:ascii="Symbol" w:hAnsi="Symbol"/>
      </w:rPr>
    </w:lvl>
    <w:lvl w:ilvl="5" w:tplc="4FDC3E18">
      <w:start w:val="1"/>
      <w:numFmt w:val="bullet"/>
      <w:lvlText w:val=""/>
      <w:lvlJc w:val="left"/>
      <w:pPr>
        <w:ind w:left="1080" w:hanging="360"/>
      </w:pPr>
      <w:rPr>
        <w:rFonts w:ascii="Symbol" w:hAnsi="Symbol"/>
      </w:rPr>
    </w:lvl>
    <w:lvl w:ilvl="6" w:tplc="989409AC">
      <w:start w:val="1"/>
      <w:numFmt w:val="bullet"/>
      <w:lvlText w:val=""/>
      <w:lvlJc w:val="left"/>
      <w:pPr>
        <w:ind w:left="1080" w:hanging="360"/>
      </w:pPr>
      <w:rPr>
        <w:rFonts w:ascii="Symbol" w:hAnsi="Symbol"/>
      </w:rPr>
    </w:lvl>
    <w:lvl w:ilvl="7" w:tplc="81AAE78C">
      <w:start w:val="1"/>
      <w:numFmt w:val="bullet"/>
      <w:lvlText w:val=""/>
      <w:lvlJc w:val="left"/>
      <w:pPr>
        <w:ind w:left="1080" w:hanging="360"/>
      </w:pPr>
      <w:rPr>
        <w:rFonts w:ascii="Symbol" w:hAnsi="Symbol"/>
      </w:rPr>
    </w:lvl>
    <w:lvl w:ilvl="8" w:tplc="658AF382">
      <w:start w:val="1"/>
      <w:numFmt w:val="bullet"/>
      <w:lvlText w:val=""/>
      <w:lvlJc w:val="left"/>
      <w:pPr>
        <w:ind w:left="1080" w:hanging="360"/>
      </w:pPr>
      <w:rPr>
        <w:rFonts w:ascii="Symbol" w:hAnsi="Symbol"/>
      </w:rPr>
    </w:lvl>
  </w:abstractNum>
  <w:abstractNum w:abstractNumId="81" w15:restartNumberingAfterBreak="0">
    <w:nsid w:val="44472936"/>
    <w:multiLevelType w:val="multilevel"/>
    <w:tmpl w:val="8648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4483911"/>
    <w:multiLevelType w:val="multilevel"/>
    <w:tmpl w:val="EC92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61F4D47"/>
    <w:multiLevelType w:val="multilevel"/>
    <w:tmpl w:val="B926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6CE15E3"/>
    <w:multiLevelType w:val="multilevel"/>
    <w:tmpl w:val="C8E2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736147F"/>
    <w:multiLevelType w:val="multilevel"/>
    <w:tmpl w:val="F1282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7F3005D"/>
    <w:multiLevelType w:val="multilevel"/>
    <w:tmpl w:val="048E351C"/>
    <w:lvl w:ilvl="0">
      <w:start w:val="1"/>
      <w:numFmt w:val="bullet"/>
      <w:lvlText w:val="o"/>
      <w:lvlJc w:val="left"/>
      <w:pPr>
        <w:ind w:left="340" w:hanging="227"/>
      </w:pPr>
      <w:rPr>
        <w:rFonts w:ascii="Courier New" w:hAnsi="Courier New" w:cs="Courier New"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87" w15:restartNumberingAfterBreak="0">
    <w:nsid w:val="48953CE4"/>
    <w:multiLevelType w:val="multilevel"/>
    <w:tmpl w:val="629ECF14"/>
    <w:lvl w:ilvl="0">
      <w:start w:val="1"/>
      <w:numFmt w:val="bullet"/>
      <w:pStyle w:val="BulletLevel1"/>
      <w:lvlText w:val=""/>
      <w:lvlJc w:val="left"/>
      <w:pPr>
        <w:ind w:left="357" w:hanging="357"/>
      </w:pPr>
      <w:rPr>
        <w:rFonts w:ascii="Wingdings" w:hAnsi="Wingdings" w:hint="default"/>
        <w:color w:val="auto"/>
      </w:rPr>
    </w:lvl>
    <w:lvl w:ilvl="1">
      <w:start w:val="1"/>
      <w:numFmt w:val="bullet"/>
      <w:pStyle w:val="BulletLevel2"/>
      <w:lvlText w:val="-"/>
      <w:lvlJc w:val="left"/>
      <w:pPr>
        <w:ind w:left="714" w:hanging="357"/>
      </w:pPr>
      <w:rPr>
        <w:rFonts w:ascii="Jacobs Chronos" w:hAnsi="Jacobs Chronos" w:hint="default"/>
      </w:rPr>
    </w:lvl>
    <w:lvl w:ilvl="2">
      <w:start w:val="1"/>
      <w:numFmt w:val="bullet"/>
      <w:pStyle w:val="BulletLevel3"/>
      <w:lvlText w:val=""/>
      <w:lvlJc w:val="left"/>
      <w:pPr>
        <w:ind w:left="1077" w:hanging="363"/>
      </w:pPr>
      <w:rPr>
        <w:rFonts w:ascii="Wingdings" w:hAnsi="Wingdings" w:hint="default"/>
      </w:rPr>
    </w:lvl>
    <w:lvl w:ilvl="3">
      <w:start w:val="1"/>
      <w:numFmt w:val="bullet"/>
      <w:pStyle w:val="BulletLevel4"/>
      <w:lvlText w:val="-"/>
      <w:lvlJc w:val="left"/>
      <w:pPr>
        <w:ind w:left="1361" w:hanging="284"/>
      </w:pPr>
      <w:rPr>
        <w:rFonts w:ascii="Jacobs Chronos" w:hAnsi="Jacobs Chronos" w:hint="default"/>
      </w:rPr>
    </w:lvl>
    <w:lvl w:ilvl="4">
      <w:start w:val="1"/>
      <w:numFmt w:val="bullet"/>
      <w:pStyle w:val="BulletLevel5"/>
      <w:lvlText w:val=""/>
      <w:lvlJc w:val="left"/>
      <w:pPr>
        <w:ind w:left="1644" w:hanging="283"/>
      </w:pPr>
      <w:rPr>
        <w:rFonts w:ascii="Wingdings" w:hAnsi="Wingdings" w:hint="default"/>
      </w:rPr>
    </w:lvl>
    <w:lvl w:ilvl="5">
      <w:start w:val="1"/>
      <w:numFmt w:val="bullet"/>
      <w:pStyle w:val="BulletLevel6"/>
      <w:lvlText w:val="-"/>
      <w:lvlJc w:val="left"/>
      <w:pPr>
        <w:ind w:left="1985" w:hanging="341"/>
      </w:pPr>
      <w:rPr>
        <w:rFonts w:ascii="Jacobs Chronos" w:hAnsi="Jacobs Chronos" w:hint="default"/>
      </w:rPr>
    </w:lvl>
    <w:lvl w:ilvl="6">
      <w:start w:val="1"/>
      <w:numFmt w:val="bullet"/>
      <w:pStyle w:val="BulletLevel7"/>
      <w:lvlText w:val=""/>
      <w:lvlJc w:val="left"/>
      <w:pPr>
        <w:ind w:left="2520" w:hanging="360"/>
      </w:pPr>
      <w:rPr>
        <w:rFonts w:ascii="Wingdings" w:hAnsi="Wingdings" w:hint="default"/>
      </w:rPr>
    </w:lvl>
    <w:lvl w:ilvl="7">
      <w:start w:val="1"/>
      <w:numFmt w:val="bullet"/>
      <w:pStyle w:val="BulletLevel8"/>
      <w:lvlText w:val=""/>
      <w:lvlJc w:val="left"/>
      <w:pPr>
        <w:ind w:left="2880" w:hanging="360"/>
      </w:pPr>
      <w:rPr>
        <w:rFonts w:ascii="Wingdings" w:hAnsi="Wingdings" w:hint="default"/>
      </w:rPr>
    </w:lvl>
    <w:lvl w:ilvl="8">
      <w:start w:val="1"/>
      <w:numFmt w:val="bullet"/>
      <w:pStyle w:val="BulletLevel9"/>
      <w:lvlText w:val=""/>
      <w:lvlJc w:val="left"/>
      <w:pPr>
        <w:ind w:left="3240" w:hanging="360"/>
      </w:pPr>
      <w:rPr>
        <w:rFonts w:ascii="Wingdings" w:hAnsi="Wingdings" w:hint="default"/>
      </w:rPr>
    </w:lvl>
  </w:abstractNum>
  <w:abstractNum w:abstractNumId="88" w15:restartNumberingAfterBreak="0">
    <w:nsid w:val="48AB7BBD"/>
    <w:multiLevelType w:val="hybridMultilevel"/>
    <w:tmpl w:val="D144A650"/>
    <w:lvl w:ilvl="0" w:tplc="8B20F716">
      <w:start w:val="1"/>
      <w:numFmt w:val="bullet"/>
      <w:pStyle w:val="TableBullet3rdLevel"/>
      <w:lvlText w:val=""/>
      <w:lvlJc w:val="left"/>
      <w:pPr>
        <w:ind w:left="70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89" w15:restartNumberingAfterBreak="0">
    <w:nsid w:val="499E7BE5"/>
    <w:multiLevelType w:val="multilevel"/>
    <w:tmpl w:val="9E32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1">
    <w:nsid w:val="4AA27F2E"/>
    <w:multiLevelType w:val="multilevel"/>
    <w:tmpl w:val="E79AB64C"/>
    <w:name w:val="Bullets"/>
    <w:lvl w:ilvl="0">
      <w:start w:val="1"/>
      <w:numFmt w:val="bullet"/>
      <w:lvlText w:val=""/>
      <w:lvlJc w:val="left"/>
      <w:pPr>
        <w:ind w:left="340" w:hanging="227"/>
      </w:pPr>
      <w:rPr>
        <w:rFonts w:ascii="Wingdings" w:hAnsi="Wingdings" w:hint="default"/>
        <w:color w:val="auto"/>
      </w:rPr>
    </w:lvl>
    <w:lvl w:ilvl="1">
      <w:start w:val="1"/>
      <w:numFmt w:val="bullet"/>
      <w:lvlText w:val="–"/>
      <w:lvlJc w:val="left"/>
      <w:pPr>
        <w:ind w:left="567" w:hanging="227"/>
      </w:pPr>
      <w:rPr>
        <w:rFonts w:ascii="Arial" w:hAnsi="Arial" w:hint="default"/>
        <w:color w:val="auto"/>
      </w:rPr>
    </w:lvl>
    <w:lvl w:ilvl="2">
      <w:start w:val="1"/>
      <w:numFmt w:val="bullet"/>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91" w15:restartNumberingAfterBreak="0">
    <w:nsid w:val="4AB71B60"/>
    <w:multiLevelType w:val="multilevel"/>
    <w:tmpl w:val="B89C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1">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93" w15:restartNumberingAfterBreak="0">
    <w:nsid w:val="4D7B3986"/>
    <w:multiLevelType w:val="multilevel"/>
    <w:tmpl w:val="F0D83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D7D6ECC"/>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5" w15:restartNumberingAfterBreak="0">
    <w:nsid w:val="50343425"/>
    <w:multiLevelType w:val="hybridMultilevel"/>
    <w:tmpl w:val="36DC0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5347200F"/>
    <w:multiLevelType w:val="hybridMultilevel"/>
    <w:tmpl w:val="514AD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4016FAD"/>
    <w:multiLevelType w:val="multilevel"/>
    <w:tmpl w:val="19567D56"/>
    <w:lvl w:ilvl="0">
      <w:numFmt w:val="decimal"/>
      <w:pStyle w:val="TableNumberandTitle"/>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5265100"/>
    <w:multiLevelType w:val="multilevel"/>
    <w:tmpl w:val="AD2A96D6"/>
    <w:styleLink w:val="SequentialNumbering"/>
    <w:lvl w:ilvl="0">
      <w:start w:val="1"/>
      <w:numFmt w:val="decimal"/>
      <w:pStyle w:val="Sequential"/>
      <w:lvlText w:val="%1."/>
      <w:lvlJc w:val="left"/>
      <w:pPr>
        <w:ind w:left="1134" w:hanging="1134"/>
      </w:pPr>
      <w:rPr>
        <w:rFonts w:hint="default"/>
      </w:rPr>
    </w:lvl>
    <w:lvl w:ilvl="1">
      <w:start w:val="1"/>
      <w:numFmt w:val="decimal"/>
      <w:pStyle w:val="Sequential2"/>
      <w:lvlText w:val="%1.%2"/>
      <w:lvlJc w:val="left"/>
      <w:pPr>
        <w:ind w:left="1134" w:hanging="1134"/>
      </w:pPr>
      <w:rPr>
        <w:rFonts w:hint="default"/>
      </w:rPr>
    </w:lvl>
    <w:lvl w:ilvl="2">
      <w:start w:val="1"/>
      <w:numFmt w:val="decimal"/>
      <w:pStyle w:val="Sequential3"/>
      <w:lvlText w:val="%1.%2.%3"/>
      <w:lvlJc w:val="left"/>
      <w:pPr>
        <w:ind w:left="1134" w:hanging="1134"/>
      </w:pPr>
      <w:rPr>
        <w:rFonts w:hint="default"/>
      </w:rPr>
    </w:lvl>
    <w:lvl w:ilvl="3">
      <w:start w:val="1"/>
      <w:numFmt w:val="decimal"/>
      <w:pStyle w:val="Sequential4"/>
      <w:lvlText w:val="%1.%2.%3.%4"/>
      <w:lvlJc w:val="left"/>
      <w:pPr>
        <w:ind w:left="1134" w:hanging="1134"/>
      </w:pPr>
      <w:rPr>
        <w:rFonts w:hint="default"/>
      </w:rPr>
    </w:lvl>
    <w:lvl w:ilvl="4">
      <w:start w:val="1"/>
      <w:numFmt w:val="decimal"/>
      <w:pStyle w:val="Sequential5"/>
      <w:lvlText w:val="%1.%2.%3.%4.%5"/>
      <w:lvlJc w:val="left"/>
      <w:pPr>
        <w:ind w:left="1134" w:hanging="1134"/>
      </w:pPr>
      <w:rPr>
        <w:rFonts w:hint="default"/>
      </w:rPr>
    </w:lvl>
    <w:lvl w:ilvl="5">
      <w:start w:val="1"/>
      <w:numFmt w:val="decimal"/>
      <w:pStyle w:val="Sequential6"/>
      <w:lvlText w:val="%1.%2.%3.%4.%5.%6"/>
      <w:lvlJc w:val="left"/>
      <w:pPr>
        <w:ind w:left="1134" w:hanging="1134"/>
      </w:pPr>
      <w:rPr>
        <w:rFonts w:hint="default"/>
      </w:rPr>
    </w:lvl>
    <w:lvl w:ilvl="6">
      <w:start w:val="1"/>
      <w:numFmt w:val="decimal"/>
      <w:pStyle w:val="Sequential7"/>
      <w:lvlText w:val="%1.%2.%3.%4.%5.%6.%7"/>
      <w:lvlJc w:val="left"/>
      <w:pPr>
        <w:ind w:left="1134" w:hanging="1134"/>
      </w:pPr>
      <w:rPr>
        <w:rFonts w:hint="default"/>
      </w:rPr>
    </w:lvl>
    <w:lvl w:ilvl="7">
      <w:start w:val="1"/>
      <w:numFmt w:val="decimal"/>
      <w:pStyle w:val="Sequential8"/>
      <w:lvlText w:val="%1.%2.%3.%4.%5.%6.%7.%8"/>
      <w:lvlJc w:val="left"/>
      <w:pPr>
        <w:ind w:left="1134" w:hanging="1134"/>
      </w:pPr>
      <w:rPr>
        <w:rFonts w:hint="default"/>
      </w:rPr>
    </w:lvl>
    <w:lvl w:ilvl="8">
      <w:start w:val="1"/>
      <w:numFmt w:val="decimal"/>
      <w:pStyle w:val="Sequential9"/>
      <w:lvlText w:val="%1.%2.%3.%4.%5.%6.%7.%8.%9"/>
      <w:lvlJc w:val="left"/>
      <w:pPr>
        <w:ind w:left="1134" w:hanging="1134"/>
      </w:pPr>
      <w:rPr>
        <w:rFonts w:hint="default"/>
      </w:rPr>
    </w:lvl>
  </w:abstractNum>
  <w:abstractNum w:abstractNumId="99" w15:restartNumberingAfterBreak="0">
    <w:nsid w:val="55695F3D"/>
    <w:multiLevelType w:val="multilevel"/>
    <w:tmpl w:val="D0C0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6EB45AA"/>
    <w:multiLevelType w:val="hybridMultilevel"/>
    <w:tmpl w:val="627EDEEC"/>
    <w:lvl w:ilvl="0" w:tplc="BA12FDC2">
      <w:start w:val="1"/>
      <w:numFmt w:val="decimal"/>
      <w:pStyle w:val="GuidanceBullet1"/>
      <w:lvlText w:val="%1."/>
      <w:lvlJc w:val="left"/>
      <w:pPr>
        <w:ind w:left="720" w:hanging="360"/>
      </w:pPr>
    </w:lvl>
    <w:lvl w:ilvl="1" w:tplc="9816146C">
      <w:start w:val="1"/>
      <w:numFmt w:val="lowerLetter"/>
      <w:lvlText w:val="%2."/>
      <w:lvlJc w:val="left"/>
      <w:pPr>
        <w:ind w:left="1440" w:hanging="360"/>
      </w:pPr>
    </w:lvl>
    <w:lvl w:ilvl="2" w:tplc="DCD459EE">
      <w:start w:val="1"/>
      <w:numFmt w:val="lowerRoman"/>
      <w:lvlText w:val="%3."/>
      <w:lvlJc w:val="right"/>
      <w:pPr>
        <w:ind w:left="2160" w:hanging="180"/>
      </w:pPr>
    </w:lvl>
    <w:lvl w:ilvl="3" w:tplc="651EB7CA">
      <w:start w:val="1"/>
      <w:numFmt w:val="decimal"/>
      <w:lvlText w:val="%4."/>
      <w:lvlJc w:val="left"/>
      <w:pPr>
        <w:ind w:left="2880" w:hanging="360"/>
      </w:pPr>
    </w:lvl>
    <w:lvl w:ilvl="4" w:tplc="3AB801E8">
      <w:start w:val="1"/>
      <w:numFmt w:val="lowerLetter"/>
      <w:lvlText w:val="%5."/>
      <w:lvlJc w:val="left"/>
      <w:pPr>
        <w:ind w:left="3600" w:hanging="360"/>
      </w:pPr>
    </w:lvl>
    <w:lvl w:ilvl="5" w:tplc="9BE8A232">
      <w:start w:val="1"/>
      <w:numFmt w:val="lowerRoman"/>
      <w:lvlText w:val="%6."/>
      <w:lvlJc w:val="right"/>
      <w:pPr>
        <w:ind w:left="4320" w:hanging="180"/>
      </w:pPr>
    </w:lvl>
    <w:lvl w:ilvl="6" w:tplc="C0E6A966">
      <w:start w:val="1"/>
      <w:numFmt w:val="decimal"/>
      <w:lvlText w:val="%7."/>
      <w:lvlJc w:val="left"/>
      <w:pPr>
        <w:ind w:left="5040" w:hanging="360"/>
      </w:pPr>
    </w:lvl>
    <w:lvl w:ilvl="7" w:tplc="54CA43FC">
      <w:start w:val="1"/>
      <w:numFmt w:val="lowerLetter"/>
      <w:lvlText w:val="%8."/>
      <w:lvlJc w:val="left"/>
      <w:pPr>
        <w:ind w:left="5760" w:hanging="360"/>
      </w:pPr>
    </w:lvl>
    <w:lvl w:ilvl="8" w:tplc="78B8CEFC">
      <w:start w:val="1"/>
      <w:numFmt w:val="lowerRoman"/>
      <w:lvlText w:val="%9."/>
      <w:lvlJc w:val="right"/>
      <w:pPr>
        <w:ind w:left="6480" w:hanging="180"/>
      </w:pPr>
    </w:lvl>
  </w:abstractNum>
  <w:abstractNum w:abstractNumId="101" w15:restartNumberingAfterBreak="0">
    <w:nsid w:val="56FB12D1"/>
    <w:multiLevelType w:val="multilevel"/>
    <w:tmpl w:val="00806B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57F223D3"/>
    <w:multiLevelType w:val="multilevel"/>
    <w:tmpl w:val="436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59AA17DF"/>
    <w:multiLevelType w:val="hybridMultilevel"/>
    <w:tmpl w:val="F88845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59CC3D47"/>
    <w:multiLevelType w:val="multilevel"/>
    <w:tmpl w:val="0B6C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9F14900"/>
    <w:multiLevelType w:val="multilevel"/>
    <w:tmpl w:val="AD7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5A070818"/>
    <w:multiLevelType w:val="multilevel"/>
    <w:tmpl w:val="5AF8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D0E370E"/>
    <w:multiLevelType w:val="multilevel"/>
    <w:tmpl w:val="0A6406FE"/>
    <w:styleLink w:val="BodyTextNumbering"/>
    <w:lvl w:ilvl="0">
      <w:start w:val="1"/>
      <w:numFmt w:val="decimal"/>
      <w:pStyle w:val="BodyText1Number"/>
      <w:lvlText w:val="%1."/>
      <w:lvlJc w:val="left"/>
      <w:pPr>
        <w:ind w:left="360" w:hanging="360"/>
      </w:pPr>
      <w:rPr>
        <w:rFonts w:hint="default"/>
      </w:rPr>
    </w:lvl>
    <w:lvl w:ilvl="1">
      <w:start w:val="1"/>
      <w:numFmt w:val="lowerLetter"/>
      <w:pStyle w:val="BodyText2Letter"/>
      <w:lvlText w:val="%2."/>
      <w:lvlJc w:val="left"/>
      <w:pPr>
        <w:ind w:left="720" w:hanging="360"/>
      </w:pPr>
      <w:rPr>
        <w:rFonts w:hint="default"/>
      </w:rPr>
    </w:lvl>
    <w:lvl w:ilvl="2">
      <w:start w:val="1"/>
      <w:numFmt w:val="lowerRoman"/>
      <w:pStyle w:val="BodyText3Roman"/>
      <w:lvlText w:val="%3."/>
      <w:lvlJc w:val="left"/>
      <w:pPr>
        <w:ind w:left="1072" w:hanging="358"/>
      </w:pPr>
      <w:rPr>
        <w:rFonts w:hint="default"/>
      </w:rPr>
    </w:lvl>
    <w:lvl w:ilvl="3">
      <w:start w:val="1"/>
      <w:numFmt w:val="decimal"/>
      <w:pStyle w:val="BodyText4Number"/>
      <w:lvlText w:val="%4)"/>
      <w:lvlJc w:val="left"/>
      <w:pPr>
        <w:ind w:left="1429" w:hanging="357"/>
      </w:pPr>
      <w:rPr>
        <w:rFonts w:hint="default"/>
      </w:rPr>
    </w:lvl>
    <w:lvl w:ilvl="4">
      <w:start w:val="1"/>
      <w:numFmt w:val="lowerLetter"/>
      <w:pStyle w:val="BodyText5Number"/>
      <w:lvlText w:val="(%5)"/>
      <w:lvlJc w:val="left"/>
      <w:pPr>
        <w:ind w:left="1800" w:hanging="360"/>
      </w:pPr>
      <w:rPr>
        <w:rFonts w:hint="default"/>
      </w:rPr>
    </w:lvl>
    <w:lvl w:ilvl="5">
      <w:start w:val="1"/>
      <w:numFmt w:val="lowerRoman"/>
      <w:pStyle w:val="BodyText6Number"/>
      <w:lvlText w:val="(%6)"/>
      <w:lvlJc w:val="left"/>
      <w:pPr>
        <w:ind w:left="2160" w:hanging="360"/>
      </w:pPr>
      <w:rPr>
        <w:rFonts w:hint="default"/>
      </w:rPr>
    </w:lvl>
    <w:lvl w:ilvl="6">
      <w:start w:val="1"/>
      <w:numFmt w:val="decimal"/>
      <w:pStyle w:val="BodyText7Number"/>
      <w:lvlText w:val="%7."/>
      <w:lvlJc w:val="left"/>
      <w:pPr>
        <w:ind w:left="2520" w:hanging="360"/>
      </w:pPr>
      <w:rPr>
        <w:rFonts w:hint="default"/>
      </w:rPr>
    </w:lvl>
    <w:lvl w:ilvl="7">
      <w:start w:val="1"/>
      <w:numFmt w:val="lowerLetter"/>
      <w:pStyle w:val="BodyText8Number"/>
      <w:lvlText w:val="%8."/>
      <w:lvlJc w:val="left"/>
      <w:pPr>
        <w:ind w:left="2880" w:hanging="360"/>
      </w:pPr>
      <w:rPr>
        <w:rFonts w:hint="default"/>
      </w:rPr>
    </w:lvl>
    <w:lvl w:ilvl="8">
      <w:start w:val="1"/>
      <w:numFmt w:val="lowerRoman"/>
      <w:pStyle w:val="BodyText9Number"/>
      <w:lvlText w:val="%9."/>
      <w:lvlJc w:val="left"/>
      <w:pPr>
        <w:ind w:left="3240" w:hanging="360"/>
      </w:pPr>
      <w:rPr>
        <w:rFonts w:hint="default"/>
      </w:rPr>
    </w:lvl>
  </w:abstractNum>
  <w:abstractNum w:abstractNumId="108" w15:restartNumberingAfterBreak="0">
    <w:nsid w:val="5D5835F4"/>
    <w:multiLevelType w:val="multilevel"/>
    <w:tmpl w:val="FD3EDA9E"/>
    <w:styleLink w:val="CVResumeBullets"/>
    <w:lvl w:ilvl="0">
      <w:start w:val="1"/>
      <w:numFmt w:val="bullet"/>
      <w:pStyle w:val="CVResumeBullet"/>
      <w:lvlText w:val=""/>
      <w:lvlJc w:val="left"/>
      <w:pPr>
        <w:ind w:left="170" w:hanging="170"/>
      </w:pPr>
      <w:rPr>
        <w:rFonts w:ascii="Wingdings" w:hAnsi="Wingdings" w:hint="default"/>
        <w:color w:val="auto"/>
        <w:sz w:val="12"/>
      </w:rPr>
    </w:lvl>
    <w:lvl w:ilvl="1">
      <w:start w:val="1"/>
      <w:numFmt w:val="bullet"/>
      <w:lvlRestart w:val="0"/>
      <w:pStyle w:val="CVResumeBullet2ndLevel"/>
      <w:lvlText w:val="-"/>
      <w:lvlJc w:val="left"/>
      <w:pPr>
        <w:ind w:left="340" w:hanging="170"/>
      </w:pPr>
      <w:rPr>
        <w:rFonts w:ascii="Jacobs Chronos" w:hAnsi="Jacobs Chronos" w:hint="default"/>
        <w:color w:val="auto"/>
      </w:rPr>
    </w:lvl>
    <w:lvl w:ilvl="2">
      <w:numFmt w:val="none"/>
      <w:lvlRestart w:val="0"/>
      <w:pStyle w:val="CVResumeBullet3"/>
      <w:lvlText w:val=""/>
      <w:lvlJc w:val="left"/>
      <w:pPr>
        <w:ind w:left="510" w:hanging="170"/>
      </w:pPr>
      <w:rPr>
        <w:rFonts w:hint="default"/>
      </w:rPr>
    </w:lvl>
    <w:lvl w:ilvl="3">
      <w:numFmt w:val="none"/>
      <w:lvlRestart w:val="0"/>
      <w:pStyle w:val="CVResumeBullet4"/>
      <w:lvlText w:val=""/>
      <w:lvlJc w:val="left"/>
      <w:pPr>
        <w:ind w:left="680" w:hanging="170"/>
      </w:pPr>
      <w:rPr>
        <w:rFonts w:hint="default"/>
      </w:rPr>
    </w:lvl>
    <w:lvl w:ilvl="4">
      <w:numFmt w:val="none"/>
      <w:lvlRestart w:val="0"/>
      <w:pStyle w:val="CVResumeBullet5"/>
      <w:lvlText w:val=""/>
      <w:lvlJc w:val="left"/>
      <w:pPr>
        <w:ind w:left="851" w:hanging="171"/>
      </w:pPr>
      <w:rPr>
        <w:rFonts w:hint="default"/>
      </w:rPr>
    </w:lvl>
    <w:lvl w:ilvl="5">
      <w:numFmt w:val="none"/>
      <w:lvlRestart w:val="0"/>
      <w:pStyle w:val="CVResumeBullet6"/>
      <w:lvlText w:val=""/>
      <w:lvlJc w:val="left"/>
      <w:pPr>
        <w:ind w:left="1021" w:hanging="170"/>
      </w:pPr>
      <w:rPr>
        <w:rFonts w:hint="default"/>
      </w:rPr>
    </w:lvl>
    <w:lvl w:ilvl="6">
      <w:numFmt w:val="none"/>
      <w:lvlRestart w:val="0"/>
      <w:pStyle w:val="CVResumeBullet7"/>
      <w:lvlText w:val=""/>
      <w:lvlJc w:val="left"/>
      <w:pPr>
        <w:ind w:left="1191" w:hanging="170"/>
      </w:pPr>
      <w:rPr>
        <w:rFonts w:hint="default"/>
      </w:rPr>
    </w:lvl>
    <w:lvl w:ilvl="7">
      <w:numFmt w:val="none"/>
      <w:lvlRestart w:val="0"/>
      <w:pStyle w:val="CVResumeBullet8"/>
      <w:lvlText w:val=""/>
      <w:lvlJc w:val="left"/>
      <w:pPr>
        <w:ind w:left="1361" w:hanging="170"/>
      </w:pPr>
      <w:rPr>
        <w:rFonts w:hint="default"/>
      </w:rPr>
    </w:lvl>
    <w:lvl w:ilvl="8">
      <w:numFmt w:val="none"/>
      <w:lvlRestart w:val="0"/>
      <w:pStyle w:val="CVResumeBullet9"/>
      <w:lvlText w:val=""/>
      <w:lvlJc w:val="left"/>
      <w:pPr>
        <w:ind w:left="1531" w:hanging="170"/>
      </w:pPr>
      <w:rPr>
        <w:rFonts w:hint="default"/>
      </w:rPr>
    </w:lvl>
  </w:abstractNum>
  <w:abstractNum w:abstractNumId="109" w15:restartNumberingAfterBreak="0">
    <w:nsid w:val="5D8914B7"/>
    <w:multiLevelType w:val="multilevel"/>
    <w:tmpl w:val="52AAB0A8"/>
    <w:lvl w:ilvl="0">
      <w:start w:val="1"/>
      <w:numFmt w:val="bullet"/>
      <w:lvlText w:val=""/>
      <w:lvlJc w:val="left"/>
      <w:pPr>
        <w:ind w:left="357" w:hanging="357"/>
      </w:pPr>
      <w:rPr>
        <w:rFonts w:ascii="Wingdings" w:hAnsi="Wingdings" w:hint="default"/>
        <w:color w:val="auto"/>
      </w:rPr>
    </w:lvl>
    <w:lvl w:ilvl="1">
      <w:start w:val="1"/>
      <w:numFmt w:val="bullet"/>
      <w:lvlText w:val="-"/>
      <w:lvlJc w:val="left"/>
      <w:pPr>
        <w:ind w:left="714" w:hanging="357"/>
      </w:pPr>
      <w:rPr>
        <w:rFonts w:ascii="Jacobs Chronos" w:hAnsi="Jacobs Chronos" w:hint="default"/>
      </w:rPr>
    </w:lvl>
    <w:lvl w:ilvl="2">
      <w:start w:val="1"/>
      <w:numFmt w:val="bullet"/>
      <w:lvlText w:val=""/>
      <w:lvlJc w:val="left"/>
      <w:pPr>
        <w:ind w:left="1077" w:hanging="363"/>
      </w:pPr>
      <w:rPr>
        <w:rFonts w:ascii="Wingdings" w:hAnsi="Wingdings" w:hint="default"/>
      </w:rPr>
    </w:lvl>
    <w:lvl w:ilvl="3">
      <w:start w:val="1"/>
      <w:numFmt w:val="bullet"/>
      <w:lvlText w:val="-"/>
      <w:lvlJc w:val="left"/>
      <w:pPr>
        <w:ind w:left="1361" w:hanging="284"/>
      </w:pPr>
      <w:rPr>
        <w:rFonts w:ascii="Jacobs Chronos" w:hAnsi="Jacobs Chronos" w:hint="default"/>
      </w:rPr>
    </w:lvl>
    <w:lvl w:ilvl="4">
      <w:start w:val="1"/>
      <w:numFmt w:val="bullet"/>
      <w:lvlText w:val=""/>
      <w:lvlJc w:val="left"/>
      <w:pPr>
        <w:ind w:left="1644" w:hanging="283"/>
      </w:pPr>
      <w:rPr>
        <w:rFonts w:ascii="Wingdings" w:hAnsi="Wingdings" w:hint="default"/>
      </w:rPr>
    </w:lvl>
    <w:lvl w:ilvl="5">
      <w:start w:val="1"/>
      <w:numFmt w:val="bullet"/>
      <w:lvlText w:val="-"/>
      <w:lvlJc w:val="left"/>
      <w:pPr>
        <w:ind w:left="1985" w:hanging="341"/>
      </w:pPr>
      <w:rPr>
        <w:rFonts w:ascii="Jacobs Chronos" w:hAnsi="Jacobs Chrono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110" w15:restartNumberingAfterBreak="0">
    <w:nsid w:val="5DA7285C"/>
    <w:multiLevelType w:val="multilevel"/>
    <w:tmpl w:val="3DAA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FE7625E"/>
    <w:multiLevelType w:val="multilevel"/>
    <w:tmpl w:val="EC62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17B76AD"/>
    <w:multiLevelType w:val="multilevel"/>
    <w:tmpl w:val="6C26566E"/>
    <w:numStyleLink w:val="Headings"/>
  </w:abstractNum>
  <w:abstractNum w:abstractNumId="113" w15:restartNumberingAfterBreak="0">
    <w:nsid w:val="620D4DE0"/>
    <w:multiLevelType w:val="multilevel"/>
    <w:tmpl w:val="7E8A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2C8541C"/>
    <w:multiLevelType w:val="hybridMultilevel"/>
    <w:tmpl w:val="27FC51E6"/>
    <w:lvl w:ilvl="0" w:tplc="57E696EC">
      <w:start w:val="1"/>
      <w:numFmt w:val="bullet"/>
      <w:lvlText w:val=""/>
      <w:lvlJc w:val="left"/>
      <w:pPr>
        <w:ind w:left="720" w:hanging="360"/>
      </w:pPr>
      <w:rPr>
        <w:rFonts w:ascii="Wingdings" w:hAnsi="Wingdings" w:hint="default"/>
        <w:sz w:val="19"/>
        <w:szCs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2D835A0"/>
    <w:multiLevelType w:val="hybridMultilevel"/>
    <w:tmpl w:val="F99E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3230E7C"/>
    <w:multiLevelType w:val="hybridMultilevel"/>
    <w:tmpl w:val="1988CF56"/>
    <w:lvl w:ilvl="0" w:tplc="A348698E">
      <w:start w:val="1"/>
      <w:numFmt w:val="decimal"/>
      <w:pStyle w:val="Footnote"/>
      <w:lvlText w:val="%1"/>
      <w:lvlJc w:val="left"/>
      <w:pPr>
        <w:ind w:left="360" w:hanging="360"/>
      </w:pPr>
      <w:rPr>
        <w:rFonts w:ascii="Jacobs Chronos Light" w:hAnsi="Jacobs Chronos Light" w:hint="default"/>
        <w:b w:val="0"/>
        <w:i w:val="0"/>
        <w:caps w:val="0"/>
        <w:strike w:val="0"/>
        <w:dstrike w:val="0"/>
        <w:vanish w:val="0"/>
        <w:color w:val="auto"/>
        <w:sz w:val="16"/>
        <w:vertAlign w:val="superscript"/>
      </w:rPr>
    </w:lvl>
    <w:lvl w:ilvl="1" w:tplc="D322472A" w:tentative="1">
      <w:start w:val="1"/>
      <w:numFmt w:val="lowerLetter"/>
      <w:lvlText w:val="%2."/>
      <w:lvlJc w:val="left"/>
      <w:pPr>
        <w:ind w:left="1440" w:hanging="360"/>
      </w:pPr>
    </w:lvl>
    <w:lvl w:ilvl="2" w:tplc="9948DDEE" w:tentative="1">
      <w:start w:val="1"/>
      <w:numFmt w:val="lowerRoman"/>
      <w:lvlText w:val="%3."/>
      <w:lvlJc w:val="right"/>
      <w:pPr>
        <w:ind w:left="2160" w:hanging="180"/>
      </w:pPr>
    </w:lvl>
    <w:lvl w:ilvl="3" w:tplc="AC363A22" w:tentative="1">
      <w:start w:val="1"/>
      <w:numFmt w:val="decimal"/>
      <w:lvlText w:val="%4."/>
      <w:lvlJc w:val="left"/>
      <w:pPr>
        <w:ind w:left="2880" w:hanging="360"/>
      </w:pPr>
    </w:lvl>
    <w:lvl w:ilvl="4" w:tplc="A4B8BB58" w:tentative="1">
      <w:start w:val="1"/>
      <w:numFmt w:val="lowerLetter"/>
      <w:lvlText w:val="%5."/>
      <w:lvlJc w:val="left"/>
      <w:pPr>
        <w:ind w:left="3600" w:hanging="360"/>
      </w:pPr>
    </w:lvl>
    <w:lvl w:ilvl="5" w:tplc="979831B0" w:tentative="1">
      <w:start w:val="1"/>
      <w:numFmt w:val="lowerRoman"/>
      <w:lvlText w:val="%6."/>
      <w:lvlJc w:val="right"/>
      <w:pPr>
        <w:ind w:left="4320" w:hanging="180"/>
      </w:pPr>
    </w:lvl>
    <w:lvl w:ilvl="6" w:tplc="932A2B16" w:tentative="1">
      <w:start w:val="1"/>
      <w:numFmt w:val="decimal"/>
      <w:lvlText w:val="%7."/>
      <w:lvlJc w:val="left"/>
      <w:pPr>
        <w:ind w:left="5040" w:hanging="360"/>
      </w:pPr>
    </w:lvl>
    <w:lvl w:ilvl="7" w:tplc="4F8E5E14" w:tentative="1">
      <w:start w:val="1"/>
      <w:numFmt w:val="lowerLetter"/>
      <w:lvlText w:val="%8."/>
      <w:lvlJc w:val="left"/>
      <w:pPr>
        <w:ind w:left="5760" w:hanging="360"/>
      </w:pPr>
    </w:lvl>
    <w:lvl w:ilvl="8" w:tplc="7F9E6782" w:tentative="1">
      <w:start w:val="1"/>
      <w:numFmt w:val="lowerRoman"/>
      <w:lvlText w:val="%9."/>
      <w:lvlJc w:val="right"/>
      <w:pPr>
        <w:ind w:left="6480" w:hanging="180"/>
      </w:pPr>
    </w:lvl>
  </w:abstractNum>
  <w:abstractNum w:abstractNumId="117" w15:restartNumberingAfterBreak="0">
    <w:nsid w:val="63366C8B"/>
    <w:multiLevelType w:val="hybridMultilevel"/>
    <w:tmpl w:val="9C7008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3557217"/>
    <w:multiLevelType w:val="multilevel"/>
    <w:tmpl w:val="3774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37A0A16"/>
    <w:multiLevelType w:val="multilevel"/>
    <w:tmpl w:val="2E7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3A036F2"/>
    <w:multiLevelType w:val="multilevel"/>
    <w:tmpl w:val="1C24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42119CC"/>
    <w:multiLevelType w:val="multilevel"/>
    <w:tmpl w:val="7AF82392"/>
    <w:numStyleLink w:val="AppendixHeadings"/>
  </w:abstractNum>
  <w:abstractNum w:abstractNumId="122" w15:restartNumberingAfterBreak="0">
    <w:nsid w:val="650C4601"/>
    <w:multiLevelType w:val="multilevel"/>
    <w:tmpl w:val="907C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66755683"/>
    <w:multiLevelType w:val="multilevel"/>
    <w:tmpl w:val="46AE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69417C4"/>
    <w:multiLevelType w:val="multilevel"/>
    <w:tmpl w:val="C096E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86A7513"/>
    <w:multiLevelType w:val="multilevel"/>
    <w:tmpl w:val="31B2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A7F61AD"/>
    <w:multiLevelType w:val="multilevel"/>
    <w:tmpl w:val="F528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A9B1940"/>
    <w:multiLevelType w:val="hybridMultilevel"/>
    <w:tmpl w:val="FB9894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CA67958"/>
    <w:multiLevelType w:val="multilevel"/>
    <w:tmpl w:val="02664744"/>
    <w:lvl w:ilvl="0">
      <w:start w:val="1"/>
      <w:numFmt w:val="bullet"/>
      <w:lvlText w:val=""/>
      <w:lvlJc w:val="left"/>
      <w:pPr>
        <w:tabs>
          <w:tab w:val="num" w:pos="300"/>
        </w:tabs>
        <w:ind w:left="300" w:hanging="360"/>
      </w:pPr>
      <w:rPr>
        <w:rFonts w:ascii="Wingdings" w:hAnsi="Wingdings" w:hint="default"/>
        <w:sz w:val="20"/>
      </w:rPr>
    </w:lvl>
    <w:lvl w:ilvl="1" w:tentative="1">
      <w:start w:val="1"/>
      <w:numFmt w:val="bullet"/>
      <w:lvlText w:val=""/>
      <w:lvlJc w:val="left"/>
      <w:pPr>
        <w:tabs>
          <w:tab w:val="num" w:pos="1020"/>
        </w:tabs>
        <w:ind w:left="1020" w:hanging="360"/>
      </w:pPr>
      <w:rPr>
        <w:rFonts w:ascii="Symbol" w:hAnsi="Symbol" w:hint="default"/>
        <w:sz w:val="20"/>
      </w:rPr>
    </w:lvl>
    <w:lvl w:ilvl="2" w:tentative="1">
      <w:start w:val="1"/>
      <w:numFmt w:val="bullet"/>
      <w:lvlText w:val=""/>
      <w:lvlJc w:val="left"/>
      <w:pPr>
        <w:tabs>
          <w:tab w:val="num" w:pos="1740"/>
        </w:tabs>
        <w:ind w:left="1740" w:hanging="360"/>
      </w:pPr>
      <w:rPr>
        <w:rFonts w:ascii="Symbol" w:hAnsi="Symbol" w:hint="default"/>
        <w:sz w:val="20"/>
      </w:rPr>
    </w:lvl>
    <w:lvl w:ilvl="3" w:tentative="1">
      <w:start w:val="1"/>
      <w:numFmt w:val="bullet"/>
      <w:lvlText w:val=""/>
      <w:lvlJc w:val="left"/>
      <w:pPr>
        <w:tabs>
          <w:tab w:val="num" w:pos="2460"/>
        </w:tabs>
        <w:ind w:left="2460" w:hanging="360"/>
      </w:pPr>
      <w:rPr>
        <w:rFonts w:ascii="Symbol" w:hAnsi="Symbol" w:hint="default"/>
        <w:sz w:val="20"/>
      </w:rPr>
    </w:lvl>
    <w:lvl w:ilvl="4" w:tentative="1">
      <w:start w:val="1"/>
      <w:numFmt w:val="bullet"/>
      <w:lvlText w:val=""/>
      <w:lvlJc w:val="left"/>
      <w:pPr>
        <w:tabs>
          <w:tab w:val="num" w:pos="3180"/>
        </w:tabs>
        <w:ind w:left="3180" w:hanging="360"/>
      </w:pPr>
      <w:rPr>
        <w:rFonts w:ascii="Symbol" w:hAnsi="Symbol" w:hint="default"/>
        <w:sz w:val="20"/>
      </w:rPr>
    </w:lvl>
    <w:lvl w:ilvl="5" w:tentative="1">
      <w:start w:val="1"/>
      <w:numFmt w:val="bullet"/>
      <w:lvlText w:val=""/>
      <w:lvlJc w:val="left"/>
      <w:pPr>
        <w:tabs>
          <w:tab w:val="num" w:pos="3900"/>
        </w:tabs>
        <w:ind w:left="3900" w:hanging="360"/>
      </w:pPr>
      <w:rPr>
        <w:rFonts w:ascii="Symbol" w:hAnsi="Symbol" w:hint="default"/>
        <w:sz w:val="20"/>
      </w:rPr>
    </w:lvl>
    <w:lvl w:ilvl="6" w:tentative="1">
      <w:start w:val="1"/>
      <w:numFmt w:val="bullet"/>
      <w:lvlText w:val=""/>
      <w:lvlJc w:val="left"/>
      <w:pPr>
        <w:tabs>
          <w:tab w:val="num" w:pos="4620"/>
        </w:tabs>
        <w:ind w:left="4620" w:hanging="360"/>
      </w:pPr>
      <w:rPr>
        <w:rFonts w:ascii="Symbol" w:hAnsi="Symbol" w:hint="default"/>
        <w:sz w:val="20"/>
      </w:rPr>
    </w:lvl>
    <w:lvl w:ilvl="7" w:tentative="1">
      <w:start w:val="1"/>
      <w:numFmt w:val="bullet"/>
      <w:lvlText w:val=""/>
      <w:lvlJc w:val="left"/>
      <w:pPr>
        <w:tabs>
          <w:tab w:val="num" w:pos="5340"/>
        </w:tabs>
        <w:ind w:left="5340" w:hanging="360"/>
      </w:pPr>
      <w:rPr>
        <w:rFonts w:ascii="Symbol" w:hAnsi="Symbol" w:hint="default"/>
        <w:sz w:val="20"/>
      </w:rPr>
    </w:lvl>
    <w:lvl w:ilvl="8" w:tentative="1">
      <w:start w:val="1"/>
      <w:numFmt w:val="bullet"/>
      <w:lvlText w:val=""/>
      <w:lvlJc w:val="left"/>
      <w:pPr>
        <w:tabs>
          <w:tab w:val="num" w:pos="6060"/>
        </w:tabs>
        <w:ind w:left="6060" w:hanging="360"/>
      </w:pPr>
      <w:rPr>
        <w:rFonts w:ascii="Symbol" w:hAnsi="Symbol" w:hint="default"/>
        <w:sz w:val="20"/>
      </w:rPr>
    </w:lvl>
  </w:abstractNum>
  <w:abstractNum w:abstractNumId="129" w15:restartNumberingAfterBreak="0">
    <w:nsid w:val="6D9259DC"/>
    <w:multiLevelType w:val="multilevel"/>
    <w:tmpl w:val="33E8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E050A19"/>
    <w:multiLevelType w:val="multilevel"/>
    <w:tmpl w:val="3AD8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E080259"/>
    <w:multiLevelType w:val="multilevel"/>
    <w:tmpl w:val="254A0E6C"/>
    <w:numStyleLink w:val="CapabilityBullets"/>
  </w:abstractNum>
  <w:abstractNum w:abstractNumId="132" w15:restartNumberingAfterBreak="0">
    <w:nsid w:val="6E312E9E"/>
    <w:multiLevelType w:val="hybridMultilevel"/>
    <w:tmpl w:val="E30C070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02639B5"/>
    <w:multiLevelType w:val="multilevel"/>
    <w:tmpl w:val="239E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08561CF"/>
    <w:multiLevelType w:val="multilevel"/>
    <w:tmpl w:val="FE82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22252D3"/>
    <w:multiLevelType w:val="multilevel"/>
    <w:tmpl w:val="4114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3136F20"/>
    <w:multiLevelType w:val="multilevel"/>
    <w:tmpl w:val="DB70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3903080"/>
    <w:multiLevelType w:val="hybridMultilevel"/>
    <w:tmpl w:val="BABAE23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73E43586"/>
    <w:multiLevelType w:val="multilevel"/>
    <w:tmpl w:val="08CE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45E7BA7"/>
    <w:multiLevelType w:val="hybridMultilevel"/>
    <w:tmpl w:val="C5F27CF2"/>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40" w15:restartNumberingAfterBreak="0">
    <w:nsid w:val="74FD4C80"/>
    <w:multiLevelType w:val="hybridMultilevel"/>
    <w:tmpl w:val="F166596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75F87135"/>
    <w:multiLevelType w:val="hybridMultilevel"/>
    <w:tmpl w:val="CE4CC3A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77F127E0"/>
    <w:multiLevelType w:val="hybridMultilevel"/>
    <w:tmpl w:val="CA20A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3" w15:restartNumberingAfterBreak="0">
    <w:nsid w:val="785F359C"/>
    <w:multiLevelType w:val="multilevel"/>
    <w:tmpl w:val="C234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9032CB9"/>
    <w:multiLevelType w:val="multilevel"/>
    <w:tmpl w:val="C68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973782B"/>
    <w:multiLevelType w:val="multilevel"/>
    <w:tmpl w:val="C324E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9AA4D4A"/>
    <w:multiLevelType w:val="multilevel"/>
    <w:tmpl w:val="CADA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A1E1810"/>
    <w:multiLevelType w:val="multilevel"/>
    <w:tmpl w:val="8DD0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B1D4D62"/>
    <w:multiLevelType w:val="hybridMultilevel"/>
    <w:tmpl w:val="5058C5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BD455B9"/>
    <w:multiLevelType w:val="multilevel"/>
    <w:tmpl w:val="7AF82392"/>
    <w:styleLink w:val="AppendixHeadings"/>
    <w:lvl w:ilvl="0">
      <w:start w:val="1"/>
      <w:numFmt w:val="upperLetter"/>
      <w:pStyle w:val="Heading9"/>
      <w:suff w:val="space"/>
      <w:lvlText w:val="Appendix %1."/>
      <w:lvlJc w:val="left"/>
      <w:pPr>
        <w:ind w:left="1985" w:hanging="1985"/>
      </w:pPr>
      <w:rPr>
        <w:rFonts w:hint="default"/>
      </w:rPr>
    </w:lvl>
    <w:lvl w:ilvl="1">
      <w:start w:val="1"/>
      <w:numFmt w:val="decimal"/>
      <w:pStyle w:val="AppendixHeading2"/>
      <w:lvlText w:val="%1.%2"/>
      <w:lvlJc w:val="left"/>
      <w:pPr>
        <w:ind w:left="1134" w:hanging="1134"/>
      </w:pPr>
      <w:rPr>
        <w:rFonts w:hint="default"/>
      </w:rPr>
    </w:lvl>
    <w:lvl w:ilvl="2">
      <w:start w:val="1"/>
      <w:numFmt w:val="decimal"/>
      <w:pStyle w:val="AppendixHeading3"/>
      <w:lvlText w:val="%1.%2.%3"/>
      <w:lvlJc w:val="left"/>
      <w:pPr>
        <w:ind w:left="1134" w:hanging="1134"/>
      </w:pPr>
      <w:rPr>
        <w:rFonts w:hint="default"/>
      </w:rPr>
    </w:lvl>
    <w:lvl w:ilvl="3">
      <w:start w:val="1"/>
      <w:numFmt w:val="decimal"/>
      <w:pStyle w:val="AppendixHeading4"/>
      <w:lvlText w:val="%1.%2.%3.%4"/>
      <w:lvlJc w:val="left"/>
      <w:pPr>
        <w:ind w:left="1134" w:hanging="1134"/>
      </w:pPr>
      <w:rPr>
        <w:rFonts w:hint="default"/>
      </w:rPr>
    </w:lvl>
    <w:lvl w:ilvl="4">
      <w:start w:val="1"/>
      <w:numFmt w:val="decimal"/>
      <w:pStyle w:val="AppendixHeading5"/>
      <w:lvlText w:val="%1.%2.%3.%4.%5"/>
      <w:lvlJc w:val="left"/>
      <w:pPr>
        <w:ind w:left="1134" w:hanging="1134"/>
      </w:pPr>
      <w:rPr>
        <w:rFonts w:hint="default"/>
      </w:rPr>
    </w:lvl>
    <w:lvl w:ilvl="5">
      <w:start w:val="1"/>
      <w:numFmt w:val="decimal"/>
      <w:pStyle w:val="AppendixHeading6"/>
      <w:lvlText w:val="%1.%2.%3.%4.%5.%6"/>
      <w:lvlJc w:val="left"/>
      <w:pPr>
        <w:ind w:left="1134" w:hanging="1134"/>
      </w:pPr>
      <w:rPr>
        <w:rFonts w:hint="default"/>
      </w:rPr>
    </w:lvl>
    <w:lvl w:ilvl="6">
      <w:start w:val="1"/>
      <w:numFmt w:val="decimal"/>
      <w:pStyle w:val="AppendixHeading7"/>
      <w:lvlText w:val="%1.%2.%3.%4.%5.%6.%7"/>
      <w:lvlJc w:val="left"/>
      <w:pPr>
        <w:ind w:left="1134" w:hanging="1134"/>
      </w:pPr>
      <w:rPr>
        <w:rFonts w:hint="default"/>
      </w:rPr>
    </w:lvl>
    <w:lvl w:ilvl="7">
      <w:start w:val="1"/>
      <w:numFmt w:val="decimal"/>
      <w:pStyle w:val="AppendixHeading8"/>
      <w:lvlText w:val="%1.%2.%3.%4.%5.%6.%7.%8"/>
      <w:lvlJc w:val="left"/>
      <w:pPr>
        <w:ind w:left="1134" w:hanging="1134"/>
      </w:pPr>
      <w:rPr>
        <w:rFonts w:hint="default"/>
      </w:rPr>
    </w:lvl>
    <w:lvl w:ilvl="8">
      <w:start w:val="1"/>
      <w:numFmt w:val="decimal"/>
      <w:pStyle w:val="AppendixHeading9"/>
      <w:lvlText w:val="%1.%2.%3.%4.%5.%6.%7.%8.%9"/>
      <w:lvlJc w:val="left"/>
      <w:pPr>
        <w:ind w:left="1134" w:hanging="1134"/>
      </w:pPr>
      <w:rPr>
        <w:rFonts w:hint="default"/>
      </w:rPr>
    </w:lvl>
  </w:abstractNum>
  <w:abstractNum w:abstractNumId="150" w15:restartNumberingAfterBreak="0">
    <w:nsid w:val="7CF76582"/>
    <w:multiLevelType w:val="hybridMultilevel"/>
    <w:tmpl w:val="5058C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D7D6B18"/>
    <w:multiLevelType w:val="hybridMultilevel"/>
    <w:tmpl w:val="99A6158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7DCC5153"/>
    <w:multiLevelType w:val="multilevel"/>
    <w:tmpl w:val="4812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DE31F04"/>
    <w:multiLevelType w:val="multilevel"/>
    <w:tmpl w:val="FFFFFFFF"/>
    <w:lvl w:ilvl="0">
      <w:start w:val="1"/>
      <w:numFmt w:val="bullet"/>
      <w:lvlText w:val=""/>
      <w:lvlJc w:val="left"/>
      <w:pPr>
        <w:ind w:left="357" w:hanging="357"/>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14622490">
    <w:abstractNumId w:val="94"/>
  </w:num>
  <w:num w:numId="2" w16cid:durableId="814762859">
    <w:abstractNumId w:val="116"/>
  </w:num>
  <w:num w:numId="3" w16cid:durableId="1502428791">
    <w:abstractNumId w:val="65"/>
  </w:num>
  <w:num w:numId="4" w16cid:durableId="598758787">
    <w:abstractNumId w:val="88"/>
  </w:num>
  <w:num w:numId="5" w16cid:durableId="197478141">
    <w:abstractNumId w:val="97"/>
  </w:num>
  <w:num w:numId="6" w16cid:durableId="390274809">
    <w:abstractNumId w:val="71"/>
  </w:num>
  <w:num w:numId="7" w16cid:durableId="1063405042">
    <w:abstractNumId w:val="25"/>
  </w:num>
  <w:num w:numId="8" w16cid:durableId="1299144596">
    <w:abstractNumId w:val="14"/>
  </w:num>
  <w:num w:numId="9" w16cid:durableId="942223446">
    <w:abstractNumId w:val="9"/>
  </w:num>
  <w:num w:numId="10" w16cid:durableId="1191070372">
    <w:abstractNumId w:val="16"/>
  </w:num>
  <w:num w:numId="11" w16cid:durableId="402064708">
    <w:abstractNumId w:val="29"/>
  </w:num>
  <w:num w:numId="12" w16cid:durableId="701367008">
    <w:abstractNumId w:val="33"/>
  </w:num>
  <w:num w:numId="13" w16cid:durableId="1895189071">
    <w:abstractNumId w:val="34"/>
  </w:num>
  <w:num w:numId="14" w16cid:durableId="972104511">
    <w:abstractNumId w:val="18"/>
  </w:num>
  <w:num w:numId="15" w16cid:durableId="1533572115">
    <w:abstractNumId w:val="149"/>
  </w:num>
  <w:num w:numId="16" w16cid:durableId="97332576">
    <w:abstractNumId w:val="8"/>
  </w:num>
  <w:num w:numId="17" w16cid:durableId="89473773">
    <w:abstractNumId w:val="112"/>
  </w:num>
  <w:num w:numId="18" w16cid:durableId="817921523">
    <w:abstractNumId w:val="73"/>
  </w:num>
  <w:num w:numId="19" w16cid:durableId="1404253250">
    <w:abstractNumId w:val="121"/>
  </w:num>
  <w:num w:numId="20" w16cid:durableId="56558142">
    <w:abstractNumId w:val="21"/>
  </w:num>
  <w:num w:numId="21" w16cid:durableId="762183761">
    <w:abstractNumId w:val="67"/>
  </w:num>
  <w:num w:numId="22" w16cid:durableId="1304852475">
    <w:abstractNumId w:val="131"/>
  </w:num>
  <w:num w:numId="23" w16cid:durableId="490947298">
    <w:abstractNumId w:val="64"/>
  </w:num>
  <w:num w:numId="24" w16cid:durableId="2099674993">
    <w:abstractNumId w:val="63"/>
  </w:num>
  <w:num w:numId="25" w16cid:durableId="1568564996">
    <w:abstractNumId w:val="98"/>
  </w:num>
  <w:num w:numId="26" w16cid:durableId="255476852">
    <w:abstractNumId w:val="28"/>
  </w:num>
  <w:num w:numId="27" w16cid:durableId="2140293574">
    <w:abstractNumId w:val="36"/>
  </w:num>
  <w:num w:numId="28" w16cid:durableId="2118333509">
    <w:abstractNumId w:val="107"/>
  </w:num>
  <w:num w:numId="29" w16cid:durableId="148182827">
    <w:abstractNumId w:val="108"/>
  </w:num>
  <w:num w:numId="30" w16cid:durableId="511337315">
    <w:abstractNumId w:val="66"/>
    <w:lvlOverride w:ilvl="0">
      <w:lvl w:ilvl="0">
        <w:start w:val="1"/>
        <w:numFmt w:val="bullet"/>
        <w:pStyle w:val="TableBullet"/>
        <w:lvlText w:val=""/>
        <w:lvlJc w:val="left"/>
        <w:pPr>
          <w:ind w:left="284" w:hanging="284"/>
        </w:pPr>
        <w:rPr>
          <w:rFonts w:ascii="Wingdings" w:hAnsi="Wingdings" w:hint="default"/>
          <w:color w:val="auto"/>
        </w:rPr>
      </w:lvl>
    </w:lvlOverride>
  </w:num>
  <w:num w:numId="31" w16cid:durableId="1651248179">
    <w:abstractNumId w:val="109"/>
  </w:num>
  <w:num w:numId="32" w16cid:durableId="62373151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45893072">
    <w:abstractNumId w:val="49"/>
  </w:num>
  <w:num w:numId="34" w16cid:durableId="419719329">
    <w:abstractNumId w:val="44"/>
  </w:num>
  <w:num w:numId="35" w16cid:durableId="270206540">
    <w:abstractNumId w:val="19"/>
  </w:num>
  <w:num w:numId="36" w16cid:durableId="931205362">
    <w:abstractNumId w:val="139"/>
  </w:num>
  <w:num w:numId="37" w16cid:durableId="632637163">
    <w:abstractNumId w:val="100"/>
  </w:num>
  <w:num w:numId="38" w16cid:durableId="1883589181">
    <w:abstractNumId w:val="53"/>
  </w:num>
  <w:num w:numId="39" w16cid:durableId="1100368112">
    <w:abstractNumId w:val="52"/>
  </w:num>
  <w:num w:numId="40" w16cid:durableId="2042241193">
    <w:abstractNumId w:val="69"/>
  </w:num>
  <w:num w:numId="41" w16cid:durableId="1842549640">
    <w:abstractNumId w:val="132"/>
  </w:num>
  <w:num w:numId="42" w16cid:durableId="1521121405">
    <w:abstractNumId w:val="72"/>
  </w:num>
  <w:num w:numId="43" w16cid:durableId="526912607">
    <w:abstractNumId w:val="95"/>
  </w:num>
  <w:num w:numId="44" w16cid:durableId="9298491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5672230">
    <w:abstractNumId w:val="86"/>
  </w:num>
  <w:num w:numId="46" w16cid:durableId="452141888">
    <w:abstractNumId w:val="142"/>
  </w:num>
  <w:num w:numId="47" w16cid:durableId="548689598">
    <w:abstractNumId w:val="12"/>
  </w:num>
  <w:num w:numId="48" w16cid:durableId="1160577431">
    <w:abstractNumId w:val="92"/>
  </w:num>
  <w:num w:numId="49" w16cid:durableId="201405150">
    <w:abstractNumId w:val="109"/>
  </w:num>
  <w:num w:numId="50" w16cid:durableId="1916743904">
    <w:abstractNumId w:val="109"/>
  </w:num>
  <w:num w:numId="51" w16cid:durableId="132724025">
    <w:abstractNumId w:val="109"/>
  </w:num>
  <w:num w:numId="52" w16cid:durableId="1408840213">
    <w:abstractNumId w:val="109"/>
  </w:num>
  <w:num w:numId="53" w16cid:durableId="155153463">
    <w:abstractNumId w:val="3"/>
  </w:num>
  <w:num w:numId="54" w16cid:durableId="1972705221">
    <w:abstractNumId w:val="109"/>
  </w:num>
  <w:num w:numId="55" w16cid:durableId="1194731482">
    <w:abstractNumId w:val="109"/>
  </w:num>
  <w:num w:numId="56" w16cid:durableId="424768756">
    <w:abstractNumId w:val="109"/>
  </w:num>
  <w:num w:numId="57" w16cid:durableId="1439637926">
    <w:abstractNumId w:val="109"/>
  </w:num>
  <w:num w:numId="58" w16cid:durableId="1355498932">
    <w:abstractNumId w:val="109"/>
  </w:num>
  <w:num w:numId="59" w16cid:durableId="121311712">
    <w:abstractNumId w:val="109"/>
  </w:num>
  <w:num w:numId="60" w16cid:durableId="674844798">
    <w:abstractNumId w:val="61"/>
  </w:num>
  <w:num w:numId="61" w16cid:durableId="1647398922">
    <w:abstractNumId w:val="128"/>
  </w:num>
  <w:num w:numId="62" w16cid:durableId="1409039035">
    <w:abstractNumId w:val="57"/>
  </w:num>
  <w:num w:numId="63" w16cid:durableId="1272933274">
    <w:abstractNumId w:val="101"/>
  </w:num>
  <w:num w:numId="64" w16cid:durableId="723717763">
    <w:abstractNumId w:val="137"/>
  </w:num>
  <w:num w:numId="65" w16cid:durableId="577054322">
    <w:abstractNumId w:val="68"/>
  </w:num>
  <w:num w:numId="66" w16cid:durableId="183635155">
    <w:abstractNumId w:val="43"/>
  </w:num>
  <w:num w:numId="67" w16cid:durableId="105544064">
    <w:abstractNumId w:val="106"/>
  </w:num>
  <w:num w:numId="68" w16cid:durableId="1818573171">
    <w:abstractNumId w:val="89"/>
  </w:num>
  <w:num w:numId="69" w16cid:durableId="861631639">
    <w:abstractNumId w:val="41"/>
  </w:num>
  <w:num w:numId="70" w16cid:durableId="1011107681">
    <w:abstractNumId w:val="30"/>
  </w:num>
  <w:num w:numId="71" w16cid:durableId="233398888">
    <w:abstractNumId w:val="11"/>
  </w:num>
  <w:num w:numId="72" w16cid:durableId="1895461779">
    <w:abstractNumId w:val="23"/>
  </w:num>
  <w:num w:numId="73" w16cid:durableId="781611401">
    <w:abstractNumId w:val="105"/>
  </w:num>
  <w:num w:numId="74" w16cid:durableId="726151980">
    <w:abstractNumId w:val="117"/>
  </w:num>
  <w:num w:numId="75" w16cid:durableId="1116683292">
    <w:abstractNumId w:val="78"/>
  </w:num>
  <w:num w:numId="76" w16cid:durableId="438917860">
    <w:abstractNumId w:val="46"/>
  </w:num>
  <w:num w:numId="77" w16cid:durableId="1755736621">
    <w:abstractNumId w:val="151"/>
  </w:num>
  <w:num w:numId="78" w16cid:durableId="1306857887">
    <w:abstractNumId w:val="150"/>
  </w:num>
  <w:num w:numId="79" w16cid:durableId="1141383043">
    <w:abstractNumId w:val="115"/>
  </w:num>
  <w:num w:numId="80" w16cid:durableId="676346147">
    <w:abstractNumId w:val="141"/>
  </w:num>
  <w:num w:numId="81" w16cid:durableId="761727526">
    <w:abstractNumId w:val="127"/>
  </w:num>
  <w:num w:numId="82" w16cid:durableId="366444489">
    <w:abstractNumId w:val="75"/>
  </w:num>
  <w:num w:numId="83" w16cid:durableId="514807090">
    <w:abstractNumId w:val="51"/>
  </w:num>
  <w:num w:numId="84" w16cid:durableId="2130969871">
    <w:abstractNumId w:val="148"/>
  </w:num>
  <w:num w:numId="85" w16cid:durableId="1810587484">
    <w:abstractNumId w:val="70"/>
  </w:num>
  <w:num w:numId="86" w16cid:durableId="77286681">
    <w:abstractNumId w:val="120"/>
  </w:num>
  <w:num w:numId="87" w16cid:durableId="2019891754">
    <w:abstractNumId w:val="1"/>
  </w:num>
  <w:num w:numId="88" w16cid:durableId="674961813">
    <w:abstractNumId w:val="55"/>
  </w:num>
  <w:num w:numId="89" w16cid:durableId="584919681">
    <w:abstractNumId w:val="134"/>
  </w:num>
  <w:num w:numId="90" w16cid:durableId="1315136000">
    <w:abstractNumId w:val="125"/>
  </w:num>
  <w:num w:numId="91" w16cid:durableId="754129457">
    <w:abstractNumId w:val="140"/>
  </w:num>
  <w:num w:numId="92" w16cid:durableId="1719010293">
    <w:abstractNumId w:val="84"/>
  </w:num>
  <w:num w:numId="93" w16cid:durableId="1902129404">
    <w:abstractNumId w:val="135"/>
  </w:num>
  <w:num w:numId="94" w16cid:durableId="1920020478">
    <w:abstractNumId w:val="50"/>
  </w:num>
  <w:num w:numId="95" w16cid:durableId="1815872349">
    <w:abstractNumId w:val="32"/>
  </w:num>
  <w:num w:numId="96" w16cid:durableId="823203529">
    <w:abstractNumId w:val="113"/>
  </w:num>
  <w:num w:numId="97" w16cid:durableId="1199582716">
    <w:abstractNumId w:val="83"/>
  </w:num>
  <w:num w:numId="98" w16cid:durableId="1278369695">
    <w:abstractNumId w:val="5"/>
  </w:num>
  <w:num w:numId="99" w16cid:durableId="1864242591">
    <w:abstractNumId w:val="35"/>
  </w:num>
  <w:num w:numId="100" w16cid:durableId="215313354">
    <w:abstractNumId w:val="110"/>
  </w:num>
  <w:num w:numId="101" w16cid:durableId="43649493">
    <w:abstractNumId w:val="93"/>
  </w:num>
  <w:num w:numId="102" w16cid:durableId="1473601508">
    <w:abstractNumId w:val="45"/>
  </w:num>
  <w:num w:numId="103" w16cid:durableId="1320788">
    <w:abstractNumId w:val="42"/>
  </w:num>
  <w:num w:numId="104" w16cid:durableId="2029598763">
    <w:abstractNumId w:val="102"/>
  </w:num>
  <w:num w:numId="105" w16cid:durableId="65107434">
    <w:abstractNumId w:val="133"/>
  </w:num>
  <w:num w:numId="106" w16cid:durableId="1717193694">
    <w:abstractNumId w:val="152"/>
  </w:num>
  <w:num w:numId="107" w16cid:durableId="1399595348">
    <w:abstractNumId w:val="2"/>
  </w:num>
  <w:num w:numId="108" w16cid:durableId="898518791">
    <w:abstractNumId w:val="91"/>
  </w:num>
  <w:num w:numId="109" w16cid:durableId="82578812">
    <w:abstractNumId w:val="85"/>
  </w:num>
  <w:num w:numId="110" w16cid:durableId="1266424194">
    <w:abstractNumId w:val="38"/>
  </w:num>
  <w:num w:numId="111" w16cid:durableId="955986283">
    <w:abstractNumId w:val="104"/>
  </w:num>
  <w:num w:numId="112" w16cid:durableId="533075825">
    <w:abstractNumId w:val="39"/>
  </w:num>
  <w:num w:numId="113" w16cid:durableId="1284340340">
    <w:abstractNumId w:val="136"/>
  </w:num>
  <w:num w:numId="114" w16cid:durableId="1989286065">
    <w:abstractNumId w:val="130"/>
  </w:num>
  <w:num w:numId="115" w16cid:durableId="1052999649">
    <w:abstractNumId w:val="81"/>
  </w:num>
  <w:num w:numId="116" w16cid:durableId="782847893">
    <w:abstractNumId w:val="74"/>
  </w:num>
  <w:num w:numId="117" w16cid:durableId="2094234001">
    <w:abstractNumId w:val="123"/>
  </w:num>
  <w:num w:numId="118" w16cid:durableId="320695176">
    <w:abstractNumId w:val="10"/>
  </w:num>
  <w:num w:numId="119" w16cid:durableId="2123844737">
    <w:abstractNumId w:val="27"/>
  </w:num>
  <w:num w:numId="120" w16cid:durableId="699206709">
    <w:abstractNumId w:val="118"/>
  </w:num>
  <w:num w:numId="121" w16cid:durableId="146828365">
    <w:abstractNumId w:val="145"/>
  </w:num>
  <w:num w:numId="122" w16cid:durableId="570777461">
    <w:abstractNumId w:val="114"/>
  </w:num>
  <w:num w:numId="123" w16cid:durableId="517352536">
    <w:abstractNumId w:val="22"/>
  </w:num>
  <w:num w:numId="124" w16cid:durableId="1826624888">
    <w:abstractNumId w:val="111"/>
  </w:num>
  <w:num w:numId="125" w16cid:durableId="1313676603">
    <w:abstractNumId w:val="13"/>
  </w:num>
  <w:num w:numId="126" w16cid:durableId="278806183">
    <w:abstractNumId w:val="40"/>
  </w:num>
  <w:num w:numId="127" w16cid:durableId="1476794645">
    <w:abstractNumId w:val="138"/>
  </w:num>
  <w:num w:numId="128" w16cid:durableId="791216483">
    <w:abstractNumId w:val="96"/>
  </w:num>
  <w:num w:numId="129" w16cid:durableId="1075785302">
    <w:abstractNumId w:val="37"/>
  </w:num>
  <w:num w:numId="130" w16cid:durableId="1197935906">
    <w:abstractNumId w:val="124"/>
  </w:num>
  <w:num w:numId="131" w16cid:durableId="340085174">
    <w:abstractNumId w:val="62"/>
  </w:num>
  <w:num w:numId="132" w16cid:durableId="514610452">
    <w:abstractNumId w:val="26"/>
  </w:num>
  <w:num w:numId="133" w16cid:durableId="874655887">
    <w:abstractNumId w:val="99"/>
  </w:num>
  <w:num w:numId="134" w16cid:durableId="210001951">
    <w:abstractNumId w:val="79"/>
  </w:num>
  <w:num w:numId="135" w16cid:durableId="1049572528">
    <w:abstractNumId w:val="122"/>
  </w:num>
  <w:num w:numId="136" w16cid:durableId="258369207">
    <w:abstractNumId w:val="56"/>
  </w:num>
  <w:num w:numId="137" w16cid:durableId="565535948">
    <w:abstractNumId w:val="59"/>
  </w:num>
  <w:num w:numId="138" w16cid:durableId="1911425591">
    <w:abstractNumId w:val="4"/>
  </w:num>
  <w:num w:numId="139" w16cid:durableId="869224016">
    <w:abstractNumId w:val="24"/>
  </w:num>
  <w:num w:numId="140" w16cid:durableId="1378621159">
    <w:abstractNumId w:val="76"/>
  </w:num>
  <w:num w:numId="141" w16cid:durableId="1403602769">
    <w:abstractNumId w:val="54"/>
  </w:num>
  <w:num w:numId="142" w16cid:durableId="1272594967">
    <w:abstractNumId w:val="82"/>
  </w:num>
  <w:num w:numId="143" w16cid:durableId="1026101966">
    <w:abstractNumId w:val="47"/>
  </w:num>
  <w:num w:numId="144" w16cid:durableId="665596517">
    <w:abstractNumId w:val="146"/>
  </w:num>
  <w:num w:numId="145" w16cid:durableId="1719933685">
    <w:abstractNumId w:val="103"/>
  </w:num>
  <w:num w:numId="146" w16cid:durableId="677653893">
    <w:abstractNumId w:val="0"/>
  </w:num>
  <w:num w:numId="147" w16cid:durableId="1554460644">
    <w:abstractNumId w:val="144"/>
  </w:num>
  <w:num w:numId="148" w16cid:durableId="2042240942">
    <w:abstractNumId w:val="77"/>
  </w:num>
  <w:num w:numId="149" w16cid:durableId="2011331743">
    <w:abstractNumId w:val="147"/>
  </w:num>
  <w:num w:numId="150" w16cid:durableId="636496357">
    <w:abstractNumId w:val="17"/>
  </w:num>
  <w:num w:numId="151" w16cid:durableId="1611163496">
    <w:abstractNumId w:val="119"/>
  </w:num>
  <w:num w:numId="152" w16cid:durableId="1132870412">
    <w:abstractNumId w:val="129"/>
  </w:num>
  <w:num w:numId="153" w16cid:durableId="1961720855">
    <w:abstractNumId w:val="31"/>
  </w:num>
  <w:num w:numId="154" w16cid:durableId="1520582117">
    <w:abstractNumId w:val="126"/>
  </w:num>
  <w:num w:numId="155" w16cid:durableId="873810949">
    <w:abstractNumId w:val="143"/>
  </w:num>
  <w:num w:numId="156" w16cid:durableId="481393048">
    <w:abstractNumId w:val="6"/>
  </w:num>
  <w:num w:numId="157" w16cid:durableId="119879144">
    <w:abstractNumId w:val="58"/>
  </w:num>
  <w:num w:numId="158" w16cid:durableId="1867866953">
    <w:abstractNumId w:val="109"/>
  </w:num>
  <w:num w:numId="159" w16cid:durableId="1159076492">
    <w:abstractNumId w:val="7"/>
  </w:num>
  <w:num w:numId="160" w16cid:durableId="949976023">
    <w:abstractNumId w:val="48"/>
  </w:num>
  <w:num w:numId="161" w16cid:durableId="1254777897">
    <w:abstractNumId w:val="60"/>
  </w:num>
  <w:num w:numId="162" w16cid:durableId="208302507">
    <w:abstractNumId w:val="20"/>
  </w:num>
  <w:num w:numId="163" w16cid:durableId="695696712">
    <w:abstractNumId w:val="87"/>
  </w:num>
  <w:num w:numId="164" w16cid:durableId="1287202112">
    <w:abstractNumId w:val="153"/>
  </w:num>
  <w:num w:numId="165" w16cid:durableId="1105884353">
    <w:abstractNumId w:val="80"/>
  </w:num>
  <w:num w:numId="166" w16cid:durableId="55608486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61375490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4773374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0047268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2654321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161948267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32421223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46774596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620070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3136793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41065882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07081308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80"/>
  <w:embedTrueType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44"/>
  <w:drawingGridVerticalSpacing w:val="144"/>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electedNamespace" w:val="http://schemas.macroview.com.au/StyleVisibilitySettingsCollection"/>
  </w:docVars>
  <w:rsids>
    <w:rsidRoot w:val="00B242C3"/>
    <w:rsid w:val="00000004"/>
    <w:rsid w:val="0000134C"/>
    <w:rsid w:val="00001FD9"/>
    <w:rsid w:val="00002088"/>
    <w:rsid w:val="0000237B"/>
    <w:rsid w:val="000025F2"/>
    <w:rsid w:val="0000271B"/>
    <w:rsid w:val="00002D39"/>
    <w:rsid w:val="0000330C"/>
    <w:rsid w:val="00003E2F"/>
    <w:rsid w:val="00004B39"/>
    <w:rsid w:val="00004BA2"/>
    <w:rsid w:val="00004BDE"/>
    <w:rsid w:val="00005237"/>
    <w:rsid w:val="000058A6"/>
    <w:rsid w:val="0000681E"/>
    <w:rsid w:val="00006876"/>
    <w:rsid w:val="000077B5"/>
    <w:rsid w:val="000115C7"/>
    <w:rsid w:val="00011C24"/>
    <w:rsid w:val="00011EB8"/>
    <w:rsid w:val="0001212E"/>
    <w:rsid w:val="0001236B"/>
    <w:rsid w:val="000131F6"/>
    <w:rsid w:val="00013A4E"/>
    <w:rsid w:val="00013B3D"/>
    <w:rsid w:val="000144C5"/>
    <w:rsid w:val="00014BA8"/>
    <w:rsid w:val="000153AA"/>
    <w:rsid w:val="000154F7"/>
    <w:rsid w:val="0001710E"/>
    <w:rsid w:val="0001754F"/>
    <w:rsid w:val="00017B6A"/>
    <w:rsid w:val="00017D8F"/>
    <w:rsid w:val="00017D9E"/>
    <w:rsid w:val="00020196"/>
    <w:rsid w:val="00020DB3"/>
    <w:rsid w:val="000214FF"/>
    <w:rsid w:val="00021CB2"/>
    <w:rsid w:val="0002311B"/>
    <w:rsid w:val="000242ED"/>
    <w:rsid w:val="0002443C"/>
    <w:rsid w:val="000252D8"/>
    <w:rsid w:val="00025ACF"/>
    <w:rsid w:val="0002782F"/>
    <w:rsid w:val="00027BCB"/>
    <w:rsid w:val="00030CB8"/>
    <w:rsid w:val="00031BE3"/>
    <w:rsid w:val="00032ED6"/>
    <w:rsid w:val="00032F27"/>
    <w:rsid w:val="0003328E"/>
    <w:rsid w:val="0003359F"/>
    <w:rsid w:val="00033863"/>
    <w:rsid w:val="00033C36"/>
    <w:rsid w:val="00034436"/>
    <w:rsid w:val="00034516"/>
    <w:rsid w:val="00034DBF"/>
    <w:rsid w:val="00035054"/>
    <w:rsid w:val="00035652"/>
    <w:rsid w:val="00035D7F"/>
    <w:rsid w:val="00036F02"/>
    <w:rsid w:val="00036F90"/>
    <w:rsid w:val="00040549"/>
    <w:rsid w:val="0004083D"/>
    <w:rsid w:val="00041E1E"/>
    <w:rsid w:val="0004288A"/>
    <w:rsid w:val="00043CAA"/>
    <w:rsid w:val="000449AA"/>
    <w:rsid w:val="000452FB"/>
    <w:rsid w:val="00045A36"/>
    <w:rsid w:val="00045D54"/>
    <w:rsid w:val="00046130"/>
    <w:rsid w:val="000464CA"/>
    <w:rsid w:val="00046B55"/>
    <w:rsid w:val="000470D0"/>
    <w:rsid w:val="00047FAE"/>
    <w:rsid w:val="0005059C"/>
    <w:rsid w:val="00051DEB"/>
    <w:rsid w:val="000523F4"/>
    <w:rsid w:val="000524D1"/>
    <w:rsid w:val="0005271A"/>
    <w:rsid w:val="00052C5D"/>
    <w:rsid w:val="00054439"/>
    <w:rsid w:val="000552B0"/>
    <w:rsid w:val="00055A56"/>
    <w:rsid w:val="00055AD3"/>
    <w:rsid w:val="00055C95"/>
    <w:rsid w:val="00055CCB"/>
    <w:rsid w:val="00055F2C"/>
    <w:rsid w:val="000562C7"/>
    <w:rsid w:val="00056652"/>
    <w:rsid w:val="000566BD"/>
    <w:rsid w:val="00056878"/>
    <w:rsid w:val="000578C5"/>
    <w:rsid w:val="00060223"/>
    <w:rsid w:val="000608F9"/>
    <w:rsid w:val="00060C7A"/>
    <w:rsid w:val="0006141C"/>
    <w:rsid w:val="0006255E"/>
    <w:rsid w:val="000628FC"/>
    <w:rsid w:val="00062AD4"/>
    <w:rsid w:val="00063687"/>
    <w:rsid w:val="00063973"/>
    <w:rsid w:val="0006489E"/>
    <w:rsid w:val="00064B77"/>
    <w:rsid w:val="00065515"/>
    <w:rsid w:val="00066626"/>
    <w:rsid w:val="00066938"/>
    <w:rsid w:val="00066DE7"/>
    <w:rsid w:val="00066F4A"/>
    <w:rsid w:val="0007053E"/>
    <w:rsid w:val="000705AB"/>
    <w:rsid w:val="0007079A"/>
    <w:rsid w:val="0007117C"/>
    <w:rsid w:val="00071A03"/>
    <w:rsid w:val="00071A27"/>
    <w:rsid w:val="00072602"/>
    <w:rsid w:val="0007262D"/>
    <w:rsid w:val="0007292A"/>
    <w:rsid w:val="00072CFE"/>
    <w:rsid w:val="0007371B"/>
    <w:rsid w:val="00074886"/>
    <w:rsid w:val="000749CC"/>
    <w:rsid w:val="000753C4"/>
    <w:rsid w:val="000761D9"/>
    <w:rsid w:val="000773B9"/>
    <w:rsid w:val="000808DD"/>
    <w:rsid w:val="00080BB2"/>
    <w:rsid w:val="00081C55"/>
    <w:rsid w:val="000822F4"/>
    <w:rsid w:val="00082319"/>
    <w:rsid w:val="000825AA"/>
    <w:rsid w:val="000831E0"/>
    <w:rsid w:val="00084A35"/>
    <w:rsid w:val="000907D9"/>
    <w:rsid w:val="00090AF4"/>
    <w:rsid w:val="00090C5F"/>
    <w:rsid w:val="000913C5"/>
    <w:rsid w:val="00091CED"/>
    <w:rsid w:val="0009250D"/>
    <w:rsid w:val="00093291"/>
    <w:rsid w:val="000934D3"/>
    <w:rsid w:val="000938ED"/>
    <w:rsid w:val="00094450"/>
    <w:rsid w:val="00094BD6"/>
    <w:rsid w:val="00094C32"/>
    <w:rsid w:val="00094E16"/>
    <w:rsid w:val="00095532"/>
    <w:rsid w:val="0009618B"/>
    <w:rsid w:val="000A0D34"/>
    <w:rsid w:val="000A149A"/>
    <w:rsid w:val="000A1A1D"/>
    <w:rsid w:val="000A1A4F"/>
    <w:rsid w:val="000A254F"/>
    <w:rsid w:val="000A281C"/>
    <w:rsid w:val="000A35AE"/>
    <w:rsid w:val="000A39C5"/>
    <w:rsid w:val="000A3C09"/>
    <w:rsid w:val="000A4846"/>
    <w:rsid w:val="000A487E"/>
    <w:rsid w:val="000A5B6B"/>
    <w:rsid w:val="000A71E7"/>
    <w:rsid w:val="000A726B"/>
    <w:rsid w:val="000B03DD"/>
    <w:rsid w:val="000B0D2F"/>
    <w:rsid w:val="000B0ED1"/>
    <w:rsid w:val="000B132D"/>
    <w:rsid w:val="000B15CD"/>
    <w:rsid w:val="000B1AAD"/>
    <w:rsid w:val="000B25A0"/>
    <w:rsid w:val="000B2C7C"/>
    <w:rsid w:val="000B2DBD"/>
    <w:rsid w:val="000B31FF"/>
    <w:rsid w:val="000B36A8"/>
    <w:rsid w:val="000B3904"/>
    <w:rsid w:val="000B3FC3"/>
    <w:rsid w:val="000B41E6"/>
    <w:rsid w:val="000B4645"/>
    <w:rsid w:val="000B4A2F"/>
    <w:rsid w:val="000B4ECF"/>
    <w:rsid w:val="000B590A"/>
    <w:rsid w:val="000B5EF2"/>
    <w:rsid w:val="000B64EE"/>
    <w:rsid w:val="000B67BF"/>
    <w:rsid w:val="000B705F"/>
    <w:rsid w:val="000B7680"/>
    <w:rsid w:val="000B7749"/>
    <w:rsid w:val="000B7B7C"/>
    <w:rsid w:val="000B7C45"/>
    <w:rsid w:val="000C019E"/>
    <w:rsid w:val="000C24B8"/>
    <w:rsid w:val="000C29F2"/>
    <w:rsid w:val="000C4415"/>
    <w:rsid w:val="000C45EE"/>
    <w:rsid w:val="000C4B3A"/>
    <w:rsid w:val="000C4B97"/>
    <w:rsid w:val="000C5103"/>
    <w:rsid w:val="000C549F"/>
    <w:rsid w:val="000C55C0"/>
    <w:rsid w:val="000C56DD"/>
    <w:rsid w:val="000C5A0F"/>
    <w:rsid w:val="000C74ED"/>
    <w:rsid w:val="000C76F5"/>
    <w:rsid w:val="000C7939"/>
    <w:rsid w:val="000C7C60"/>
    <w:rsid w:val="000C7EE0"/>
    <w:rsid w:val="000D0692"/>
    <w:rsid w:val="000D0BE6"/>
    <w:rsid w:val="000D21B6"/>
    <w:rsid w:val="000D2D8B"/>
    <w:rsid w:val="000D3FC4"/>
    <w:rsid w:val="000D4761"/>
    <w:rsid w:val="000D492D"/>
    <w:rsid w:val="000D4976"/>
    <w:rsid w:val="000D4CC2"/>
    <w:rsid w:val="000D5376"/>
    <w:rsid w:val="000D537D"/>
    <w:rsid w:val="000D6466"/>
    <w:rsid w:val="000D6FF3"/>
    <w:rsid w:val="000D7C02"/>
    <w:rsid w:val="000D7EE7"/>
    <w:rsid w:val="000E0179"/>
    <w:rsid w:val="000E07DF"/>
    <w:rsid w:val="000E0FD2"/>
    <w:rsid w:val="000E0FFB"/>
    <w:rsid w:val="000E3582"/>
    <w:rsid w:val="000E3960"/>
    <w:rsid w:val="000E3EF6"/>
    <w:rsid w:val="000E40E1"/>
    <w:rsid w:val="000E4556"/>
    <w:rsid w:val="000E62FF"/>
    <w:rsid w:val="000E7AA6"/>
    <w:rsid w:val="000E7DC0"/>
    <w:rsid w:val="000F050E"/>
    <w:rsid w:val="000F197C"/>
    <w:rsid w:val="000F1991"/>
    <w:rsid w:val="000F22E3"/>
    <w:rsid w:val="000F3590"/>
    <w:rsid w:val="000F4BD7"/>
    <w:rsid w:val="000F55EB"/>
    <w:rsid w:val="000F5BC1"/>
    <w:rsid w:val="000F6B38"/>
    <w:rsid w:val="000F7118"/>
    <w:rsid w:val="000F7A9F"/>
    <w:rsid w:val="00100020"/>
    <w:rsid w:val="00100310"/>
    <w:rsid w:val="001008DC"/>
    <w:rsid w:val="00100C07"/>
    <w:rsid w:val="00100EE5"/>
    <w:rsid w:val="00101898"/>
    <w:rsid w:val="00102680"/>
    <w:rsid w:val="001031A0"/>
    <w:rsid w:val="001039BF"/>
    <w:rsid w:val="00103BF0"/>
    <w:rsid w:val="001041A4"/>
    <w:rsid w:val="001045FF"/>
    <w:rsid w:val="00105CBE"/>
    <w:rsid w:val="0010641A"/>
    <w:rsid w:val="00106706"/>
    <w:rsid w:val="001100FA"/>
    <w:rsid w:val="00110248"/>
    <w:rsid w:val="00111D53"/>
    <w:rsid w:val="00111E71"/>
    <w:rsid w:val="0011206B"/>
    <w:rsid w:val="00112305"/>
    <w:rsid w:val="00113E36"/>
    <w:rsid w:val="00113EBF"/>
    <w:rsid w:val="00113FB5"/>
    <w:rsid w:val="00114347"/>
    <w:rsid w:val="0011559D"/>
    <w:rsid w:val="00115967"/>
    <w:rsid w:val="00116628"/>
    <w:rsid w:val="00116E28"/>
    <w:rsid w:val="00116E53"/>
    <w:rsid w:val="00117E89"/>
    <w:rsid w:val="00120563"/>
    <w:rsid w:val="0012117E"/>
    <w:rsid w:val="001211B1"/>
    <w:rsid w:val="0012290C"/>
    <w:rsid w:val="00122CC1"/>
    <w:rsid w:val="0012301A"/>
    <w:rsid w:val="00123316"/>
    <w:rsid w:val="00123679"/>
    <w:rsid w:val="00124300"/>
    <w:rsid w:val="001247B9"/>
    <w:rsid w:val="00124FD7"/>
    <w:rsid w:val="00125585"/>
    <w:rsid w:val="00125FAF"/>
    <w:rsid w:val="00126283"/>
    <w:rsid w:val="001264DF"/>
    <w:rsid w:val="00126CE0"/>
    <w:rsid w:val="001277DA"/>
    <w:rsid w:val="00127850"/>
    <w:rsid w:val="0012785F"/>
    <w:rsid w:val="00130240"/>
    <w:rsid w:val="00130823"/>
    <w:rsid w:val="00130B7B"/>
    <w:rsid w:val="00130BEC"/>
    <w:rsid w:val="00131F1A"/>
    <w:rsid w:val="00132D63"/>
    <w:rsid w:val="0013485A"/>
    <w:rsid w:val="00135334"/>
    <w:rsid w:val="00135A9C"/>
    <w:rsid w:val="00136205"/>
    <w:rsid w:val="001375F8"/>
    <w:rsid w:val="00137C6A"/>
    <w:rsid w:val="00141007"/>
    <w:rsid w:val="00141D95"/>
    <w:rsid w:val="00141E02"/>
    <w:rsid w:val="00142559"/>
    <w:rsid w:val="00142957"/>
    <w:rsid w:val="00142FEC"/>
    <w:rsid w:val="0014332E"/>
    <w:rsid w:val="0014421B"/>
    <w:rsid w:val="001465F2"/>
    <w:rsid w:val="0014665D"/>
    <w:rsid w:val="00146DF9"/>
    <w:rsid w:val="00147074"/>
    <w:rsid w:val="00147BC5"/>
    <w:rsid w:val="00147BE7"/>
    <w:rsid w:val="00147C51"/>
    <w:rsid w:val="00150165"/>
    <w:rsid w:val="001507CB"/>
    <w:rsid w:val="00150927"/>
    <w:rsid w:val="00151007"/>
    <w:rsid w:val="00151348"/>
    <w:rsid w:val="00151F2C"/>
    <w:rsid w:val="00152062"/>
    <w:rsid w:val="001529CD"/>
    <w:rsid w:val="00153A92"/>
    <w:rsid w:val="00153C6C"/>
    <w:rsid w:val="00155B54"/>
    <w:rsid w:val="0015625F"/>
    <w:rsid w:val="001568D3"/>
    <w:rsid w:val="0015726B"/>
    <w:rsid w:val="001575B1"/>
    <w:rsid w:val="001613BF"/>
    <w:rsid w:val="001621AF"/>
    <w:rsid w:val="001623E0"/>
    <w:rsid w:val="00162741"/>
    <w:rsid w:val="00162757"/>
    <w:rsid w:val="00162FA5"/>
    <w:rsid w:val="0016410C"/>
    <w:rsid w:val="00164AEF"/>
    <w:rsid w:val="00165C0A"/>
    <w:rsid w:val="001661E6"/>
    <w:rsid w:val="00166E17"/>
    <w:rsid w:val="001674EA"/>
    <w:rsid w:val="001674ED"/>
    <w:rsid w:val="001676BA"/>
    <w:rsid w:val="00167989"/>
    <w:rsid w:val="00167D32"/>
    <w:rsid w:val="0017168F"/>
    <w:rsid w:val="00171E08"/>
    <w:rsid w:val="0017208E"/>
    <w:rsid w:val="001723DB"/>
    <w:rsid w:val="00172EFF"/>
    <w:rsid w:val="00173205"/>
    <w:rsid w:val="001732CB"/>
    <w:rsid w:val="00173ABA"/>
    <w:rsid w:val="0017473E"/>
    <w:rsid w:val="0017508F"/>
    <w:rsid w:val="001751B9"/>
    <w:rsid w:val="001764DE"/>
    <w:rsid w:val="00176E7A"/>
    <w:rsid w:val="0018048A"/>
    <w:rsid w:val="00180661"/>
    <w:rsid w:val="0018110D"/>
    <w:rsid w:val="001818A3"/>
    <w:rsid w:val="00181EB8"/>
    <w:rsid w:val="00182D93"/>
    <w:rsid w:val="00183AE5"/>
    <w:rsid w:val="001857DB"/>
    <w:rsid w:val="001859E0"/>
    <w:rsid w:val="00185FA0"/>
    <w:rsid w:val="00186011"/>
    <w:rsid w:val="0018700A"/>
    <w:rsid w:val="001870A7"/>
    <w:rsid w:val="001872E8"/>
    <w:rsid w:val="00187D93"/>
    <w:rsid w:val="00192FD4"/>
    <w:rsid w:val="001954A3"/>
    <w:rsid w:val="00195698"/>
    <w:rsid w:val="00195CE2"/>
    <w:rsid w:val="00195D2F"/>
    <w:rsid w:val="00195FD8"/>
    <w:rsid w:val="00196732"/>
    <w:rsid w:val="00196A7C"/>
    <w:rsid w:val="00197B06"/>
    <w:rsid w:val="001A0019"/>
    <w:rsid w:val="001A0AB3"/>
    <w:rsid w:val="001A119B"/>
    <w:rsid w:val="001A1566"/>
    <w:rsid w:val="001A1B7B"/>
    <w:rsid w:val="001A294E"/>
    <w:rsid w:val="001A29C0"/>
    <w:rsid w:val="001A2A7F"/>
    <w:rsid w:val="001A2C6A"/>
    <w:rsid w:val="001A3136"/>
    <w:rsid w:val="001A32CE"/>
    <w:rsid w:val="001A3C9C"/>
    <w:rsid w:val="001A3E1C"/>
    <w:rsid w:val="001A3F47"/>
    <w:rsid w:val="001A41DD"/>
    <w:rsid w:val="001A48FF"/>
    <w:rsid w:val="001A494E"/>
    <w:rsid w:val="001A4D66"/>
    <w:rsid w:val="001A57C5"/>
    <w:rsid w:val="001B0645"/>
    <w:rsid w:val="001B0667"/>
    <w:rsid w:val="001B35D5"/>
    <w:rsid w:val="001B3EB2"/>
    <w:rsid w:val="001B423D"/>
    <w:rsid w:val="001B45E2"/>
    <w:rsid w:val="001B4C85"/>
    <w:rsid w:val="001B5641"/>
    <w:rsid w:val="001B5A6C"/>
    <w:rsid w:val="001B5E84"/>
    <w:rsid w:val="001B65D3"/>
    <w:rsid w:val="001B672C"/>
    <w:rsid w:val="001B68BA"/>
    <w:rsid w:val="001B6A9A"/>
    <w:rsid w:val="001B6B65"/>
    <w:rsid w:val="001B6E75"/>
    <w:rsid w:val="001B7764"/>
    <w:rsid w:val="001C03EB"/>
    <w:rsid w:val="001C32F7"/>
    <w:rsid w:val="001C4DE5"/>
    <w:rsid w:val="001C5700"/>
    <w:rsid w:val="001C5BE9"/>
    <w:rsid w:val="001C602D"/>
    <w:rsid w:val="001C62ED"/>
    <w:rsid w:val="001C67FE"/>
    <w:rsid w:val="001C6E4A"/>
    <w:rsid w:val="001D0418"/>
    <w:rsid w:val="001D07B2"/>
    <w:rsid w:val="001D083E"/>
    <w:rsid w:val="001D084C"/>
    <w:rsid w:val="001D15EE"/>
    <w:rsid w:val="001D18F4"/>
    <w:rsid w:val="001D1AC7"/>
    <w:rsid w:val="001D1B31"/>
    <w:rsid w:val="001D1CF1"/>
    <w:rsid w:val="001D20EA"/>
    <w:rsid w:val="001D34C7"/>
    <w:rsid w:val="001D39E6"/>
    <w:rsid w:val="001D3A7A"/>
    <w:rsid w:val="001D4226"/>
    <w:rsid w:val="001D5354"/>
    <w:rsid w:val="001D5396"/>
    <w:rsid w:val="001D54A9"/>
    <w:rsid w:val="001D59D8"/>
    <w:rsid w:val="001D5FF6"/>
    <w:rsid w:val="001D6876"/>
    <w:rsid w:val="001D7D35"/>
    <w:rsid w:val="001E045E"/>
    <w:rsid w:val="001E1A72"/>
    <w:rsid w:val="001E249E"/>
    <w:rsid w:val="001E271B"/>
    <w:rsid w:val="001E2BD7"/>
    <w:rsid w:val="001E2D5C"/>
    <w:rsid w:val="001E310A"/>
    <w:rsid w:val="001E316A"/>
    <w:rsid w:val="001E33FC"/>
    <w:rsid w:val="001E3DD9"/>
    <w:rsid w:val="001E4D95"/>
    <w:rsid w:val="001E4EE2"/>
    <w:rsid w:val="001E6B70"/>
    <w:rsid w:val="001E7689"/>
    <w:rsid w:val="001F0A44"/>
    <w:rsid w:val="001F0A93"/>
    <w:rsid w:val="001F1F6C"/>
    <w:rsid w:val="001F2281"/>
    <w:rsid w:val="001F381A"/>
    <w:rsid w:val="001F422E"/>
    <w:rsid w:val="001F4527"/>
    <w:rsid w:val="001F45E5"/>
    <w:rsid w:val="001F4851"/>
    <w:rsid w:val="001F4FB2"/>
    <w:rsid w:val="001F5219"/>
    <w:rsid w:val="001F5D4E"/>
    <w:rsid w:val="001F64C0"/>
    <w:rsid w:val="001F66EC"/>
    <w:rsid w:val="001F6B32"/>
    <w:rsid w:val="001F6DCD"/>
    <w:rsid w:val="001F77B3"/>
    <w:rsid w:val="00200144"/>
    <w:rsid w:val="00201477"/>
    <w:rsid w:val="0020153C"/>
    <w:rsid w:val="00201E81"/>
    <w:rsid w:val="002023A2"/>
    <w:rsid w:val="0020292F"/>
    <w:rsid w:val="00204A81"/>
    <w:rsid w:val="002051D6"/>
    <w:rsid w:val="0021064A"/>
    <w:rsid w:val="00210ADF"/>
    <w:rsid w:val="00211A29"/>
    <w:rsid w:val="002123D7"/>
    <w:rsid w:val="00212438"/>
    <w:rsid w:val="00212F23"/>
    <w:rsid w:val="00213309"/>
    <w:rsid w:val="00213687"/>
    <w:rsid w:val="00213AA8"/>
    <w:rsid w:val="00214299"/>
    <w:rsid w:val="002149D0"/>
    <w:rsid w:val="0021564E"/>
    <w:rsid w:val="0021587F"/>
    <w:rsid w:val="00216371"/>
    <w:rsid w:val="0021647E"/>
    <w:rsid w:val="00216E20"/>
    <w:rsid w:val="002175A7"/>
    <w:rsid w:val="002202D3"/>
    <w:rsid w:val="00220778"/>
    <w:rsid w:val="00220AFD"/>
    <w:rsid w:val="00222598"/>
    <w:rsid w:val="00222900"/>
    <w:rsid w:val="00222F57"/>
    <w:rsid w:val="0022316A"/>
    <w:rsid w:val="00223A3A"/>
    <w:rsid w:val="00223E66"/>
    <w:rsid w:val="00224602"/>
    <w:rsid w:val="00224F74"/>
    <w:rsid w:val="0022502A"/>
    <w:rsid w:val="002256BE"/>
    <w:rsid w:val="002259FD"/>
    <w:rsid w:val="00225D07"/>
    <w:rsid w:val="002261B7"/>
    <w:rsid w:val="002268D5"/>
    <w:rsid w:val="00226F76"/>
    <w:rsid w:val="0022715A"/>
    <w:rsid w:val="00227D04"/>
    <w:rsid w:val="0023016D"/>
    <w:rsid w:val="00231399"/>
    <w:rsid w:val="00231599"/>
    <w:rsid w:val="00231833"/>
    <w:rsid w:val="00231AA0"/>
    <w:rsid w:val="00231CC1"/>
    <w:rsid w:val="00232471"/>
    <w:rsid w:val="00232C9A"/>
    <w:rsid w:val="00232E74"/>
    <w:rsid w:val="002331FA"/>
    <w:rsid w:val="00233771"/>
    <w:rsid w:val="00233F55"/>
    <w:rsid w:val="00233FF0"/>
    <w:rsid w:val="00234A61"/>
    <w:rsid w:val="0023506B"/>
    <w:rsid w:val="00235444"/>
    <w:rsid w:val="00236C1E"/>
    <w:rsid w:val="00237415"/>
    <w:rsid w:val="0023757B"/>
    <w:rsid w:val="002376B9"/>
    <w:rsid w:val="002378A5"/>
    <w:rsid w:val="002379D5"/>
    <w:rsid w:val="002400DB"/>
    <w:rsid w:val="00241817"/>
    <w:rsid w:val="00241F4B"/>
    <w:rsid w:val="00241FC4"/>
    <w:rsid w:val="002426FE"/>
    <w:rsid w:val="00242B7E"/>
    <w:rsid w:val="00242DE2"/>
    <w:rsid w:val="002446C0"/>
    <w:rsid w:val="00244960"/>
    <w:rsid w:val="002467D9"/>
    <w:rsid w:val="002471A3"/>
    <w:rsid w:val="002476A7"/>
    <w:rsid w:val="00247AFD"/>
    <w:rsid w:val="002500F5"/>
    <w:rsid w:val="00250342"/>
    <w:rsid w:val="002503D0"/>
    <w:rsid w:val="0025179A"/>
    <w:rsid w:val="00253651"/>
    <w:rsid w:val="00253F47"/>
    <w:rsid w:val="00254324"/>
    <w:rsid w:val="00254DDE"/>
    <w:rsid w:val="00254DED"/>
    <w:rsid w:val="002555A5"/>
    <w:rsid w:val="002564F8"/>
    <w:rsid w:val="00256C45"/>
    <w:rsid w:val="0025716F"/>
    <w:rsid w:val="00261760"/>
    <w:rsid w:val="00261D77"/>
    <w:rsid w:val="002627A6"/>
    <w:rsid w:val="00262DB1"/>
    <w:rsid w:val="002631D7"/>
    <w:rsid w:val="00263C9A"/>
    <w:rsid w:val="00263E34"/>
    <w:rsid w:val="00264A4A"/>
    <w:rsid w:val="00265638"/>
    <w:rsid w:val="00265993"/>
    <w:rsid w:val="00265FDF"/>
    <w:rsid w:val="0026634E"/>
    <w:rsid w:val="002667C9"/>
    <w:rsid w:val="00266A88"/>
    <w:rsid w:val="00266BD5"/>
    <w:rsid w:val="00266C2E"/>
    <w:rsid w:val="002671DB"/>
    <w:rsid w:val="00267FA8"/>
    <w:rsid w:val="00270235"/>
    <w:rsid w:val="00270C5E"/>
    <w:rsid w:val="00271AE7"/>
    <w:rsid w:val="00271B2E"/>
    <w:rsid w:val="00271BBA"/>
    <w:rsid w:val="00272A4F"/>
    <w:rsid w:val="00272AA7"/>
    <w:rsid w:val="002734C3"/>
    <w:rsid w:val="002747DE"/>
    <w:rsid w:val="00275197"/>
    <w:rsid w:val="0027762B"/>
    <w:rsid w:val="002779C6"/>
    <w:rsid w:val="00277B66"/>
    <w:rsid w:val="0028148B"/>
    <w:rsid w:val="002816AB"/>
    <w:rsid w:val="00281884"/>
    <w:rsid w:val="00282A90"/>
    <w:rsid w:val="00283289"/>
    <w:rsid w:val="002844EB"/>
    <w:rsid w:val="00284ADB"/>
    <w:rsid w:val="0028560E"/>
    <w:rsid w:val="002858E3"/>
    <w:rsid w:val="00285E35"/>
    <w:rsid w:val="00286484"/>
    <w:rsid w:val="00286AB4"/>
    <w:rsid w:val="002870B9"/>
    <w:rsid w:val="00287587"/>
    <w:rsid w:val="00287783"/>
    <w:rsid w:val="00287A8A"/>
    <w:rsid w:val="00287AE9"/>
    <w:rsid w:val="00290362"/>
    <w:rsid w:val="00290D1E"/>
    <w:rsid w:val="0029179C"/>
    <w:rsid w:val="00291EBB"/>
    <w:rsid w:val="00291F67"/>
    <w:rsid w:val="00292E6A"/>
    <w:rsid w:val="00294391"/>
    <w:rsid w:val="0029464D"/>
    <w:rsid w:val="00294874"/>
    <w:rsid w:val="00295D91"/>
    <w:rsid w:val="00295EA4"/>
    <w:rsid w:val="00296AFD"/>
    <w:rsid w:val="00296BEE"/>
    <w:rsid w:val="002972FE"/>
    <w:rsid w:val="0029754B"/>
    <w:rsid w:val="002978C8"/>
    <w:rsid w:val="00297B3D"/>
    <w:rsid w:val="002A0296"/>
    <w:rsid w:val="002A0442"/>
    <w:rsid w:val="002A0C7E"/>
    <w:rsid w:val="002A0CF6"/>
    <w:rsid w:val="002A126D"/>
    <w:rsid w:val="002A198E"/>
    <w:rsid w:val="002A20D6"/>
    <w:rsid w:val="002A2128"/>
    <w:rsid w:val="002A217E"/>
    <w:rsid w:val="002A27B8"/>
    <w:rsid w:val="002A2D28"/>
    <w:rsid w:val="002A30D1"/>
    <w:rsid w:val="002A3B29"/>
    <w:rsid w:val="002A4456"/>
    <w:rsid w:val="002A79EA"/>
    <w:rsid w:val="002B1144"/>
    <w:rsid w:val="002B1721"/>
    <w:rsid w:val="002B3522"/>
    <w:rsid w:val="002B38F3"/>
    <w:rsid w:val="002B3AE6"/>
    <w:rsid w:val="002B43A9"/>
    <w:rsid w:val="002B453B"/>
    <w:rsid w:val="002B4CFC"/>
    <w:rsid w:val="002B5153"/>
    <w:rsid w:val="002B57AC"/>
    <w:rsid w:val="002B5A44"/>
    <w:rsid w:val="002B601F"/>
    <w:rsid w:val="002B6869"/>
    <w:rsid w:val="002B74C4"/>
    <w:rsid w:val="002C04AB"/>
    <w:rsid w:val="002C0FCF"/>
    <w:rsid w:val="002C1741"/>
    <w:rsid w:val="002C21B7"/>
    <w:rsid w:val="002C2BF2"/>
    <w:rsid w:val="002C47E6"/>
    <w:rsid w:val="002C5D6A"/>
    <w:rsid w:val="002C5E56"/>
    <w:rsid w:val="002C5EBD"/>
    <w:rsid w:val="002C6ED1"/>
    <w:rsid w:val="002C74EF"/>
    <w:rsid w:val="002C7A9B"/>
    <w:rsid w:val="002C7E45"/>
    <w:rsid w:val="002D03CC"/>
    <w:rsid w:val="002D0B55"/>
    <w:rsid w:val="002D117F"/>
    <w:rsid w:val="002D28A1"/>
    <w:rsid w:val="002D31D0"/>
    <w:rsid w:val="002D31F1"/>
    <w:rsid w:val="002D4ABD"/>
    <w:rsid w:val="002D6A9D"/>
    <w:rsid w:val="002D6EB2"/>
    <w:rsid w:val="002D7A04"/>
    <w:rsid w:val="002E11F3"/>
    <w:rsid w:val="002E1B03"/>
    <w:rsid w:val="002E274F"/>
    <w:rsid w:val="002E28FC"/>
    <w:rsid w:val="002E31FF"/>
    <w:rsid w:val="002E5899"/>
    <w:rsid w:val="002E6DCB"/>
    <w:rsid w:val="002E707E"/>
    <w:rsid w:val="002E731B"/>
    <w:rsid w:val="002F0380"/>
    <w:rsid w:val="002F0DA3"/>
    <w:rsid w:val="002F1521"/>
    <w:rsid w:val="002F1642"/>
    <w:rsid w:val="002F23A2"/>
    <w:rsid w:val="002F3483"/>
    <w:rsid w:val="002F4502"/>
    <w:rsid w:val="002F5029"/>
    <w:rsid w:val="002F5C06"/>
    <w:rsid w:val="002F63BB"/>
    <w:rsid w:val="002F6751"/>
    <w:rsid w:val="002F70BB"/>
    <w:rsid w:val="002F7639"/>
    <w:rsid w:val="003025E7"/>
    <w:rsid w:val="00302F3B"/>
    <w:rsid w:val="0030312A"/>
    <w:rsid w:val="003031E0"/>
    <w:rsid w:val="003032FC"/>
    <w:rsid w:val="00303B3C"/>
    <w:rsid w:val="00303B8A"/>
    <w:rsid w:val="00304066"/>
    <w:rsid w:val="00304131"/>
    <w:rsid w:val="003046E1"/>
    <w:rsid w:val="00304CEF"/>
    <w:rsid w:val="0030530B"/>
    <w:rsid w:val="00307BA7"/>
    <w:rsid w:val="00310C00"/>
    <w:rsid w:val="00310E2F"/>
    <w:rsid w:val="0031176A"/>
    <w:rsid w:val="00311BCF"/>
    <w:rsid w:val="003122A6"/>
    <w:rsid w:val="00312C82"/>
    <w:rsid w:val="0031571C"/>
    <w:rsid w:val="00315F5F"/>
    <w:rsid w:val="00316080"/>
    <w:rsid w:val="003160DC"/>
    <w:rsid w:val="0031634E"/>
    <w:rsid w:val="003166A2"/>
    <w:rsid w:val="00316B15"/>
    <w:rsid w:val="00316B8D"/>
    <w:rsid w:val="00317A16"/>
    <w:rsid w:val="00317CBA"/>
    <w:rsid w:val="00321125"/>
    <w:rsid w:val="003212F2"/>
    <w:rsid w:val="003213A4"/>
    <w:rsid w:val="00321DE0"/>
    <w:rsid w:val="00321E0A"/>
    <w:rsid w:val="00321F43"/>
    <w:rsid w:val="00322B7D"/>
    <w:rsid w:val="003234DD"/>
    <w:rsid w:val="00324B89"/>
    <w:rsid w:val="003253F8"/>
    <w:rsid w:val="0032557F"/>
    <w:rsid w:val="003258AC"/>
    <w:rsid w:val="0032640C"/>
    <w:rsid w:val="003266D9"/>
    <w:rsid w:val="003272C7"/>
    <w:rsid w:val="00327B5B"/>
    <w:rsid w:val="00327BF3"/>
    <w:rsid w:val="003303B6"/>
    <w:rsid w:val="003303CD"/>
    <w:rsid w:val="00330D6D"/>
    <w:rsid w:val="0033229D"/>
    <w:rsid w:val="00332FFB"/>
    <w:rsid w:val="003339BC"/>
    <w:rsid w:val="003356CC"/>
    <w:rsid w:val="00335D26"/>
    <w:rsid w:val="003361A6"/>
    <w:rsid w:val="003407B6"/>
    <w:rsid w:val="003414AC"/>
    <w:rsid w:val="00341A74"/>
    <w:rsid w:val="00343905"/>
    <w:rsid w:val="0034410A"/>
    <w:rsid w:val="00344F4E"/>
    <w:rsid w:val="003453E8"/>
    <w:rsid w:val="0034577B"/>
    <w:rsid w:val="003457FD"/>
    <w:rsid w:val="00345CC4"/>
    <w:rsid w:val="00346080"/>
    <w:rsid w:val="0034654A"/>
    <w:rsid w:val="003465F4"/>
    <w:rsid w:val="0034762E"/>
    <w:rsid w:val="00350E64"/>
    <w:rsid w:val="003513B7"/>
    <w:rsid w:val="00351807"/>
    <w:rsid w:val="00351987"/>
    <w:rsid w:val="003519B2"/>
    <w:rsid w:val="003529A8"/>
    <w:rsid w:val="00353872"/>
    <w:rsid w:val="00353ADC"/>
    <w:rsid w:val="003542FD"/>
    <w:rsid w:val="0035447E"/>
    <w:rsid w:val="0035493D"/>
    <w:rsid w:val="0035547C"/>
    <w:rsid w:val="00355499"/>
    <w:rsid w:val="00355857"/>
    <w:rsid w:val="003562B2"/>
    <w:rsid w:val="00356AFC"/>
    <w:rsid w:val="0035784A"/>
    <w:rsid w:val="00357C4B"/>
    <w:rsid w:val="00360205"/>
    <w:rsid w:val="00360972"/>
    <w:rsid w:val="00361395"/>
    <w:rsid w:val="00362498"/>
    <w:rsid w:val="003628A2"/>
    <w:rsid w:val="003634F6"/>
    <w:rsid w:val="00363C6D"/>
    <w:rsid w:val="00363D43"/>
    <w:rsid w:val="00363E6F"/>
    <w:rsid w:val="003647C7"/>
    <w:rsid w:val="00364C05"/>
    <w:rsid w:val="00365279"/>
    <w:rsid w:val="00365787"/>
    <w:rsid w:val="00365DF3"/>
    <w:rsid w:val="00365E37"/>
    <w:rsid w:val="00366A5F"/>
    <w:rsid w:val="00367A00"/>
    <w:rsid w:val="00367A8E"/>
    <w:rsid w:val="0037045C"/>
    <w:rsid w:val="0037089B"/>
    <w:rsid w:val="00370B72"/>
    <w:rsid w:val="00370D8F"/>
    <w:rsid w:val="0037106C"/>
    <w:rsid w:val="003717A0"/>
    <w:rsid w:val="00371C91"/>
    <w:rsid w:val="003725B2"/>
    <w:rsid w:val="003727E8"/>
    <w:rsid w:val="00372B54"/>
    <w:rsid w:val="00372C15"/>
    <w:rsid w:val="00372C7C"/>
    <w:rsid w:val="003732C4"/>
    <w:rsid w:val="0037521A"/>
    <w:rsid w:val="00375705"/>
    <w:rsid w:val="00375DAA"/>
    <w:rsid w:val="00377323"/>
    <w:rsid w:val="0037767F"/>
    <w:rsid w:val="0037794B"/>
    <w:rsid w:val="00377977"/>
    <w:rsid w:val="003801FC"/>
    <w:rsid w:val="00380C2F"/>
    <w:rsid w:val="00381408"/>
    <w:rsid w:val="00382C71"/>
    <w:rsid w:val="00383136"/>
    <w:rsid w:val="0038375D"/>
    <w:rsid w:val="0038698D"/>
    <w:rsid w:val="00391007"/>
    <w:rsid w:val="00391C06"/>
    <w:rsid w:val="00392CA7"/>
    <w:rsid w:val="00392D1A"/>
    <w:rsid w:val="00392EB9"/>
    <w:rsid w:val="003939EE"/>
    <w:rsid w:val="0039404A"/>
    <w:rsid w:val="00395A46"/>
    <w:rsid w:val="00396731"/>
    <w:rsid w:val="003970EE"/>
    <w:rsid w:val="003973D0"/>
    <w:rsid w:val="00397732"/>
    <w:rsid w:val="00397B94"/>
    <w:rsid w:val="00397F27"/>
    <w:rsid w:val="003A0B66"/>
    <w:rsid w:val="003A0D41"/>
    <w:rsid w:val="003A135E"/>
    <w:rsid w:val="003A31FA"/>
    <w:rsid w:val="003A3AB4"/>
    <w:rsid w:val="003A3FFE"/>
    <w:rsid w:val="003A42E0"/>
    <w:rsid w:val="003A4A28"/>
    <w:rsid w:val="003A4B95"/>
    <w:rsid w:val="003A54E4"/>
    <w:rsid w:val="003A566D"/>
    <w:rsid w:val="003A5A73"/>
    <w:rsid w:val="003A649E"/>
    <w:rsid w:val="003A64BD"/>
    <w:rsid w:val="003A7049"/>
    <w:rsid w:val="003A723D"/>
    <w:rsid w:val="003A785C"/>
    <w:rsid w:val="003A7C38"/>
    <w:rsid w:val="003A7CD1"/>
    <w:rsid w:val="003A7EF0"/>
    <w:rsid w:val="003A7F9F"/>
    <w:rsid w:val="003B0283"/>
    <w:rsid w:val="003B0B5E"/>
    <w:rsid w:val="003B1BEB"/>
    <w:rsid w:val="003B1DCA"/>
    <w:rsid w:val="003B23EB"/>
    <w:rsid w:val="003B3DBA"/>
    <w:rsid w:val="003B422F"/>
    <w:rsid w:val="003B4298"/>
    <w:rsid w:val="003B51DC"/>
    <w:rsid w:val="003B5FDF"/>
    <w:rsid w:val="003B6253"/>
    <w:rsid w:val="003B6A50"/>
    <w:rsid w:val="003B7039"/>
    <w:rsid w:val="003B76F9"/>
    <w:rsid w:val="003C0061"/>
    <w:rsid w:val="003C0634"/>
    <w:rsid w:val="003C12CA"/>
    <w:rsid w:val="003C1DA7"/>
    <w:rsid w:val="003C1E26"/>
    <w:rsid w:val="003C1E27"/>
    <w:rsid w:val="003C2ACC"/>
    <w:rsid w:val="003C30B3"/>
    <w:rsid w:val="003C3F34"/>
    <w:rsid w:val="003C3FB3"/>
    <w:rsid w:val="003C452E"/>
    <w:rsid w:val="003C4A70"/>
    <w:rsid w:val="003C4E38"/>
    <w:rsid w:val="003C5225"/>
    <w:rsid w:val="003C52FD"/>
    <w:rsid w:val="003C54ED"/>
    <w:rsid w:val="003C5B93"/>
    <w:rsid w:val="003C6D93"/>
    <w:rsid w:val="003C7942"/>
    <w:rsid w:val="003D0F0B"/>
    <w:rsid w:val="003D1674"/>
    <w:rsid w:val="003D1AFE"/>
    <w:rsid w:val="003D1EE3"/>
    <w:rsid w:val="003D2544"/>
    <w:rsid w:val="003D2552"/>
    <w:rsid w:val="003D2704"/>
    <w:rsid w:val="003D2FCC"/>
    <w:rsid w:val="003D3709"/>
    <w:rsid w:val="003D37EB"/>
    <w:rsid w:val="003D4237"/>
    <w:rsid w:val="003D4E8A"/>
    <w:rsid w:val="003D5D44"/>
    <w:rsid w:val="003D69EC"/>
    <w:rsid w:val="003D71CE"/>
    <w:rsid w:val="003D740A"/>
    <w:rsid w:val="003D775E"/>
    <w:rsid w:val="003E0128"/>
    <w:rsid w:val="003E045A"/>
    <w:rsid w:val="003E1A01"/>
    <w:rsid w:val="003E29F2"/>
    <w:rsid w:val="003E3B71"/>
    <w:rsid w:val="003E4DDB"/>
    <w:rsid w:val="003E53A0"/>
    <w:rsid w:val="003E5C84"/>
    <w:rsid w:val="003E5FDF"/>
    <w:rsid w:val="003E6523"/>
    <w:rsid w:val="003E6CCB"/>
    <w:rsid w:val="003E7769"/>
    <w:rsid w:val="003E7F5C"/>
    <w:rsid w:val="003F1213"/>
    <w:rsid w:val="003F1609"/>
    <w:rsid w:val="003F1741"/>
    <w:rsid w:val="003F2494"/>
    <w:rsid w:val="003F2511"/>
    <w:rsid w:val="003F2BE1"/>
    <w:rsid w:val="003F2C7B"/>
    <w:rsid w:val="003F30F6"/>
    <w:rsid w:val="003F3155"/>
    <w:rsid w:val="003F35EC"/>
    <w:rsid w:val="003F3D36"/>
    <w:rsid w:val="003F568E"/>
    <w:rsid w:val="003F6119"/>
    <w:rsid w:val="003F7194"/>
    <w:rsid w:val="003F7217"/>
    <w:rsid w:val="003F76DF"/>
    <w:rsid w:val="003F799C"/>
    <w:rsid w:val="00400086"/>
    <w:rsid w:val="004004B6"/>
    <w:rsid w:val="00401A28"/>
    <w:rsid w:val="00401FB7"/>
    <w:rsid w:val="0040202A"/>
    <w:rsid w:val="00402611"/>
    <w:rsid w:val="00402DA1"/>
    <w:rsid w:val="0040310C"/>
    <w:rsid w:val="00404685"/>
    <w:rsid w:val="00404828"/>
    <w:rsid w:val="004049D9"/>
    <w:rsid w:val="0040555B"/>
    <w:rsid w:val="00405995"/>
    <w:rsid w:val="004064BF"/>
    <w:rsid w:val="00406B59"/>
    <w:rsid w:val="00406C79"/>
    <w:rsid w:val="00407EC4"/>
    <w:rsid w:val="004104B3"/>
    <w:rsid w:val="004110A8"/>
    <w:rsid w:val="00412581"/>
    <w:rsid w:val="00412698"/>
    <w:rsid w:val="00412C03"/>
    <w:rsid w:val="004140A5"/>
    <w:rsid w:val="00414541"/>
    <w:rsid w:val="004145F3"/>
    <w:rsid w:val="00414E37"/>
    <w:rsid w:val="00414F27"/>
    <w:rsid w:val="0041539C"/>
    <w:rsid w:val="0041598E"/>
    <w:rsid w:val="004167C6"/>
    <w:rsid w:val="00416B4D"/>
    <w:rsid w:val="00416B67"/>
    <w:rsid w:val="00416E04"/>
    <w:rsid w:val="004200FB"/>
    <w:rsid w:val="004216CC"/>
    <w:rsid w:val="00422B1B"/>
    <w:rsid w:val="00422BF2"/>
    <w:rsid w:val="00423E9A"/>
    <w:rsid w:val="004241E5"/>
    <w:rsid w:val="00424912"/>
    <w:rsid w:val="004250D5"/>
    <w:rsid w:val="004253AD"/>
    <w:rsid w:val="004278E2"/>
    <w:rsid w:val="00430D05"/>
    <w:rsid w:val="004311D5"/>
    <w:rsid w:val="0043188F"/>
    <w:rsid w:val="00431AEE"/>
    <w:rsid w:val="00432234"/>
    <w:rsid w:val="00432C4B"/>
    <w:rsid w:val="0043317E"/>
    <w:rsid w:val="0043359D"/>
    <w:rsid w:val="00433E92"/>
    <w:rsid w:val="0043429D"/>
    <w:rsid w:val="00434BB0"/>
    <w:rsid w:val="0043647F"/>
    <w:rsid w:val="00436672"/>
    <w:rsid w:val="004368FB"/>
    <w:rsid w:val="00437A2B"/>
    <w:rsid w:val="0044021F"/>
    <w:rsid w:val="0044095B"/>
    <w:rsid w:val="004425FC"/>
    <w:rsid w:val="004446CD"/>
    <w:rsid w:val="00444AC2"/>
    <w:rsid w:val="0044500E"/>
    <w:rsid w:val="00445670"/>
    <w:rsid w:val="00445736"/>
    <w:rsid w:val="0044586A"/>
    <w:rsid w:val="004464AC"/>
    <w:rsid w:val="00446A0B"/>
    <w:rsid w:val="00451692"/>
    <w:rsid w:val="004519FD"/>
    <w:rsid w:val="00452425"/>
    <w:rsid w:val="004526C2"/>
    <w:rsid w:val="00452749"/>
    <w:rsid w:val="0045290F"/>
    <w:rsid w:val="004544A3"/>
    <w:rsid w:val="00455008"/>
    <w:rsid w:val="0045516F"/>
    <w:rsid w:val="00455CF1"/>
    <w:rsid w:val="00455D3F"/>
    <w:rsid w:val="0045683F"/>
    <w:rsid w:val="004569EB"/>
    <w:rsid w:val="00457493"/>
    <w:rsid w:val="0046121F"/>
    <w:rsid w:val="00461A83"/>
    <w:rsid w:val="00461C30"/>
    <w:rsid w:val="00461F62"/>
    <w:rsid w:val="00463E29"/>
    <w:rsid w:val="004646EA"/>
    <w:rsid w:val="00464E81"/>
    <w:rsid w:val="00465CD6"/>
    <w:rsid w:val="004661C3"/>
    <w:rsid w:val="00466630"/>
    <w:rsid w:val="00466D85"/>
    <w:rsid w:val="0046741E"/>
    <w:rsid w:val="004674E7"/>
    <w:rsid w:val="00467719"/>
    <w:rsid w:val="004678CC"/>
    <w:rsid w:val="00467F35"/>
    <w:rsid w:val="00467F6D"/>
    <w:rsid w:val="00470B7E"/>
    <w:rsid w:val="00470C45"/>
    <w:rsid w:val="00471861"/>
    <w:rsid w:val="0047268F"/>
    <w:rsid w:val="00472A73"/>
    <w:rsid w:val="004748AD"/>
    <w:rsid w:val="0047496C"/>
    <w:rsid w:val="00474DE1"/>
    <w:rsid w:val="00475117"/>
    <w:rsid w:val="004759F6"/>
    <w:rsid w:val="00475E88"/>
    <w:rsid w:val="004805B8"/>
    <w:rsid w:val="00480A47"/>
    <w:rsid w:val="0048173A"/>
    <w:rsid w:val="004821FB"/>
    <w:rsid w:val="00482251"/>
    <w:rsid w:val="00482E2B"/>
    <w:rsid w:val="004844CC"/>
    <w:rsid w:val="00484985"/>
    <w:rsid w:val="00484B03"/>
    <w:rsid w:val="00484D20"/>
    <w:rsid w:val="004860EA"/>
    <w:rsid w:val="0048653E"/>
    <w:rsid w:val="00486748"/>
    <w:rsid w:val="00486A98"/>
    <w:rsid w:val="00487482"/>
    <w:rsid w:val="00487485"/>
    <w:rsid w:val="00487A57"/>
    <w:rsid w:val="00487AEE"/>
    <w:rsid w:val="00490B08"/>
    <w:rsid w:val="004929C3"/>
    <w:rsid w:val="004933BB"/>
    <w:rsid w:val="00493F4C"/>
    <w:rsid w:val="00494D6E"/>
    <w:rsid w:val="0049547D"/>
    <w:rsid w:val="00496ED2"/>
    <w:rsid w:val="00497036"/>
    <w:rsid w:val="00497219"/>
    <w:rsid w:val="00497986"/>
    <w:rsid w:val="004A08E8"/>
    <w:rsid w:val="004A08F5"/>
    <w:rsid w:val="004A1FE7"/>
    <w:rsid w:val="004A21EB"/>
    <w:rsid w:val="004A2A6E"/>
    <w:rsid w:val="004A2CD8"/>
    <w:rsid w:val="004A36D5"/>
    <w:rsid w:val="004A4AB4"/>
    <w:rsid w:val="004A4D8D"/>
    <w:rsid w:val="004A4F86"/>
    <w:rsid w:val="004A5083"/>
    <w:rsid w:val="004A5C6D"/>
    <w:rsid w:val="004A5D86"/>
    <w:rsid w:val="004A5FD6"/>
    <w:rsid w:val="004A62B0"/>
    <w:rsid w:val="004A6506"/>
    <w:rsid w:val="004A66BC"/>
    <w:rsid w:val="004A6AB0"/>
    <w:rsid w:val="004A6E67"/>
    <w:rsid w:val="004A746B"/>
    <w:rsid w:val="004B0180"/>
    <w:rsid w:val="004B057F"/>
    <w:rsid w:val="004B068B"/>
    <w:rsid w:val="004B086F"/>
    <w:rsid w:val="004B0AE9"/>
    <w:rsid w:val="004B0DEA"/>
    <w:rsid w:val="004B1319"/>
    <w:rsid w:val="004B2105"/>
    <w:rsid w:val="004B47D3"/>
    <w:rsid w:val="004B581D"/>
    <w:rsid w:val="004B6282"/>
    <w:rsid w:val="004B6B68"/>
    <w:rsid w:val="004B6C96"/>
    <w:rsid w:val="004C06A2"/>
    <w:rsid w:val="004C126F"/>
    <w:rsid w:val="004C171C"/>
    <w:rsid w:val="004C17AD"/>
    <w:rsid w:val="004C23BB"/>
    <w:rsid w:val="004C23F1"/>
    <w:rsid w:val="004C2DDA"/>
    <w:rsid w:val="004C2F10"/>
    <w:rsid w:val="004C2F52"/>
    <w:rsid w:val="004C3C03"/>
    <w:rsid w:val="004C3DEB"/>
    <w:rsid w:val="004C4B3B"/>
    <w:rsid w:val="004C4C63"/>
    <w:rsid w:val="004C5224"/>
    <w:rsid w:val="004C5650"/>
    <w:rsid w:val="004C76E9"/>
    <w:rsid w:val="004C7C8D"/>
    <w:rsid w:val="004D02C2"/>
    <w:rsid w:val="004D0559"/>
    <w:rsid w:val="004D05AC"/>
    <w:rsid w:val="004D092D"/>
    <w:rsid w:val="004D0B79"/>
    <w:rsid w:val="004D1562"/>
    <w:rsid w:val="004D16FE"/>
    <w:rsid w:val="004D3383"/>
    <w:rsid w:val="004D40B8"/>
    <w:rsid w:val="004D472B"/>
    <w:rsid w:val="004D49D2"/>
    <w:rsid w:val="004D4CDD"/>
    <w:rsid w:val="004D56F4"/>
    <w:rsid w:val="004D597B"/>
    <w:rsid w:val="004D778B"/>
    <w:rsid w:val="004E010B"/>
    <w:rsid w:val="004E2F2C"/>
    <w:rsid w:val="004E2FD8"/>
    <w:rsid w:val="004E3CDF"/>
    <w:rsid w:val="004E3F4F"/>
    <w:rsid w:val="004E5B61"/>
    <w:rsid w:val="004E648E"/>
    <w:rsid w:val="004E76E8"/>
    <w:rsid w:val="004E7A16"/>
    <w:rsid w:val="004E7F78"/>
    <w:rsid w:val="004E7FFC"/>
    <w:rsid w:val="004F0035"/>
    <w:rsid w:val="004F0B4A"/>
    <w:rsid w:val="004F26D8"/>
    <w:rsid w:val="004F2DE5"/>
    <w:rsid w:val="004F35C7"/>
    <w:rsid w:val="004F3A07"/>
    <w:rsid w:val="004F3E26"/>
    <w:rsid w:val="004F3EC5"/>
    <w:rsid w:val="004F4D5D"/>
    <w:rsid w:val="004F4DBC"/>
    <w:rsid w:val="004F4F8C"/>
    <w:rsid w:val="004F711D"/>
    <w:rsid w:val="00500994"/>
    <w:rsid w:val="00500C7D"/>
    <w:rsid w:val="00500CCE"/>
    <w:rsid w:val="0050166B"/>
    <w:rsid w:val="00501AE6"/>
    <w:rsid w:val="00501CA3"/>
    <w:rsid w:val="00501E2E"/>
    <w:rsid w:val="005021BC"/>
    <w:rsid w:val="00503240"/>
    <w:rsid w:val="005035BA"/>
    <w:rsid w:val="00503DC7"/>
    <w:rsid w:val="00503F32"/>
    <w:rsid w:val="00504720"/>
    <w:rsid w:val="00504EC0"/>
    <w:rsid w:val="00505FDB"/>
    <w:rsid w:val="00506031"/>
    <w:rsid w:val="0050657B"/>
    <w:rsid w:val="00506CD8"/>
    <w:rsid w:val="0051015F"/>
    <w:rsid w:val="0051052A"/>
    <w:rsid w:val="005112A4"/>
    <w:rsid w:val="00512148"/>
    <w:rsid w:val="005124B9"/>
    <w:rsid w:val="00512623"/>
    <w:rsid w:val="00512898"/>
    <w:rsid w:val="005132D6"/>
    <w:rsid w:val="0051470C"/>
    <w:rsid w:val="00515183"/>
    <w:rsid w:val="005173A4"/>
    <w:rsid w:val="00517536"/>
    <w:rsid w:val="00517C2C"/>
    <w:rsid w:val="00517FE6"/>
    <w:rsid w:val="005201FE"/>
    <w:rsid w:val="00520D6F"/>
    <w:rsid w:val="00521367"/>
    <w:rsid w:val="0052184B"/>
    <w:rsid w:val="005218A9"/>
    <w:rsid w:val="00521A32"/>
    <w:rsid w:val="00521AA7"/>
    <w:rsid w:val="0052246A"/>
    <w:rsid w:val="0052260A"/>
    <w:rsid w:val="00522622"/>
    <w:rsid w:val="005229E9"/>
    <w:rsid w:val="00523011"/>
    <w:rsid w:val="00523526"/>
    <w:rsid w:val="00523A70"/>
    <w:rsid w:val="0052415C"/>
    <w:rsid w:val="00524281"/>
    <w:rsid w:val="00524C54"/>
    <w:rsid w:val="00524D2B"/>
    <w:rsid w:val="005254A5"/>
    <w:rsid w:val="00525D78"/>
    <w:rsid w:val="00526E5C"/>
    <w:rsid w:val="00527369"/>
    <w:rsid w:val="00527E8F"/>
    <w:rsid w:val="00530E6A"/>
    <w:rsid w:val="00531FE4"/>
    <w:rsid w:val="00532481"/>
    <w:rsid w:val="0053343C"/>
    <w:rsid w:val="0053366C"/>
    <w:rsid w:val="00534DCD"/>
    <w:rsid w:val="00534E06"/>
    <w:rsid w:val="00535462"/>
    <w:rsid w:val="0053550D"/>
    <w:rsid w:val="00536240"/>
    <w:rsid w:val="0053634A"/>
    <w:rsid w:val="005363B6"/>
    <w:rsid w:val="00536874"/>
    <w:rsid w:val="005368E5"/>
    <w:rsid w:val="00536989"/>
    <w:rsid w:val="00536FF7"/>
    <w:rsid w:val="00537106"/>
    <w:rsid w:val="005404CD"/>
    <w:rsid w:val="00541403"/>
    <w:rsid w:val="005417D5"/>
    <w:rsid w:val="005420E0"/>
    <w:rsid w:val="005421DE"/>
    <w:rsid w:val="005427F9"/>
    <w:rsid w:val="005434B2"/>
    <w:rsid w:val="00543F8B"/>
    <w:rsid w:val="00545220"/>
    <w:rsid w:val="00545392"/>
    <w:rsid w:val="005458C1"/>
    <w:rsid w:val="00546779"/>
    <w:rsid w:val="005467FE"/>
    <w:rsid w:val="00546E76"/>
    <w:rsid w:val="005479F2"/>
    <w:rsid w:val="00547DF8"/>
    <w:rsid w:val="00547ED0"/>
    <w:rsid w:val="00547F9A"/>
    <w:rsid w:val="00550398"/>
    <w:rsid w:val="005505AA"/>
    <w:rsid w:val="00550E24"/>
    <w:rsid w:val="005516D1"/>
    <w:rsid w:val="00551982"/>
    <w:rsid w:val="0055245E"/>
    <w:rsid w:val="0055253E"/>
    <w:rsid w:val="00552B1D"/>
    <w:rsid w:val="00553673"/>
    <w:rsid w:val="00553853"/>
    <w:rsid w:val="00554164"/>
    <w:rsid w:val="00557AC2"/>
    <w:rsid w:val="005604BB"/>
    <w:rsid w:val="00560B00"/>
    <w:rsid w:val="00561A5C"/>
    <w:rsid w:val="00561D3C"/>
    <w:rsid w:val="005628DE"/>
    <w:rsid w:val="00563405"/>
    <w:rsid w:val="00563E3A"/>
    <w:rsid w:val="00563E66"/>
    <w:rsid w:val="00564231"/>
    <w:rsid w:val="00564E19"/>
    <w:rsid w:val="0056522F"/>
    <w:rsid w:val="00565D81"/>
    <w:rsid w:val="0056636F"/>
    <w:rsid w:val="00566BE7"/>
    <w:rsid w:val="00567E8A"/>
    <w:rsid w:val="00567FD2"/>
    <w:rsid w:val="005700E5"/>
    <w:rsid w:val="005706BA"/>
    <w:rsid w:val="005726DC"/>
    <w:rsid w:val="00572919"/>
    <w:rsid w:val="00573493"/>
    <w:rsid w:val="005734D6"/>
    <w:rsid w:val="00575EBC"/>
    <w:rsid w:val="00576814"/>
    <w:rsid w:val="005772EC"/>
    <w:rsid w:val="0057759F"/>
    <w:rsid w:val="00577B1A"/>
    <w:rsid w:val="00577B2F"/>
    <w:rsid w:val="0058025E"/>
    <w:rsid w:val="0058373E"/>
    <w:rsid w:val="005837F2"/>
    <w:rsid w:val="005843DF"/>
    <w:rsid w:val="005855B7"/>
    <w:rsid w:val="00585843"/>
    <w:rsid w:val="0058598C"/>
    <w:rsid w:val="00585A1E"/>
    <w:rsid w:val="005864F5"/>
    <w:rsid w:val="00586F48"/>
    <w:rsid w:val="005871BB"/>
    <w:rsid w:val="0058730A"/>
    <w:rsid w:val="00587B66"/>
    <w:rsid w:val="005904A9"/>
    <w:rsid w:val="0059062A"/>
    <w:rsid w:val="005908C5"/>
    <w:rsid w:val="00591DFD"/>
    <w:rsid w:val="0059202A"/>
    <w:rsid w:val="00592364"/>
    <w:rsid w:val="005938E7"/>
    <w:rsid w:val="00594592"/>
    <w:rsid w:val="00594EA6"/>
    <w:rsid w:val="00595320"/>
    <w:rsid w:val="005961CE"/>
    <w:rsid w:val="0059649A"/>
    <w:rsid w:val="00596C1F"/>
    <w:rsid w:val="00596F5E"/>
    <w:rsid w:val="00597093"/>
    <w:rsid w:val="00597827"/>
    <w:rsid w:val="005979B5"/>
    <w:rsid w:val="00597D3E"/>
    <w:rsid w:val="005A0A50"/>
    <w:rsid w:val="005A1231"/>
    <w:rsid w:val="005A194B"/>
    <w:rsid w:val="005A1DE5"/>
    <w:rsid w:val="005A2420"/>
    <w:rsid w:val="005A4474"/>
    <w:rsid w:val="005A4841"/>
    <w:rsid w:val="005A5056"/>
    <w:rsid w:val="005A5C23"/>
    <w:rsid w:val="005A63B0"/>
    <w:rsid w:val="005A6B84"/>
    <w:rsid w:val="005A7997"/>
    <w:rsid w:val="005A7EC4"/>
    <w:rsid w:val="005B0141"/>
    <w:rsid w:val="005B077C"/>
    <w:rsid w:val="005B0CAC"/>
    <w:rsid w:val="005B27F4"/>
    <w:rsid w:val="005B3450"/>
    <w:rsid w:val="005B4C7B"/>
    <w:rsid w:val="005B5248"/>
    <w:rsid w:val="005B53CC"/>
    <w:rsid w:val="005B588A"/>
    <w:rsid w:val="005B5A93"/>
    <w:rsid w:val="005B6269"/>
    <w:rsid w:val="005B652E"/>
    <w:rsid w:val="005C0B21"/>
    <w:rsid w:val="005C1944"/>
    <w:rsid w:val="005C1A1D"/>
    <w:rsid w:val="005C1EF7"/>
    <w:rsid w:val="005C24DC"/>
    <w:rsid w:val="005C2A41"/>
    <w:rsid w:val="005C2F7B"/>
    <w:rsid w:val="005C35CC"/>
    <w:rsid w:val="005C37B5"/>
    <w:rsid w:val="005C3E79"/>
    <w:rsid w:val="005C41CC"/>
    <w:rsid w:val="005C4363"/>
    <w:rsid w:val="005C4681"/>
    <w:rsid w:val="005C4B4D"/>
    <w:rsid w:val="005C58D0"/>
    <w:rsid w:val="005C5FBF"/>
    <w:rsid w:val="005C613C"/>
    <w:rsid w:val="005C74B1"/>
    <w:rsid w:val="005D01BB"/>
    <w:rsid w:val="005D16A1"/>
    <w:rsid w:val="005D203F"/>
    <w:rsid w:val="005D2D0E"/>
    <w:rsid w:val="005D3E29"/>
    <w:rsid w:val="005D4279"/>
    <w:rsid w:val="005D4867"/>
    <w:rsid w:val="005D5C83"/>
    <w:rsid w:val="005D60D6"/>
    <w:rsid w:val="005D68A5"/>
    <w:rsid w:val="005D78C5"/>
    <w:rsid w:val="005D7A19"/>
    <w:rsid w:val="005D7E06"/>
    <w:rsid w:val="005E17D5"/>
    <w:rsid w:val="005E1F99"/>
    <w:rsid w:val="005E2A7C"/>
    <w:rsid w:val="005E31F8"/>
    <w:rsid w:val="005E383C"/>
    <w:rsid w:val="005E3E9A"/>
    <w:rsid w:val="005E43B2"/>
    <w:rsid w:val="005E4B67"/>
    <w:rsid w:val="005E53AF"/>
    <w:rsid w:val="005E5E35"/>
    <w:rsid w:val="005E64A3"/>
    <w:rsid w:val="005E69FE"/>
    <w:rsid w:val="005E6AEC"/>
    <w:rsid w:val="005F0695"/>
    <w:rsid w:val="005F0A24"/>
    <w:rsid w:val="005F0AF7"/>
    <w:rsid w:val="005F0BBD"/>
    <w:rsid w:val="005F0C6B"/>
    <w:rsid w:val="005F2CD1"/>
    <w:rsid w:val="005F2EB5"/>
    <w:rsid w:val="005F3EB8"/>
    <w:rsid w:val="005F4D4D"/>
    <w:rsid w:val="005F585E"/>
    <w:rsid w:val="005F5A0D"/>
    <w:rsid w:val="005F6508"/>
    <w:rsid w:val="005F7FF4"/>
    <w:rsid w:val="006014A7"/>
    <w:rsid w:val="00601C52"/>
    <w:rsid w:val="0060203C"/>
    <w:rsid w:val="00603580"/>
    <w:rsid w:val="00604770"/>
    <w:rsid w:val="00604FFD"/>
    <w:rsid w:val="006055AF"/>
    <w:rsid w:val="00610298"/>
    <w:rsid w:val="00610CC1"/>
    <w:rsid w:val="00610E8A"/>
    <w:rsid w:val="00610FE9"/>
    <w:rsid w:val="00611126"/>
    <w:rsid w:val="006128AD"/>
    <w:rsid w:val="00613BC1"/>
    <w:rsid w:val="00613ED4"/>
    <w:rsid w:val="00614918"/>
    <w:rsid w:val="00614B17"/>
    <w:rsid w:val="00614B3E"/>
    <w:rsid w:val="00614E42"/>
    <w:rsid w:val="00616DBC"/>
    <w:rsid w:val="006175CB"/>
    <w:rsid w:val="0061768F"/>
    <w:rsid w:val="006207B9"/>
    <w:rsid w:val="00620886"/>
    <w:rsid w:val="00620A55"/>
    <w:rsid w:val="00620BC2"/>
    <w:rsid w:val="0062145C"/>
    <w:rsid w:val="00622993"/>
    <w:rsid w:val="00622CBB"/>
    <w:rsid w:val="00623380"/>
    <w:rsid w:val="0062364E"/>
    <w:rsid w:val="00623BE5"/>
    <w:rsid w:val="00623C95"/>
    <w:rsid w:val="00624148"/>
    <w:rsid w:val="0062429F"/>
    <w:rsid w:val="006249F8"/>
    <w:rsid w:val="006253A9"/>
    <w:rsid w:val="00625BAE"/>
    <w:rsid w:val="00627030"/>
    <w:rsid w:val="0062791A"/>
    <w:rsid w:val="006300F4"/>
    <w:rsid w:val="0063012E"/>
    <w:rsid w:val="006306A6"/>
    <w:rsid w:val="006308D0"/>
    <w:rsid w:val="00630AC2"/>
    <w:rsid w:val="0063200B"/>
    <w:rsid w:val="00632BDA"/>
    <w:rsid w:val="00633C4D"/>
    <w:rsid w:val="00634014"/>
    <w:rsid w:val="0063569E"/>
    <w:rsid w:val="00635B8C"/>
    <w:rsid w:val="00635BF6"/>
    <w:rsid w:val="00635BF8"/>
    <w:rsid w:val="00636736"/>
    <w:rsid w:val="006367EF"/>
    <w:rsid w:val="00636D46"/>
    <w:rsid w:val="00636F1A"/>
    <w:rsid w:val="0064033C"/>
    <w:rsid w:val="006408FC"/>
    <w:rsid w:val="00641449"/>
    <w:rsid w:val="00641749"/>
    <w:rsid w:val="006423C0"/>
    <w:rsid w:val="00643B86"/>
    <w:rsid w:val="00643E7D"/>
    <w:rsid w:val="006442CF"/>
    <w:rsid w:val="006447C2"/>
    <w:rsid w:val="00644E2C"/>
    <w:rsid w:val="0064586A"/>
    <w:rsid w:val="0064696E"/>
    <w:rsid w:val="00646972"/>
    <w:rsid w:val="00650285"/>
    <w:rsid w:val="00650B9D"/>
    <w:rsid w:val="00650D41"/>
    <w:rsid w:val="00650FDD"/>
    <w:rsid w:val="00651071"/>
    <w:rsid w:val="006512C6"/>
    <w:rsid w:val="00651358"/>
    <w:rsid w:val="0065141C"/>
    <w:rsid w:val="0065170B"/>
    <w:rsid w:val="00652390"/>
    <w:rsid w:val="0065303D"/>
    <w:rsid w:val="0065411A"/>
    <w:rsid w:val="00654373"/>
    <w:rsid w:val="00654C10"/>
    <w:rsid w:val="00654DEA"/>
    <w:rsid w:val="006556AB"/>
    <w:rsid w:val="00655816"/>
    <w:rsid w:val="006558E9"/>
    <w:rsid w:val="00656390"/>
    <w:rsid w:val="006574DB"/>
    <w:rsid w:val="006578BF"/>
    <w:rsid w:val="00657A2B"/>
    <w:rsid w:val="00657A66"/>
    <w:rsid w:val="006610D7"/>
    <w:rsid w:val="00661898"/>
    <w:rsid w:val="00661950"/>
    <w:rsid w:val="0066199B"/>
    <w:rsid w:val="00661D11"/>
    <w:rsid w:val="00661DA6"/>
    <w:rsid w:val="006632A9"/>
    <w:rsid w:val="00663948"/>
    <w:rsid w:val="00665439"/>
    <w:rsid w:val="006659BF"/>
    <w:rsid w:val="00665FB0"/>
    <w:rsid w:val="006663A5"/>
    <w:rsid w:val="006666FA"/>
    <w:rsid w:val="006668A5"/>
    <w:rsid w:val="00666B81"/>
    <w:rsid w:val="00666E11"/>
    <w:rsid w:val="00666EE7"/>
    <w:rsid w:val="0066733F"/>
    <w:rsid w:val="00667388"/>
    <w:rsid w:val="006673EC"/>
    <w:rsid w:val="00670E57"/>
    <w:rsid w:val="00671091"/>
    <w:rsid w:val="00671144"/>
    <w:rsid w:val="00672386"/>
    <w:rsid w:val="00673300"/>
    <w:rsid w:val="0067364B"/>
    <w:rsid w:val="00674177"/>
    <w:rsid w:val="006745B2"/>
    <w:rsid w:val="0067465E"/>
    <w:rsid w:val="00674C2B"/>
    <w:rsid w:val="00675E58"/>
    <w:rsid w:val="00676605"/>
    <w:rsid w:val="00676ADF"/>
    <w:rsid w:val="00676F4C"/>
    <w:rsid w:val="006773A8"/>
    <w:rsid w:val="006774A1"/>
    <w:rsid w:val="00677B7C"/>
    <w:rsid w:val="006804FF"/>
    <w:rsid w:val="00681162"/>
    <w:rsid w:val="006818F5"/>
    <w:rsid w:val="006831E8"/>
    <w:rsid w:val="00683A86"/>
    <w:rsid w:val="00683BA7"/>
    <w:rsid w:val="00685463"/>
    <w:rsid w:val="00685A62"/>
    <w:rsid w:val="006868B7"/>
    <w:rsid w:val="0068704B"/>
    <w:rsid w:val="00687DFD"/>
    <w:rsid w:val="006902C0"/>
    <w:rsid w:val="00690633"/>
    <w:rsid w:val="0069139A"/>
    <w:rsid w:val="00692540"/>
    <w:rsid w:val="00692720"/>
    <w:rsid w:val="006931FF"/>
    <w:rsid w:val="00693EBD"/>
    <w:rsid w:val="00696DCC"/>
    <w:rsid w:val="00697243"/>
    <w:rsid w:val="00697CAE"/>
    <w:rsid w:val="006A0A6F"/>
    <w:rsid w:val="006A0BCE"/>
    <w:rsid w:val="006A21AB"/>
    <w:rsid w:val="006A3444"/>
    <w:rsid w:val="006A4230"/>
    <w:rsid w:val="006A4BCE"/>
    <w:rsid w:val="006A57B8"/>
    <w:rsid w:val="006A6038"/>
    <w:rsid w:val="006A7B81"/>
    <w:rsid w:val="006B05DD"/>
    <w:rsid w:val="006B0E48"/>
    <w:rsid w:val="006B16C7"/>
    <w:rsid w:val="006B16F6"/>
    <w:rsid w:val="006B2517"/>
    <w:rsid w:val="006B347A"/>
    <w:rsid w:val="006B39E0"/>
    <w:rsid w:val="006B421C"/>
    <w:rsid w:val="006B511A"/>
    <w:rsid w:val="006B5C52"/>
    <w:rsid w:val="006B637D"/>
    <w:rsid w:val="006B6A98"/>
    <w:rsid w:val="006B6CC6"/>
    <w:rsid w:val="006B6DBC"/>
    <w:rsid w:val="006B6EA1"/>
    <w:rsid w:val="006B7196"/>
    <w:rsid w:val="006B79B1"/>
    <w:rsid w:val="006C1405"/>
    <w:rsid w:val="006C14B1"/>
    <w:rsid w:val="006C25B3"/>
    <w:rsid w:val="006C27D3"/>
    <w:rsid w:val="006C29E9"/>
    <w:rsid w:val="006C3CD0"/>
    <w:rsid w:val="006C3DDC"/>
    <w:rsid w:val="006C420B"/>
    <w:rsid w:val="006C429F"/>
    <w:rsid w:val="006C45C3"/>
    <w:rsid w:val="006C4DD7"/>
    <w:rsid w:val="006C5387"/>
    <w:rsid w:val="006C53EE"/>
    <w:rsid w:val="006C5736"/>
    <w:rsid w:val="006C691B"/>
    <w:rsid w:val="006C762E"/>
    <w:rsid w:val="006D0B9F"/>
    <w:rsid w:val="006D0C60"/>
    <w:rsid w:val="006D0D50"/>
    <w:rsid w:val="006D129B"/>
    <w:rsid w:val="006D1475"/>
    <w:rsid w:val="006D229D"/>
    <w:rsid w:val="006D3DFD"/>
    <w:rsid w:val="006D43D0"/>
    <w:rsid w:val="006D5784"/>
    <w:rsid w:val="006D6610"/>
    <w:rsid w:val="006D689C"/>
    <w:rsid w:val="006E00B6"/>
    <w:rsid w:val="006E04C5"/>
    <w:rsid w:val="006E13CB"/>
    <w:rsid w:val="006E159A"/>
    <w:rsid w:val="006E211A"/>
    <w:rsid w:val="006E25C8"/>
    <w:rsid w:val="006E548A"/>
    <w:rsid w:val="006E5E25"/>
    <w:rsid w:val="006E65F5"/>
    <w:rsid w:val="006E74FB"/>
    <w:rsid w:val="006E7691"/>
    <w:rsid w:val="006E7BFD"/>
    <w:rsid w:val="006F0C12"/>
    <w:rsid w:val="006F157A"/>
    <w:rsid w:val="006F19BF"/>
    <w:rsid w:val="006F2996"/>
    <w:rsid w:val="006F2AD3"/>
    <w:rsid w:val="006F2DC7"/>
    <w:rsid w:val="006F3D5B"/>
    <w:rsid w:val="006F4F9A"/>
    <w:rsid w:val="006F6A29"/>
    <w:rsid w:val="006F7F1B"/>
    <w:rsid w:val="00701058"/>
    <w:rsid w:val="00703414"/>
    <w:rsid w:val="00704ADC"/>
    <w:rsid w:val="00705825"/>
    <w:rsid w:val="00706223"/>
    <w:rsid w:val="00706334"/>
    <w:rsid w:val="007063A9"/>
    <w:rsid w:val="00707375"/>
    <w:rsid w:val="00707631"/>
    <w:rsid w:val="007103C3"/>
    <w:rsid w:val="007104C7"/>
    <w:rsid w:val="00710BF9"/>
    <w:rsid w:val="00711226"/>
    <w:rsid w:val="0071146A"/>
    <w:rsid w:val="00712362"/>
    <w:rsid w:val="007139C1"/>
    <w:rsid w:val="00714E92"/>
    <w:rsid w:val="0071677F"/>
    <w:rsid w:val="00716B2F"/>
    <w:rsid w:val="00717CDF"/>
    <w:rsid w:val="00717EA0"/>
    <w:rsid w:val="00720A6B"/>
    <w:rsid w:val="00721269"/>
    <w:rsid w:val="00721C5B"/>
    <w:rsid w:val="007232C6"/>
    <w:rsid w:val="00723305"/>
    <w:rsid w:val="00723F66"/>
    <w:rsid w:val="00724F24"/>
    <w:rsid w:val="00725C13"/>
    <w:rsid w:val="00725FC9"/>
    <w:rsid w:val="0072600A"/>
    <w:rsid w:val="00726249"/>
    <w:rsid w:val="007266F4"/>
    <w:rsid w:val="007302D5"/>
    <w:rsid w:val="007310AD"/>
    <w:rsid w:val="007313F9"/>
    <w:rsid w:val="00732AAD"/>
    <w:rsid w:val="00732CFA"/>
    <w:rsid w:val="0073336F"/>
    <w:rsid w:val="0073377F"/>
    <w:rsid w:val="007341AE"/>
    <w:rsid w:val="007346B2"/>
    <w:rsid w:val="00734A43"/>
    <w:rsid w:val="00735E07"/>
    <w:rsid w:val="0073637D"/>
    <w:rsid w:val="007375B7"/>
    <w:rsid w:val="0074018E"/>
    <w:rsid w:val="00741457"/>
    <w:rsid w:val="00741BAF"/>
    <w:rsid w:val="00742BA7"/>
    <w:rsid w:val="00742C60"/>
    <w:rsid w:val="00743E51"/>
    <w:rsid w:val="007440A3"/>
    <w:rsid w:val="0074446D"/>
    <w:rsid w:val="00747D12"/>
    <w:rsid w:val="007505AA"/>
    <w:rsid w:val="00750A45"/>
    <w:rsid w:val="0075145F"/>
    <w:rsid w:val="00752E1E"/>
    <w:rsid w:val="00752FBF"/>
    <w:rsid w:val="0075320D"/>
    <w:rsid w:val="0075335D"/>
    <w:rsid w:val="00753ABE"/>
    <w:rsid w:val="007549E9"/>
    <w:rsid w:val="00755B2D"/>
    <w:rsid w:val="00755F19"/>
    <w:rsid w:val="00755F67"/>
    <w:rsid w:val="00756A7C"/>
    <w:rsid w:val="0076007F"/>
    <w:rsid w:val="00761051"/>
    <w:rsid w:val="0076163F"/>
    <w:rsid w:val="00762063"/>
    <w:rsid w:val="007623AA"/>
    <w:rsid w:val="0076330F"/>
    <w:rsid w:val="007639A4"/>
    <w:rsid w:val="00765788"/>
    <w:rsid w:val="007657E5"/>
    <w:rsid w:val="00765CA1"/>
    <w:rsid w:val="00766031"/>
    <w:rsid w:val="0076630C"/>
    <w:rsid w:val="007678CA"/>
    <w:rsid w:val="00767E98"/>
    <w:rsid w:val="0077074D"/>
    <w:rsid w:val="00770FC9"/>
    <w:rsid w:val="007711F9"/>
    <w:rsid w:val="007713F8"/>
    <w:rsid w:val="00771654"/>
    <w:rsid w:val="007717C9"/>
    <w:rsid w:val="00773A7E"/>
    <w:rsid w:val="00773EDD"/>
    <w:rsid w:val="00774D68"/>
    <w:rsid w:val="00775068"/>
    <w:rsid w:val="00775A8E"/>
    <w:rsid w:val="0077707E"/>
    <w:rsid w:val="00777189"/>
    <w:rsid w:val="00777D77"/>
    <w:rsid w:val="0078083B"/>
    <w:rsid w:val="007813CA"/>
    <w:rsid w:val="0078162F"/>
    <w:rsid w:val="007817EB"/>
    <w:rsid w:val="00781CA0"/>
    <w:rsid w:val="00782092"/>
    <w:rsid w:val="00782737"/>
    <w:rsid w:val="00783945"/>
    <w:rsid w:val="00784481"/>
    <w:rsid w:val="007847D1"/>
    <w:rsid w:val="00785840"/>
    <w:rsid w:val="007865D1"/>
    <w:rsid w:val="00786DBA"/>
    <w:rsid w:val="00786F66"/>
    <w:rsid w:val="007879AF"/>
    <w:rsid w:val="00790314"/>
    <w:rsid w:val="00790BDB"/>
    <w:rsid w:val="007915BA"/>
    <w:rsid w:val="00791B7D"/>
    <w:rsid w:val="0079212B"/>
    <w:rsid w:val="00792DAA"/>
    <w:rsid w:val="00793399"/>
    <w:rsid w:val="00793EC5"/>
    <w:rsid w:val="00794D4D"/>
    <w:rsid w:val="00794D96"/>
    <w:rsid w:val="0079508D"/>
    <w:rsid w:val="00795673"/>
    <w:rsid w:val="00795A44"/>
    <w:rsid w:val="0079681A"/>
    <w:rsid w:val="007968E7"/>
    <w:rsid w:val="00797778"/>
    <w:rsid w:val="00797AFB"/>
    <w:rsid w:val="00797B4B"/>
    <w:rsid w:val="007A2196"/>
    <w:rsid w:val="007A259C"/>
    <w:rsid w:val="007A3589"/>
    <w:rsid w:val="007A3636"/>
    <w:rsid w:val="007A4309"/>
    <w:rsid w:val="007A5587"/>
    <w:rsid w:val="007A563F"/>
    <w:rsid w:val="007A62D5"/>
    <w:rsid w:val="007A62F4"/>
    <w:rsid w:val="007A6807"/>
    <w:rsid w:val="007A6C7A"/>
    <w:rsid w:val="007A6E76"/>
    <w:rsid w:val="007A7709"/>
    <w:rsid w:val="007B0473"/>
    <w:rsid w:val="007B15E3"/>
    <w:rsid w:val="007B1BE5"/>
    <w:rsid w:val="007B1DA2"/>
    <w:rsid w:val="007B1EB5"/>
    <w:rsid w:val="007B3C2B"/>
    <w:rsid w:val="007B3EF0"/>
    <w:rsid w:val="007B4352"/>
    <w:rsid w:val="007B4BF9"/>
    <w:rsid w:val="007B506D"/>
    <w:rsid w:val="007B61B3"/>
    <w:rsid w:val="007B6519"/>
    <w:rsid w:val="007B6B8C"/>
    <w:rsid w:val="007B6F9C"/>
    <w:rsid w:val="007B72FE"/>
    <w:rsid w:val="007B76DA"/>
    <w:rsid w:val="007B7E5F"/>
    <w:rsid w:val="007C046D"/>
    <w:rsid w:val="007C0BE7"/>
    <w:rsid w:val="007C0C60"/>
    <w:rsid w:val="007C1210"/>
    <w:rsid w:val="007C1D08"/>
    <w:rsid w:val="007C2345"/>
    <w:rsid w:val="007C27F3"/>
    <w:rsid w:val="007C2BF8"/>
    <w:rsid w:val="007C34A8"/>
    <w:rsid w:val="007C4969"/>
    <w:rsid w:val="007C4997"/>
    <w:rsid w:val="007C54FB"/>
    <w:rsid w:val="007C5D58"/>
    <w:rsid w:val="007C62B5"/>
    <w:rsid w:val="007C63D1"/>
    <w:rsid w:val="007C6C3E"/>
    <w:rsid w:val="007C7D38"/>
    <w:rsid w:val="007D0657"/>
    <w:rsid w:val="007D1199"/>
    <w:rsid w:val="007D2B8E"/>
    <w:rsid w:val="007D3F6B"/>
    <w:rsid w:val="007D4215"/>
    <w:rsid w:val="007D45BF"/>
    <w:rsid w:val="007D576A"/>
    <w:rsid w:val="007D69DB"/>
    <w:rsid w:val="007D75D1"/>
    <w:rsid w:val="007D7730"/>
    <w:rsid w:val="007D784C"/>
    <w:rsid w:val="007D78FD"/>
    <w:rsid w:val="007E0B3F"/>
    <w:rsid w:val="007E0F38"/>
    <w:rsid w:val="007E1126"/>
    <w:rsid w:val="007E22D5"/>
    <w:rsid w:val="007E2998"/>
    <w:rsid w:val="007E335C"/>
    <w:rsid w:val="007E3642"/>
    <w:rsid w:val="007E37A5"/>
    <w:rsid w:val="007E442E"/>
    <w:rsid w:val="007E5055"/>
    <w:rsid w:val="007E5BE8"/>
    <w:rsid w:val="007E60FD"/>
    <w:rsid w:val="007E725B"/>
    <w:rsid w:val="007E741D"/>
    <w:rsid w:val="007E7C4A"/>
    <w:rsid w:val="007F20EB"/>
    <w:rsid w:val="007F414F"/>
    <w:rsid w:val="007F44CD"/>
    <w:rsid w:val="007F45C3"/>
    <w:rsid w:val="007F48AB"/>
    <w:rsid w:val="007F49D7"/>
    <w:rsid w:val="007F612D"/>
    <w:rsid w:val="007F6155"/>
    <w:rsid w:val="007F6B41"/>
    <w:rsid w:val="007F6F74"/>
    <w:rsid w:val="007F78BB"/>
    <w:rsid w:val="00801357"/>
    <w:rsid w:val="0080158F"/>
    <w:rsid w:val="00801D61"/>
    <w:rsid w:val="00801FA0"/>
    <w:rsid w:val="008044BB"/>
    <w:rsid w:val="00805C71"/>
    <w:rsid w:val="008064BE"/>
    <w:rsid w:val="0080650A"/>
    <w:rsid w:val="00806C70"/>
    <w:rsid w:val="00806FAD"/>
    <w:rsid w:val="0080763C"/>
    <w:rsid w:val="008079A0"/>
    <w:rsid w:val="008102B3"/>
    <w:rsid w:val="00811A44"/>
    <w:rsid w:val="00812EC1"/>
    <w:rsid w:val="0081318D"/>
    <w:rsid w:val="00813976"/>
    <w:rsid w:val="0081571E"/>
    <w:rsid w:val="00815738"/>
    <w:rsid w:val="00815747"/>
    <w:rsid w:val="00816A98"/>
    <w:rsid w:val="008170FE"/>
    <w:rsid w:val="00817B77"/>
    <w:rsid w:val="00817E19"/>
    <w:rsid w:val="008210E5"/>
    <w:rsid w:val="008225B6"/>
    <w:rsid w:val="008228B3"/>
    <w:rsid w:val="008245EE"/>
    <w:rsid w:val="00824A57"/>
    <w:rsid w:val="00824F3C"/>
    <w:rsid w:val="00825486"/>
    <w:rsid w:val="00825DB5"/>
    <w:rsid w:val="00825E0C"/>
    <w:rsid w:val="00826493"/>
    <w:rsid w:val="0082653B"/>
    <w:rsid w:val="008265C4"/>
    <w:rsid w:val="00826E3C"/>
    <w:rsid w:val="00827425"/>
    <w:rsid w:val="00827B1A"/>
    <w:rsid w:val="00827D37"/>
    <w:rsid w:val="0083162A"/>
    <w:rsid w:val="00831E5C"/>
    <w:rsid w:val="00833143"/>
    <w:rsid w:val="00833C25"/>
    <w:rsid w:val="00833D5F"/>
    <w:rsid w:val="008341B4"/>
    <w:rsid w:val="00835580"/>
    <w:rsid w:val="00836149"/>
    <w:rsid w:val="00836E02"/>
    <w:rsid w:val="00836E10"/>
    <w:rsid w:val="00837554"/>
    <w:rsid w:val="00840CFA"/>
    <w:rsid w:val="00841E4C"/>
    <w:rsid w:val="00842745"/>
    <w:rsid w:val="00843756"/>
    <w:rsid w:val="00843BEF"/>
    <w:rsid w:val="00844139"/>
    <w:rsid w:val="00844B8A"/>
    <w:rsid w:val="00847839"/>
    <w:rsid w:val="00850433"/>
    <w:rsid w:val="0085099D"/>
    <w:rsid w:val="00850EA8"/>
    <w:rsid w:val="0085230B"/>
    <w:rsid w:val="008525A2"/>
    <w:rsid w:val="00853BEA"/>
    <w:rsid w:val="0085438B"/>
    <w:rsid w:val="00856308"/>
    <w:rsid w:val="00856443"/>
    <w:rsid w:val="0085657F"/>
    <w:rsid w:val="00857630"/>
    <w:rsid w:val="00857749"/>
    <w:rsid w:val="008577BD"/>
    <w:rsid w:val="008577F4"/>
    <w:rsid w:val="008606D5"/>
    <w:rsid w:val="00861105"/>
    <w:rsid w:val="008619CD"/>
    <w:rsid w:val="00861A39"/>
    <w:rsid w:val="00862501"/>
    <w:rsid w:val="0086330F"/>
    <w:rsid w:val="0086399E"/>
    <w:rsid w:val="00864BD8"/>
    <w:rsid w:val="00865468"/>
    <w:rsid w:val="00865737"/>
    <w:rsid w:val="00867355"/>
    <w:rsid w:val="00870478"/>
    <w:rsid w:val="00871185"/>
    <w:rsid w:val="00871491"/>
    <w:rsid w:val="00871B29"/>
    <w:rsid w:val="0087288A"/>
    <w:rsid w:val="00872A8B"/>
    <w:rsid w:val="00873B9D"/>
    <w:rsid w:val="0087478C"/>
    <w:rsid w:val="00874CBC"/>
    <w:rsid w:val="00875828"/>
    <w:rsid w:val="008758C7"/>
    <w:rsid w:val="00875A22"/>
    <w:rsid w:val="0087639D"/>
    <w:rsid w:val="008766CD"/>
    <w:rsid w:val="00876848"/>
    <w:rsid w:val="0087755B"/>
    <w:rsid w:val="0087772C"/>
    <w:rsid w:val="0088073D"/>
    <w:rsid w:val="00880A8C"/>
    <w:rsid w:val="008827B0"/>
    <w:rsid w:val="00883CBA"/>
    <w:rsid w:val="00883E46"/>
    <w:rsid w:val="008842E3"/>
    <w:rsid w:val="00884598"/>
    <w:rsid w:val="008847FB"/>
    <w:rsid w:val="00884CC0"/>
    <w:rsid w:val="00884FCD"/>
    <w:rsid w:val="0088506D"/>
    <w:rsid w:val="00885202"/>
    <w:rsid w:val="00885F52"/>
    <w:rsid w:val="00886639"/>
    <w:rsid w:val="00886650"/>
    <w:rsid w:val="00886AD9"/>
    <w:rsid w:val="00886F42"/>
    <w:rsid w:val="00887228"/>
    <w:rsid w:val="00887A74"/>
    <w:rsid w:val="00887C17"/>
    <w:rsid w:val="008917AC"/>
    <w:rsid w:val="00891A7C"/>
    <w:rsid w:val="008924DD"/>
    <w:rsid w:val="008928E3"/>
    <w:rsid w:val="00893862"/>
    <w:rsid w:val="00894ACB"/>
    <w:rsid w:val="00894C74"/>
    <w:rsid w:val="00894C7D"/>
    <w:rsid w:val="008956C7"/>
    <w:rsid w:val="00895921"/>
    <w:rsid w:val="00895F50"/>
    <w:rsid w:val="0089713E"/>
    <w:rsid w:val="0089763D"/>
    <w:rsid w:val="00897920"/>
    <w:rsid w:val="00897B57"/>
    <w:rsid w:val="00897D76"/>
    <w:rsid w:val="008A0161"/>
    <w:rsid w:val="008A02D3"/>
    <w:rsid w:val="008A0969"/>
    <w:rsid w:val="008A0AAE"/>
    <w:rsid w:val="008A16DA"/>
    <w:rsid w:val="008A1FE2"/>
    <w:rsid w:val="008A2766"/>
    <w:rsid w:val="008A28AE"/>
    <w:rsid w:val="008A39D6"/>
    <w:rsid w:val="008A45D7"/>
    <w:rsid w:val="008A4CEE"/>
    <w:rsid w:val="008A5512"/>
    <w:rsid w:val="008A624A"/>
    <w:rsid w:val="008A6AF1"/>
    <w:rsid w:val="008A6D8B"/>
    <w:rsid w:val="008A7E24"/>
    <w:rsid w:val="008B2DDB"/>
    <w:rsid w:val="008B3347"/>
    <w:rsid w:val="008B3669"/>
    <w:rsid w:val="008B3D80"/>
    <w:rsid w:val="008B45C7"/>
    <w:rsid w:val="008B4FE4"/>
    <w:rsid w:val="008B7076"/>
    <w:rsid w:val="008B748E"/>
    <w:rsid w:val="008C0806"/>
    <w:rsid w:val="008C15ED"/>
    <w:rsid w:val="008C20E1"/>
    <w:rsid w:val="008C3EDE"/>
    <w:rsid w:val="008C4E1E"/>
    <w:rsid w:val="008C6071"/>
    <w:rsid w:val="008C63C7"/>
    <w:rsid w:val="008C6ACB"/>
    <w:rsid w:val="008D085D"/>
    <w:rsid w:val="008D0D86"/>
    <w:rsid w:val="008D26EF"/>
    <w:rsid w:val="008D36DC"/>
    <w:rsid w:val="008D41BD"/>
    <w:rsid w:val="008D4C7D"/>
    <w:rsid w:val="008D4FB3"/>
    <w:rsid w:val="008D51D0"/>
    <w:rsid w:val="008D5DEA"/>
    <w:rsid w:val="008D6779"/>
    <w:rsid w:val="008D6EF2"/>
    <w:rsid w:val="008D756A"/>
    <w:rsid w:val="008D76DE"/>
    <w:rsid w:val="008E02D5"/>
    <w:rsid w:val="008E0318"/>
    <w:rsid w:val="008E08DB"/>
    <w:rsid w:val="008E12E9"/>
    <w:rsid w:val="008E1926"/>
    <w:rsid w:val="008E1B7C"/>
    <w:rsid w:val="008E43B0"/>
    <w:rsid w:val="008E484D"/>
    <w:rsid w:val="008E6DF5"/>
    <w:rsid w:val="008E7432"/>
    <w:rsid w:val="008F0709"/>
    <w:rsid w:val="008F0A37"/>
    <w:rsid w:val="008F1243"/>
    <w:rsid w:val="008F1724"/>
    <w:rsid w:val="008F1CD9"/>
    <w:rsid w:val="008F1FAC"/>
    <w:rsid w:val="008F307E"/>
    <w:rsid w:val="008F3439"/>
    <w:rsid w:val="008F3526"/>
    <w:rsid w:val="008F48AA"/>
    <w:rsid w:val="008F5361"/>
    <w:rsid w:val="008F59E2"/>
    <w:rsid w:val="008F5DF9"/>
    <w:rsid w:val="008F66CE"/>
    <w:rsid w:val="008F67E8"/>
    <w:rsid w:val="008F731F"/>
    <w:rsid w:val="00900004"/>
    <w:rsid w:val="0090056A"/>
    <w:rsid w:val="00901292"/>
    <w:rsid w:val="00902D35"/>
    <w:rsid w:val="0090382B"/>
    <w:rsid w:val="0090464F"/>
    <w:rsid w:val="009048A4"/>
    <w:rsid w:val="00904A6A"/>
    <w:rsid w:val="009050A2"/>
    <w:rsid w:val="009059BF"/>
    <w:rsid w:val="00905D55"/>
    <w:rsid w:val="009069B7"/>
    <w:rsid w:val="00906CF0"/>
    <w:rsid w:val="00907234"/>
    <w:rsid w:val="00907689"/>
    <w:rsid w:val="00907C07"/>
    <w:rsid w:val="009111B6"/>
    <w:rsid w:val="00911F82"/>
    <w:rsid w:val="009129AC"/>
    <w:rsid w:val="00912CF7"/>
    <w:rsid w:val="0091300F"/>
    <w:rsid w:val="009132D9"/>
    <w:rsid w:val="009133E0"/>
    <w:rsid w:val="00913AF8"/>
    <w:rsid w:val="00913E08"/>
    <w:rsid w:val="00914F52"/>
    <w:rsid w:val="00915A74"/>
    <w:rsid w:val="00916749"/>
    <w:rsid w:val="0091682D"/>
    <w:rsid w:val="00916AEE"/>
    <w:rsid w:val="009170A8"/>
    <w:rsid w:val="00917168"/>
    <w:rsid w:val="0091740C"/>
    <w:rsid w:val="009201B8"/>
    <w:rsid w:val="009201EC"/>
    <w:rsid w:val="00920442"/>
    <w:rsid w:val="00920B66"/>
    <w:rsid w:val="00922390"/>
    <w:rsid w:val="009224EC"/>
    <w:rsid w:val="009236A0"/>
    <w:rsid w:val="009237E1"/>
    <w:rsid w:val="00923B95"/>
    <w:rsid w:val="009240E2"/>
    <w:rsid w:val="00924B46"/>
    <w:rsid w:val="00924D05"/>
    <w:rsid w:val="00926043"/>
    <w:rsid w:val="00926B7F"/>
    <w:rsid w:val="00930444"/>
    <w:rsid w:val="0093138C"/>
    <w:rsid w:val="00931C5B"/>
    <w:rsid w:val="00931F5C"/>
    <w:rsid w:val="00931F99"/>
    <w:rsid w:val="0093225D"/>
    <w:rsid w:val="009329C3"/>
    <w:rsid w:val="00932C55"/>
    <w:rsid w:val="009337AF"/>
    <w:rsid w:val="00933D50"/>
    <w:rsid w:val="00933E8C"/>
    <w:rsid w:val="00933F21"/>
    <w:rsid w:val="00934315"/>
    <w:rsid w:val="00934727"/>
    <w:rsid w:val="009352DD"/>
    <w:rsid w:val="00935EE5"/>
    <w:rsid w:val="00935F50"/>
    <w:rsid w:val="00936380"/>
    <w:rsid w:val="00941042"/>
    <w:rsid w:val="0094108B"/>
    <w:rsid w:val="009430AF"/>
    <w:rsid w:val="00943188"/>
    <w:rsid w:val="00943BFD"/>
    <w:rsid w:val="00944680"/>
    <w:rsid w:val="00945537"/>
    <w:rsid w:val="0094562C"/>
    <w:rsid w:val="00945714"/>
    <w:rsid w:val="00945C2C"/>
    <w:rsid w:val="009460DB"/>
    <w:rsid w:val="00947507"/>
    <w:rsid w:val="00947E1B"/>
    <w:rsid w:val="0095119B"/>
    <w:rsid w:val="00951866"/>
    <w:rsid w:val="009518C1"/>
    <w:rsid w:val="009520CF"/>
    <w:rsid w:val="00953213"/>
    <w:rsid w:val="00954493"/>
    <w:rsid w:val="009549E1"/>
    <w:rsid w:val="00954C95"/>
    <w:rsid w:val="00954D39"/>
    <w:rsid w:val="00954D4E"/>
    <w:rsid w:val="00954EB3"/>
    <w:rsid w:val="009556F8"/>
    <w:rsid w:val="0095592B"/>
    <w:rsid w:val="00955B07"/>
    <w:rsid w:val="00956086"/>
    <w:rsid w:val="0095611B"/>
    <w:rsid w:val="00956CF4"/>
    <w:rsid w:val="0096006B"/>
    <w:rsid w:val="00960FEC"/>
    <w:rsid w:val="0096103F"/>
    <w:rsid w:val="00961D5A"/>
    <w:rsid w:val="009621E7"/>
    <w:rsid w:val="009623E3"/>
    <w:rsid w:val="00963DDB"/>
    <w:rsid w:val="00964E9B"/>
    <w:rsid w:val="00965668"/>
    <w:rsid w:val="0096587C"/>
    <w:rsid w:val="00965ACD"/>
    <w:rsid w:val="00965D72"/>
    <w:rsid w:val="00965DCF"/>
    <w:rsid w:val="009661BD"/>
    <w:rsid w:val="00966A78"/>
    <w:rsid w:val="00966D06"/>
    <w:rsid w:val="00966EE2"/>
    <w:rsid w:val="00967C05"/>
    <w:rsid w:val="00970FD0"/>
    <w:rsid w:val="009710BB"/>
    <w:rsid w:val="009713B9"/>
    <w:rsid w:val="00971750"/>
    <w:rsid w:val="00972B55"/>
    <w:rsid w:val="00972FF9"/>
    <w:rsid w:val="009740E6"/>
    <w:rsid w:val="00974681"/>
    <w:rsid w:val="0097490D"/>
    <w:rsid w:val="00974D64"/>
    <w:rsid w:val="009766DC"/>
    <w:rsid w:val="00976778"/>
    <w:rsid w:val="00976C61"/>
    <w:rsid w:val="00981114"/>
    <w:rsid w:val="0098294D"/>
    <w:rsid w:val="009838EC"/>
    <w:rsid w:val="00983AEA"/>
    <w:rsid w:val="00984C37"/>
    <w:rsid w:val="00984D12"/>
    <w:rsid w:val="00986140"/>
    <w:rsid w:val="009865E0"/>
    <w:rsid w:val="00986739"/>
    <w:rsid w:val="00986CE5"/>
    <w:rsid w:val="00987A84"/>
    <w:rsid w:val="009906DB"/>
    <w:rsid w:val="00991CD3"/>
    <w:rsid w:val="00992656"/>
    <w:rsid w:val="009928D5"/>
    <w:rsid w:val="00992CE8"/>
    <w:rsid w:val="00992F13"/>
    <w:rsid w:val="009936E8"/>
    <w:rsid w:val="0099376D"/>
    <w:rsid w:val="009938C4"/>
    <w:rsid w:val="00993D3F"/>
    <w:rsid w:val="00994348"/>
    <w:rsid w:val="009943DC"/>
    <w:rsid w:val="0099507D"/>
    <w:rsid w:val="00996695"/>
    <w:rsid w:val="00996BE1"/>
    <w:rsid w:val="00997E85"/>
    <w:rsid w:val="009A1071"/>
    <w:rsid w:val="009A110C"/>
    <w:rsid w:val="009A1DAB"/>
    <w:rsid w:val="009A22CF"/>
    <w:rsid w:val="009A24E7"/>
    <w:rsid w:val="009A35C8"/>
    <w:rsid w:val="009A56FE"/>
    <w:rsid w:val="009A5858"/>
    <w:rsid w:val="009A5919"/>
    <w:rsid w:val="009A5BCE"/>
    <w:rsid w:val="009A6308"/>
    <w:rsid w:val="009A644B"/>
    <w:rsid w:val="009A6E66"/>
    <w:rsid w:val="009B01DE"/>
    <w:rsid w:val="009B0F3E"/>
    <w:rsid w:val="009B175E"/>
    <w:rsid w:val="009B1C51"/>
    <w:rsid w:val="009B1F40"/>
    <w:rsid w:val="009B21F0"/>
    <w:rsid w:val="009B24A9"/>
    <w:rsid w:val="009B2AD4"/>
    <w:rsid w:val="009B2C18"/>
    <w:rsid w:val="009B2E81"/>
    <w:rsid w:val="009B3095"/>
    <w:rsid w:val="009B337C"/>
    <w:rsid w:val="009B72B3"/>
    <w:rsid w:val="009B76A2"/>
    <w:rsid w:val="009C0939"/>
    <w:rsid w:val="009C1DC4"/>
    <w:rsid w:val="009C31CC"/>
    <w:rsid w:val="009C3474"/>
    <w:rsid w:val="009C3C1B"/>
    <w:rsid w:val="009C67FE"/>
    <w:rsid w:val="009C73D0"/>
    <w:rsid w:val="009C7473"/>
    <w:rsid w:val="009C7CB3"/>
    <w:rsid w:val="009D0D46"/>
    <w:rsid w:val="009D1BA1"/>
    <w:rsid w:val="009D1E6C"/>
    <w:rsid w:val="009D441E"/>
    <w:rsid w:val="009D693E"/>
    <w:rsid w:val="009D6A20"/>
    <w:rsid w:val="009E0DB2"/>
    <w:rsid w:val="009E2768"/>
    <w:rsid w:val="009E3055"/>
    <w:rsid w:val="009E339E"/>
    <w:rsid w:val="009E378A"/>
    <w:rsid w:val="009E37AD"/>
    <w:rsid w:val="009E3C7B"/>
    <w:rsid w:val="009E3C95"/>
    <w:rsid w:val="009E3D29"/>
    <w:rsid w:val="009E3FFF"/>
    <w:rsid w:val="009E428A"/>
    <w:rsid w:val="009E4472"/>
    <w:rsid w:val="009E6FED"/>
    <w:rsid w:val="009F0110"/>
    <w:rsid w:val="009F0298"/>
    <w:rsid w:val="009F0459"/>
    <w:rsid w:val="009F06D6"/>
    <w:rsid w:val="009F07DF"/>
    <w:rsid w:val="009F09B6"/>
    <w:rsid w:val="009F0D2A"/>
    <w:rsid w:val="009F12B8"/>
    <w:rsid w:val="009F1975"/>
    <w:rsid w:val="009F24D5"/>
    <w:rsid w:val="009F282A"/>
    <w:rsid w:val="009F360D"/>
    <w:rsid w:val="009F3AAF"/>
    <w:rsid w:val="009F44E4"/>
    <w:rsid w:val="009F4512"/>
    <w:rsid w:val="009F550B"/>
    <w:rsid w:val="009F597B"/>
    <w:rsid w:val="009F7063"/>
    <w:rsid w:val="00A0079A"/>
    <w:rsid w:val="00A016B3"/>
    <w:rsid w:val="00A01921"/>
    <w:rsid w:val="00A01999"/>
    <w:rsid w:val="00A01BD6"/>
    <w:rsid w:val="00A034F7"/>
    <w:rsid w:val="00A03FB6"/>
    <w:rsid w:val="00A054D5"/>
    <w:rsid w:val="00A06453"/>
    <w:rsid w:val="00A06504"/>
    <w:rsid w:val="00A0716F"/>
    <w:rsid w:val="00A101CE"/>
    <w:rsid w:val="00A10BE7"/>
    <w:rsid w:val="00A11571"/>
    <w:rsid w:val="00A11E7E"/>
    <w:rsid w:val="00A11FEB"/>
    <w:rsid w:val="00A12238"/>
    <w:rsid w:val="00A132E9"/>
    <w:rsid w:val="00A13FD9"/>
    <w:rsid w:val="00A140D5"/>
    <w:rsid w:val="00A14965"/>
    <w:rsid w:val="00A16399"/>
    <w:rsid w:val="00A20838"/>
    <w:rsid w:val="00A20C3C"/>
    <w:rsid w:val="00A22183"/>
    <w:rsid w:val="00A23432"/>
    <w:rsid w:val="00A2367C"/>
    <w:rsid w:val="00A24A4B"/>
    <w:rsid w:val="00A24E30"/>
    <w:rsid w:val="00A26904"/>
    <w:rsid w:val="00A276F6"/>
    <w:rsid w:val="00A27CB5"/>
    <w:rsid w:val="00A302E7"/>
    <w:rsid w:val="00A30351"/>
    <w:rsid w:val="00A309A1"/>
    <w:rsid w:val="00A31C12"/>
    <w:rsid w:val="00A327C5"/>
    <w:rsid w:val="00A329EF"/>
    <w:rsid w:val="00A32E71"/>
    <w:rsid w:val="00A32F10"/>
    <w:rsid w:val="00A33026"/>
    <w:rsid w:val="00A3338F"/>
    <w:rsid w:val="00A346D1"/>
    <w:rsid w:val="00A34EA0"/>
    <w:rsid w:val="00A34F29"/>
    <w:rsid w:val="00A35244"/>
    <w:rsid w:val="00A357DA"/>
    <w:rsid w:val="00A358D8"/>
    <w:rsid w:val="00A3624D"/>
    <w:rsid w:val="00A36C8D"/>
    <w:rsid w:val="00A373B1"/>
    <w:rsid w:val="00A37F72"/>
    <w:rsid w:val="00A37FD1"/>
    <w:rsid w:val="00A4126F"/>
    <w:rsid w:val="00A412A6"/>
    <w:rsid w:val="00A4131C"/>
    <w:rsid w:val="00A41728"/>
    <w:rsid w:val="00A41E1B"/>
    <w:rsid w:val="00A42247"/>
    <w:rsid w:val="00A42AB3"/>
    <w:rsid w:val="00A42C56"/>
    <w:rsid w:val="00A4329E"/>
    <w:rsid w:val="00A43A11"/>
    <w:rsid w:val="00A43AFF"/>
    <w:rsid w:val="00A44132"/>
    <w:rsid w:val="00A445D7"/>
    <w:rsid w:val="00A44FEA"/>
    <w:rsid w:val="00A454B8"/>
    <w:rsid w:val="00A45631"/>
    <w:rsid w:val="00A45834"/>
    <w:rsid w:val="00A45F88"/>
    <w:rsid w:val="00A46420"/>
    <w:rsid w:val="00A47642"/>
    <w:rsid w:val="00A47F2A"/>
    <w:rsid w:val="00A50E09"/>
    <w:rsid w:val="00A527EC"/>
    <w:rsid w:val="00A52807"/>
    <w:rsid w:val="00A528FE"/>
    <w:rsid w:val="00A5442C"/>
    <w:rsid w:val="00A55AA3"/>
    <w:rsid w:val="00A56F26"/>
    <w:rsid w:val="00A57228"/>
    <w:rsid w:val="00A6017F"/>
    <w:rsid w:val="00A61641"/>
    <w:rsid w:val="00A61A42"/>
    <w:rsid w:val="00A61B0B"/>
    <w:rsid w:val="00A6205E"/>
    <w:rsid w:val="00A6226F"/>
    <w:rsid w:val="00A632E4"/>
    <w:rsid w:val="00A638C4"/>
    <w:rsid w:val="00A641A3"/>
    <w:rsid w:val="00A64F7D"/>
    <w:rsid w:val="00A66AA9"/>
    <w:rsid w:val="00A66B3A"/>
    <w:rsid w:val="00A6774B"/>
    <w:rsid w:val="00A67898"/>
    <w:rsid w:val="00A67C06"/>
    <w:rsid w:val="00A714D4"/>
    <w:rsid w:val="00A717CF"/>
    <w:rsid w:val="00A71877"/>
    <w:rsid w:val="00A720D0"/>
    <w:rsid w:val="00A723E9"/>
    <w:rsid w:val="00A725AA"/>
    <w:rsid w:val="00A7274A"/>
    <w:rsid w:val="00A74631"/>
    <w:rsid w:val="00A74D9C"/>
    <w:rsid w:val="00A76025"/>
    <w:rsid w:val="00A76400"/>
    <w:rsid w:val="00A76835"/>
    <w:rsid w:val="00A769F7"/>
    <w:rsid w:val="00A76EA6"/>
    <w:rsid w:val="00A77584"/>
    <w:rsid w:val="00A777E6"/>
    <w:rsid w:val="00A80C7E"/>
    <w:rsid w:val="00A81889"/>
    <w:rsid w:val="00A818B9"/>
    <w:rsid w:val="00A81BFE"/>
    <w:rsid w:val="00A8388A"/>
    <w:rsid w:val="00A84992"/>
    <w:rsid w:val="00A84F72"/>
    <w:rsid w:val="00A8503A"/>
    <w:rsid w:val="00A8531D"/>
    <w:rsid w:val="00A85BE4"/>
    <w:rsid w:val="00A86245"/>
    <w:rsid w:val="00A86A3C"/>
    <w:rsid w:val="00A86FC3"/>
    <w:rsid w:val="00A86FC6"/>
    <w:rsid w:val="00A90264"/>
    <w:rsid w:val="00A90659"/>
    <w:rsid w:val="00A9185B"/>
    <w:rsid w:val="00A92081"/>
    <w:rsid w:val="00A93320"/>
    <w:rsid w:val="00A94363"/>
    <w:rsid w:val="00A9441F"/>
    <w:rsid w:val="00A9449E"/>
    <w:rsid w:val="00A944F9"/>
    <w:rsid w:val="00A94882"/>
    <w:rsid w:val="00A964E0"/>
    <w:rsid w:val="00AA06F5"/>
    <w:rsid w:val="00AA0DFD"/>
    <w:rsid w:val="00AA1819"/>
    <w:rsid w:val="00AA1EE9"/>
    <w:rsid w:val="00AA2524"/>
    <w:rsid w:val="00AA290E"/>
    <w:rsid w:val="00AA39E5"/>
    <w:rsid w:val="00AA3AC7"/>
    <w:rsid w:val="00AA3BEA"/>
    <w:rsid w:val="00AA459F"/>
    <w:rsid w:val="00AA4B46"/>
    <w:rsid w:val="00AA569B"/>
    <w:rsid w:val="00AA6073"/>
    <w:rsid w:val="00AA6403"/>
    <w:rsid w:val="00AA6647"/>
    <w:rsid w:val="00AA6A10"/>
    <w:rsid w:val="00AA72A5"/>
    <w:rsid w:val="00AB0218"/>
    <w:rsid w:val="00AB20E6"/>
    <w:rsid w:val="00AB2342"/>
    <w:rsid w:val="00AB2C15"/>
    <w:rsid w:val="00AB311F"/>
    <w:rsid w:val="00AB3953"/>
    <w:rsid w:val="00AB3ED2"/>
    <w:rsid w:val="00AB3F69"/>
    <w:rsid w:val="00AB4CCA"/>
    <w:rsid w:val="00AB59A7"/>
    <w:rsid w:val="00AB5DCE"/>
    <w:rsid w:val="00AB64FE"/>
    <w:rsid w:val="00AB6C68"/>
    <w:rsid w:val="00AC0020"/>
    <w:rsid w:val="00AC010D"/>
    <w:rsid w:val="00AC03FE"/>
    <w:rsid w:val="00AC1EA2"/>
    <w:rsid w:val="00AC202B"/>
    <w:rsid w:val="00AC302F"/>
    <w:rsid w:val="00AC3E0B"/>
    <w:rsid w:val="00AC4A45"/>
    <w:rsid w:val="00AC4DC0"/>
    <w:rsid w:val="00AC4E00"/>
    <w:rsid w:val="00AC5478"/>
    <w:rsid w:val="00AC5643"/>
    <w:rsid w:val="00AC608B"/>
    <w:rsid w:val="00AC60DC"/>
    <w:rsid w:val="00AC64CD"/>
    <w:rsid w:val="00AC6A56"/>
    <w:rsid w:val="00AC6B18"/>
    <w:rsid w:val="00AC6F92"/>
    <w:rsid w:val="00AC7B1C"/>
    <w:rsid w:val="00AD0801"/>
    <w:rsid w:val="00AD0ACE"/>
    <w:rsid w:val="00AD218A"/>
    <w:rsid w:val="00AD2C75"/>
    <w:rsid w:val="00AD38F9"/>
    <w:rsid w:val="00AD44AB"/>
    <w:rsid w:val="00AD588D"/>
    <w:rsid w:val="00AD5B49"/>
    <w:rsid w:val="00AD6D4F"/>
    <w:rsid w:val="00AD6E46"/>
    <w:rsid w:val="00AD6F4B"/>
    <w:rsid w:val="00AD78BF"/>
    <w:rsid w:val="00AD79F4"/>
    <w:rsid w:val="00AE077D"/>
    <w:rsid w:val="00AE14A7"/>
    <w:rsid w:val="00AE1DF5"/>
    <w:rsid w:val="00AE2440"/>
    <w:rsid w:val="00AE374F"/>
    <w:rsid w:val="00AE3E39"/>
    <w:rsid w:val="00AE4915"/>
    <w:rsid w:val="00AE4B7A"/>
    <w:rsid w:val="00AE57EC"/>
    <w:rsid w:val="00AE5B7D"/>
    <w:rsid w:val="00AE6A07"/>
    <w:rsid w:val="00AE716D"/>
    <w:rsid w:val="00AE7C6B"/>
    <w:rsid w:val="00AF2A19"/>
    <w:rsid w:val="00AF2D90"/>
    <w:rsid w:val="00AF3C80"/>
    <w:rsid w:val="00AF3CE5"/>
    <w:rsid w:val="00AF4B69"/>
    <w:rsid w:val="00AF4D0F"/>
    <w:rsid w:val="00AF523A"/>
    <w:rsid w:val="00AF5FDB"/>
    <w:rsid w:val="00AF62DD"/>
    <w:rsid w:val="00AF6300"/>
    <w:rsid w:val="00AF6D4E"/>
    <w:rsid w:val="00AF7796"/>
    <w:rsid w:val="00AF792C"/>
    <w:rsid w:val="00AF7E43"/>
    <w:rsid w:val="00B00677"/>
    <w:rsid w:val="00B00E53"/>
    <w:rsid w:val="00B01320"/>
    <w:rsid w:val="00B019EB"/>
    <w:rsid w:val="00B01E14"/>
    <w:rsid w:val="00B020F2"/>
    <w:rsid w:val="00B025D6"/>
    <w:rsid w:val="00B0610A"/>
    <w:rsid w:val="00B063AB"/>
    <w:rsid w:val="00B069F5"/>
    <w:rsid w:val="00B07332"/>
    <w:rsid w:val="00B0749F"/>
    <w:rsid w:val="00B07D98"/>
    <w:rsid w:val="00B10467"/>
    <w:rsid w:val="00B109F3"/>
    <w:rsid w:val="00B12128"/>
    <w:rsid w:val="00B124F6"/>
    <w:rsid w:val="00B1598D"/>
    <w:rsid w:val="00B16E12"/>
    <w:rsid w:val="00B17244"/>
    <w:rsid w:val="00B17530"/>
    <w:rsid w:val="00B20053"/>
    <w:rsid w:val="00B20559"/>
    <w:rsid w:val="00B2192D"/>
    <w:rsid w:val="00B22550"/>
    <w:rsid w:val="00B23AEE"/>
    <w:rsid w:val="00B242C3"/>
    <w:rsid w:val="00B25449"/>
    <w:rsid w:val="00B2668C"/>
    <w:rsid w:val="00B26FEB"/>
    <w:rsid w:val="00B3004A"/>
    <w:rsid w:val="00B3212F"/>
    <w:rsid w:val="00B32AFB"/>
    <w:rsid w:val="00B32B3C"/>
    <w:rsid w:val="00B338B7"/>
    <w:rsid w:val="00B34598"/>
    <w:rsid w:val="00B3558D"/>
    <w:rsid w:val="00B36B30"/>
    <w:rsid w:val="00B36EB8"/>
    <w:rsid w:val="00B3725D"/>
    <w:rsid w:val="00B37DF9"/>
    <w:rsid w:val="00B400A7"/>
    <w:rsid w:val="00B40A4E"/>
    <w:rsid w:val="00B41950"/>
    <w:rsid w:val="00B41D24"/>
    <w:rsid w:val="00B41F13"/>
    <w:rsid w:val="00B46D23"/>
    <w:rsid w:val="00B46F37"/>
    <w:rsid w:val="00B47178"/>
    <w:rsid w:val="00B4771B"/>
    <w:rsid w:val="00B47ECE"/>
    <w:rsid w:val="00B500C5"/>
    <w:rsid w:val="00B502CD"/>
    <w:rsid w:val="00B504A5"/>
    <w:rsid w:val="00B51132"/>
    <w:rsid w:val="00B517FA"/>
    <w:rsid w:val="00B51E09"/>
    <w:rsid w:val="00B52095"/>
    <w:rsid w:val="00B522BF"/>
    <w:rsid w:val="00B52F14"/>
    <w:rsid w:val="00B53551"/>
    <w:rsid w:val="00B53ECB"/>
    <w:rsid w:val="00B547FD"/>
    <w:rsid w:val="00B55D47"/>
    <w:rsid w:val="00B578B3"/>
    <w:rsid w:val="00B60447"/>
    <w:rsid w:val="00B60B9E"/>
    <w:rsid w:val="00B60E08"/>
    <w:rsid w:val="00B628AD"/>
    <w:rsid w:val="00B62D01"/>
    <w:rsid w:val="00B6333B"/>
    <w:rsid w:val="00B64A2E"/>
    <w:rsid w:val="00B64F8C"/>
    <w:rsid w:val="00B652F7"/>
    <w:rsid w:val="00B6543B"/>
    <w:rsid w:val="00B65A2F"/>
    <w:rsid w:val="00B65A46"/>
    <w:rsid w:val="00B65EF2"/>
    <w:rsid w:val="00B66CBB"/>
    <w:rsid w:val="00B6706B"/>
    <w:rsid w:val="00B670E3"/>
    <w:rsid w:val="00B6735D"/>
    <w:rsid w:val="00B675AD"/>
    <w:rsid w:val="00B67A92"/>
    <w:rsid w:val="00B707CE"/>
    <w:rsid w:val="00B7109E"/>
    <w:rsid w:val="00B7129A"/>
    <w:rsid w:val="00B714C9"/>
    <w:rsid w:val="00B716BC"/>
    <w:rsid w:val="00B71D81"/>
    <w:rsid w:val="00B72163"/>
    <w:rsid w:val="00B727CA"/>
    <w:rsid w:val="00B72C27"/>
    <w:rsid w:val="00B737BC"/>
    <w:rsid w:val="00B73BE6"/>
    <w:rsid w:val="00B73D71"/>
    <w:rsid w:val="00B74351"/>
    <w:rsid w:val="00B74A00"/>
    <w:rsid w:val="00B76043"/>
    <w:rsid w:val="00B7644F"/>
    <w:rsid w:val="00B767EE"/>
    <w:rsid w:val="00B776F4"/>
    <w:rsid w:val="00B77A13"/>
    <w:rsid w:val="00B80FF7"/>
    <w:rsid w:val="00B813D9"/>
    <w:rsid w:val="00B81D6C"/>
    <w:rsid w:val="00B825DD"/>
    <w:rsid w:val="00B8299B"/>
    <w:rsid w:val="00B82AFD"/>
    <w:rsid w:val="00B82B2C"/>
    <w:rsid w:val="00B82F46"/>
    <w:rsid w:val="00B8409D"/>
    <w:rsid w:val="00B84E0F"/>
    <w:rsid w:val="00B84ED3"/>
    <w:rsid w:val="00B85982"/>
    <w:rsid w:val="00B85B2C"/>
    <w:rsid w:val="00B85CB2"/>
    <w:rsid w:val="00B87C1F"/>
    <w:rsid w:val="00B8DF4E"/>
    <w:rsid w:val="00B906D2"/>
    <w:rsid w:val="00B90B1A"/>
    <w:rsid w:val="00B9153B"/>
    <w:rsid w:val="00B91690"/>
    <w:rsid w:val="00B91B5B"/>
    <w:rsid w:val="00B91F5B"/>
    <w:rsid w:val="00B92B5E"/>
    <w:rsid w:val="00B92E92"/>
    <w:rsid w:val="00B93025"/>
    <w:rsid w:val="00B945D7"/>
    <w:rsid w:val="00B955A2"/>
    <w:rsid w:val="00B95749"/>
    <w:rsid w:val="00B96B25"/>
    <w:rsid w:val="00B97873"/>
    <w:rsid w:val="00BA02E8"/>
    <w:rsid w:val="00BA04C4"/>
    <w:rsid w:val="00BA04F8"/>
    <w:rsid w:val="00BA0579"/>
    <w:rsid w:val="00BA0646"/>
    <w:rsid w:val="00BA132E"/>
    <w:rsid w:val="00BA17A9"/>
    <w:rsid w:val="00BA193C"/>
    <w:rsid w:val="00BA1FFD"/>
    <w:rsid w:val="00BA25F1"/>
    <w:rsid w:val="00BA3B21"/>
    <w:rsid w:val="00BA4081"/>
    <w:rsid w:val="00BA5605"/>
    <w:rsid w:val="00BA584E"/>
    <w:rsid w:val="00BA5E06"/>
    <w:rsid w:val="00BA67B4"/>
    <w:rsid w:val="00BA72B8"/>
    <w:rsid w:val="00BA73B0"/>
    <w:rsid w:val="00BB12DE"/>
    <w:rsid w:val="00BB17D5"/>
    <w:rsid w:val="00BB33F6"/>
    <w:rsid w:val="00BB3981"/>
    <w:rsid w:val="00BB4711"/>
    <w:rsid w:val="00BB4904"/>
    <w:rsid w:val="00BB50D9"/>
    <w:rsid w:val="00BB6CB4"/>
    <w:rsid w:val="00BB6D14"/>
    <w:rsid w:val="00BB7939"/>
    <w:rsid w:val="00BB796B"/>
    <w:rsid w:val="00BB7A32"/>
    <w:rsid w:val="00BC0795"/>
    <w:rsid w:val="00BC14E0"/>
    <w:rsid w:val="00BC1A12"/>
    <w:rsid w:val="00BC1B81"/>
    <w:rsid w:val="00BC2036"/>
    <w:rsid w:val="00BC2FA1"/>
    <w:rsid w:val="00BC31AE"/>
    <w:rsid w:val="00BC32C3"/>
    <w:rsid w:val="00BC3D19"/>
    <w:rsid w:val="00BC404C"/>
    <w:rsid w:val="00BC51B7"/>
    <w:rsid w:val="00BC549B"/>
    <w:rsid w:val="00BC5EAB"/>
    <w:rsid w:val="00BC730A"/>
    <w:rsid w:val="00BC7905"/>
    <w:rsid w:val="00BD0D97"/>
    <w:rsid w:val="00BD0F32"/>
    <w:rsid w:val="00BD0F87"/>
    <w:rsid w:val="00BD19D3"/>
    <w:rsid w:val="00BD1A21"/>
    <w:rsid w:val="00BD1EDC"/>
    <w:rsid w:val="00BD2B3C"/>
    <w:rsid w:val="00BD3279"/>
    <w:rsid w:val="00BD381C"/>
    <w:rsid w:val="00BD38DC"/>
    <w:rsid w:val="00BD39C9"/>
    <w:rsid w:val="00BD41F5"/>
    <w:rsid w:val="00BD4510"/>
    <w:rsid w:val="00BD48CD"/>
    <w:rsid w:val="00BD56BB"/>
    <w:rsid w:val="00BD5BE5"/>
    <w:rsid w:val="00BD5C9C"/>
    <w:rsid w:val="00BD6221"/>
    <w:rsid w:val="00BD71F9"/>
    <w:rsid w:val="00BD7CB2"/>
    <w:rsid w:val="00BD7EBB"/>
    <w:rsid w:val="00BE001E"/>
    <w:rsid w:val="00BE2F1D"/>
    <w:rsid w:val="00BE4A52"/>
    <w:rsid w:val="00BE6BE0"/>
    <w:rsid w:val="00BE6E62"/>
    <w:rsid w:val="00BE7084"/>
    <w:rsid w:val="00BE7E7B"/>
    <w:rsid w:val="00BF188D"/>
    <w:rsid w:val="00BF1BEA"/>
    <w:rsid w:val="00BF2424"/>
    <w:rsid w:val="00BF27B1"/>
    <w:rsid w:val="00BF2C69"/>
    <w:rsid w:val="00BF3207"/>
    <w:rsid w:val="00BF414F"/>
    <w:rsid w:val="00BF4988"/>
    <w:rsid w:val="00BF4A3E"/>
    <w:rsid w:val="00BF57AC"/>
    <w:rsid w:val="00BF5F0D"/>
    <w:rsid w:val="00BF6246"/>
    <w:rsid w:val="00BF780F"/>
    <w:rsid w:val="00BF7FD7"/>
    <w:rsid w:val="00C01831"/>
    <w:rsid w:val="00C02D49"/>
    <w:rsid w:val="00C04014"/>
    <w:rsid w:val="00C04428"/>
    <w:rsid w:val="00C046E0"/>
    <w:rsid w:val="00C05EE5"/>
    <w:rsid w:val="00C06DED"/>
    <w:rsid w:val="00C06F26"/>
    <w:rsid w:val="00C07278"/>
    <w:rsid w:val="00C07DBD"/>
    <w:rsid w:val="00C15ADA"/>
    <w:rsid w:val="00C16358"/>
    <w:rsid w:val="00C16B58"/>
    <w:rsid w:val="00C20193"/>
    <w:rsid w:val="00C20859"/>
    <w:rsid w:val="00C20941"/>
    <w:rsid w:val="00C21589"/>
    <w:rsid w:val="00C216AF"/>
    <w:rsid w:val="00C21AD7"/>
    <w:rsid w:val="00C21F89"/>
    <w:rsid w:val="00C231F1"/>
    <w:rsid w:val="00C23971"/>
    <w:rsid w:val="00C23B4B"/>
    <w:rsid w:val="00C23C36"/>
    <w:rsid w:val="00C260AC"/>
    <w:rsid w:val="00C273CB"/>
    <w:rsid w:val="00C27843"/>
    <w:rsid w:val="00C27BED"/>
    <w:rsid w:val="00C31929"/>
    <w:rsid w:val="00C32375"/>
    <w:rsid w:val="00C32845"/>
    <w:rsid w:val="00C33644"/>
    <w:rsid w:val="00C33930"/>
    <w:rsid w:val="00C33B84"/>
    <w:rsid w:val="00C33BF8"/>
    <w:rsid w:val="00C34E0C"/>
    <w:rsid w:val="00C35065"/>
    <w:rsid w:val="00C3521C"/>
    <w:rsid w:val="00C35D65"/>
    <w:rsid w:val="00C35D78"/>
    <w:rsid w:val="00C36AD8"/>
    <w:rsid w:val="00C37C23"/>
    <w:rsid w:val="00C412A9"/>
    <w:rsid w:val="00C41E6D"/>
    <w:rsid w:val="00C420BF"/>
    <w:rsid w:val="00C42E27"/>
    <w:rsid w:val="00C43A47"/>
    <w:rsid w:val="00C4436F"/>
    <w:rsid w:val="00C4517E"/>
    <w:rsid w:val="00C45837"/>
    <w:rsid w:val="00C479F2"/>
    <w:rsid w:val="00C47A60"/>
    <w:rsid w:val="00C50194"/>
    <w:rsid w:val="00C51015"/>
    <w:rsid w:val="00C522E9"/>
    <w:rsid w:val="00C524C8"/>
    <w:rsid w:val="00C53CC6"/>
    <w:rsid w:val="00C54011"/>
    <w:rsid w:val="00C54227"/>
    <w:rsid w:val="00C558F1"/>
    <w:rsid w:val="00C55B91"/>
    <w:rsid w:val="00C56F47"/>
    <w:rsid w:val="00C57E41"/>
    <w:rsid w:val="00C60B9F"/>
    <w:rsid w:val="00C617EC"/>
    <w:rsid w:val="00C61A1D"/>
    <w:rsid w:val="00C62BBE"/>
    <w:rsid w:val="00C6380F"/>
    <w:rsid w:val="00C6439E"/>
    <w:rsid w:val="00C655C2"/>
    <w:rsid w:val="00C65B54"/>
    <w:rsid w:val="00C65EDC"/>
    <w:rsid w:val="00C66902"/>
    <w:rsid w:val="00C67A75"/>
    <w:rsid w:val="00C704B6"/>
    <w:rsid w:val="00C704C4"/>
    <w:rsid w:val="00C704D2"/>
    <w:rsid w:val="00C70BC9"/>
    <w:rsid w:val="00C7140E"/>
    <w:rsid w:val="00C73156"/>
    <w:rsid w:val="00C73AE3"/>
    <w:rsid w:val="00C748C0"/>
    <w:rsid w:val="00C74F1A"/>
    <w:rsid w:val="00C74FF9"/>
    <w:rsid w:val="00C7530B"/>
    <w:rsid w:val="00C75640"/>
    <w:rsid w:val="00C75643"/>
    <w:rsid w:val="00C764F0"/>
    <w:rsid w:val="00C76930"/>
    <w:rsid w:val="00C775BF"/>
    <w:rsid w:val="00C80585"/>
    <w:rsid w:val="00C81676"/>
    <w:rsid w:val="00C81D5A"/>
    <w:rsid w:val="00C83B72"/>
    <w:rsid w:val="00C8434C"/>
    <w:rsid w:val="00C8451E"/>
    <w:rsid w:val="00C8470D"/>
    <w:rsid w:val="00C85A3B"/>
    <w:rsid w:val="00C85AE7"/>
    <w:rsid w:val="00C85BD6"/>
    <w:rsid w:val="00C86049"/>
    <w:rsid w:val="00C86332"/>
    <w:rsid w:val="00C87428"/>
    <w:rsid w:val="00C876F3"/>
    <w:rsid w:val="00C87D92"/>
    <w:rsid w:val="00C900F4"/>
    <w:rsid w:val="00C90797"/>
    <w:rsid w:val="00C908CB"/>
    <w:rsid w:val="00C90B98"/>
    <w:rsid w:val="00C92BD7"/>
    <w:rsid w:val="00C92DFA"/>
    <w:rsid w:val="00C9303D"/>
    <w:rsid w:val="00C93B4C"/>
    <w:rsid w:val="00C93B54"/>
    <w:rsid w:val="00C940FE"/>
    <w:rsid w:val="00C94B2A"/>
    <w:rsid w:val="00C94CE0"/>
    <w:rsid w:val="00C97112"/>
    <w:rsid w:val="00C97EFB"/>
    <w:rsid w:val="00CA02B5"/>
    <w:rsid w:val="00CA07ED"/>
    <w:rsid w:val="00CA10CF"/>
    <w:rsid w:val="00CA1EB4"/>
    <w:rsid w:val="00CA25F7"/>
    <w:rsid w:val="00CA2DDE"/>
    <w:rsid w:val="00CA2FE7"/>
    <w:rsid w:val="00CA3097"/>
    <w:rsid w:val="00CA3392"/>
    <w:rsid w:val="00CA4CF4"/>
    <w:rsid w:val="00CA522C"/>
    <w:rsid w:val="00CA572A"/>
    <w:rsid w:val="00CA5A67"/>
    <w:rsid w:val="00CA5DA7"/>
    <w:rsid w:val="00CA67A6"/>
    <w:rsid w:val="00CA6E31"/>
    <w:rsid w:val="00CA7E23"/>
    <w:rsid w:val="00CB0A0D"/>
    <w:rsid w:val="00CB108B"/>
    <w:rsid w:val="00CB15F2"/>
    <w:rsid w:val="00CB1FD1"/>
    <w:rsid w:val="00CB25C2"/>
    <w:rsid w:val="00CB3EEE"/>
    <w:rsid w:val="00CB42B3"/>
    <w:rsid w:val="00CB4304"/>
    <w:rsid w:val="00CB4912"/>
    <w:rsid w:val="00CB4EDE"/>
    <w:rsid w:val="00CC03EB"/>
    <w:rsid w:val="00CC0990"/>
    <w:rsid w:val="00CC1560"/>
    <w:rsid w:val="00CC18BB"/>
    <w:rsid w:val="00CC1A8F"/>
    <w:rsid w:val="00CC1CEA"/>
    <w:rsid w:val="00CC3F11"/>
    <w:rsid w:val="00CC4236"/>
    <w:rsid w:val="00CC43C2"/>
    <w:rsid w:val="00CC4D24"/>
    <w:rsid w:val="00CC51F0"/>
    <w:rsid w:val="00CC622A"/>
    <w:rsid w:val="00CC6731"/>
    <w:rsid w:val="00CC7096"/>
    <w:rsid w:val="00CC7657"/>
    <w:rsid w:val="00CC7D99"/>
    <w:rsid w:val="00CD0B84"/>
    <w:rsid w:val="00CD1074"/>
    <w:rsid w:val="00CD10F2"/>
    <w:rsid w:val="00CD115F"/>
    <w:rsid w:val="00CD1CC1"/>
    <w:rsid w:val="00CD3150"/>
    <w:rsid w:val="00CD3435"/>
    <w:rsid w:val="00CD40C8"/>
    <w:rsid w:val="00CD65B2"/>
    <w:rsid w:val="00CD7001"/>
    <w:rsid w:val="00CD7497"/>
    <w:rsid w:val="00CD7B07"/>
    <w:rsid w:val="00CE0714"/>
    <w:rsid w:val="00CE09C8"/>
    <w:rsid w:val="00CE2655"/>
    <w:rsid w:val="00CE2D87"/>
    <w:rsid w:val="00CE3633"/>
    <w:rsid w:val="00CE5118"/>
    <w:rsid w:val="00CE5668"/>
    <w:rsid w:val="00CE568A"/>
    <w:rsid w:val="00CE5F74"/>
    <w:rsid w:val="00CE61F2"/>
    <w:rsid w:val="00CE7756"/>
    <w:rsid w:val="00CF01CD"/>
    <w:rsid w:val="00CF06D0"/>
    <w:rsid w:val="00CF2411"/>
    <w:rsid w:val="00CF28BF"/>
    <w:rsid w:val="00CF3373"/>
    <w:rsid w:val="00CF3959"/>
    <w:rsid w:val="00CF4B11"/>
    <w:rsid w:val="00CF52AF"/>
    <w:rsid w:val="00CF56A2"/>
    <w:rsid w:val="00CF5D21"/>
    <w:rsid w:val="00CF5E82"/>
    <w:rsid w:val="00CF6FA9"/>
    <w:rsid w:val="00CF7936"/>
    <w:rsid w:val="00D00A48"/>
    <w:rsid w:val="00D00E8D"/>
    <w:rsid w:val="00D01085"/>
    <w:rsid w:val="00D01942"/>
    <w:rsid w:val="00D046C7"/>
    <w:rsid w:val="00D05C64"/>
    <w:rsid w:val="00D06C7B"/>
    <w:rsid w:val="00D06FDE"/>
    <w:rsid w:val="00D07713"/>
    <w:rsid w:val="00D07D25"/>
    <w:rsid w:val="00D10539"/>
    <w:rsid w:val="00D10A8C"/>
    <w:rsid w:val="00D118EA"/>
    <w:rsid w:val="00D11DDC"/>
    <w:rsid w:val="00D1248E"/>
    <w:rsid w:val="00D12ADB"/>
    <w:rsid w:val="00D13C33"/>
    <w:rsid w:val="00D14237"/>
    <w:rsid w:val="00D14291"/>
    <w:rsid w:val="00D155E0"/>
    <w:rsid w:val="00D15B8F"/>
    <w:rsid w:val="00D15E3C"/>
    <w:rsid w:val="00D169FD"/>
    <w:rsid w:val="00D16CBF"/>
    <w:rsid w:val="00D20324"/>
    <w:rsid w:val="00D20654"/>
    <w:rsid w:val="00D22BFD"/>
    <w:rsid w:val="00D2319C"/>
    <w:rsid w:val="00D23B79"/>
    <w:rsid w:val="00D24A05"/>
    <w:rsid w:val="00D24BE7"/>
    <w:rsid w:val="00D24FA9"/>
    <w:rsid w:val="00D24FE4"/>
    <w:rsid w:val="00D25740"/>
    <w:rsid w:val="00D25838"/>
    <w:rsid w:val="00D25FB3"/>
    <w:rsid w:val="00D27153"/>
    <w:rsid w:val="00D27362"/>
    <w:rsid w:val="00D27993"/>
    <w:rsid w:val="00D30071"/>
    <w:rsid w:val="00D30174"/>
    <w:rsid w:val="00D303A2"/>
    <w:rsid w:val="00D33259"/>
    <w:rsid w:val="00D33617"/>
    <w:rsid w:val="00D3410D"/>
    <w:rsid w:val="00D34430"/>
    <w:rsid w:val="00D34857"/>
    <w:rsid w:val="00D34B25"/>
    <w:rsid w:val="00D350EF"/>
    <w:rsid w:val="00D353D7"/>
    <w:rsid w:val="00D35835"/>
    <w:rsid w:val="00D35E6B"/>
    <w:rsid w:val="00D36C43"/>
    <w:rsid w:val="00D37B86"/>
    <w:rsid w:val="00D40A01"/>
    <w:rsid w:val="00D413F3"/>
    <w:rsid w:val="00D41BF9"/>
    <w:rsid w:val="00D41F99"/>
    <w:rsid w:val="00D41FCE"/>
    <w:rsid w:val="00D4218B"/>
    <w:rsid w:val="00D42953"/>
    <w:rsid w:val="00D42C35"/>
    <w:rsid w:val="00D42F0A"/>
    <w:rsid w:val="00D435D0"/>
    <w:rsid w:val="00D43F36"/>
    <w:rsid w:val="00D43FB7"/>
    <w:rsid w:val="00D447E2"/>
    <w:rsid w:val="00D46682"/>
    <w:rsid w:val="00D46691"/>
    <w:rsid w:val="00D466C0"/>
    <w:rsid w:val="00D46C9A"/>
    <w:rsid w:val="00D4756D"/>
    <w:rsid w:val="00D50C91"/>
    <w:rsid w:val="00D5108B"/>
    <w:rsid w:val="00D51309"/>
    <w:rsid w:val="00D5157A"/>
    <w:rsid w:val="00D52EAD"/>
    <w:rsid w:val="00D53778"/>
    <w:rsid w:val="00D5378E"/>
    <w:rsid w:val="00D538F9"/>
    <w:rsid w:val="00D53F56"/>
    <w:rsid w:val="00D5497C"/>
    <w:rsid w:val="00D554DF"/>
    <w:rsid w:val="00D5559E"/>
    <w:rsid w:val="00D56093"/>
    <w:rsid w:val="00D563ED"/>
    <w:rsid w:val="00D56DFB"/>
    <w:rsid w:val="00D579DC"/>
    <w:rsid w:val="00D57BBF"/>
    <w:rsid w:val="00D57CF7"/>
    <w:rsid w:val="00D57EDC"/>
    <w:rsid w:val="00D60C8F"/>
    <w:rsid w:val="00D611BA"/>
    <w:rsid w:val="00D6185E"/>
    <w:rsid w:val="00D61A02"/>
    <w:rsid w:val="00D626A4"/>
    <w:rsid w:val="00D629AC"/>
    <w:rsid w:val="00D633DD"/>
    <w:rsid w:val="00D642E9"/>
    <w:rsid w:val="00D6510D"/>
    <w:rsid w:val="00D6538A"/>
    <w:rsid w:val="00D65EF3"/>
    <w:rsid w:val="00D66E6D"/>
    <w:rsid w:val="00D676D9"/>
    <w:rsid w:val="00D67BBE"/>
    <w:rsid w:val="00D70702"/>
    <w:rsid w:val="00D7156D"/>
    <w:rsid w:val="00D7158C"/>
    <w:rsid w:val="00D71FF3"/>
    <w:rsid w:val="00D72ADF"/>
    <w:rsid w:val="00D73360"/>
    <w:rsid w:val="00D739F2"/>
    <w:rsid w:val="00D73D0B"/>
    <w:rsid w:val="00D743AC"/>
    <w:rsid w:val="00D74548"/>
    <w:rsid w:val="00D757C7"/>
    <w:rsid w:val="00D75B65"/>
    <w:rsid w:val="00D7629B"/>
    <w:rsid w:val="00D7653E"/>
    <w:rsid w:val="00D774E9"/>
    <w:rsid w:val="00D77758"/>
    <w:rsid w:val="00D77859"/>
    <w:rsid w:val="00D80F3E"/>
    <w:rsid w:val="00D811A2"/>
    <w:rsid w:val="00D8140A"/>
    <w:rsid w:val="00D82902"/>
    <w:rsid w:val="00D82923"/>
    <w:rsid w:val="00D82E58"/>
    <w:rsid w:val="00D82FFB"/>
    <w:rsid w:val="00D83331"/>
    <w:rsid w:val="00D833A7"/>
    <w:rsid w:val="00D84258"/>
    <w:rsid w:val="00D847C8"/>
    <w:rsid w:val="00D85002"/>
    <w:rsid w:val="00D85B26"/>
    <w:rsid w:val="00D8647D"/>
    <w:rsid w:val="00D865EC"/>
    <w:rsid w:val="00D874A2"/>
    <w:rsid w:val="00D8799F"/>
    <w:rsid w:val="00D9012A"/>
    <w:rsid w:val="00D901BC"/>
    <w:rsid w:val="00D90439"/>
    <w:rsid w:val="00D909A4"/>
    <w:rsid w:val="00D90BA9"/>
    <w:rsid w:val="00D9108B"/>
    <w:rsid w:val="00D924A1"/>
    <w:rsid w:val="00D92D75"/>
    <w:rsid w:val="00D94035"/>
    <w:rsid w:val="00D94898"/>
    <w:rsid w:val="00D94BC1"/>
    <w:rsid w:val="00D9503C"/>
    <w:rsid w:val="00D951D8"/>
    <w:rsid w:val="00D95578"/>
    <w:rsid w:val="00D96A95"/>
    <w:rsid w:val="00D96DDF"/>
    <w:rsid w:val="00D96F1C"/>
    <w:rsid w:val="00D97078"/>
    <w:rsid w:val="00D97441"/>
    <w:rsid w:val="00DA017F"/>
    <w:rsid w:val="00DA020B"/>
    <w:rsid w:val="00DA1DE3"/>
    <w:rsid w:val="00DA2D9B"/>
    <w:rsid w:val="00DA53E4"/>
    <w:rsid w:val="00DA5A7F"/>
    <w:rsid w:val="00DA6173"/>
    <w:rsid w:val="00DA74CC"/>
    <w:rsid w:val="00DA7753"/>
    <w:rsid w:val="00DB02E6"/>
    <w:rsid w:val="00DB1B83"/>
    <w:rsid w:val="00DB1BB2"/>
    <w:rsid w:val="00DB45AE"/>
    <w:rsid w:val="00DB48B3"/>
    <w:rsid w:val="00DB4F81"/>
    <w:rsid w:val="00DB50E1"/>
    <w:rsid w:val="00DB52A8"/>
    <w:rsid w:val="00DB5ED2"/>
    <w:rsid w:val="00DB7E56"/>
    <w:rsid w:val="00DC0F07"/>
    <w:rsid w:val="00DC1232"/>
    <w:rsid w:val="00DC182C"/>
    <w:rsid w:val="00DC1DA8"/>
    <w:rsid w:val="00DC399B"/>
    <w:rsid w:val="00DC443D"/>
    <w:rsid w:val="00DC46B4"/>
    <w:rsid w:val="00DC5358"/>
    <w:rsid w:val="00DC5461"/>
    <w:rsid w:val="00DC5898"/>
    <w:rsid w:val="00DC6C02"/>
    <w:rsid w:val="00DC6E30"/>
    <w:rsid w:val="00DC74BF"/>
    <w:rsid w:val="00DC750B"/>
    <w:rsid w:val="00DC774D"/>
    <w:rsid w:val="00DC7D96"/>
    <w:rsid w:val="00DC7F7C"/>
    <w:rsid w:val="00DD06C4"/>
    <w:rsid w:val="00DD0BA5"/>
    <w:rsid w:val="00DD0DAA"/>
    <w:rsid w:val="00DD1B43"/>
    <w:rsid w:val="00DD1CB2"/>
    <w:rsid w:val="00DD21AF"/>
    <w:rsid w:val="00DD254D"/>
    <w:rsid w:val="00DD2E4C"/>
    <w:rsid w:val="00DD471A"/>
    <w:rsid w:val="00DD49E3"/>
    <w:rsid w:val="00DD4B3C"/>
    <w:rsid w:val="00DD5E2A"/>
    <w:rsid w:val="00DD659E"/>
    <w:rsid w:val="00DD687A"/>
    <w:rsid w:val="00DD7678"/>
    <w:rsid w:val="00DD7AF0"/>
    <w:rsid w:val="00DE033D"/>
    <w:rsid w:val="00DE06F7"/>
    <w:rsid w:val="00DE2216"/>
    <w:rsid w:val="00DE35B1"/>
    <w:rsid w:val="00DE3B28"/>
    <w:rsid w:val="00DE3D90"/>
    <w:rsid w:val="00DE45E7"/>
    <w:rsid w:val="00DE5863"/>
    <w:rsid w:val="00DE5B03"/>
    <w:rsid w:val="00DE60B0"/>
    <w:rsid w:val="00DE7334"/>
    <w:rsid w:val="00DF0DBC"/>
    <w:rsid w:val="00DF23AB"/>
    <w:rsid w:val="00DF24C4"/>
    <w:rsid w:val="00DF2728"/>
    <w:rsid w:val="00DF2FD5"/>
    <w:rsid w:val="00DF3CF7"/>
    <w:rsid w:val="00DF3FDB"/>
    <w:rsid w:val="00DF45CC"/>
    <w:rsid w:val="00DF4CF0"/>
    <w:rsid w:val="00DF4E07"/>
    <w:rsid w:val="00DF4ECD"/>
    <w:rsid w:val="00DF503D"/>
    <w:rsid w:val="00DF5646"/>
    <w:rsid w:val="00DF639F"/>
    <w:rsid w:val="00DF65E1"/>
    <w:rsid w:val="00DF6B08"/>
    <w:rsid w:val="00DF6E4C"/>
    <w:rsid w:val="00DF704C"/>
    <w:rsid w:val="00DF7161"/>
    <w:rsid w:val="00DF71B1"/>
    <w:rsid w:val="00DF73AC"/>
    <w:rsid w:val="00DF76F8"/>
    <w:rsid w:val="00DF787C"/>
    <w:rsid w:val="00E01862"/>
    <w:rsid w:val="00E028EA"/>
    <w:rsid w:val="00E04287"/>
    <w:rsid w:val="00E04DB2"/>
    <w:rsid w:val="00E053F1"/>
    <w:rsid w:val="00E056B0"/>
    <w:rsid w:val="00E058B1"/>
    <w:rsid w:val="00E05A63"/>
    <w:rsid w:val="00E05DC6"/>
    <w:rsid w:val="00E0713C"/>
    <w:rsid w:val="00E07165"/>
    <w:rsid w:val="00E079E2"/>
    <w:rsid w:val="00E10850"/>
    <w:rsid w:val="00E109E4"/>
    <w:rsid w:val="00E11017"/>
    <w:rsid w:val="00E11F8A"/>
    <w:rsid w:val="00E12025"/>
    <w:rsid w:val="00E1262D"/>
    <w:rsid w:val="00E12B84"/>
    <w:rsid w:val="00E13354"/>
    <w:rsid w:val="00E13629"/>
    <w:rsid w:val="00E13B7E"/>
    <w:rsid w:val="00E140B0"/>
    <w:rsid w:val="00E1466A"/>
    <w:rsid w:val="00E15B4C"/>
    <w:rsid w:val="00E15BB7"/>
    <w:rsid w:val="00E167BC"/>
    <w:rsid w:val="00E179DC"/>
    <w:rsid w:val="00E20600"/>
    <w:rsid w:val="00E2099A"/>
    <w:rsid w:val="00E20A08"/>
    <w:rsid w:val="00E231B2"/>
    <w:rsid w:val="00E23C74"/>
    <w:rsid w:val="00E23E0C"/>
    <w:rsid w:val="00E24D7C"/>
    <w:rsid w:val="00E2507E"/>
    <w:rsid w:val="00E25E79"/>
    <w:rsid w:val="00E319A1"/>
    <w:rsid w:val="00E31B00"/>
    <w:rsid w:val="00E31C2B"/>
    <w:rsid w:val="00E32E48"/>
    <w:rsid w:val="00E343FC"/>
    <w:rsid w:val="00E35098"/>
    <w:rsid w:val="00E35211"/>
    <w:rsid w:val="00E35237"/>
    <w:rsid w:val="00E35C22"/>
    <w:rsid w:val="00E36647"/>
    <w:rsid w:val="00E368D3"/>
    <w:rsid w:val="00E36AD6"/>
    <w:rsid w:val="00E36CAD"/>
    <w:rsid w:val="00E36FBB"/>
    <w:rsid w:val="00E37359"/>
    <w:rsid w:val="00E403DC"/>
    <w:rsid w:val="00E40751"/>
    <w:rsid w:val="00E42282"/>
    <w:rsid w:val="00E4263A"/>
    <w:rsid w:val="00E427FA"/>
    <w:rsid w:val="00E42A57"/>
    <w:rsid w:val="00E42B08"/>
    <w:rsid w:val="00E43110"/>
    <w:rsid w:val="00E43FF4"/>
    <w:rsid w:val="00E45B07"/>
    <w:rsid w:val="00E45B5F"/>
    <w:rsid w:val="00E461F8"/>
    <w:rsid w:val="00E46BE7"/>
    <w:rsid w:val="00E46DB2"/>
    <w:rsid w:val="00E505C4"/>
    <w:rsid w:val="00E50627"/>
    <w:rsid w:val="00E516B2"/>
    <w:rsid w:val="00E51830"/>
    <w:rsid w:val="00E51AFF"/>
    <w:rsid w:val="00E5205D"/>
    <w:rsid w:val="00E52599"/>
    <w:rsid w:val="00E525D6"/>
    <w:rsid w:val="00E52712"/>
    <w:rsid w:val="00E52874"/>
    <w:rsid w:val="00E52D39"/>
    <w:rsid w:val="00E52DAE"/>
    <w:rsid w:val="00E53767"/>
    <w:rsid w:val="00E53F7C"/>
    <w:rsid w:val="00E53FFD"/>
    <w:rsid w:val="00E543B7"/>
    <w:rsid w:val="00E546A2"/>
    <w:rsid w:val="00E55CF5"/>
    <w:rsid w:val="00E56704"/>
    <w:rsid w:val="00E574F2"/>
    <w:rsid w:val="00E6009D"/>
    <w:rsid w:val="00E617B9"/>
    <w:rsid w:val="00E61F9C"/>
    <w:rsid w:val="00E62CEA"/>
    <w:rsid w:val="00E6339A"/>
    <w:rsid w:val="00E6345A"/>
    <w:rsid w:val="00E63BAC"/>
    <w:rsid w:val="00E63C99"/>
    <w:rsid w:val="00E65325"/>
    <w:rsid w:val="00E65D2E"/>
    <w:rsid w:val="00E6774D"/>
    <w:rsid w:val="00E67976"/>
    <w:rsid w:val="00E70BA5"/>
    <w:rsid w:val="00E70E0C"/>
    <w:rsid w:val="00E71CFA"/>
    <w:rsid w:val="00E71D51"/>
    <w:rsid w:val="00E7283F"/>
    <w:rsid w:val="00E72D42"/>
    <w:rsid w:val="00E73B82"/>
    <w:rsid w:val="00E7436A"/>
    <w:rsid w:val="00E750E9"/>
    <w:rsid w:val="00E75B86"/>
    <w:rsid w:val="00E75C96"/>
    <w:rsid w:val="00E76914"/>
    <w:rsid w:val="00E76A16"/>
    <w:rsid w:val="00E76C75"/>
    <w:rsid w:val="00E77006"/>
    <w:rsid w:val="00E77223"/>
    <w:rsid w:val="00E77D07"/>
    <w:rsid w:val="00E805AC"/>
    <w:rsid w:val="00E80613"/>
    <w:rsid w:val="00E80919"/>
    <w:rsid w:val="00E80D05"/>
    <w:rsid w:val="00E8228E"/>
    <w:rsid w:val="00E825EF"/>
    <w:rsid w:val="00E83B56"/>
    <w:rsid w:val="00E8482D"/>
    <w:rsid w:val="00E85453"/>
    <w:rsid w:val="00E85AD2"/>
    <w:rsid w:val="00E85BFD"/>
    <w:rsid w:val="00E85D32"/>
    <w:rsid w:val="00E862C2"/>
    <w:rsid w:val="00E86691"/>
    <w:rsid w:val="00E87978"/>
    <w:rsid w:val="00E903B4"/>
    <w:rsid w:val="00E90516"/>
    <w:rsid w:val="00E909BC"/>
    <w:rsid w:val="00E912AB"/>
    <w:rsid w:val="00E91755"/>
    <w:rsid w:val="00E91C9F"/>
    <w:rsid w:val="00E92BB4"/>
    <w:rsid w:val="00E9372E"/>
    <w:rsid w:val="00E93C63"/>
    <w:rsid w:val="00E94994"/>
    <w:rsid w:val="00E95B4B"/>
    <w:rsid w:val="00E96B01"/>
    <w:rsid w:val="00E96C45"/>
    <w:rsid w:val="00E976D6"/>
    <w:rsid w:val="00EA16A1"/>
    <w:rsid w:val="00EA1981"/>
    <w:rsid w:val="00EA22D3"/>
    <w:rsid w:val="00EA2429"/>
    <w:rsid w:val="00EA391B"/>
    <w:rsid w:val="00EA4F20"/>
    <w:rsid w:val="00EA538C"/>
    <w:rsid w:val="00EA5707"/>
    <w:rsid w:val="00EA5956"/>
    <w:rsid w:val="00EA5BA3"/>
    <w:rsid w:val="00EA6906"/>
    <w:rsid w:val="00EA6A36"/>
    <w:rsid w:val="00EA6BCD"/>
    <w:rsid w:val="00EB0945"/>
    <w:rsid w:val="00EB150E"/>
    <w:rsid w:val="00EB151B"/>
    <w:rsid w:val="00EB1C1B"/>
    <w:rsid w:val="00EB22E3"/>
    <w:rsid w:val="00EB3639"/>
    <w:rsid w:val="00EB3DBC"/>
    <w:rsid w:val="00EB3EE9"/>
    <w:rsid w:val="00EB458A"/>
    <w:rsid w:val="00EB63D6"/>
    <w:rsid w:val="00EB6426"/>
    <w:rsid w:val="00EB6B81"/>
    <w:rsid w:val="00EB6E33"/>
    <w:rsid w:val="00EB7400"/>
    <w:rsid w:val="00EB7B5F"/>
    <w:rsid w:val="00EC08FF"/>
    <w:rsid w:val="00EC0E1D"/>
    <w:rsid w:val="00EC0F7F"/>
    <w:rsid w:val="00EC15F6"/>
    <w:rsid w:val="00EC1A45"/>
    <w:rsid w:val="00EC2528"/>
    <w:rsid w:val="00EC2CA0"/>
    <w:rsid w:val="00EC3712"/>
    <w:rsid w:val="00EC3DC4"/>
    <w:rsid w:val="00EC3F08"/>
    <w:rsid w:val="00EC4164"/>
    <w:rsid w:val="00EC4980"/>
    <w:rsid w:val="00EC5540"/>
    <w:rsid w:val="00EC55CA"/>
    <w:rsid w:val="00EC5BB5"/>
    <w:rsid w:val="00ED0301"/>
    <w:rsid w:val="00ED08AE"/>
    <w:rsid w:val="00ED2240"/>
    <w:rsid w:val="00ED22EA"/>
    <w:rsid w:val="00ED26A2"/>
    <w:rsid w:val="00ED2812"/>
    <w:rsid w:val="00ED29BF"/>
    <w:rsid w:val="00ED3923"/>
    <w:rsid w:val="00ED393B"/>
    <w:rsid w:val="00ED3D58"/>
    <w:rsid w:val="00ED4C4E"/>
    <w:rsid w:val="00ED5407"/>
    <w:rsid w:val="00ED7BC5"/>
    <w:rsid w:val="00EE0638"/>
    <w:rsid w:val="00EE0C2A"/>
    <w:rsid w:val="00EE240F"/>
    <w:rsid w:val="00EE25E2"/>
    <w:rsid w:val="00EE3867"/>
    <w:rsid w:val="00EE483A"/>
    <w:rsid w:val="00EE50E6"/>
    <w:rsid w:val="00EE719C"/>
    <w:rsid w:val="00EE750A"/>
    <w:rsid w:val="00EF1F2D"/>
    <w:rsid w:val="00EF2A5C"/>
    <w:rsid w:val="00EF2B87"/>
    <w:rsid w:val="00EF3341"/>
    <w:rsid w:val="00EF5F7B"/>
    <w:rsid w:val="00EF70AE"/>
    <w:rsid w:val="00F003B2"/>
    <w:rsid w:val="00F0243A"/>
    <w:rsid w:val="00F02A79"/>
    <w:rsid w:val="00F035B4"/>
    <w:rsid w:val="00F04651"/>
    <w:rsid w:val="00F04C30"/>
    <w:rsid w:val="00F05122"/>
    <w:rsid w:val="00F0562A"/>
    <w:rsid w:val="00F05ED6"/>
    <w:rsid w:val="00F06269"/>
    <w:rsid w:val="00F07154"/>
    <w:rsid w:val="00F07B47"/>
    <w:rsid w:val="00F11EF9"/>
    <w:rsid w:val="00F12710"/>
    <w:rsid w:val="00F1285E"/>
    <w:rsid w:val="00F1319F"/>
    <w:rsid w:val="00F1370C"/>
    <w:rsid w:val="00F14060"/>
    <w:rsid w:val="00F14549"/>
    <w:rsid w:val="00F153B3"/>
    <w:rsid w:val="00F17149"/>
    <w:rsid w:val="00F17190"/>
    <w:rsid w:val="00F178E0"/>
    <w:rsid w:val="00F20E1A"/>
    <w:rsid w:val="00F21099"/>
    <w:rsid w:val="00F21CE5"/>
    <w:rsid w:val="00F21E5F"/>
    <w:rsid w:val="00F22FB5"/>
    <w:rsid w:val="00F23522"/>
    <w:rsid w:val="00F2362D"/>
    <w:rsid w:val="00F236CA"/>
    <w:rsid w:val="00F23A55"/>
    <w:rsid w:val="00F23FC0"/>
    <w:rsid w:val="00F244AE"/>
    <w:rsid w:val="00F252BE"/>
    <w:rsid w:val="00F2580F"/>
    <w:rsid w:val="00F25F32"/>
    <w:rsid w:val="00F261A2"/>
    <w:rsid w:val="00F270E0"/>
    <w:rsid w:val="00F3028A"/>
    <w:rsid w:val="00F30348"/>
    <w:rsid w:val="00F30AC4"/>
    <w:rsid w:val="00F31995"/>
    <w:rsid w:val="00F31B52"/>
    <w:rsid w:val="00F32340"/>
    <w:rsid w:val="00F331D7"/>
    <w:rsid w:val="00F3396B"/>
    <w:rsid w:val="00F33C0B"/>
    <w:rsid w:val="00F3431B"/>
    <w:rsid w:val="00F34F69"/>
    <w:rsid w:val="00F35690"/>
    <w:rsid w:val="00F357B6"/>
    <w:rsid w:val="00F35AAB"/>
    <w:rsid w:val="00F35C48"/>
    <w:rsid w:val="00F35CDB"/>
    <w:rsid w:val="00F35F26"/>
    <w:rsid w:val="00F3604B"/>
    <w:rsid w:val="00F3732D"/>
    <w:rsid w:val="00F37805"/>
    <w:rsid w:val="00F4027A"/>
    <w:rsid w:val="00F403A7"/>
    <w:rsid w:val="00F41260"/>
    <w:rsid w:val="00F415FC"/>
    <w:rsid w:val="00F41B42"/>
    <w:rsid w:val="00F421DB"/>
    <w:rsid w:val="00F42260"/>
    <w:rsid w:val="00F43018"/>
    <w:rsid w:val="00F43A73"/>
    <w:rsid w:val="00F44DCC"/>
    <w:rsid w:val="00F44FE7"/>
    <w:rsid w:val="00F46214"/>
    <w:rsid w:val="00F46F18"/>
    <w:rsid w:val="00F5045D"/>
    <w:rsid w:val="00F50641"/>
    <w:rsid w:val="00F50672"/>
    <w:rsid w:val="00F51421"/>
    <w:rsid w:val="00F51F41"/>
    <w:rsid w:val="00F528B6"/>
    <w:rsid w:val="00F52F31"/>
    <w:rsid w:val="00F533C9"/>
    <w:rsid w:val="00F5376A"/>
    <w:rsid w:val="00F53C3B"/>
    <w:rsid w:val="00F545FC"/>
    <w:rsid w:val="00F56118"/>
    <w:rsid w:val="00F562C0"/>
    <w:rsid w:val="00F572DD"/>
    <w:rsid w:val="00F601A7"/>
    <w:rsid w:val="00F60262"/>
    <w:rsid w:val="00F60A7A"/>
    <w:rsid w:val="00F60D13"/>
    <w:rsid w:val="00F611A4"/>
    <w:rsid w:val="00F6137D"/>
    <w:rsid w:val="00F619F3"/>
    <w:rsid w:val="00F6201D"/>
    <w:rsid w:val="00F62484"/>
    <w:rsid w:val="00F624EE"/>
    <w:rsid w:val="00F63B68"/>
    <w:rsid w:val="00F6426D"/>
    <w:rsid w:val="00F6486C"/>
    <w:rsid w:val="00F64C2F"/>
    <w:rsid w:val="00F67AB4"/>
    <w:rsid w:val="00F67BD7"/>
    <w:rsid w:val="00F70FDC"/>
    <w:rsid w:val="00F71361"/>
    <w:rsid w:val="00F718B1"/>
    <w:rsid w:val="00F724BD"/>
    <w:rsid w:val="00F7295D"/>
    <w:rsid w:val="00F72F2B"/>
    <w:rsid w:val="00F73F41"/>
    <w:rsid w:val="00F750FC"/>
    <w:rsid w:val="00F7535C"/>
    <w:rsid w:val="00F75441"/>
    <w:rsid w:val="00F76360"/>
    <w:rsid w:val="00F768BB"/>
    <w:rsid w:val="00F76BC1"/>
    <w:rsid w:val="00F77463"/>
    <w:rsid w:val="00F8106B"/>
    <w:rsid w:val="00F81361"/>
    <w:rsid w:val="00F81FB1"/>
    <w:rsid w:val="00F82533"/>
    <w:rsid w:val="00F82DEF"/>
    <w:rsid w:val="00F83D2C"/>
    <w:rsid w:val="00F84985"/>
    <w:rsid w:val="00F8501A"/>
    <w:rsid w:val="00F8552A"/>
    <w:rsid w:val="00F8591B"/>
    <w:rsid w:val="00F85DB0"/>
    <w:rsid w:val="00F8721C"/>
    <w:rsid w:val="00F8738B"/>
    <w:rsid w:val="00F90805"/>
    <w:rsid w:val="00F90B0E"/>
    <w:rsid w:val="00F91034"/>
    <w:rsid w:val="00F9114A"/>
    <w:rsid w:val="00F916F3"/>
    <w:rsid w:val="00F9192B"/>
    <w:rsid w:val="00F923CF"/>
    <w:rsid w:val="00F92EC9"/>
    <w:rsid w:val="00F93116"/>
    <w:rsid w:val="00F93951"/>
    <w:rsid w:val="00F93BFE"/>
    <w:rsid w:val="00F94253"/>
    <w:rsid w:val="00F94450"/>
    <w:rsid w:val="00F959B4"/>
    <w:rsid w:val="00F96E0B"/>
    <w:rsid w:val="00F970B5"/>
    <w:rsid w:val="00F9740B"/>
    <w:rsid w:val="00F97B76"/>
    <w:rsid w:val="00FA0798"/>
    <w:rsid w:val="00FA2822"/>
    <w:rsid w:val="00FA2EF5"/>
    <w:rsid w:val="00FA4BB2"/>
    <w:rsid w:val="00FA4C9D"/>
    <w:rsid w:val="00FA5C48"/>
    <w:rsid w:val="00FA5E30"/>
    <w:rsid w:val="00FA7D81"/>
    <w:rsid w:val="00FA7F75"/>
    <w:rsid w:val="00FB1C5B"/>
    <w:rsid w:val="00FB263F"/>
    <w:rsid w:val="00FB2F25"/>
    <w:rsid w:val="00FB3C3B"/>
    <w:rsid w:val="00FB3F12"/>
    <w:rsid w:val="00FB4482"/>
    <w:rsid w:val="00FB465F"/>
    <w:rsid w:val="00FB4765"/>
    <w:rsid w:val="00FB5305"/>
    <w:rsid w:val="00FB5641"/>
    <w:rsid w:val="00FB6B68"/>
    <w:rsid w:val="00FB757D"/>
    <w:rsid w:val="00FC0436"/>
    <w:rsid w:val="00FC199C"/>
    <w:rsid w:val="00FC23A2"/>
    <w:rsid w:val="00FC2B42"/>
    <w:rsid w:val="00FC33F8"/>
    <w:rsid w:val="00FC4B93"/>
    <w:rsid w:val="00FC53EA"/>
    <w:rsid w:val="00FC5A3C"/>
    <w:rsid w:val="00FC5E79"/>
    <w:rsid w:val="00FC5F07"/>
    <w:rsid w:val="00FC5FBA"/>
    <w:rsid w:val="00FC6A48"/>
    <w:rsid w:val="00FC77EB"/>
    <w:rsid w:val="00FC7EFB"/>
    <w:rsid w:val="00FD1093"/>
    <w:rsid w:val="00FD18F5"/>
    <w:rsid w:val="00FD2532"/>
    <w:rsid w:val="00FD2C41"/>
    <w:rsid w:val="00FD2D00"/>
    <w:rsid w:val="00FD3520"/>
    <w:rsid w:val="00FD369B"/>
    <w:rsid w:val="00FD36BD"/>
    <w:rsid w:val="00FD3B4A"/>
    <w:rsid w:val="00FD5345"/>
    <w:rsid w:val="00FD608B"/>
    <w:rsid w:val="00FD61E6"/>
    <w:rsid w:val="00FD6510"/>
    <w:rsid w:val="00FD7405"/>
    <w:rsid w:val="00FD7CC5"/>
    <w:rsid w:val="00FE0125"/>
    <w:rsid w:val="00FE05DD"/>
    <w:rsid w:val="00FE0DB5"/>
    <w:rsid w:val="00FE36BD"/>
    <w:rsid w:val="00FE4509"/>
    <w:rsid w:val="00FE491F"/>
    <w:rsid w:val="00FE5730"/>
    <w:rsid w:val="00FE606C"/>
    <w:rsid w:val="00FE6773"/>
    <w:rsid w:val="00FE67D6"/>
    <w:rsid w:val="00FE6D33"/>
    <w:rsid w:val="00FE7A9E"/>
    <w:rsid w:val="00FE7C53"/>
    <w:rsid w:val="00FF0C3C"/>
    <w:rsid w:val="00FF1D9B"/>
    <w:rsid w:val="00FF447E"/>
    <w:rsid w:val="00FF4DF3"/>
    <w:rsid w:val="00FF4F2D"/>
    <w:rsid w:val="00FF53DC"/>
    <w:rsid w:val="00FF6A5B"/>
    <w:rsid w:val="00FF6E6D"/>
    <w:rsid w:val="00FF7962"/>
    <w:rsid w:val="01D875D6"/>
    <w:rsid w:val="01ED8B10"/>
    <w:rsid w:val="0252C7DA"/>
    <w:rsid w:val="025B8CFF"/>
    <w:rsid w:val="03428725"/>
    <w:rsid w:val="03B35894"/>
    <w:rsid w:val="04595F84"/>
    <w:rsid w:val="0594C411"/>
    <w:rsid w:val="0614BB37"/>
    <w:rsid w:val="0670C7D5"/>
    <w:rsid w:val="0875D84C"/>
    <w:rsid w:val="089705B8"/>
    <w:rsid w:val="08F0E4C8"/>
    <w:rsid w:val="096FD00B"/>
    <w:rsid w:val="0A2DAEAA"/>
    <w:rsid w:val="0C4F632D"/>
    <w:rsid w:val="0C67E034"/>
    <w:rsid w:val="0DF40223"/>
    <w:rsid w:val="0EA3DA7F"/>
    <w:rsid w:val="0F0D1B2A"/>
    <w:rsid w:val="114082AD"/>
    <w:rsid w:val="12386D0C"/>
    <w:rsid w:val="131CB1CA"/>
    <w:rsid w:val="13FC1660"/>
    <w:rsid w:val="146F39E6"/>
    <w:rsid w:val="1516839F"/>
    <w:rsid w:val="15E01E96"/>
    <w:rsid w:val="164C702B"/>
    <w:rsid w:val="16DE2379"/>
    <w:rsid w:val="17186D2B"/>
    <w:rsid w:val="1AFDFB01"/>
    <w:rsid w:val="1BEB3410"/>
    <w:rsid w:val="1C8468A6"/>
    <w:rsid w:val="1CFA3737"/>
    <w:rsid w:val="1D0CB19C"/>
    <w:rsid w:val="1EC5239A"/>
    <w:rsid w:val="1F45F3C9"/>
    <w:rsid w:val="1F5D322F"/>
    <w:rsid w:val="2243536D"/>
    <w:rsid w:val="2463C9CB"/>
    <w:rsid w:val="25DD1299"/>
    <w:rsid w:val="26210000"/>
    <w:rsid w:val="27660A8E"/>
    <w:rsid w:val="28162B33"/>
    <w:rsid w:val="28BDBFB7"/>
    <w:rsid w:val="2C396D0A"/>
    <w:rsid w:val="2C7C495F"/>
    <w:rsid w:val="2CC86128"/>
    <w:rsid w:val="2F368916"/>
    <w:rsid w:val="3182BCF0"/>
    <w:rsid w:val="31B4FA76"/>
    <w:rsid w:val="31B5E07C"/>
    <w:rsid w:val="32166F8D"/>
    <w:rsid w:val="3284804E"/>
    <w:rsid w:val="33C89526"/>
    <w:rsid w:val="33F3241D"/>
    <w:rsid w:val="3404F004"/>
    <w:rsid w:val="346FD5BF"/>
    <w:rsid w:val="347CFE88"/>
    <w:rsid w:val="355036AB"/>
    <w:rsid w:val="35810FE0"/>
    <w:rsid w:val="35AB8284"/>
    <w:rsid w:val="36CE6420"/>
    <w:rsid w:val="36E2C544"/>
    <w:rsid w:val="3795CA14"/>
    <w:rsid w:val="39FD2518"/>
    <w:rsid w:val="3B10FDD4"/>
    <w:rsid w:val="3B2DF3AA"/>
    <w:rsid w:val="3BBD37FC"/>
    <w:rsid w:val="3BD00649"/>
    <w:rsid w:val="3D84E7D6"/>
    <w:rsid w:val="3DDEA3F1"/>
    <w:rsid w:val="3EE5D3F3"/>
    <w:rsid w:val="41F4819C"/>
    <w:rsid w:val="42A89922"/>
    <w:rsid w:val="444D793C"/>
    <w:rsid w:val="46BDCEDE"/>
    <w:rsid w:val="46EF5453"/>
    <w:rsid w:val="472A9BC5"/>
    <w:rsid w:val="474E10E6"/>
    <w:rsid w:val="4D109973"/>
    <w:rsid w:val="4F0A6F70"/>
    <w:rsid w:val="4F3198B0"/>
    <w:rsid w:val="511C33FC"/>
    <w:rsid w:val="520D9A99"/>
    <w:rsid w:val="5273EA9C"/>
    <w:rsid w:val="52E11565"/>
    <w:rsid w:val="5364E9F1"/>
    <w:rsid w:val="5553DFEB"/>
    <w:rsid w:val="564560DA"/>
    <w:rsid w:val="56B27AE2"/>
    <w:rsid w:val="590262EC"/>
    <w:rsid w:val="59AAC797"/>
    <w:rsid w:val="5A3172F4"/>
    <w:rsid w:val="5B67D552"/>
    <w:rsid w:val="5C61D4AE"/>
    <w:rsid w:val="5CF4B2E2"/>
    <w:rsid w:val="5F070AAF"/>
    <w:rsid w:val="6051AF51"/>
    <w:rsid w:val="63388FCB"/>
    <w:rsid w:val="63CFE02E"/>
    <w:rsid w:val="64BE984E"/>
    <w:rsid w:val="65A7A255"/>
    <w:rsid w:val="66D0102D"/>
    <w:rsid w:val="6888A9D5"/>
    <w:rsid w:val="688A83EC"/>
    <w:rsid w:val="6A17243B"/>
    <w:rsid w:val="6B258EBD"/>
    <w:rsid w:val="6C11CA23"/>
    <w:rsid w:val="6CEA2C79"/>
    <w:rsid w:val="6D799313"/>
    <w:rsid w:val="6EC1742B"/>
    <w:rsid w:val="6F389332"/>
    <w:rsid w:val="6FB33FA3"/>
    <w:rsid w:val="6FF92200"/>
    <w:rsid w:val="703026F0"/>
    <w:rsid w:val="704633AF"/>
    <w:rsid w:val="70E72153"/>
    <w:rsid w:val="71BC0235"/>
    <w:rsid w:val="729C03F0"/>
    <w:rsid w:val="72ED2670"/>
    <w:rsid w:val="73981767"/>
    <w:rsid w:val="73DCA769"/>
    <w:rsid w:val="7743E102"/>
    <w:rsid w:val="77A8452A"/>
    <w:rsid w:val="789EF806"/>
    <w:rsid w:val="78D1DD75"/>
    <w:rsid w:val="79631AAC"/>
    <w:rsid w:val="7A3E770B"/>
    <w:rsid w:val="7AAC3231"/>
    <w:rsid w:val="7C305C2F"/>
    <w:rsid w:val="7C8A5928"/>
    <w:rsid w:val="7C9F2B74"/>
    <w:rsid w:val="7D4FD768"/>
    <w:rsid w:val="7EA0149C"/>
    <w:rsid w:val="7F158ABA"/>
    <w:rsid w:val="7F1E0141"/>
    <w:rsid w:val="7F38E2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86C9D"/>
  <w15:chartTrackingRefBased/>
  <w15:docId w15:val="{3313D3A8-01D2-4AF9-A6C2-B1824AE4A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inorEastAsia" w:hAnsiTheme="majorHAnsi" w:cstheme="minorBidi"/>
        <w:lang w:val="en-US" w:eastAsia="en-US" w:bidi="ar-SA"/>
      </w:rPr>
    </w:rPrDefault>
    <w:pPrDefault/>
  </w:docDefaults>
  <w:latentStyles w:defLockedState="1" w:defUIPriority="99" w:defSemiHidden="0" w:defUnhideWhenUsed="0" w:defQFormat="0" w:count="376">
    <w:lsdException w:name="Normal" w:locked="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locked="0" w:semiHidden="1" w:uiPriority="0" w:unhideWhenUsed="1" w:qFormat="1"/>
    <w:lsdException w:name="heading 7" w:semiHidden="1" w:unhideWhenUsed="1"/>
    <w:lsdException w:name="heading 8" w:semiHidden="1" w:unhideWhenUsed="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39" w:unhideWhenUsed="1"/>
    <w:lsdException w:name="header" w:semiHidden="1" w:unhideWhenUsed="1"/>
    <w:lsdException w:name="footer" w:semiHidden="1" w:unhideWhenUsed="1"/>
    <w:lsdException w:name="index heading"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locked="0" w:semiHidden="1" w:unhideWhenUsed="1"/>
    <w:lsdException w:name="Body Text" w:locked="0"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uiPriority w:val="99"/>
    <w:qFormat/>
    <w:rsid w:val="00792DAA"/>
    <w:rPr>
      <w:rFonts w:ascii="Arial" w:hAnsi="Arial"/>
      <w:lang w:val="en-AU"/>
    </w:rPr>
  </w:style>
  <w:style w:type="paragraph" w:styleId="Heading1">
    <w:name w:val="heading 1"/>
    <w:basedOn w:val="Normal"/>
    <w:next w:val="BodyText"/>
    <w:link w:val="Heading1Char"/>
    <w:qFormat/>
    <w:rsid w:val="007C27F3"/>
    <w:pPr>
      <w:keepNext/>
      <w:keepLines/>
      <w:pageBreakBefore/>
      <w:numPr>
        <w:numId w:val="17"/>
      </w:numPr>
      <w:spacing w:before="240" w:after="120"/>
      <w:outlineLvl w:val="0"/>
    </w:pPr>
    <w:rPr>
      <w:rFonts w:eastAsiaTheme="majorEastAsia" w:cstheme="majorBidi"/>
      <w:b/>
      <w:color w:val="231EDC" w:themeColor="accent1"/>
      <w:sz w:val="32"/>
      <w:szCs w:val="32"/>
    </w:rPr>
  </w:style>
  <w:style w:type="paragraph" w:styleId="Heading2">
    <w:name w:val="heading 2"/>
    <w:basedOn w:val="Normal"/>
    <w:next w:val="BodyText"/>
    <w:link w:val="Heading2Char"/>
    <w:qFormat/>
    <w:rsid w:val="007C27F3"/>
    <w:pPr>
      <w:keepNext/>
      <w:keepLines/>
      <w:numPr>
        <w:ilvl w:val="1"/>
        <w:numId w:val="17"/>
      </w:numPr>
      <w:spacing w:before="240" w:after="120"/>
      <w:outlineLvl w:val="1"/>
    </w:pPr>
    <w:rPr>
      <w:rFonts w:eastAsiaTheme="majorEastAsia" w:cstheme="majorBidi"/>
      <w:b/>
      <w:sz w:val="28"/>
      <w:szCs w:val="26"/>
    </w:rPr>
  </w:style>
  <w:style w:type="paragraph" w:styleId="Heading3">
    <w:name w:val="heading 3"/>
    <w:basedOn w:val="Normal"/>
    <w:next w:val="BodyText"/>
    <w:link w:val="Heading3Char"/>
    <w:qFormat/>
    <w:rsid w:val="007C27F3"/>
    <w:pPr>
      <w:keepNext/>
      <w:keepLines/>
      <w:numPr>
        <w:ilvl w:val="2"/>
        <w:numId w:val="17"/>
      </w:numPr>
      <w:spacing w:before="240" w:after="120"/>
      <w:outlineLvl w:val="2"/>
    </w:pPr>
    <w:rPr>
      <w:rFonts w:eastAsiaTheme="majorEastAsia" w:cstheme="majorBidi"/>
      <w:b/>
      <w:sz w:val="26"/>
      <w:szCs w:val="24"/>
    </w:rPr>
  </w:style>
  <w:style w:type="paragraph" w:styleId="Heading4">
    <w:name w:val="heading 4"/>
    <w:basedOn w:val="Normal"/>
    <w:next w:val="BodyText"/>
    <w:link w:val="Heading4Char"/>
    <w:qFormat/>
    <w:rsid w:val="007C27F3"/>
    <w:pPr>
      <w:keepNext/>
      <w:keepLines/>
      <w:numPr>
        <w:ilvl w:val="3"/>
        <w:numId w:val="17"/>
      </w:numPr>
      <w:spacing w:before="240" w:after="120"/>
      <w:outlineLvl w:val="3"/>
    </w:pPr>
    <w:rPr>
      <w:rFonts w:eastAsiaTheme="majorEastAsia" w:cstheme="majorBidi"/>
      <w:b/>
      <w:iCs/>
      <w:sz w:val="24"/>
    </w:rPr>
  </w:style>
  <w:style w:type="paragraph" w:styleId="Heading5">
    <w:name w:val="heading 5"/>
    <w:basedOn w:val="Normal"/>
    <w:next w:val="BodyText"/>
    <w:link w:val="Heading5Char"/>
    <w:qFormat/>
    <w:rsid w:val="007C27F3"/>
    <w:pPr>
      <w:keepNext/>
      <w:keepLines/>
      <w:numPr>
        <w:ilvl w:val="4"/>
        <w:numId w:val="17"/>
      </w:numPr>
      <w:spacing w:before="240" w:after="120"/>
      <w:outlineLvl w:val="4"/>
    </w:pPr>
    <w:rPr>
      <w:rFonts w:eastAsiaTheme="majorEastAsia" w:cstheme="majorBidi"/>
      <w:b/>
      <w:sz w:val="22"/>
    </w:rPr>
  </w:style>
  <w:style w:type="paragraph" w:styleId="Heading6">
    <w:name w:val="heading 6"/>
    <w:basedOn w:val="Normal"/>
    <w:next w:val="BodyText"/>
    <w:link w:val="Heading6Char"/>
    <w:qFormat/>
    <w:rsid w:val="007C27F3"/>
    <w:pPr>
      <w:keepNext/>
      <w:keepLines/>
      <w:numPr>
        <w:ilvl w:val="5"/>
        <w:numId w:val="17"/>
      </w:numPr>
      <w:spacing w:before="240" w:after="120"/>
      <w:outlineLvl w:val="5"/>
    </w:pPr>
    <w:rPr>
      <w:rFonts w:eastAsiaTheme="majorEastAsia" w:cstheme="majorBidi"/>
      <w:b/>
    </w:rPr>
  </w:style>
  <w:style w:type="paragraph" w:styleId="Heading7">
    <w:name w:val="heading 7"/>
    <w:basedOn w:val="Normal"/>
    <w:next w:val="Normal"/>
    <w:link w:val="Heading7Char"/>
    <w:uiPriority w:val="99"/>
    <w:semiHidden/>
    <w:rsid w:val="00527E8F"/>
    <w:pPr>
      <w:keepNext/>
      <w:keepLines/>
      <w:numPr>
        <w:ilvl w:val="6"/>
        <w:numId w:val="17"/>
      </w:numPr>
      <w:spacing w:before="240" w:after="120"/>
      <w:outlineLvl w:val="6"/>
    </w:pPr>
    <w:rPr>
      <w:rFonts w:asciiTheme="majorHAnsi" w:eastAsiaTheme="majorEastAsia" w:hAnsiTheme="majorHAnsi" w:cstheme="majorBidi"/>
      <w:b/>
      <w:iCs/>
    </w:rPr>
  </w:style>
  <w:style w:type="paragraph" w:styleId="Heading8">
    <w:name w:val="heading 8"/>
    <w:basedOn w:val="Normal"/>
    <w:next w:val="Normal"/>
    <w:link w:val="Heading8Char"/>
    <w:uiPriority w:val="99"/>
    <w:semiHidden/>
    <w:rsid w:val="00527E8F"/>
    <w:pPr>
      <w:keepNext/>
      <w:keepLines/>
      <w:numPr>
        <w:ilvl w:val="7"/>
        <w:numId w:val="17"/>
      </w:numPr>
      <w:spacing w:before="240" w:after="120"/>
      <w:outlineLvl w:val="7"/>
    </w:pPr>
    <w:rPr>
      <w:rFonts w:asciiTheme="majorHAnsi" w:eastAsiaTheme="majorEastAsia" w:hAnsiTheme="majorHAnsi" w:cstheme="majorBidi"/>
      <w:b/>
      <w:sz w:val="21"/>
      <w:szCs w:val="21"/>
    </w:rPr>
  </w:style>
  <w:style w:type="paragraph" w:styleId="Heading9">
    <w:name w:val="heading 9"/>
    <w:aliases w:val="Appendix Heading 1"/>
    <w:basedOn w:val="Normal"/>
    <w:next w:val="BodyText"/>
    <w:link w:val="Heading9Char"/>
    <w:uiPriority w:val="19"/>
    <w:qFormat/>
    <w:rsid w:val="00527E8F"/>
    <w:pPr>
      <w:keepNext/>
      <w:keepLines/>
      <w:pageBreakBefore/>
      <w:numPr>
        <w:numId w:val="19"/>
      </w:numPr>
      <w:spacing w:before="240" w:after="120"/>
      <w:outlineLvl w:val="8"/>
    </w:pPr>
    <w:rPr>
      <w:rFonts w:asciiTheme="majorHAnsi" w:eastAsiaTheme="majorEastAsia" w:hAnsiTheme="majorHAnsi" w:cstheme="majorBidi"/>
      <w:b/>
      <w:iCs/>
      <w:color w:val="231EDC" w:themeColor="accent1"/>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27E8F"/>
    <w:rPr>
      <w:rFonts w:ascii="Jacobs Chronos Light" w:hAnsi="Jacobs Chronos Light"/>
      <w:color w:val="333333" w:themeColor="text2"/>
      <w:sz w:val="24"/>
    </w:rPr>
  </w:style>
  <w:style w:type="character" w:customStyle="1" w:styleId="HeaderChar">
    <w:name w:val="Header Char"/>
    <w:basedOn w:val="DefaultParagraphFont"/>
    <w:link w:val="Header"/>
    <w:uiPriority w:val="99"/>
    <w:semiHidden/>
    <w:rsid w:val="00527E8F"/>
    <w:rPr>
      <w:rFonts w:ascii="Jacobs Chronos Light" w:hAnsi="Jacobs Chronos Light"/>
      <w:color w:val="333333" w:themeColor="text2"/>
      <w:sz w:val="24"/>
    </w:rPr>
  </w:style>
  <w:style w:type="paragraph" w:styleId="Footer">
    <w:name w:val="footer"/>
    <w:basedOn w:val="Normal"/>
    <w:link w:val="FooterChar"/>
    <w:uiPriority w:val="99"/>
    <w:semiHidden/>
    <w:rsid w:val="00B7644F"/>
    <w:rPr>
      <w:color w:val="333333" w:themeColor="text2"/>
      <w:sz w:val="18"/>
    </w:rPr>
  </w:style>
  <w:style w:type="character" w:customStyle="1" w:styleId="FooterChar">
    <w:name w:val="Footer Char"/>
    <w:basedOn w:val="DefaultParagraphFont"/>
    <w:link w:val="Footer"/>
    <w:uiPriority w:val="99"/>
    <w:semiHidden/>
    <w:rsid w:val="00B7644F"/>
    <w:rPr>
      <w:rFonts w:ascii="Arial" w:hAnsi="Arial"/>
      <w:color w:val="333333" w:themeColor="text2"/>
      <w:sz w:val="18"/>
      <w:lang w:val="en-AU"/>
    </w:rPr>
  </w:style>
  <w:style w:type="table" w:styleId="TableGrid">
    <w:name w:val="Table Grid"/>
    <w:basedOn w:val="TableNormal"/>
    <w:uiPriority w:val="39"/>
    <w:rsid w:val="00527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Number">
    <w:name w:val="Body Text 1 Number"/>
    <w:basedOn w:val="Normal"/>
    <w:uiPriority w:val="2"/>
    <w:qFormat/>
    <w:rsid w:val="00527E8F"/>
    <w:pPr>
      <w:numPr>
        <w:numId w:val="16"/>
      </w:numPr>
      <w:spacing w:before="180" w:after="120"/>
      <w:ind w:left="357" w:hanging="357"/>
    </w:pPr>
  </w:style>
  <w:style w:type="paragraph" w:customStyle="1" w:styleId="BodyText2Letter">
    <w:name w:val="Body Text 2 Letter"/>
    <w:basedOn w:val="Normal"/>
    <w:uiPriority w:val="2"/>
    <w:qFormat/>
    <w:rsid w:val="00527E8F"/>
    <w:pPr>
      <w:numPr>
        <w:ilvl w:val="1"/>
        <w:numId w:val="16"/>
      </w:numPr>
      <w:spacing w:after="120"/>
      <w:ind w:left="714" w:hanging="357"/>
    </w:pPr>
  </w:style>
  <w:style w:type="paragraph" w:customStyle="1" w:styleId="BodyText3Roman">
    <w:name w:val="Body Text 3 Roman"/>
    <w:basedOn w:val="Normal"/>
    <w:uiPriority w:val="2"/>
    <w:qFormat/>
    <w:rsid w:val="00527E8F"/>
    <w:pPr>
      <w:numPr>
        <w:ilvl w:val="2"/>
        <w:numId w:val="16"/>
      </w:numPr>
      <w:spacing w:after="120"/>
      <w:ind w:left="1071" w:hanging="357"/>
    </w:pPr>
  </w:style>
  <w:style w:type="paragraph" w:customStyle="1" w:styleId="TableText">
    <w:name w:val="Table Text"/>
    <w:basedOn w:val="BodyText"/>
    <w:uiPriority w:val="4"/>
    <w:qFormat/>
    <w:rsid w:val="002C04AB"/>
    <w:pPr>
      <w:spacing w:before="40" w:after="40"/>
    </w:pPr>
  </w:style>
  <w:style w:type="character" w:customStyle="1" w:styleId="Heading1Char">
    <w:name w:val="Heading 1 Char"/>
    <w:basedOn w:val="DefaultParagraphFont"/>
    <w:link w:val="Heading1"/>
    <w:rsid w:val="007C27F3"/>
    <w:rPr>
      <w:rFonts w:ascii="Arial" w:eastAsiaTheme="majorEastAsia" w:hAnsi="Arial" w:cstheme="majorBidi"/>
      <w:b/>
      <w:color w:val="231EDC" w:themeColor="accent1"/>
      <w:sz w:val="32"/>
      <w:szCs w:val="32"/>
      <w:lang w:val="en-AU"/>
    </w:rPr>
  </w:style>
  <w:style w:type="paragraph" w:customStyle="1" w:styleId="BulletLevel1">
    <w:name w:val="Bullet Level 1"/>
    <w:basedOn w:val="Normal"/>
    <w:uiPriority w:val="2"/>
    <w:qFormat/>
    <w:rsid w:val="008E12E9"/>
    <w:pPr>
      <w:numPr>
        <w:numId w:val="163"/>
      </w:numPr>
      <w:spacing w:before="120" w:after="60"/>
    </w:pPr>
  </w:style>
  <w:style w:type="paragraph" w:customStyle="1" w:styleId="TableHeading">
    <w:name w:val="Table Heading"/>
    <w:basedOn w:val="Normal"/>
    <w:uiPriority w:val="3"/>
    <w:qFormat/>
    <w:rsid w:val="003B0283"/>
    <w:pPr>
      <w:keepNext/>
      <w:spacing w:before="60" w:after="60"/>
    </w:pPr>
    <w:rPr>
      <w:b/>
    </w:rPr>
  </w:style>
  <w:style w:type="paragraph" w:customStyle="1" w:styleId="BulletLevel2">
    <w:name w:val="Bullet Level 2"/>
    <w:basedOn w:val="Normal"/>
    <w:uiPriority w:val="2"/>
    <w:qFormat/>
    <w:rsid w:val="008E12E9"/>
    <w:pPr>
      <w:numPr>
        <w:ilvl w:val="1"/>
        <w:numId w:val="163"/>
      </w:numPr>
      <w:spacing w:before="120" w:after="60"/>
    </w:pPr>
  </w:style>
  <w:style w:type="paragraph" w:customStyle="1" w:styleId="BulletLevel3">
    <w:name w:val="Bullet Level 3"/>
    <w:basedOn w:val="Normal"/>
    <w:uiPriority w:val="2"/>
    <w:qFormat/>
    <w:rsid w:val="00527E8F"/>
    <w:pPr>
      <w:numPr>
        <w:ilvl w:val="2"/>
        <w:numId w:val="163"/>
      </w:numPr>
      <w:spacing w:before="120" w:after="60"/>
    </w:pPr>
  </w:style>
  <w:style w:type="character" w:customStyle="1" w:styleId="Heading3Char">
    <w:name w:val="Heading 3 Char"/>
    <w:basedOn w:val="DefaultParagraphFont"/>
    <w:link w:val="Heading3"/>
    <w:rsid w:val="007C27F3"/>
    <w:rPr>
      <w:rFonts w:ascii="Arial" w:eastAsiaTheme="majorEastAsia" w:hAnsi="Arial" w:cstheme="majorBidi"/>
      <w:b/>
      <w:sz w:val="26"/>
      <w:szCs w:val="24"/>
      <w:lang w:val="en-AU"/>
    </w:rPr>
  </w:style>
  <w:style w:type="paragraph" w:customStyle="1" w:styleId="AppendixHeading2">
    <w:name w:val="Appendix Heading 2"/>
    <w:basedOn w:val="Normal"/>
    <w:next w:val="BodyText"/>
    <w:uiPriority w:val="19"/>
    <w:qFormat/>
    <w:rsid w:val="00527E8F"/>
    <w:pPr>
      <w:keepNext/>
      <w:numPr>
        <w:ilvl w:val="1"/>
        <w:numId w:val="19"/>
      </w:numPr>
      <w:spacing w:before="240" w:after="120"/>
      <w:outlineLvl w:val="1"/>
    </w:pPr>
    <w:rPr>
      <w:rFonts w:asciiTheme="majorHAnsi" w:hAnsiTheme="majorHAnsi"/>
      <w:b/>
      <w:sz w:val="28"/>
    </w:rPr>
  </w:style>
  <w:style w:type="paragraph" w:customStyle="1" w:styleId="AppendixHeading3">
    <w:name w:val="Appendix Heading 3"/>
    <w:basedOn w:val="Normal"/>
    <w:next w:val="BodyText"/>
    <w:uiPriority w:val="19"/>
    <w:qFormat/>
    <w:rsid w:val="00527E8F"/>
    <w:pPr>
      <w:keepNext/>
      <w:numPr>
        <w:ilvl w:val="2"/>
        <w:numId w:val="19"/>
      </w:numPr>
      <w:spacing w:before="240" w:after="120"/>
      <w:outlineLvl w:val="2"/>
    </w:pPr>
    <w:rPr>
      <w:rFonts w:asciiTheme="majorHAnsi" w:hAnsiTheme="majorHAnsi"/>
      <w:b/>
      <w:sz w:val="24"/>
    </w:rPr>
  </w:style>
  <w:style w:type="paragraph" w:customStyle="1" w:styleId="AppendixHeading4">
    <w:name w:val="Appendix Heading 4"/>
    <w:basedOn w:val="Normal"/>
    <w:next w:val="BodyText"/>
    <w:uiPriority w:val="19"/>
    <w:qFormat/>
    <w:rsid w:val="00527E8F"/>
    <w:pPr>
      <w:keepNext/>
      <w:numPr>
        <w:ilvl w:val="3"/>
        <w:numId w:val="19"/>
      </w:numPr>
      <w:spacing w:before="240" w:after="120"/>
      <w:outlineLvl w:val="3"/>
    </w:pPr>
    <w:rPr>
      <w:rFonts w:asciiTheme="majorHAnsi" w:hAnsiTheme="majorHAnsi"/>
      <w:b/>
      <w:sz w:val="22"/>
    </w:rPr>
  </w:style>
  <w:style w:type="paragraph" w:customStyle="1" w:styleId="TableBullet">
    <w:name w:val="Table Bullet"/>
    <w:basedOn w:val="Normal"/>
    <w:uiPriority w:val="6"/>
    <w:qFormat/>
    <w:rsid w:val="00844B8A"/>
    <w:pPr>
      <w:numPr>
        <w:numId w:val="30"/>
      </w:numPr>
      <w:spacing w:before="40" w:after="40"/>
    </w:pPr>
  </w:style>
  <w:style w:type="paragraph" w:customStyle="1" w:styleId="FigureNumberandTitle">
    <w:name w:val="Figure Number and Title"/>
    <w:next w:val="FigureCaption"/>
    <w:uiPriority w:val="99"/>
    <w:semiHidden/>
    <w:rsid w:val="00552B1D"/>
    <w:pPr>
      <w:spacing w:before="120" w:after="40"/>
      <w:ind w:left="907" w:hanging="907"/>
    </w:pPr>
    <w:rPr>
      <w:b/>
    </w:rPr>
  </w:style>
  <w:style w:type="paragraph" w:customStyle="1" w:styleId="Sourcecitation">
    <w:name w:val="Source/citation"/>
    <w:next w:val="BodyText"/>
    <w:uiPriority w:val="99"/>
    <w:semiHidden/>
    <w:rsid w:val="004B2105"/>
    <w:pPr>
      <w:spacing w:before="40" w:after="40"/>
    </w:pPr>
    <w:rPr>
      <w:i/>
      <w:sz w:val="18"/>
    </w:rPr>
  </w:style>
  <w:style w:type="paragraph" w:customStyle="1" w:styleId="CoverHeading">
    <w:name w:val="Cover Heading"/>
    <w:basedOn w:val="Normal"/>
    <w:uiPriority w:val="99"/>
    <w:semiHidden/>
    <w:rsid w:val="00527E8F"/>
    <w:pPr>
      <w:spacing w:before="240" w:after="1200"/>
    </w:pPr>
    <w:rPr>
      <w:rFonts w:asciiTheme="majorHAnsi" w:hAnsiTheme="majorHAnsi"/>
      <w:b/>
      <w:color w:val="231EDC" w:themeColor="accent1"/>
      <w:sz w:val="52"/>
    </w:rPr>
  </w:style>
  <w:style w:type="paragraph" w:customStyle="1" w:styleId="CoverInformationBold">
    <w:name w:val="Cover Information Bold"/>
    <w:basedOn w:val="CoverInformation"/>
    <w:uiPriority w:val="99"/>
    <w:semiHidden/>
    <w:rsid w:val="00392D1A"/>
    <w:pPr>
      <w:spacing w:after="0"/>
    </w:pPr>
    <w:rPr>
      <w:b/>
      <w:bCs/>
    </w:rPr>
  </w:style>
  <w:style w:type="paragraph" w:customStyle="1" w:styleId="CoverInformation">
    <w:name w:val="Cover Information"/>
    <w:basedOn w:val="Normal"/>
    <w:uiPriority w:val="99"/>
    <w:semiHidden/>
    <w:rsid w:val="00527E8F"/>
    <w:pPr>
      <w:spacing w:after="480"/>
      <w:contextualSpacing/>
    </w:pPr>
    <w:rPr>
      <w:rFonts w:ascii="Jacobs Chronos Light" w:hAnsi="Jacobs Chronos Light"/>
      <w:sz w:val="28"/>
    </w:rPr>
  </w:style>
  <w:style w:type="paragraph" w:customStyle="1" w:styleId="TableText1Number">
    <w:name w:val="Table Text 1 Number"/>
    <w:basedOn w:val="TableText"/>
    <w:uiPriority w:val="99"/>
    <w:semiHidden/>
    <w:rsid w:val="008E484D"/>
  </w:style>
  <w:style w:type="paragraph" w:customStyle="1" w:styleId="Disclaimer">
    <w:name w:val="Disclaimer"/>
    <w:basedOn w:val="Normal"/>
    <w:uiPriority w:val="99"/>
    <w:semiHidden/>
    <w:rsid w:val="00527E8F"/>
    <w:pPr>
      <w:spacing w:before="180"/>
    </w:pPr>
    <w:rPr>
      <w:rFonts w:ascii="Jacobs Chronos Light" w:hAnsi="Jacobs Chronos Light"/>
      <w:sz w:val="16"/>
    </w:rPr>
  </w:style>
  <w:style w:type="character" w:customStyle="1" w:styleId="Heading2Char">
    <w:name w:val="Heading 2 Char"/>
    <w:basedOn w:val="DefaultParagraphFont"/>
    <w:link w:val="Heading2"/>
    <w:rsid w:val="007C27F3"/>
    <w:rPr>
      <w:rFonts w:ascii="Arial" w:eastAsiaTheme="majorEastAsia" w:hAnsi="Arial" w:cstheme="majorBidi"/>
      <w:b/>
      <w:sz w:val="28"/>
      <w:szCs w:val="26"/>
      <w:lang w:val="en-AU"/>
    </w:rPr>
  </w:style>
  <w:style w:type="paragraph" w:customStyle="1" w:styleId="Divider">
    <w:name w:val="Divider"/>
    <w:uiPriority w:val="99"/>
    <w:semiHidden/>
    <w:rsid w:val="00527E8F"/>
    <w:pPr>
      <w:outlineLvl w:val="0"/>
    </w:pPr>
    <w:rPr>
      <w:rFonts w:eastAsia="MS Gothic" w:cs="Jacobs Chronos Light"/>
      <w:b/>
      <w:color w:val="231EDC"/>
      <w:sz w:val="52"/>
      <w:szCs w:val="56"/>
    </w:rPr>
  </w:style>
  <w:style w:type="paragraph" w:customStyle="1" w:styleId="Headingunnumbered1">
    <w:name w:val="Heading (unnumbered) 1"/>
    <w:basedOn w:val="Normal"/>
    <w:next w:val="BodyText"/>
    <w:uiPriority w:val="1"/>
    <w:qFormat/>
    <w:rsid w:val="00527E8F"/>
    <w:pPr>
      <w:keepNext/>
      <w:spacing w:before="240" w:after="120"/>
      <w:outlineLvl w:val="0"/>
    </w:pPr>
    <w:rPr>
      <w:rFonts w:asciiTheme="majorHAnsi" w:hAnsiTheme="majorHAnsi"/>
      <w:b/>
      <w:color w:val="231EDC" w:themeColor="accent1"/>
      <w:sz w:val="32"/>
    </w:rPr>
  </w:style>
  <w:style w:type="paragraph" w:customStyle="1" w:styleId="Headingunnumbered2">
    <w:name w:val="Heading (unnumbered) 2"/>
    <w:basedOn w:val="Normal"/>
    <w:next w:val="BodyText"/>
    <w:uiPriority w:val="1"/>
    <w:qFormat/>
    <w:rsid w:val="00527E8F"/>
    <w:pPr>
      <w:keepNext/>
      <w:spacing w:before="240" w:after="120"/>
      <w:outlineLvl w:val="1"/>
    </w:pPr>
    <w:rPr>
      <w:rFonts w:asciiTheme="majorHAnsi" w:hAnsiTheme="majorHAnsi"/>
      <w:b/>
      <w:sz w:val="28"/>
    </w:rPr>
  </w:style>
  <w:style w:type="paragraph" w:customStyle="1" w:styleId="Headingunnumbered3">
    <w:name w:val="Heading (unnumbered) 3"/>
    <w:basedOn w:val="Normal"/>
    <w:next w:val="BodyText"/>
    <w:uiPriority w:val="1"/>
    <w:qFormat/>
    <w:rsid w:val="00527E8F"/>
    <w:pPr>
      <w:keepNext/>
      <w:spacing w:before="240" w:after="120"/>
      <w:outlineLvl w:val="2"/>
    </w:pPr>
    <w:rPr>
      <w:rFonts w:asciiTheme="majorHAnsi" w:hAnsiTheme="majorHAnsi"/>
      <w:b/>
      <w:sz w:val="24"/>
    </w:rPr>
  </w:style>
  <w:style w:type="paragraph" w:customStyle="1" w:styleId="TableText2Letter">
    <w:name w:val="Table Text 2 Letter"/>
    <w:basedOn w:val="TableText1Number"/>
    <w:uiPriority w:val="99"/>
    <w:semiHidden/>
    <w:rsid w:val="00025ACF"/>
  </w:style>
  <w:style w:type="paragraph" w:styleId="BalloonText">
    <w:name w:val="Balloon Text"/>
    <w:basedOn w:val="Normal"/>
    <w:link w:val="BalloonTextChar"/>
    <w:uiPriority w:val="99"/>
    <w:semiHidden/>
    <w:unhideWhenUsed/>
    <w:rsid w:val="00527E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E8F"/>
    <w:rPr>
      <w:rFonts w:ascii="Segoe UI" w:hAnsi="Segoe UI" w:cs="Segoe UI"/>
      <w:sz w:val="18"/>
      <w:szCs w:val="18"/>
    </w:rPr>
  </w:style>
  <w:style w:type="character" w:styleId="CommentReference">
    <w:name w:val="annotation reference"/>
    <w:basedOn w:val="DefaultParagraphFont"/>
    <w:uiPriority w:val="39"/>
    <w:semiHidden/>
    <w:unhideWhenUsed/>
    <w:rsid w:val="00527E8F"/>
    <w:rPr>
      <w:sz w:val="16"/>
      <w:szCs w:val="16"/>
    </w:rPr>
  </w:style>
  <w:style w:type="paragraph" w:styleId="CommentText">
    <w:name w:val="annotation text"/>
    <w:basedOn w:val="Normal"/>
    <w:link w:val="CommentTextChar"/>
    <w:uiPriority w:val="39"/>
    <w:unhideWhenUsed/>
    <w:rsid w:val="00527E8F"/>
  </w:style>
  <w:style w:type="character" w:customStyle="1" w:styleId="CommentTextChar">
    <w:name w:val="Comment Text Char"/>
    <w:basedOn w:val="DefaultParagraphFont"/>
    <w:link w:val="CommentText"/>
    <w:uiPriority w:val="39"/>
    <w:rsid w:val="00527E8F"/>
    <w:rPr>
      <w:rFonts w:asciiTheme="minorHAnsi" w:hAnsiTheme="minorHAnsi"/>
    </w:rPr>
  </w:style>
  <w:style w:type="paragraph" w:styleId="CommentSubject">
    <w:name w:val="annotation subject"/>
    <w:basedOn w:val="CommentText"/>
    <w:next w:val="CommentText"/>
    <w:link w:val="CommentSubjectChar"/>
    <w:uiPriority w:val="99"/>
    <w:semiHidden/>
    <w:unhideWhenUsed/>
    <w:rsid w:val="00527E8F"/>
    <w:rPr>
      <w:b/>
      <w:bCs/>
    </w:rPr>
  </w:style>
  <w:style w:type="character" w:customStyle="1" w:styleId="CommentSubjectChar">
    <w:name w:val="Comment Subject Char"/>
    <w:basedOn w:val="CommentTextChar"/>
    <w:link w:val="CommentSubject"/>
    <w:uiPriority w:val="99"/>
    <w:semiHidden/>
    <w:rsid w:val="00527E8F"/>
    <w:rPr>
      <w:rFonts w:asciiTheme="minorHAnsi" w:hAnsiTheme="minorHAnsi"/>
      <w:b/>
      <w:bCs/>
    </w:rPr>
  </w:style>
  <w:style w:type="table" w:styleId="PlainTable1">
    <w:name w:val="Plain Table 1"/>
    <w:basedOn w:val="TableNormal"/>
    <w:uiPriority w:val="41"/>
    <w:rsid w:val="00527E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527E8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semiHidden/>
    <w:rsid w:val="00FB4765"/>
    <w:tblPr/>
  </w:style>
  <w:style w:type="table" w:customStyle="1" w:styleId="Style2">
    <w:name w:val="Style2"/>
    <w:basedOn w:val="TableNormal"/>
    <w:uiPriority w:val="99"/>
    <w:semiHidden/>
    <w:rsid w:val="00FB4765"/>
    <w:tblPr/>
  </w:style>
  <w:style w:type="table" w:styleId="GridTable4-Accent6">
    <w:name w:val="Grid Table 4 Accent 6"/>
    <w:basedOn w:val="TableNormal"/>
    <w:uiPriority w:val="49"/>
    <w:rsid w:val="00527E8F"/>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insideV w:val="nil"/>
        </w:tcBorders>
        <w:shd w:val="clear" w:color="auto" w:fill="C8C8C8" w:themeFill="accent6"/>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paragraph" w:customStyle="1" w:styleId="TableText3Roman">
    <w:name w:val="Table Text 3 Roman"/>
    <w:basedOn w:val="TableText"/>
    <w:uiPriority w:val="99"/>
    <w:semiHidden/>
    <w:rsid w:val="008E484D"/>
  </w:style>
  <w:style w:type="paragraph" w:customStyle="1" w:styleId="BodyTextBold">
    <w:name w:val="Body Text Bold"/>
    <w:basedOn w:val="BodyText"/>
    <w:next w:val="BodyText"/>
    <w:uiPriority w:val="99"/>
    <w:semiHidden/>
    <w:rsid w:val="00DF23AB"/>
    <w:rPr>
      <w:b/>
    </w:rPr>
  </w:style>
  <w:style w:type="paragraph" w:customStyle="1" w:styleId="TableTextBold">
    <w:name w:val="Table Text Bold"/>
    <w:basedOn w:val="TableText"/>
    <w:next w:val="TableText"/>
    <w:uiPriority w:val="99"/>
    <w:semiHidden/>
    <w:rsid w:val="00767E98"/>
    <w:rPr>
      <w:b/>
    </w:rPr>
  </w:style>
  <w:style w:type="paragraph" w:customStyle="1" w:styleId="TableHeading2">
    <w:name w:val="Table Heading 2"/>
    <w:basedOn w:val="Normal"/>
    <w:uiPriority w:val="4"/>
    <w:qFormat/>
    <w:rsid w:val="008B7076"/>
    <w:pPr>
      <w:spacing w:before="60" w:after="60"/>
    </w:pPr>
    <w:rPr>
      <w:b/>
      <w:sz w:val="22"/>
    </w:rPr>
  </w:style>
  <w:style w:type="character" w:styleId="Hyperlink">
    <w:name w:val="Hyperlink"/>
    <w:basedOn w:val="DefaultParagraphFont"/>
    <w:uiPriority w:val="99"/>
    <w:rsid w:val="00527E8F"/>
    <w:rPr>
      <w:color w:val="231EDC" w:themeColor="hyperlink"/>
      <w:u w:val="single"/>
    </w:rPr>
  </w:style>
  <w:style w:type="paragraph" w:customStyle="1" w:styleId="DocumentSubject">
    <w:name w:val="Document Subject"/>
    <w:basedOn w:val="Normal"/>
    <w:uiPriority w:val="99"/>
    <w:semiHidden/>
    <w:rsid w:val="00527E8F"/>
    <w:pPr>
      <w:spacing w:before="360" w:after="240"/>
    </w:pPr>
    <w:rPr>
      <w:rFonts w:ascii="Jacobs Chronos Light" w:hAnsi="Jacobs Chronos Light"/>
      <w:b/>
      <w:color w:val="231EDC" w:themeColor="accent1"/>
      <w:sz w:val="24"/>
    </w:rPr>
  </w:style>
  <w:style w:type="character" w:customStyle="1" w:styleId="Heading4Char">
    <w:name w:val="Heading 4 Char"/>
    <w:basedOn w:val="DefaultParagraphFont"/>
    <w:link w:val="Heading4"/>
    <w:rsid w:val="007C27F3"/>
    <w:rPr>
      <w:rFonts w:ascii="Arial" w:eastAsiaTheme="majorEastAsia" w:hAnsi="Arial" w:cstheme="majorBidi"/>
      <w:b/>
      <w:iCs/>
      <w:sz w:val="24"/>
      <w:lang w:val="en-AU"/>
    </w:rPr>
  </w:style>
  <w:style w:type="character" w:customStyle="1" w:styleId="Heading5Char">
    <w:name w:val="Heading 5 Char"/>
    <w:basedOn w:val="DefaultParagraphFont"/>
    <w:link w:val="Heading5"/>
    <w:rsid w:val="007C27F3"/>
    <w:rPr>
      <w:rFonts w:ascii="Arial" w:eastAsiaTheme="majorEastAsia" w:hAnsi="Arial" w:cstheme="majorBidi"/>
      <w:b/>
      <w:sz w:val="22"/>
      <w:lang w:val="en-AU"/>
    </w:rPr>
  </w:style>
  <w:style w:type="character" w:customStyle="1" w:styleId="Heading6Char">
    <w:name w:val="Heading 6 Char"/>
    <w:basedOn w:val="DefaultParagraphFont"/>
    <w:link w:val="Heading6"/>
    <w:rsid w:val="007C27F3"/>
    <w:rPr>
      <w:rFonts w:ascii="Arial" w:eastAsiaTheme="majorEastAsia" w:hAnsi="Arial" w:cstheme="majorBidi"/>
      <w:b/>
      <w:lang w:val="en-AU"/>
    </w:rPr>
  </w:style>
  <w:style w:type="character" w:customStyle="1" w:styleId="Heading7Char">
    <w:name w:val="Heading 7 Char"/>
    <w:basedOn w:val="DefaultParagraphFont"/>
    <w:link w:val="Heading7"/>
    <w:uiPriority w:val="99"/>
    <w:semiHidden/>
    <w:rsid w:val="00527E8F"/>
    <w:rPr>
      <w:rFonts w:eastAsiaTheme="majorEastAsia" w:cstheme="majorBidi"/>
      <w:b/>
      <w:iCs/>
      <w:lang w:val="en-AU"/>
    </w:rPr>
  </w:style>
  <w:style w:type="character" w:customStyle="1" w:styleId="Heading8Char">
    <w:name w:val="Heading 8 Char"/>
    <w:basedOn w:val="DefaultParagraphFont"/>
    <w:link w:val="Heading8"/>
    <w:uiPriority w:val="99"/>
    <w:semiHidden/>
    <w:rsid w:val="00527E8F"/>
    <w:rPr>
      <w:rFonts w:eastAsiaTheme="majorEastAsia" w:cstheme="majorBidi"/>
      <w:b/>
      <w:sz w:val="21"/>
      <w:szCs w:val="21"/>
      <w:lang w:val="en-AU"/>
    </w:rPr>
  </w:style>
  <w:style w:type="character" w:customStyle="1" w:styleId="Heading9Char">
    <w:name w:val="Heading 9 Char"/>
    <w:aliases w:val="Appendix Heading 1 Char"/>
    <w:basedOn w:val="DefaultParagraphFont"/>
    <w:link w:val="Heading9"/>
    <w:uiPriority w:val="19"/>
    <w:rsid w:val="00527E8F"/>
    <w:rPr>
      <w:rFonts w:eastAsiaTheme="majorEastAsia" w:cstheme="majorBidi"/>
      <w:b/>
      <w:iCs/>
      <w:color w:val="231EDC" w:themeColor="accent1"/>
      <w:sz w:val="32"/>
      <w:szCs w:val="21"/>
      <w:lang w:val="en-AU"/>
    </w:rPr>
  </w:style>
  <w:style w:type="numbering" w:styleId="ArticleSection">
    <w:name w:val="Outline List 3"/>
    <w:aliases w:val="REMOVE 3"/>
    <w:basedOn w:val="NoList"/>
    <w:uiPriority w:val="99"/>
    <w:semiHidden/>
    <w:unhideWhenUsed/>
    <w:rsid w:val="00E6345A"/>
    <w:pPr>
      <w:numPr>
        <w:numId w:val="1"/>
      </w:numPr>
    </w:pPr>
  </w:style>
  <w:style w:type="paragraph" w:customStyle="1" w:styleId="TableTextItalic">
    <w:name w:val="Table Text Italic"/>
    <w:basedOn w:val="TableText"/>
    <w:uiPriority w:val="99"/>
    <w:semiHidden/>
    <w:rsid w:val="00767E98"/>
    <w:rPr>
      <w:i/>
    </w:rPr>
  </w:style>
  <w:style w:type="paragraph" w:customStyle="1" w:styleId="CaptionSubText">
    <w:name w:val="Caption Sub Text"/>
    <w:basedOn w:val="Caption"/>
    <w:next w:val="BodyText"/>
    <w:uiPriority w:val="99"/>
    <w:semiHidden/>
    <w:rsid w:val="004B2105"/>
    <w:rPr>
      <w:rFonts w:cs="Jacobs Chronos Light"/>
      <w:b w:val="0"/>
      <w:szCs w:val="16"/>
    </w:rPr>
  </w:style>
  <w:style w:type="paragraph" w:customStyle="1" w:styleId="Footnote">
    <w:name w:val="Footnote"/>
    <w:basedOn w:val="BodyText"/>
    <w:next w:val="BodyText"/>
    <w:uiPriority w:val="99"/>
    <w:semiHidden/>
    <w:rsid w:val="00025ACF"/>
    <w:pPr>
      <w:numPr>
        <w:numId w:val="2"/>
      </w:numPr>
      <w:spacing w:before="40" w:after="40"/>
      <w:ind w:left="170" w:hanging="170"/>
    </w:pPr>
    <w:rPr>
      <w:rFonts w:cs="Jacobs Chronos Light"/>
      <w:sz w:val="16"/>
      <w:szCs w:val="16"/>
    </w:rPr>
  </w:style>
  <w:style w:type="paragraph" w:customStyle="1" w:styleId="QuoteText">
    <w:name w:val="Quote Text"/>
    <w:basedOn w:val="Normal"/>
    <w:uiPriority w:val="7"/>
    <w:qFormat/>
    <w:rsid w:val="00527E8F"/>
    <w:pPr>
      <w:spacing w:before="60" w:after="40"/>
      <w:ind w:left="1134" w:right="1134"/>
    </w:pPr>
    <w:rPr>
      <w:rFonts w:ascii="Jacobs Chronos Cd" w:hAnsi="Jacobs Chronos Cd"/>
      <w:i/>
      <w:color w:val="231EDC" w:themeColor="accent1"/>
    </w:rPr>
  </w:style>
  <w:style w:type="paragraph" w:customStyle="1" w:styleId="QuoteAuthor">
    <w:name w:val="Quote Author"/>
    <w:basedOn w:val="Normal"/>
    <w:uiPriority w:val="8"/>
    <w:qFormat/>
    <w:rsid w:val="00527E8F"/>
    <w:pPr>
      <w:spacing w:before="40" w:after="40"/>
      <w:ind w:left="1134" w:right="1134"/>
    </w:pPr>
    <w:rPr>
      <w:rFonts w:ascii="Jacobs Chronos Cd" w:hAnsi="Jacobs Chronos Cd"/>
      <w:color w:val="333333" w:themeColor="text2"/>
    </w:rPr>
  </w:style>
  <w:style w:type="paragraph" w:customStyle="1" w:styleId="QuoteAuthorTitle">
    <w:name w:val="Quote Author Title"/>
    <w:basedOn w:val="Normal"/>
    <w:next w:val="BodyText"/>
    <w:uiPriority w:val="8"/>
    <w:qFormat/>
    <w:rsid w:val="00527E8F"/>
    <w:pPr>
      <w:spacing w:before="40" w:after="60"/>
      <w:ind w:left="1134" w:right="1134"/>
    </w:pPr>
    <w:rPr>
      <w:rFonts w:ascii="Jacobs Chronos Cd" w:hAnsi="Jacobs Chronos Cd"/>
      <w:i/>
      <w:color w:val="333333" w:themeColor="text2"/>
      <w:sz w:val="16"/>
    </w:rPr>
  </w:style>
  <w:style w:type="paragraph" w:customStyle="1" w:styleId="FigureCaption">
    <w:name w:val="Figure Caption"/>
    <w:basedOn w:val="Caption"/>
    <w:next w:val="BodyText"/>
    <w:uiPriority w:val="99"/>
    <w:semiHidden/>
    <w:rsid w:val="00527E8F"/>
  </w:style>
  <w:style w:type="paragraph" w:customStyle="1" w:styleId="TableNumberandTitle">
    <w:name w:val="Table Number and Title"/>
    <w:next w:val="TableCaption"/>
    <w:uiPriority w:val="99"/>
    <w:semiHidden/>
    <w:rsid w:val="00552B1D"/>
    <w:pPr>
      <w:keepNext/>
      <w:numPr>
        <w:numId w:val="5"/>
      </w:numPr>
      <w:spacing w:before="120" w:after="40"/>
      <w:ind w:left="700" w:hanging="360"/>
    </w:pPr>
    <w:rPr>
      <w:b/>
      <w:color w:val="333333"/>
    </w:rPr>
  </w:style>
  <w:style w:type="paragraph" w:customStyle="1" w:styleId="TableCaption">
    <w:name w:val="Table Caption"/>
    <w:basedOn w:val="Caption"/>
    <w:next w:val="BodyText"/>
    <w:uiPriority w:val="99"/>
    <w:semiHidden/>
    <w:rsid w:val="00527E8F"/>
    <w:pPr>
      <w:keepNext/>
    </w:pPr>
  </w:style>
  <w:style w:type="paragraph" w:customStyle="1" w:styleId="InstructionalText">
    <w:name w:val="Instructional Text"/>
    <w:uiPriority w:val="99"/>
    <w:semiHidden/>
    <w:rsid w:val="004B2105"/>
    <w:pPr>
      <w:spacing w:before="120" w:after="120"/>
    </w:pPr>
    <w:rPr>
      <w:i/>
      <w:sz w:val="18"/>
    </w:rPr>
  </w:style>
  <w:style w:type="paragraph" w:customStyle="1" w:styleId="BodyText4Number">
    <w:name w:val="Body Text 4 Number"/>
    <w:basedOn w:val="Normal"/>
    <w:uiPriority w:val="2"/>
    <w:qFormat/>
    <w:rsid w:val="00527E8F"/>
    <w:pPr>
      <w:numPr>
        <w:ilvl w:val="3"/>
        <w:numId w:val="16"/>
      </w:numPr>
      <w:spacing w:after="120"/>
    </w:pPr>
  </w:style>
  <w:style w:type="paragraph" w:styleId="TOC1">
    <w:name w:val="toc 1"/>
    <w:basedOn w:val="Normal"/>
    <w:next w:val="Normal"/>
    <w:autoRedefine/>
    <w:uiPriority w:val="99"/>
    <w:semiHidden/>
    <w:rsid w:val="00527E8F"/>
    <w:pPr>
      <w:spacing w:after="100"/>
      <w:ind w:left="567" w:hanging="567"/>
    </w:pPr>
    <w:rPr>
      <w:b/>
    </w:rPr>
  </w:style>
  <w:style w:type="paragraph" w:styleId="TOC2">
    <w:name w:val="toc 2"/>
    <w:basedOn w:val="Normal"/>
    <w:next w:val="Normal"/>
    <w:autoRedefine/>
    <w:uiPriority w:val="39"/>
    <w:rsid w:val="00527E8F"/>
    <w:pPr>
      <w:spacing w:after="100"/>
      <w:ind w:left="1134" w:hanging="567"/>
    </w:pPr>
  </w:style>
  <w:style w:type="paragraph" w:styleId="TOC3">
    <w:name w:val="toc 3"/>
    <w:basedOn w:val="Normal"/>
    <w:next w:val="Normal"/>
    <w:autoRedefine/>
    <w:uiPriority w:val="99"/>
    <w:semiHidden/>
    <w:rsid w:val="00527E8F"/>
    <w:pPr>
      <w:spacing w:after="100"/>
      <w:ind w:left="1701" w:hanging="567"/>
    </w:pPr>
  </w:style>
  <w:style w:type="paragraph" w:styleId="TOCHeading">
    <w:name w:val="TOC Heading"/>
    <w:basedOn w:val="Normal"/>
    <w:next w:val="Normal"/>
    <w:uiPriority w:val="99"/>
    <w:semiHidden/>
    <w:rsid w:val="00527E8F"/>
    <w:pPr>
      <w:spacing w:before="120" w:after="120"/>
      <w:outlineLvl w:val="0"/>
    </w:pPr>
    <w:rPr>
      <w:rFonts w:asciiTheme="majorHAnsi" w:hAnsiTheme="majorHAnsi"/>
      <w:b/>
      <w:color w:val="231EDC" w:themeColor="accent1"/>
      <w:sz w:val="28"/>
    </w:rPr>
  </w:style>
  <w:style w:type="paragraph" w:customStyle="1" w:styleId="TableBullet2ndLevel">
    <w:name w:val="Table Bullet 2nd Level"/>
    <w:basedOn w:val="TableBullet"/>
    <w:uiPriority w:val="99"/>
    <w:semiHidden/>
    <w:rsid w:val="00025ACF"/>
    <w:pPr>
      <w:numPr>
        <w:numId w:val="3"/>
      </w:numPr>
      <w:ind w:left="340" w:hanging="170"/>
    </w:pPr>
  </w:style>
  <w:style w:type="paragraph" w:styleId="FootnoteText">
    <w:name w:val="footnote text"/>
    <w:basedOn w:val="Normal"/>
    <w:link w:val="FootnoteTextChar"/>
    <w:uiPriority w:val="99"/>
    <w:semiHidden/>
    <w:rsid w:val="00527E8F"/>
    <w:pPr>
      <w:spacing w:before="60" w:after="60"/>
      <w:ind w:left="176" w:hanging="176"/>
    </w:pPr>
    <w:rPr>
      <w:sz w:val="16"/>
    </w:rPr>
  </w:style>
  <w:style w:type="character" w:customStyle="1" w:styleId="FootnoteTextChar">
    <w:name w:val="Footnote Text Char"/>
    <w:basedOn w:val="DefaultParagraphFont"/>
    <w:link w:val="FootnoteText"/>
    <w:uiPriority w:val="99"/>
    <w:semiHidden/>
    <w:rsid w:val="00527E8F"/>
    <w:rPr>
      <w:rFonts w:asciiTheme="minorHAnsi" w:hAnsiTheme="minorHAnsi"/>
      <w:sz w:val="16"/>
    </w:rPr>
  </w:style>
  <w:style w:type="paragraph" w:customStyle="1" w:styleId="HeaderSpacer">
    <w:name w:val="Header Spacer"/>
    <w:basedOn w:val="Header"/>
    <w:uiPriority w:val="99"/>
    <w:semiHidden/>
    <w:rsid w:val="00527E8F"/>
    <w:rPr>
      <w:sz w:val="16"/>
    </w:rPr>
  </w:style>
  <w:style w:type="paragraph" w:customStyle="1" w:styleId="AcronymText">
    <w:name w:val="Acronym Text"/>
    <w:basedOn w:val="BodyText"/>
    <w:uiPriority w:val="99"/>
    <w:semiHidden/>
    <w:rsid w:val="00275197"/>
    <w:pPr>
      <w:tabs>
        <w:tab w:val="left" w:pos="2160"/>
      </w:tabs>
    </w:pPr>
  </w:style>
  <w:style w:type="paragraph" w:styleId="BodyText">
    <w:name w:val="Body Text"/>
    <w:basedOn w:val="Normal"/>
    <w:link w:val="BodyTextChar"/>
    <w:qFormat/>
    <w:rsid w:val="00527E8F"/>
    <w:pPr>
      <w:spacing w:before="180" w:after="60"/>
    </w:pPr>
  </w:style>
  <w:style w:type="character" w:customStyle="1" w:styleId="BodyTextChar">
    <w:name w:val="Body Text Char"/>
    <w:basedOn w:val="DefaultParagraphFont"/>
    <w:link w:val="BodyText"/>
    <w:rsid w:val="00527E8F"/>
    <w:rPr>
      <w:rFonts w:asciiTheme="minorHAnsi" w:hAnsiTheme="minorHAnsi"/>
    </w:rPr>
  </w:style>
  <w:style w:type="paragraph" w:customStyle="1" w:styleId="TableNotes">
    <w:name w:val="Table Notes"/>
    <w:basedOn w:val="Normal"/>
    <w:uiPriority w:val="6"/>
    <w:qFormat/>
    <w:rsid w:val="00527E8F"/>
    <w:pPr>
      <w:spacing w:before="80" w:after="80"/>
    </w:pPr>
    <w:rPr>
      <w:rFonts w:ascii="Jacobs Chronos Cd" w:hAnsi="Jacobs Chronos Cd"/>
      <w:sz w:val="16"/>
    </w:rPr>
  </w:style>
  <w:style w:type="paragraph" w:styleId="Caption">
    <w:name w:val="caption"/>
    <w:basedOn w:val="Normal"/>
    <w:next w:val="BodyText"/>
    <w:uiPriority w:val="99"/>
    <w:semiHidden/>
    <w:rsid w:val="00527E8F"/>
    <w:pPr>
      <w:spacing w:before="120" w:after="40"/>
    </w:pPr>
    <w:rPr>
      <w:b/>
      <w:iCs/>
      <w:color w:val="333333" w:themeColor="text2"/>
      <w:szCs w:val="18"/>
    </w:rPr>
  </w:style>
  <w:style w:type="paragraph" w:customStyle="1" w:styleId="TableNotesIndented">
    <w:name w:val="Table Notes Indented"/>
    <w:basedOn w:val="Normal"/>
    <w:uiPriority w:val="6"/>
    <w:qFormat/>
    <w:rsid w:val="00527E8F"/>
    <w:pPr>
      <w:spacing w:before="80" w:after="80"/>
      <w:ind w:left="113"/>
    </w:pPr>
    <w:rPr>
      <w:rFonts w:ascii="Jacobs Chronos Cd" w:hAnsi="Jacobs Chronos Cd"/>
      <w:sz w:val="16"/>
    </w:rPr>
  </w:style>
  <w:style w:type="character" w:styleId="PlaceholderText">
    <w:name w:val="Placeholder Text"/>
    <w:basedOn w:val="DefaultParagraphFont"/>
    <w:uiPriority w:val="99"/>
    <w:semiHidden/>
    <w:rsid w:val="00527E8F"/>
    <w:rPr>
      <w:i/>
      <w:color w:val="auto"/>
      <w:bdr w:val="none" w:sz="0" w:space="0" w:color="auto"/>
      <w:shd w:val="clear" w:color="auto" w:fill="auto"/>
    </w:rPr>
  </w:style>
  <w:style w:type="paragraph" w:customStyle="1" w:styleId="TableBullet3rdLevel">
    <w:name w:val="Table Bullet 3rd Level"/>
    <w:basedOn w:val="TableBullet2ndLevel"/>
    <w:uiPriority w:val="99"/>
    <w:semiHidden/>
    <w:rsid w:val="00025ACF"/>
    <w:pPr>
      <w:numPr>
        <w:numId w:val="4"/>
      </w:numPr>
      <w:ind w:left="510" w:hanging="170"/>
    </w:pPr>
  </w:style>
  <w:style w:type="character" w:styleId="FootnoteReference">
    <w:name w:val="footnote reference"/>
    <w:basedOn w:val="DefaultParagraphFont"/>
    <w:uiPriority w:val="99"/>
    <w:semiHidden/>
    <w:unhideWhenUsed/>
    <w:rsid w:val="00527E8F"/>
    <w:rPr>
      <w:vertAlign w:val="superscript"/>
    </w:rPr>
  </w:style>
  <w:style w:type="paragraph" w:styleId="BodyText3">
    <w:name w:val="Body Text 3"/>
    <w:basedOn w:val="Normal"/>
    <w:link w:val="BodyText3Char"/>
    <w:uiPriority w:val="99"/>
    <w:semiHidden/>
    <w:unhideWhenUsed/>
    <w:rsid w:val="00527E8F"/>
    <w:pPr>
      <w:spacing w:after="120"/>
    </w:pPr>
    <w:rPr>
      <w:sz w:val="16"/>
      <w:szCs w:val="16"/>
    </w:rPr>
  </w:style>
  <w:style w:type="character" w:customStyle="1" w:styleId="BodyText3Char">
    <w:name w:val="Body Text 3 Char"/>
    <w:basedOn w:val="DefaultParagraphFont"/>
    <w:link w:val="BodyText3"/>
    <w:uiPriority w:val="99"/>
    <w:semiHidden/>
    <w:rsid w:val="00527E8F"/>
    <w:rPr>
      <w:rFonts w:asciiTheme="minorHAnsi" w:hAnsiTheme="minorHAnsi"/>
      <w:sz w:val="16"/>
      <w:szCs w:val="16"/>
    </w:rPr>
  </w:style>
  <w:style w:type="paragraph" w:customStyle="1" w:styleId="TableHeadingWhite">
    <w:name w:val="Table Heading White"/>
    <w:basedOn w:val="Normal"/>
    <w:uiPriority w:val="3"/>
    <w:qFormat/>
    <w:rsid w:val="008B7076"/>
    <w:pPr>
      <w:keepNext/>
      <w:spacing w:before="60" w:after="60"/>
    </w:pPr>
    <w:rPr>
      <w:b/>
      <w:color w:val="FFFFFF" w:themeColor="background1"/>
      <w:sz w:val="24"/>
    </w:rPr>
  </w:style>
  <w:style w:type="paragraph" w:styleId="ListParagraph">
    <w:name w:val="List Paragraph"/>
    <w:aliases w:val="Bullet List,NFP GP Bulleted List,Recommendation,List Paragraph1,L,List Paragraph11,List Paragraph Number,Bullet point,Content descriptions,Bullet Point,bullet point list,List Paragraph2"/>
    <w:basedOn w:val="Normal"/>
    <w:link w:val="ListParagraphChar"/>
    <w:uiPriority w:val="34"/>
    <w:qFormat/>
    <w:rsid w:val="00527E8F"/>
    <w:pPr>
      <w:ind w:left="720"/>
      <w:contextualSpacing/>
    </w:pPr>
  </w:style>
  <w:style w:type="paragraph" w:customStyle="1" w:styleId="BlankPage">
    <w:name w:val="Blank Page"/>
    <w:basedOn w:val="Normal"/>
    <w:uiPriority w:val="99"/>
    <w:semiHidden/>
    <w:rsid w:val="00527E8F"/>
    <w:rPr>
      <w:rFonts w:eastAsiaTheme="majorEastAsia" w:cs="Jacobs Chronos Light"/>
      <w:b/>
      <w:color w:val="231EDC" w:themeColor="accent1"/>
      <w:sz w:val="28"/>
      <w:szCs w:val="56"/>
    </w:rPr>
  </w:style>
  <w:style w:type="table" w:customStyle="1" w:styleId="TableGrid1">
    <w:name w:val="Table Grid1"/>
    <w:basedOn w:val="TableNormal"/>
    <w:next w:val="TableGrid"/>
    <w:uiPriority w:val="99"/>
    <w:semiHidden/>
    <w:rsid w:val="00F25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rsid w:val="00527E8F"/>
  </w:style>
  <w:style w:type="numbering" w:customStyle="1" w:styleId="Headings">
    <w:name w:val="Headings"/>
    <w:uiPriority w:val="99"/>
    <w:semiHidden/>
    <w:rsid w:val="00527E8F"/>
    <w:pPr>
      <w:numPr>
        <w:numId w:val="8"/>
      </w:numPr>
    </w:pPr>
  </w:style>
  <w:style w:type="paragraph" w:customStyle="1" w:styleId="TableNumber">
    <w:name w:val="Table Number"/>
    <w:basedOn w:val="Normal"/>
    <w:uiPriority w:val="5"/>
    <w:qFormat/>
    <w:rsid w:val="002C04AB"/>
    <w:pPr>
      <w:numPr>
        <w:numId w:val="18"/>
      </w:numPr>
      <w:spacing w:before="40" w:after="40"/>
    </w:pPr>
  </w:style>
  <w:style w:type="paragraph" w:styleId="Title">
    <w:name w:val="Title"/>
    <w:basedOn w:val="Normal"/>
    <w:next w:val="Normal"/>
    <w:link w:val="TitleChar"/>
    <w:uiPriority w:val="99"/>
    <w:rsid w:val="00527E8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527E8F"/>
    <w:rPr>
      <w:rFonts w:eastAsiaTheme="majorEastAsia" w:cstheme="majorBidi"/>
      <w:spacing w:val="-10"/>
      <w:kern w:val="28"/>
      <w:sz w:val="56"/>
      <w:szCs w:val="56"/>
    </w:rPr>
  </w:style>
  <w:style w:type="paragraph" w:styleId="Bibliography">
    <w:name w:val="Bibliography"/>
    <w:basedOn w:val="Normal"/>
    <w:next w:val="Normal"/>
    <w:uiPriority w:val="99"/>
    <w:semiHidden/>
    <w:unhideWhenUsed/>
    <w:rsid w:val="00527E8F"/>
  </w:style>
  <w:style w:type="paragraph" w:styleId="BlockText">
    <w:name w:val="Block Text"/>
    <w:basedOn w:val="Normal"/>
    <w:uiPriority w:val="99"/>
    <w:semiHidden/>
    <w:unhideWhenUsed/>
    <w:rsid w:val="00527E8F"/>
    <w:pPr>
      <w:pBdr>
        <w:top w:val="single" w:sz="2" w:space="10" w:color="231EDC" w:themeColor="accent1" w:frame="1"/>
        <w:left w:val="single" w:sz="2" w:space="10" w:color="231EDC" w:themeColor="accent1" w:frame="1"/>
        <w:bottom w:val="single" w:sz="2" w:space="10" w:color="231EDC" w:themeColor="accent1" w:frame="1"/>
        <w:right w:val="single" w:sz="2" w:space="10" w:color="231EDC" w:themeColor="accent1" w:frame="1"/>
      </w:pBdr>
      <w:ind w:left="1152" w:right="1152"/>
    </w:pPr>
    <w:rPr>
      <w:i/>
      <w:iCs/>
      <w:color w:val="231EDC" w:themeColor="accent1"/>
    </w:rPr>
  </w:style>
  <w:style w:type="paragraph" w:styleId="BodyText2">
    <w:name w:val="Body Text 2"/>
    <w:basedOn w:val="Normal"/>
    <w:link w:val="BodyText2Char"/>
    <w:uiPriority w:val="99"/>
    <w:semiHidden/>
    <w:unhideWhenUsed/>
    <w:rsid w:val="00527E8F"/>
    <w:pPr>
      <w:spacing w:after="120" w:line="480" w:lineRule="auto"/>
    </w:pPr>
  </w:style>
  <w:style w:type="character" w:customStyle="1" w:styleId="BodyText2Char">
    <w:name w:val="Body Text 2 Char"/>
    <w:basedOn w:val="DefaultParagraphFont"/>
    <w:link w:val="BodyText2"/>
    <w:uiPriority w:val="99"/>
    <w:semiHidden/>
    <w:rsid w:val="00527E8F"/>
    <w:rPr>
      <w:rFonts w:asciiTheme="minorHAnsi" w:hAnsiTheme="minorHAnsi"/>
    </w:rPr>
  </w:style>
  <w:style w:type="paragraph" w:styleId="BodyTextFirstIndent">
    <w:name w:val="Body Text First Indent"/>
    <w:basedOn w:val="BodyText"/>
    <w:link w:val="BodyTextFirstIndentChar"/>
    <w:uiPriority w:val="99"/>
    <w:semiHidden/>
    <w:unhideWhenUsed/>
    <w:rsid w:val="00527E8F"/>
    <w:pPr>
      <w:spacing w:after="0"/>
      <w:ind w:firstLine="360"/>
    </w:pPr>
  </w:style>
  <w:style w:type="character" w:customStyle="1" w:styleId="BodyTextFirstIndentChar">
    <w:name w:val="Body Text First Indent Char"/>
    <w:basedOn w:val="BodyTextChar"/>
    <w:link w:val="BodyTextFirstIndent"/>
    <w:uiPriority w:val="99"/>
    <w:semiHidden/>
    <w:rsid w:val="00527E8F"/>
    <w:rPr>
      <w:rFonts w:asciiTheme="minorHAnsi" w:hAnsiTheme="minorHAnsi"/>
    </w:rPr>
  </w:style>
  <w:style w:type="paragraph" w:styleId="BodyTextIndent">
    <w:name w:val="Body Text Indent"/>
    <w:basedOn w:val="Normal"/>
    <w:link w:val="BodyTextIndentChar"/>
    <w:uiPriority w:val="99"/>
    <w:semiHidden/>
    <w:unhideWhenUsed/>
    <w:rsid w:val="000449AA"/>
    <w:pPr>
      <w:spacing w:after="120"/>
      <w:ind w:left="283"/>
    </w:pPr>
  </w:style>
  <w:style w:type="character" w:customStyle="1" w:styleId="BodyTextIndentChar">
    <w:name w:val="Body Text Indent Char"/>
    <w:basedOn w:val="DefaultParagraphFont"/>
    <w:link w:val="BodyTextIndent"/>
    <w:uiPriority w:val="99"/>
    <w:semiHidden/>
    <w:rsid w:val="000449AA"/>
    <w:rPr>
      <w:rFonts w:ascii="Jacobs Chronos" w:eastAsiaTheme="minorEastAsia" w:hAnsi="Jacobs Chronos"/>
      <w:szCs w:val="22"/>
    </w:rPr>
  </w:style>
  <w:style w:type="paragraph" w:styleId="BodyTextFirstIndent2">
    <w:name w:val="Body Text First Indent 2"/>
    <w:basedOn w:val="Normal"/>
    <w:link w:val="BodyTextFirstIndent2Char"/>
    <w:uiPriority w:val="99"/>
    <w:semiHidden/>
    <w:unhideWhenUsed/>
    <w:rsid w:val="00527E8F"/>
    <w:pPr>
      <w:ind w:left="360" w:firstLine="360"/>
    </w:pPr>
  </w:style>
  <w:style w:type="character" w:customStyle="1" w:styleId="BodyTextFirstIndent2Char">
    <w:name w:val="Body Text First Indent 2 Char"/>
    <w:basedOn w:val="DefaultParagraphFont"/>
    <w:link w:val="BodyTextFirstIndent2"/>
    <w:uiPriority w:val="99"/>
    <w:semiHidden/>
    <w:rsid w:val="00527E8F"/>
    <w:rPr>
      <w:rFonts w:asciiTheme="minorHAnsi" w:hAnsiTheme="minorHAnsi"/>
    </w:rPr>
  </w:style>
  <w:style w:type="paragraph" w:styleId="BodyTextIndent2">
    <w:name w:val="Body Text Indent 2"/>
    <w:basedOn w:val="Normal"/>
    <w:link w:val="BodyTextIndent2Char"/>
    <w:uiPriority w:val="99"/>
    <w:semiHidden/>
    <w:unhideWhenUsed/>
    <w:rsid w:val="00527E8F"/>
    <w:pPr>
      <w:spacing w:after="120" w:line="276" w:lineRule="auto"/>
      <w:ind w:left="1418"/>
    </w:pPr>
  </w:style>
  <w:style w:type="character" w:customStyle="1" w:styleId="BodyTextIndent2Char">
    <w:name w:val="Body Text Indent 2 Char"/>
    <w:basedOn w:val="DefaultParagraphFont"/>
    <w:link w:val="BodyTextIndent2"/>
    <w:uiPriority w:val="99"/>
    <w:semiHidden/>
    <w:rsid w:val="00527E8F"/>
    <w:rPr>
      <w:rFonts w:asciiTheme="minorHAnsi" w:hAnsiTheme="minorHAnsi"/>
    </w:rPr>
  </w:style>
  <w:style w:type="paragraph" w:styleId="BodyTextIndent3">
    <w:name w:val="Body Text Indent 3"/>
    <w:basedOn w:val="Normal"/>
    <w:link w:val="BodyTextIndent3Char"/>
    <w:uiPriority w:val="99"/>
    <w:semiHidden/>
    <w:unhideWhenUsed/>
    <w:rsid w:val="00527E8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27E8F"/>
    <w:rPr>
      <w:rFonts w:asciiTheme="minorHAnsi" w:hAnsiTheme="minorHAnsi"/>
      <w:sz w:val="16"/>
      <w:szCs w:val="16"/>
    </w:rPr>
  </w:style>
  <w:style w:type="character" w:styleId="BookTitle">
    <w:name w:val="Book Title"/>
    <w:basedOn w:val="DefaultParagraphFont"/>
    <w:uiPriority w:val="99"/>
    <w:rsid w:val="00527E8F"/>
    <w:rPr>
      <w:b/>
      <w:bCs/>
      <w:i/>
      <w:iCs/>
      <w:spacing w:val="5"/>
    </w:rPr>
  </w:style>
  <w:style w:type="paragraph" w:styleId="Closing">
    <w:name w:val="Closing"/>
    <w:basedOn w:val="Normal"/>
    <w:link w:val="ClosingChar"/>
    <w:uiPriority w:val="99"/>
    <w:semiHidden/>
    <w:unhideWhenUsed/>
    <w:rsid w:val="00527E8F"/>
    <w:pPr>
      <w:ind w:left="4252"/>
    </w:pPr>
  </w:style>
  <w:style w:type="character" w:customStyle="1" w:styleId="ClosingChar">
    <w:name w:val="Closing Char"/>
    <w:basedOn w:val="DefaultParagraphFont"/>
    <w:link w:val="Closing"/>
    <w:uiPriority w:val="99"/>
    <w:semiHidden/>
    <w:rsid w:val="00527E8F"/>
    <w:rPr>
      <w:rFonts w:asciiTheme="minorHAnsi" w:hAnsiTheme="minorHAnsi"/>
    </w:rPr>
  </w:style>
  <w:style w:type="table" w:styleId="ColorfulGrid">
    <w:name w:val="Colorful Grid"/>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D2D1F8" w:themeFill="accent1" w:themeFillTint="33"/>
    </w:tcPr>
    <w:tblStylePr w:type="firstRow">
      <w:rPr>
        <w:b/>
        <w:bCs/>
      </w:rPr>
      <w:tblPr/>
      <w:tcPr>
        <w:shd w:val="clear" w:color="auto" w:fill="A5A3F2" w:themeFill="accent1" w:themeFillTint="66"/>
      </w:tcPr>
    </w:tblStylePr>
    <w:tblStylePr w:type="lastRow">
      <w:rPr>
        <w:b/>
        <w:bCs/>
        <w:color w:val="000000" w:themeColor="text1"/>
      </w:rPr>
      <w:tblPr/>
      <w:tcPr>
        <w:shd w:val="clear" w:color="auto" w:fill="A5A3F2" w:themeFill="accent1" w:themeFillTint="66"/>
      </w:tcPr>
    </w:tblStylePr>
    <w:tblStylePr w:type="firstCol">
      <w:rPr>
        <w:color w:val="FFFFFF" w:themeColor="background1"/>
      </w:rPr>
      <w:tblPr/>
      <w:tcPr>
        <w:shd w:val="clear" w:color="auto" w:fill="1916A4" w:themeFill="accent1" w:themeFillShade="BF"/>
      </w:tcPr>
    </w:tblStylePr>
    <w:tblStylePr w:type="lastCol">
      <w:rPr>
        <w:color w:val="FFFFFF" w:themeColor="background1"/>
      </w:rPr>
      <w:tblPr/>
      <w:tcPr>
        <w:shd w:val="clear" w:color="auto" w:fill="1916A4" w:themeFill="accent1" w:themeFillShade="BF"/>
      </w:tc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ColorfulGrid-Accent2">
    <w:name w:val="Colorful Grid Accent 2"/>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CEE4FF" w:themeFill="accent2" w:themeFillTint="33"/>
    </w:tcPr>
    <w:tblStylePr w:type="firstRow">
      <w:rPr>
        <w:b/>
        <w:bCs/>
      </w:rPr>
      <w:tblPr/>
      <w:tcPr>
        <w:shd w:val="clear" w:color="auto" w:fill="9DCAFF" w:themeFill="accent2" w:themeFillTint="66"/>
      </w:tcPr>
    </w:tblStylePr>
    <w:tblStylePr w:type="lastRow">
      <w:rPr>
        <w:b/>
        <w:bCs/>
        <w:color w:val="000000" w:themeColor="text1"/>
      </w:rPr>
      <w:tblPr/>
      <w:tcPr>
        <w:shd w:val="clear" w:color="auto" w:fill="9DCAFF" w:themeFill="accent2" w:themeFillTint="66"/>
      </w:tcPr>
    </w:tblStylePr>
    <w:tblStylePr w:type="firstCol">
      <w:rPr>
        <w:color w:val="FFFFFF" w:themeColor="background1"/>
      </w:rPr>
      <w:tblPr/>
      <w:tcPr>
        <w:shd w:val="clear" w:color="auto" w:fill="005CC6" w:themeFill="accent2" w:themeFillShade="BF"/>
      </w:tcPr>
    </w:tblStylePr>
    <w:tblStylePr w:type="lastCol">
      <w:rPr>
        <w:color w:val="FFFFFF" w:themeColor="background1"/>
      </w:rPr>
      <w:tblPr/>
      <w:tcPr>
        <w:shd w:val="clear" w:color="auto" w:fill="005CC6" w:themeFill="accent2" w:themeFillShade="BF"/>
      </w:tc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ColorfulGrid-Accent3">
    <w:name w:val="Colorful Grid Accent 3"/>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DEF9FF" w:themeFill="accent3" w:themeFillTint="33"/>
    </w:tcPr>
    <w:tblStylePr w:type="firstRow">
      <w:rPr>
        <w:b/>
        <w:bCs/>
      </w:rPr>
      <w:tblPr/>
      <w:tcPr>
        <w:shd w:val="clear" w:color="auto" w:fill="BDF4FF" w:themeFill="accent3" w:themeFillTint="66"/>
      </w:tcPr>
    </w:tblStylePr>
    <w:tblStylePr w:type="lastRow">
      <w:rPr>
        <w:b/>
        <w:bCs/>
        <w:color w:val="000000" w:themeColor="text1"/>
      </w:rPr>
      <w:tblPr/>
      <w:tcPr>
        <w:shd w:val="clear" w:color="auto" w:fill="BDF4FF" w:themeFill="accent3" w:themeFillTint="66"/>
      </w:tcPr>
    </w:tblStylePr>
    <w:tblStylePr w:type="firstCol">
      <w:rPr>
        <w:color w:val="FFFFFF" w:themeColor="background1"/>
      </w:rPr>
      <w:tblPr/>
      <w:tcPr>
        <w:shd w:val="clear" w:color="auto" w:fill="03D8FF" w:themeFill="accent3" w:themeFillShade="BF"/>
      </w:tcPr>
    </w:tblStylePr>
    <w:tblStylePr w:type="lastCol">
      <w:rPr>
        <w:color w:val="FFFFFF" w:themeColor="background1"/>
      </w:rPr>
      <w:tblPr/>
      <w:tcPr>
        <w:shd w:val="clear" w:color="auto" w:fill="03D8FF" w:themeFill="accent3" w:themeFillShade="BF"/>
      </w:tc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ColorfulGrid-Accent4">
    <w:name w:val="Colorful Grid Accent 4"/>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AAC8FF" w:themeFill="accent4" w:themeFillTint="33"/>
    </w:tcPr>
    <w:tblStylePr w:type="firstRow">
      <w:rPr>
        <w:b/>
        <w:bCs/>
      </w:rPr>
      <w:tblPr/>
      <w:tcPr>
        <w:shd w:val="clear" w:color="auto" w:fill="5591FF" w:themeFill="accent4" w:themeFillTint="66"/>
      </w:tcPr>
    </w:tblStylePr>
    <w:tblStylePr w:type="lastRow">
      <w:rPr>
        <w:b/>
        <w:bCs/>
        <w:color w:val="000000" w:themeColor="text1"/>
      </w:rPr>
      <w:tblPr/>
      <w:tcPr>
        <w:shd w:val="clear" w:color="auto" w:fill="5591FF" w:themeFill="accent4" w:themeFillTint="66"/>
      </w:tcPr>
    </w:tblStylePr>
    <w:tblStylePr w:type="firstCol">
      <w:rPr>
        <w:color w:val="FFFFFF" w:themeColor="background1"/>
      </w:rPr>
      <w:tblPr/>
      <w:tcPr>
        <w:shd w:val="clear" w:color="auto" w:fill="00163F" w:themeFill="accent4" w:themeFillShade="BF"/>
      </w:tcPr>
    </w:tblStylePr>
    <w:tblStylePr w:type="lastCol">
      <w:rPr>
        <w:color w:val="FFFFFF" w:themeColor="background1"/>
      </w:rPr>
      <w:tblPr/>
      <w:tcPr>
        <w:shd w:val="clear" w:color="auto" w:fill="00163F" w:themeFill="accent4" w:themeFillShade="BF"/>
      </w:tc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ColorfulGrid-Accent5">
    <w:name w:val="Colorful Grid Accent 5"/>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EDEDED" w:themeFill="accent5" w:themeFillTint="33"/>
    </w:tcPr>
    <w:tblStylePr w:type="firstRow">
      <w:rPr>
        <w:b/>
        <w:bCs/>
      </w:rPr>
      <w:tblPr/>
      <w:tcPr>
        <w:shd w:val="clear" w:color="auto" w:fill="DBDBDB" w:themeFill="accent5" w:themeFillTint="66"/>
      </w:tcPr>
    </w:tblStylePr>
    <w:tblStylePr w:type="lastRow">
      <w:rPr>
        <w:b/>
        <w:bCs/>
        <w:color w:val="000000" w:themeColor="text1"/>
      </w:rPr>
      <w:tblPr/>
      <w:tcPr>
        <w:shd w:val="clear" w:color="auto" w:fill="DBDBDB" w:themeFill="accent5" w:themeFillTint="66"/>
      </w:tcPr>
    </w:tblStylePr>
    <w:tblStylePr w:type="firstCol">
      <w:rPr>
        <w:color w:val="FFFFFF" w:themeColor="background1"/>
      </w:rPr>
      <w:tblPr/>
      <w:tcPr>
        <w:shd w:val="clear" w:color="auto" w:fill="7B7B7B" w:themeFill="accent5" w:themeFillShade="BF"/>
      </w:tcPr>
    </w:tblStylePr>
    <w:tblStylePr w:type="lastCol">
      <w:rPr>
        <w:color w:val="FFFFFF" w:themeColor="background1"/>
      </w:rPr>
      <w:tblPr/>
      <w:tcPr>
        <w:shd w:val="clear" w:color="auto" w:fill="7B7B7B" w:themeFill="accent5" w:themeFillShade="BF"/>
      </w:tc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ColorfulGrid-Accent6">
    <w:name w:val="Colorful Grid Accent 6"/>
    <w:basedOn w:val="TableNormal"/>
    <w:uiPriority w:val="73"/>
    <w:semiHidden/>
    <w:unhideWhenUsed/>
    <w:rsid w:val="00527E8F"/>
    <w:rPr>
      <w:color w:val="000000" w:themeColor="text1"/>
    </w:rPr>
    <w:tblPr>
      <w:tblStyleRowBandSize w:val="1"/>
      <w:tblStyleColBandSize w:val="1"/>
      <w:tblBorders>
        <w:insideH w:val="single" w:sz="4" w:space="0" w:color="FFFFFF" w:themeColor="background1"/>
      </w:tblBorders>
    </w:tblPr>
    <w:tcPr>
      <w:shd w:val="clear" w:color="auto" w:fill="F4F4F4" w:themeFill="accent6" w:themeFillTint="33"/>
    </w:tcPr>
    <w:tblStylePr w:type="firstRow">
      <w:rPr>
        <w:b/>
        <w:bCs/>
      </w:rPr>
      <w:tblPr/>
      <w:tcPr>
        <w:shd w:val="clear" w:color="auto" w:fill="E9E9E9" w:themeFill="accent6" w:themeFillTint="66"/>
      </w:tcPr>
    </w:tblStylePr>
    <w:tblStylePr w:type="lastRow">
      <w:rPr>
        <w:b/>
        <w:bCs/>
        <w:color w:val="000000" w:themeColor="text1"/>
      </w:rPr>
      <w:tblPr/>
      <w:tcPr>
        <w:shd w:val="clear" w:color="auto" w:fill="E9E9E9" w:themeFill="accent6" w:themeFillTint="66"/>
      </w:tcPr>
    </w:tblStylePr>
    <w:tblStylePr w:type="firstCol">
      <w:rPr>
        <w:color w:val="FFFFFF" w:themeColor="background1"/>
      </w:rPr>
      <w:tblPr/>
      <w:tcPr>
        <w:shd w:val="clear" w:color="auto" w:fill="959595" w:themeFill="accent6" w:themeFillShade="BF"/>
      </w:tcPr>
    </w:tblStylePr>
    <w:tblStylePr w:type="lastCol">
      <w:rPr>
        <w:color w:val="FFFFFF" w:themeColor="background1"/>
      </w:rPr>
      <w:tblPr/>
      <w:tcPr>
        <w:shd w:val="clear" w:color="auto" w:fill="959595" w:themeFill="accent6" w:themeFillShade="BF"/>
      </w:tc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ColorfulList">
    <w:name w:val="Colorful List"/>
    <w:basedOn w:val="TableNormal"/>
    <w:uiPriority w:val="72"/>
    <w:semiHidden/>
    <w:unhideWhenUsed/>
    <w:rsid w:val="00527E8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27E8F"/>
    <w:rPr>
      <w:color w:val="000000" w:themeColor="text1"/>
    </w:rPr>
    <w:tblPr>
      <w:tblStyleRowBandSize w:val="1"/>
      <w:tblStyleColBandSize w:val="1"/>
    </w:tblPr>
    <w:tcPr>
      <w:shd w:val="clear" w:color="auto" w:fill="E8E8FC" w:themeFill="accent1"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C6F7" w:themeFill="accent1" w:themeFillTint="3F"/>
      </w:tcPr>
    </w:tblStylePr>
    <w:tblStylePr w:type="band1Horz">
      <w:tblPr/>
      <w:tcPr>
        <w:shd w:val="clear" w:color="auto" w:fill="D2D1F8" w:themeFill="accent1" w:themeFillTint="33"/>
      </w:tcPr>
    </w:tblStylePr>
  </w:style>
  <w:style w:type="table" w:styleId="ColorfulList-Accent2">
    <w:name w:val="Colorful List Accent 2"/>
    <w:basedOn w:val="TableNormal"/>
    <w:uiPriority w:val="72"/>
    <w:semiHidden/>
    <w:unhideWhenUsed/>
    <w:rsid w:val="00527E8F"/>
    <w:rPr>
      <w:color w:val="000000" w:themeColor="text1"/>
    </w:rPr>
    <w:tblPr>
      <w:tblStyleRowBandSize w:val="1"/>
      <w:tblStyleColBandSize w:val="1"/>
    </w:tblPr>
    <w:tcPr>
      <w:shd w:val="clear" w:color="auto" w:fill="E6F2FF" w:themeFill="accent2" w:themeFillTint="19"/>
    </w:tcPr>
    <w:tblStylePr w:type="firstRow">
      <w:rPr>
        <w:b/>
        <w:bCs/>
        <w:color w:val="FFFFFF" w:themeColor="background1"/>
      </w:rPr>
      <w:tblPr/>
      <w:tcPr>
        <w:tcBorders>
          <w:bottom w:val="single" w:sz="12" w:space="0" w:color="FFFFFF" w:themeColor="background1"/>
        </w:tcBorders>
        <w:shd w:val="clear" w:color="auto" w:fill="0062D4" w:themeFill="accent2" w:themeFillShade="CC"/>
      </w:tcPr>
    </w:tblStylePr>
    <w:tblStylePr w:type="lastRow">
      <w:rPr>
        <w:b/>
        <w:bCs/>
        <w:color w:val="0062D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EFF" w:themeFill="accent2" w:themeFillTint="3F"/>
      </w:tcPr>
    </w:tblStylePr>
    <w:tblStylePr w:type="band1Horz">
      <w:tblPr/>
      <w:tcPr>
        <w:shd w:val="clear" w:color="auto" w:fill="CEE4FF" w:themeFill="accent2" w:themeFillTint="33"/>
      </w:tcPr>
    </w:tblStylePr>
  </w:style>
  <w:style w:type="table" w:styleId="ColorfulList-Accent3">
    <w:name w:val="Colorful List Accent 3"/>
    <w:basedOn w:val="TableNormal"/>
    <w:uiPriority w:val="72"/>
    <w:semiHidden/>
    <w:unhideWhenUsed/>
    <w:rsid w:val="00527E8F"/>
    <w:rPr>
      <w:color w:val="000000" w:themeColor="text1"/>
    </w:rPr>
    <w:tblPr>
      <w:tblStyleRowBandSize w:val="1"/>
      <w:tblStyleColBandSize w:val="1"/>
    </w:tblPr>
    <w:tcPr>
      <w:shd w:val="clear" w:color="auto" w:fill="EEFCFF" w:themeFill="accent3" w:themeFillTint="19"/>
    </w:tcPr>
    <w:tblStylePr w:type="firstRow">
      <w:rPr>
        <w:b/>
        <w:bCs/>
        <w:color w:val="FFFFFF" w:themeColor="background1"/>
      </w:rPr>
      <w:tblPr/>
      <w:tcPr>
        <w:tcBorders>
          <w:bottom w:val="single" w:sz="12" w:space="0" w:color="FFFFFF" w:themeColor="background1"/>
        </w:tcBorders>
        <w:shd w:val="clear" w:color="auto" w:fill="001844" w:themeFill="accent4" w:themeFillShade="CC"/>
      </w:tcPr>
    </w:tblStylePr>
    <w:tblStylePr w:type="lastRow">
      <w:rPr>
        <w:b/>
        <w:bCs/>
        <w:color w:val="00184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8FF" w:themeFill="accent3" w:themeFillTint="3F"/>
      </w:tcPr>
    </w:tblStylePr>
    <w:tblStylePr w:type="band1Horz">
      <w:tblPr/>
      <w:tcPr>
        <w:shd w:val="clear" w:color="auto" w:fill="DEF9FF" w:themeFill="accent3" w:themeFillTint="33"/>
      </w:tcPr>
    </w:tblStylePr>
  </w:style>
  <w:style w:type="table" w:styleId="ColorfulList-Accent4">
    <w:name w:val="Colorful List Accent 4"/>
    <w:basedOn w:val="TableNormal"/>
    <w:uiPriority w:val="72"/>
    <w:semiHidden/>
    <w:unhideWhenUsed/>
    <w:rsid w:val="00527E8F"/>
    <w:rPr>
      <w:color w:val="000000" w:themeColor="text1"/>
    </w:rPr>
    <w:tblPr>
      <w:tblStyleRowBandSize w:val="1"/>
      <w:tblStyleColBandSize w:val="1"/>
    </w:tblPr>
    <w:tcPr>
      <w:shd w:val="clear" w:color="auto" w:fill="D5E4FF" w:themeFill="accent4" w:themeFillTint="19"/>
    </w:tcPr>
    <w:tblStylePr w:type="firstRow">
      <w:rPr>
        <w:b/>
        <w:bCs/>
        <w:color w:val="FFFFFF" w:themeColor="background1"/>
      </w:rPr>
      <w:tblPr/>
      <w:tcPr>
        <w:tcBorders>
          <w:bottom w:val="single" w:sz="12" w:space="0" w:color="FFFFFF" w:themeColor="background1"/>
        </w:tcBorders>
        <w:shd w:val="clear" w:color="auto" w:fill="15DBFF" w:themeFill="accent3" w:themeFillShade="CC"/>
      </w:tcPr>
    </w:tblStylePr>
    <w:tblStylePr w:type="lastRow">
      <w:rPr>
        <w:b/>
        <w:bCs/>
        <w:color w:val="15DBF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BBFF" w:themeFill="accent4" w:themeFillTint="3F"/>
      </w:tcPr>
    </w:tblStylePr>
    <w:tblStylePr w:type="band1Horz">
      <w:tblPr/>
      <w:tcPr>
        <w:shd w:val="clear" w:color="auto" w:fill="AAC8FF" w:themeFill="accent4" w:themeFillTint="33"/>
      </w:tcPr>
    </w:tblStylePr>
  </w:style>
  <w:style w:type="table" w:styleId="ColorfulList-Accent5">
    <w:name w:val="Colorful List Accent 5"/>
    <w:basedOn w:val="TableNormal"/>
    <w:uiPriority w:val="72"/>
    <w:semiHidden/>
    <w:unhideWhenUsed/>
    <w:rsid w:val="00527E8F"/>
    <w:rPr>
      <w:color w:val="000000" w:themeColor="text1"/>
    </w:rPr>
    <w:tblPr>
      <w:tblStyleRowBandSize w:val="1"/>
      <w:tblStyleColBandSize w:val="1"/>
    </w:tblPr>
    <w:tcPr>
      <w:shd w:val="clear" w:color="auto" w:fill="F6F6F6" w:themeFill="accent5" w:themeFillTint="19"/>
    </w:tcPr>
    <w:tblStylePr w:type="firstRow">
      <w:rPr>
        <w:b/>
        <w:bCs/>
        <w:color w:val="FFFFFF" w:themeColor="background1"/>
      </w:rPr>
      <w:tblPr/>
      <w:tcPr>
        <w:tcBorders>
          <w:bottom w:val="single" w:sz="12" w:space="0" w:color="FFFFFF" w:themeColor="background1"/>
        </w:tcBorders>
        <w:shd w:val="clear" w:color="auto" w:fill="A0A0A0" w:themeFill="accent6" w:themeFillShade="CC"/>
      </w:tcPr>
    </w:tblStylePr>
    <w:tblStylePr w:type="lastRow">
      <w:rPr>
        <w:b/>
        <w:bCs/>
        <w:color w:val="A0A0A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5" w:themeFillTint="3F"/>
      </w:tcPr>
    </w:tblStylePr>
    <w:tblStylePr w:type="band1Horz">
      <w:tblPr/>
      <w:tcPr>
        <w:shd w:val="clear" w:color="auto" w:fill="EDEDED" w:themeFill="accent5" w:themeFillTint="33"/>
      </w:tcPr>
    </w:tblStylePr>
  </w:style>
  <w:style w:type="table" w:styleId="ColorfulList-Accent6">
    <w:name w:val="Colorful List Accent 6"/>
    <w:basedOn w:val="TableNormal"/>
    <w:uiPriority w:val="72"/>
    <w:semiHidden/>
    <w:unhideWhenUsed/>
    <w:rsid w:val="00527E8F"/>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848484" w:themeFill="accent5" w:themeFillShade="CC"/>
      </w:tcPr>
    </w:tblStylePr>
    <w:tblStylePr w:type="lastRow">
      <w:rPr>
        <w:b/>
        <w:bCs/>
        <w:color w:val="8484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6" w:themeFillTint="3F"/>
      </w:tcPr>
    </w:tblStylePr>
    <w:tblStylePr w:type="band1Horz">
      <w:tblPr/>
      <w:tcPr>
        <w:shd w:val="clear" w:color="auto" w:fill="F4F4F4" w:themeFill="accent6" w:themeFillTint="33"/>
      </w:tcPr>
    </w:tblStylePr>
  </w:style>
  <w:style w:type="table" w:styleId="ColorfulShading">
    <w:name w:val="Colorful Shading"/>
    <w:basedOn w:val="TableNormal"/>
    <w:uiPriority w:val="71"/>
    <w:semiHidden/>
    <w:unhideWhenUsed/>
    <w:rsid w:val="00527E8F"/>
    <w:rPr>
      <w:color w:val="000000" w:themeColor="text1"/>
    </w:rPr>
    <w:tblPr>
      <w:tblStyleRowBandSize w:val="1"/>
      <w:tblStyleColBandSize w:val="1"/>
      <w:tblBorders>
        <w:top w:val="single" w:sz="24" w:space="0" w:color="0A7DF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27E8F"/>
    <w:rPr>
      <w:color w:val="000000" w:themeColor="text1"/>
    </w:rPr>
    <w:tblPr>
      <w:tblStyleRowBandSize w:val="1"/>
      <w:tblStyleColBandSize w:val="1"/>
      <w:tblBorders>
        <w:top w:val="single" w:sz="24" w:space="0" w:color="0A7DFF" w:themeColor="accent2"/>
        <w:left w:val="single" w:sz="4" w:space="0" w:color="231EDC" w:themeColor="accent1"/>
        <w:bottom w:val="single" w:sz="4" w:space="0" w:color="231EDC" w:themeColor="accent1"/>
        <w:right w:val="single" w:sz="4" w:space="0" w:color="231EDC" w:themeColor="accent1"/>
        <w:insideH w:val="single" w:sz="4" w:space="0" w:color="FFFFFF" w:themeColor="background1"/>
        <w:insideV w:val="single" w:sz="4" w:space="0" w:color="FFFFFF" w:themeColor="background1"/>
      </w:tblBorders>
    </w:tblPr>
    <w:tcPr>
      <w:shd w:val="clear" w:color="auto" w:fill="E8E8FC" w:themeFill="accent1"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83" w:themeFill="accent1" w:themeFillShade="99"/>
      </w:tcPr>
    </w:tblStylePr>
    <w:tblStylePr w:type="firstCol">
      <w:rPr>
        <w:color w:val="FFFFFF" w:themeColor="background1"/>
      </w:rPr>
      <w:tblPr/>
      <w:tcPr>
        <w:tcBorders>
          <w:top w:val="nil"/>
          <w:left w:val="nil"/>
          <w:bottom w:val="nil"/>
          <w:right w:val="nil"/>
          <w:insideH w:val="single" w:sz="4" w:space="0" w:color="141283" w:themeColor="accent1" w:themeShade="99"/>
          <w:insideV w:val="nil"/>
        </w:tcBorders>
        <w:shd w:val="clear" w:color="auto" w:fill="14128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41283" w:themeFill="accent1" w:themeFillShade="99"/>
      </w:tcPr>
    </w:tblStylePr>
    <w:tblStylePr w:type="band1Vert">
      <w:tblPr/>
      <w:tcPr>
        <w:shd w:val="clear" w:color="auto" w:fill="A5A3F2" w:themeFill="accent1" w:themeFillTint="66"/>
      </w:tcPr>
    </w:tblStylePr>
    <w:tblStylePr w:type="band1Horz">
      <w:tblPr/>
      <w:tcPr>
        <w:shd w:val="clear" w:color="auto" w:fill="8F8CE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27E8F"/>
    <w:rPr>
      <w:color w:val="000000" w:themeColor="text1"/>
    </w:rPr>
    <w:tblPr>
      <w:tblStyleRowBandSize w:val="1"/>
      <w:tblStyleColBandSize w:val="1"/>
      <w:tblBorders>
        <w:top w:val="single" w:sz="24" w:space="0" w:color="0A7DFF" w:themeColor="accent2"/>
        <w:left w:val="single" w:sz="4" w:space="0" w:color="0A7DFF" w:themeColor="accent2"/>
        <w:bottom w:val="single" w:sz="4" w:space="0" w:color="0A7DFF" w:themeColor="accent2"/>
        <w:right w:val="single" w:sz="4" w:space="0" w:color="0A7DFF" w:themeColor="accent2"/>
        <w:insideH w:val="single" w:sz="4" w:space="0" w:color="FFFFFF" w:themeColor="background1"/>
        <w:insideV w:val="single" w:sz="4" w:space="0" w:color="FFFFFF" w:themeColor="background1"/>
      </w:tblBorders>
    </w:tblPr>
    <w:tcPr>
      <w:shd w:val="clear" w:color="auto" w:fill="E6F2FF" w:themeFill="accent2" w:themeFillTint="19"/>
    </w:tcPr>
    <w:tblStylePr w:type="firstRow">
      <w:rPr>
        <w:b/>
        <w:bCs/>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A9F" w:themeFill="accent2" w:themeFillShade="99"/>
      </w:tcPr>
    </w:tblStylePr>
    <w:tblStylePr w:type="firstCol">
      <w:rPr>
        <w:color w:val="FFFFFF" w:themeColor="background1"/>
      </w:rPr>
      <w:tblPr/>
      <w:tcPr>
        <w:tcBorders>
          <w:top w:val="nil"/>
          <w:left w:val="nil"/>
          <w:bottom w:val="nil"/>
          <w:right w:val="nil"/>
          <w:insideH w:val="single" w:sz="4" w:space="0" w:color="004A9F" w:themeColor="accent2" w:themeShade="99"/>
          <w:insideV w:val="nil"/>
        </w:tcBorders>
        <w:shd w:val="clear" w:color="auto" w:fill="004A9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4A9F" w:themeFill="accent2" w:themeFillShade="99"/>
      </w:tcPr>
    </w:tblStylePr>
    <w:tblStylePr w:type="band1Vert">
      <w:tblPr/>
      <w:tcPr>
        <w:shd w:val="clear" w:color="auto" w:fill="9DCAFF" w:themeFill="accent2" w:themeFillTint="66"/>
      </w:tcPr>
    </w:tblStylePr>
    <w:tblStylePr w:type="band1Horz">
      <w:tblPr/>
      <w:tcPr>
        <w:shd w:val="clear" w:color="auto" w:fill="84BD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27E8F"/>
    <w:rPr>
      <w:color w:val="000000" w:themeColor="text1"/>
    </w:rPr>
    <w:tblPr>
      <w:tblStyleRowBandSize w:val="1"/>
      <w:tblStyleColBandSize w:val="1"/>
      <w:tblBorders>
        <w:top w:val="single" w:sz="24" w:space="0" w:color="001E55" w:themeColor="accent4"/>
        <w:left w:val="single" w:sz="4" w:space="0" w:color="5AE6FF" w:themeColor="accent3"/>
        <w:bottom w:val="single" w:sz="4" w:space="0" w:color="5AE6FF" w:themeColor="accent3"/>
        <w:right w:val="single" w:sz="4" w:space="0" w:color="5AE6FF" w:themeColor="accent3"/>
        <w:insideH w:val="single" w:sz="4" w:space="0" w:color="FFFFFF" w:themeColor="background1"/>
        <w:insideV w:val="single" w:sz="4" w:space="0" w:color="FFFFFF" w:themeColor="background1"/>
      </w:tblBorders>
    </w:tblPr>
    <w:tcPr>
      <w:shd w:val="clear" w:color="auto" w:fill="EEFCFF" w:themeFill="accent3" w:themeFillTint="19"/>
    </w:tcPr>
    <w:tblStylePr w:type="firstRow">
      <w:rPr>
        <w:b/>
        <w:bCs/>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AFCF" w:themeFill="accent3" w:themeFillShade="99"/>
      </w:tcPr>
    </w:tblStylePr>
    <w:tblStylePr w:type="firstCol">
      <w:rPr>
        <w:color w:val="FFFFFF" w:themeColor="background1"/>
      </w:rPr>
      <w:tblPr/>
      <w:tcPr>
        <w:tcBorders>
          <w:top w:val="nil"/>
          <w:left w:val="nil"/>
          <w:bottom w:val="nil"/>
          <w:right w:val="nil"/>
          <w:insideH w:val="single" w:sz="4" w:space="0" w:color="00AFCF" w:themeColor="accent3" w:themeShade="99"/>
          <w:insideV w:val="nil"/>
        </w:tcBorders>
        <w:shd w:val="clear" w:color="auto" w:fill="00AFC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AFCF" w:themeFill="accent3" w:themeFillShade="99"/>
      </w:tcPr>
    </w:tblStylePr>
    <w:tblStylePr w:type="band1Vert">
      <w:tblPr/>
      <w:tcPr>
        <w:shd w:val="clear" w:color="auto" w:fill="BDF4FF" w:themeFill="accent3" w:themeFillTint="66"/>
      </w:tcPr>
    </w:tblStylePr>
    <w:tblStylePr w:type="band1Horz">
      <w:tblPr/>
      <w:tcPr>
        <w:shd w:val="clear" w:color="auto" w:fill="ACF2FF" w:themeFill="accent3" w:themeFillTint="7F"/>
      </w:tcPr>
    </w:tblStylePr>
  </w:style>
  <w:style w:type="table" w:styleId="ColorfulShading-Accent4">
    <w:name w:val="Colorful Shading Accent 4"/>
    <w:basedOn w:val="TableNormal"/>
    <w:uiPriority w:val="71"/>
    <w:semiHidden/>
    <w:unhideWhenUsed/>
    <w:rsid w:val="00527E8F"/>
    <w:rPr>
      <w:color w:val="000000" w:themeColor="text1"/>
    </w:rPr>
    <w:tblPr>
      <w:tblStyleRowBandSize w:val="1"/>
      <w:tblStyleColBandSize w:val="1"/>
      <w:tblBorders>
        <w:top w:val="single" w:sz="24" w:space="0" w:color="5AE6FF" w:themeColor="accent3"/>
        <w:left w:val="single" w:sz="4" w:space="0" w:color="001E55" w:themeColor="accent4"/>
        <w:bottom w:val="single" w:sz="4" w:space="0" w:color="001E55" w:themeColor="accent4"/>
        <w:right w:val="single" w:sz="4" w:space="0" w:color="001E55" w:themeColor="accent4"/>
        <w:insideH w:val="single" w:sz="4" w:space="0" w:color="FFFFFF" w:themeColor="background1"/>
        <w:insideV w:val="single" w:sz="4" w:space="0" w:color="FFFFFF" w:themeColor="background1"/>
      </w:tblBorders>
    </w:tblPr>
    <w:tcPr>
      <w:shd w:val="clear" w:color="auto" w:fill="D5E4FF" w:themeFill="accent4" w:themeFillTint="19"/>
    </w:tcPr>
    <w:tblStylePr w:type="firstRow">
      <w:rPr>
        <w:b/>
        <w:bCs/>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233" w:themeFill="accent4" w:themeFillShade="99"/>
      </w:tcPr>
    </w:tblStylePr>
    <w:tblStylePr w:type="firstCol">
      <w:rPr>
        <w:color w:val="FFFFFF" w:themeColor="background1"/>
      </w:rPr>
      <w:tblPr/>
      <w:tcPr>
        <w:tcBorders>
          <w:top w:val="nil"/>
          <w:left w:val="nil"/>
          <w:bottom w:val="nil"/>
          <w:right w:val="nil"/>
          <w:insideH w:val="single" w:sz="4" w:space="0" w:color="001233" w:themeColor="accent4" w:themeShade="99"/>
          <w:insideV w:val="nil"/>
        </w:tcBorders>
        <w:shd w:val="clear" w:color="auto" w:fill="00123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233" w:themeFill="accent4" w:themeFillShade="99"/>
      </w:tcPr>
    </w:tblStylePr>
    <w:tblStylePr w:type="band1Vert">
      <w:tblPr/>
      <w:tcPr>
        <w:shd w:val="clear" w:color="auto" w:fill="5591FF" w:themeFill="accent4" w:themeFillTint="66"/>
      </w:tcPr>
    </w:tblStylePr>
    <w:tblStylePr w:type="band1Horz">
      <w:tblPr/>
      <w:tcPr>
        <w:shd w:val="clear" w:color="auto" w:fill="2B76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27E8F"/>
    <w:rPr>
      <w:color w:val="000000" w:themeColor="text1"/>
    </w:rPr>
    <w:tblPr>
      <w:tblStyleRowBandSize w:val="1"/>
      <w:tblStyleColBandSize w:val="1"/>
      <w:tblBorders>
        <w:top w:val="single" w:sz="24" w:space="0" w:color="C8C8C8" w:themeColor="accent6"/>
        <w:left w:val="single" w:sz="4" w:space="0" w:color="A5A5A5" w:themeColor="accent5"/>
        <w:bottom w:val="single" w:sz="4" w:space="0" w:color="A5A5A5" w:themeColor="accent5"/>
        <w:right w:val="single" w:sz="4" w:space="0" w:color="A5A5A5" w:themeColor="accent5"/>
        <w:insideH w:val="single" w:sz="4" w:space="0" w:color="FFFFFF" w:themeColor="background1"/>
        <w:insideV w:val="single" w:sz="4" w:space="0" w:color="FFFFFF" w:themeColor="background1"/>
      </w:tblBorders>
    </w:tblPr>
    <w:tcPr>
      <w:shd w:val="clear" w:color="auto" w:fill="F6F6F6" w:themeFill="accent5" w:themeFillTint="19"/>
    </w:tcPr>
    <w:tblStylePr w:type="firstRow">
      <w:rPr>
        <w:b/>
        <w:bCs/>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5" w:themeFillShade="99"/>
      </w:tcPr>
    </w:tblStylePr>
    <w:tblStylePr w:type="firstCol">
      <w:rPr>
        <w:color w:val="FFFFFF" w:themeColor="background1"/>
      </w:rPr>
      <w:tblPr/>
      <w:tcPr>
        <w:tcBorders>
          <w:top w:val="nil"/>
          <w:left w:val="nil"/>
          <w:bottom w:val="nil"/>
          <w:right w:val="nil"/>
          <w:insideH w:val="single" w:sz="4" w:space="0" w:color="636363" w:themeColor="accent5" w:themeShade="99"/>
          <w:insideV w:val="nil"/>
        </w:tcBorders>
        <w:shd w:val="clear" w:color="auto" w:fill="6363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5" w:themeFillShade="99"/>
      </w:tcPr>
    </w:tblStylePr>
    <w:tblStylePr w:type="band1Vert">
      <w:tblPr/>
      <w:tcPr>
        <w:shd w:val="clear" w:color="auto" w:fill="DBDBDB" w:themeFill="accent5" w:themeFillTint="66"/>
      </w:tcPr>
    </w:tblStylePr>
    <w:tblStylePr w:type="band1Horz">
      <w:tblPr/>
      <w:tcPr>
        <w:shd w:val="clear" w:color="auto" w:fill="D2D2D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27E8F"/>
    <w:rPr>
      <w:color w:val="000000" w:themeColor="text1"/>
    </w:rPr>
    <w:tblPr>
      <w:tblStyleRowBandSize w:val="1"/>
      <w:tblStyleColBandSize w:val="1"/>
      <w:tblBorders>
        <w:top w:val="single" w:sz="24" w:space="0" w:color="A5A5A5" w:themeColor="accent5"/>
        <w:left w:val="single" w:sz="4" w:space="0" w:color="C8C8C8" w:themeColor="accent6"/>
        <w:bottom w:val="single" w:sz="4" w:space="0" w:color="C8C8C8" w:themeColor="accent6"/>
        <w:right w:val="single" w:sz="4" w:space="0" w:color="C8C8C8"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6" w:themeFillShade="99"/>
      </w:tcPr>
    </w:tblStylePr>
    <w:tblStylePr w:type="firstCol">
      <w:rPr>
        <w:color w:val="FFFFFF" w:themeColor="background1"/>
      </w:rPr>
      <w:tblPr/>
      <w:tcPr>
        <w:tcBorders>
          <w:top w:val="nil"/>
          <w:left w:val="nil"/>
          <w:bottom w:val="nil"/>
          <w:right w:val="nil"/>
          <w:insideH w:val="single" w:sz="4" w:space="0" w:color="787878" w:themeColor="accent6" w:themeShade="99"/>
          <w:insideV w:val="nil"/>
        </w:tcBorders>
        <w:shd w:val="clear" w:color="auto" w:fill="78787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6" w:themeFillShade="99"/>
      </w:tcPr>
    </w:tblStylePr>
    <w:tblStylePr w:type="band1Vert">
      <w:tblPr/>
      <w:tcPr>
        <w:shd w:val="clear" w:color="auto" w:fill="E9E9E9" w:themeFill="accent6" w:themeFillTint="66"/>
      </w:tcPr>
    </w:tblStylePr>
    <w:tblStylePr w:type="band1Horz">
      <w:tblPr/>
      <w:tcPr>
        <w:shd w:val="clear" w:color="auto" w:fill="E3E3E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527E8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27E8F"/>
    <w:rPr>
      <w:color w:val="FFFFFF" w:themeColor="background1"/>
    </w:rPr>
    <w:tblPr>
      <w:tblStyleRowBandSize w:val="1"/>
      <w:tblStyleColBandSize w:val="1"/>
    </w:tblPr>
    <w:tcPr>
      <w:shd w:val="clear" w:color="auto" w:fill="231ED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0F6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916A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916A4" w:themeFill="accent1" w:themeFillShade="BF"/>
      </w:tcPr>
    </w:tblStylePr>
    <w:tblStylePr w:type="band1Vert">
      <w:tblPr/>
      <w:tcPr>
        <w:tcBorders>
          <w:top w:val="nil"/>
          <w:left w:val="nil"/>
          <w:bottom w:val="nil"/>
          <w:right w:val="nil"/>
          <w:insideH w:val="nil"/>
          <w:insideV w:val="nil"/>
        </w:tcBorders>
        <w:shd w:val="clear" w:color="auto" w:fill="1916A4" w:themeFill="accent1" w:themeFillShade="BF"/>
      </w:tcPr>
    </w:tblStylePr>
    <w:tblStylePr w:type="band1Horz">
      <w:tblPr/>
      <w:tcPr>
        <w:tcBorders>
          <w:top w:val="nil"/>
          <w:left w:val="nil"/>
          <w:bottom w:val="nil"/>
          <w:right w:val="nil"/>
          <w:insideH w:val="nil"/>
          <w:insideV w:val="nil"/>
        </w:tcBorders>
        <w:shd w:val="clear" w:color="auto" w:fill="1916A4" w:themeFill="accent1" w:themeFillShade="BF"/>
      </w:tcPr>
    </w:tblStylePr>
  </w:style>
  <w:style w:type="table" w:styleId="DarkList-Accent2">
    <w:name w:val="Dark List Accent 2"/>
    <w:basedOn w:val="TableNormal"/>
    <w:uiPriority w:val="70"/>
    <w:semiHidden/>
    <w:unhideWhenUsed/>
    <w:rsid w:val="00527E8F"/>
    <w:rPr>
      <w:color w:val="FFFFFF" w:themeColor="background1"/>
    </w:rPr>
    <w:tblPr>
      <w:tblStyleRowBandSize w:val="1"/>
      <w:tblStyleColBandSize w:val="1"/>
    </w:tblPr>
    <w:tcPr>
      <w:shd w:val="clear" w:color="auto" w:fill="0A7DF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D8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5CC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5CC6" w:themeFill="accent2" w:themeFillShade="BF"/>
      </w:tcPr>
    </w:tblStylePr>
    <w:tblStylePr w:type="band1Vert">
      <w:tblPr/>
      <w:tcPr>
        <w:tcBorders>
          <w:top w:val="nil"/>
          <w:left w:val="nil"/>
          <w:bottom w:val="nil"/>
          <w:right w:val="nil"/>
          <w:insideH w:val="nil"/>
          <w:insideV w:val="nil"/>
        </w:tcBorders>
        <w:shd w:val="clear" w:color="auto" w:fill="005CC6" w:themeFill="accent2" w:themeFillShade="BF"/>
      </w:tcPr>
    </w:tblStylePr>
    <w:tblStylePr w:type="band1Horz">
      <w:tblPr/>
      <w:tcPr>
        <w:tcBorders>
          <w:top w:val="nil"/>
          <w:left w:val="nil"/>
          <w:bottom w:val="nil"/>
          <w:right w:val="nil"/>
          <w:insideH w:val="nil"/>
          <w:insideV w:val="nil"/>
        </w:tcBorders>
        <w:shd w:val="clear" w:color="auto" w:fill="005CC6" w:themeFill="accent2" w:themeFillShade="BF"/>
      </w:tcPr>
    </w:tblStylePr>
  </w:style>
  <w:style w:type="table" w:styleId="DarkList-Accent3">
    <w:name w:val="Dark List Accent 3"/>
    <w:basedOn w:val="TableNormal"/>
    <w:uiPriority w:val="70"/>
    <w:semiHidden/>
    <w:unhideWhenUsed/>
    <w:rsid w:val="00527E8F"/>
    <w:rPr>
      <w:color w:val="FFFFFF" w:themeColor="background1"/>
    </w:rPr>
    <w:tblPr>
      <w:tblStyleRowBandSize w:val="1"/>
      <w:tblStyleColBandSize w:val="1"/>
    </w:tblPr>
    <w:tcPr>
      <w:shd w:val="clear" w:color="auto" w:fill="5AE6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91A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D8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D8FF" w:themeFill="accent3" w:themeFillShade="BF"/>
      </w:tcPr>
    </w:tblStylePr>
    <w:tblStylePr w:type="band1Vert">
      <w:tblPr/>
      <w:tcPr>
        <w:tcBorders>
          <w:top w:val="nil"/>
          <w:left w:val="nil"/>
          <w:bottom w:val="nil"/>
          <w:right w:val="nil"/>
          <w:insideH w:val="nil"/>
          <w:insideV w:val="nil"/>
        </w:tcBorders>
        <w:shd w:val="clear" w:color="auto" w:fill="03D8FF" w:themeFill="accent3" w:themeFillShade="BF"/>
      </w:tcPr>
    </w:tblStylePr>
    <w:tblStylePr w:type="band1Horz">
      <w:tblPr/>
      <w:tcPr>
        <w:tcBorders>
          <w:top w:val="nil"/>
          <w:left w:val="nil"/>
          <w:bottom w:val="nil"/>
          <w:right w:val="nil"/>
          <w:insideH w:val="nil"/>
          <w:insideV w:val="nil"/>
        </w:tcBorders>
        <w:shd w:val="clear" w:color="auto" w:fill="03D8FF" w:themeFill="accent3" w:themeFillShade="BF"/>
      </w:tcPr>
    </w:tblStylePr>
  </w:style>
  <w:style w:type="table" w:styleId="DarkList-Accent4">
    <w:name w:val="Dark List Accent 4"/>
    <w:basedOn w:val="TableNormal"/>
    <w:uiPriority w:val="70"/>
    <w:semiHidden/>
    <w:unhideWhenUsed/>
    <w:rsid w:val="00527E8F"/>
    <w:rPr>
      <w:color w:val="FFFFFF" w:themeColor="background1"/>
    </w:rPr>
    <w:tblPr>
      <w:tblStyleRowBandSize w:val="1"/>
      <w:tblStyleColBandSize w:val="1"/>
    </w:tblPr>
    <w:tcPr>
      <w:shd w:val="clear" w:color="auto" w:fill="001E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E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6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63F" w:themeFill="accent4" w:themeFillShade="BF"/>
      </w:tcPr>
    </w:tblStylePr>
    <w:tblStylePr w:type="band1Vert">
      <w:tblPr/>
      <w:tcPr>
        <w:tcBorders>
          <w:top w:val="nil"/>
          <w:left w:val="nil"/>
          <w:bottom w:val="nil"/>
          <w:right w:val="nil"/>
          <w:insideH w:val="nil"/>
          <w:insideV w:val="nil"/>
        </w:tcBorders>
        <w:shd w:val="clear" w:color="auto" w:fill="00163F" w:themeFill="accent4" w:themeFillShade="BF"/>
      </w:tcPr>
    </w:tblStylePr>
    <w:tblStylePr w:type="band1Horz">
      <w:tblPr/>
      <w:tcPr>
        <w:tcBorders>
          <w:top w:val="nil"/>
          <w:left w:val="nil"/>
          <w:bottom w:val="nil"/>
          <w:right w:val="nil"/>
          <w:insideH w:val="nil"/>
          <w:insideV w:val="nil"/>
        </w:tcBorders>
        <w:shd w:val="clear" w:color="auto" w:fill="00163F" w:themeFill="accent4" w:themeFillShade="BF"/>
      </w:tcPr>
    </w:tblStylePr>
  </w:style>
  <w:style w:type="table" w:styleId="DarkList-Accent5">
    <w:name w:val="Dark List Accent 5"/>
    <w:basedOn w:val="TableNormal"/>
    <w:uiPriority w:val="70"/>
    <w:semiHidden/>
    <w:unhideWhenUsed/>
    <w:rsid w:val="00527E8F"/>
    <w:rPr>
      <w:color w:val="FFFFFF" w:themeColor="background1"/>
    </w:rPr>
    <w:tblPr>
      <w:tblStyleRowBandSize w:val="1"/>
      <w:tblStyleColBandSize w:val="1"/>
    </w:tblPr>
    <w:tcPr>
      <w:shd w:val="clear" w:color="auto" w:fill="A5A5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5" w:themeFillShade="BF"/>
      </w:tcPr>
    </w:tblStylePr>
    <w:tblStylePr w:type="band1Vert">
      <w:tblPr/>
      <w:tcPr>
        <w:tcBorders>
          <w:top w:val="nil"/>
          <w:left w:val="nil"/>
          <w:bottom w:val="nil"/>
          <w:right w:val="nil"/>
          <w:insideH w:val="nil"/>
          <w:insideV w:val="nil"/>
        </w:tcBorders>
        <w:shd w:val="clear" w:color="auto" w:fill="7B7B7B" w:themeFill="accent5" w:themeFillShade="BF"/>
      </w:tcPr>
    </w:tblStylePr>
    <w:tblStylePr w:type="band1Horz">
      <w:tblPr/>
      <w:tcPr>
        <w:tcBorders>
          <w:top w:val="nil"/>
          <w:left w:val="nil"/>
          <w:bottom w:val="nil"/>
          <w:right w:val="nil"/>
          <w:insideH w:val="nil"/>
          <w:insideV w:val="nil"/>
        </w:tcBorders>
        <w:shd w:val="clear" w:color="auto" w:fill="7B7B7B" w:themeFill="accent5" w:themeFillShade="BF"/>
      </w:tcPr>
    </w:tblStylePr>
  </w:style>
  <w:style w:type="table" w:styleId="DarkList-Accent6">
    <w:name w:val="Dark List Accent 6"/>
    <w:basedOn w:val="TableNormal"/>
    <w:uiPriority w:val="70"/>
    <w:semiHidden/>
    <w:unhideWhenUsed/>
    <w:rsid w:val="00527E8F"/>
    <w:rPr>
      <w:color w:val="FFFFFF" w:themeColor="background1"/>
    </w:rPr>
    <w:tblPr>
      <w:tblStyleRowBandSize w:val="1"/>
      <w:tblStyleColBandSize w:val="1"/>
    </w:tblPr>
    <w:tcPr>
      <w:shd w:val="clear" w:color="auto" w:fill="C8C8C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6" w:themeFillShade="BF"/>
      </w:tcPr>
    </w:tblStylePr>
    <w:tblStylePr w:type="band1Vert">
      <w:tblPr/>
      <w:tcPr>
        <w:tcBorders>
          <w:top w:val="nil"/>
          <w:left w:val="nil"/>
          <w:bottom w:val="nil"/>
          <w:right w:val="nil"/>
          <w:insideH w:val="nil"/>
          <w:insideV w:val="nil"/>
        </w:tcBorders>
        <w:shd w:val="clear" w:color="auto" w:fill="959595" w:themeFill="accent6" w:themeFillShade="BF"/>
      </w:tcPr>
    </w:tblStylePr>
    <w:tblStylePr w:type="band1Horz">
      <w:tblPr/>
      <w:tcPr>
        <w:tcBorders>
          <w:top w:val="nil"/>
          <w:left w:val="nil"/>
          <w:bottom w:val="nil"/>
          <w:right w:val="nil"/>
          <w:insideH w:val="nil"/>
          <w:insideV w:val="nil"/>
        </w:tcBorders>
        <w:shd w:val="clear" w:color="auto" w:fill="959595" w:themeFill="accent6" w:themeFillShade="BF"/>
      </w:tcPr>
    </w:tblStylePr>
  </w:style>
  <w:style w:type="paragraph" w:styleId="Date">
    <w:name w:val="Date"/>
    <w:basedOn w:val="Normal"/>
    <w:next w:val="Normal"/>
    <w:link w:val="DateChar"/>
    <w:uiPriority w:val="99"/>
    <w:semiHidden/>
    <w:unhideWhenUsed/>
    <w:rsid w:val="00527E8F"/>
  </w:style>
  <w:style w:type="character" w:customStyle="1" w:styleId="DateChar">
    <w:name w:val="Date Char"/>
    <w:basedOn w:val="DefaultParagraphFont"/>
    <w:link w:val="Date"/>
    <w:uiPriority w:val="99"/>
    <w:semiHidden/>
    <w:rsid w:val="00527E8F"/>
    <w:rPr>
      <w:rFonts w:asciiTheme="minorHAnsi" w:hAnsiTheme="minorHAnsi"/>
    </w:rPr>
  </w:style>
  <w:style w:type="paragraph" w:styleId="DocumentMap">
    <w:name w:val="Document Map"/>
    <w:basedOn w:val="Normal"/>
    <w:link w:val="DocumentMapChar"/>
    <w:uiPriority w:val="99"/>
    <w:semiHidden/>
    <w:unhideWhenUsed/>
    <w:rsid w:val="00527E8F"/>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27E8F"/>
    <w:rPr>
      <w:rFonts w:ascii="Segoe UI" w:hAnsi="Segoe UI" w:cs="Segoe UI"/>
      <w:sz w:val="16"/>
      <w:szCs w:val="16"/>
    </w:rPr>
  </w:style>
  <w:style w:type="paragraph" w:styleId="E-mailSignature">
    <w:name w:val="E-mail Signature"/>
    <w:basedOn w:val="Normal"/>
    <w:link w:val="E-mailSignatureChar"/>
    <w:uiPriority w:val="99"/>
    <w:semiHidden/>
    <w:rsid w:val="00527E8F"/>
    <w:pPr>
      <w:tabs>
        <w:tab w:val="left" w:pos="425"/>
      </w:tabs>
      <w:spacing w:after="120"/>
    </w:pPr>
    <w:rPr>
      <w:noProof/>
    </w:rPr>
  </w:style>
  <w:style w:type="character" w:customStyle="1" w:styleId="E-mailSignatureChar">
    <w:name w:val="E-mail Signature Char"/>
    <w:basedOn w:val="DefaultParagraphFont"/>
    <w:link w:val="E-mailSignature"/>
    <w:uiPriority w:val="99"/>
    <w:semiHidden/>
    <w:rsid w:val="00527E8F"/>
    <w:rPr>
      <w:rFonts w:asciiTheme="minorHAnsi" w:hAnsiTheme="minorHAnsi"/>
      <w:noProof/>
    </w:rPr>
  </w:style>
  <w:style w:type="character" w:styleId="Emphasis">
    <w:name w:val="Emphasis"/>
    <w:basedOn w:val="DefaultParagraphFont"/>
    <w:uiPriority w:val="99"/>
    <w:rsid w:val="00527E8F"/>
    <w:rPr>
      <w:i/>
      <w:iCs/>
    </w:rPr>
  </w:style>
  <w:style w:type="character" w:styleId="EndnoteReference">
    <w:name w:val="endnote reference"/>
    <w:basedOn w:val="DefaultParagraphFont"/>
    <w:uiPriority w:val="99"/>
    <w:semiHidden/>
    <w:unhideWhenUsed/>
    <w:rsid w:val="00527E8F"/>
    <w:rPr>
      <w:vertAlign w:val="superscript"/>
    </w:rPr>
  </w:style>
  <w:style w:type="paragraph" w:styleId="EndnoteText">
    <w:name w:val="endnote text"/>
    <w:basedOn w:val="Normal"/>
    <w:link w:val="EndnoteTextChar"/>
    <w:uiPriority w:val="99"/>
    <w:semiHidden/>
    <w:unhideWhenUsed/>
    <w:rsid w:val="00527E8F"/>
  </w:style>
  <w:style w:type="character" w:customStyle="1" w:styleId="EndnoteTextChar">
    <w:name w:val="Endnote Text Char"/>
    <w:basedOn w:val="DefaultParagraphFont"/>
    <w:link w:val="EndnoteText"/>
    <w:uiPriority w:val="99"/>
    <w:semiHidden/>
    <w:rsid w:val="00527E8F"/>
    <w:rPr>
      <w:rFonts w:asciiTheme="minorHAnsi" w:hAnsiTheme="minorHAnsi"/>
    </w:rPr>
  </w:style>
  <w:style w:type="paragraph" w:styleId="EnvelopeAddress">
    <w:name w:val="envelope address"/>
    <w:basedOn w:val="Normal"/>
    <w:uiPriority w:val="99"/>
    <w:semiHidden/>
    <w:unhideWhenUsed/>
    <w:rsid w:val="00527E8F"/>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527E8F"/>
    <w:rPr>
      <w:rFonts w:eastAsiaTheme="majorEastAsia" w:cstheme="majorBidi"/>
    </w:rPr>
  </w:style>
  <w:style w:type="character" w:styleId="FollowedHyperlink">
    <w:name w:val="FollowedHyperlink"/>
    <w:basedOn w:val="DefaultParagraphFont"/>
    <w:uiPriority w:val="99"/>
    <w:semiHidden/>
    <w:rsid w:val="00527E8F"/>
    <w:rPr>
      <w:color w:val="0A7DFF" w:themeColor="accent2"/>
      <w:u w:val="single"/>
    </w:rPr>
  </w:style>
  <w:style w:type="table" w:styleId="GridTable1Light">
    <w:name w:val="Grid Table 1 Light"/>
    <w:basedOn w:val="TableNormal"/>
    <w:uiPriority w:val="46"/>
    <w:rsid w:val="00527E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27E8F"/>
    <w:tblPr>
      <w:tblStyleRowBandSize w:val="1"/>
      <w:tblStyleColBandSize w:val="1"/>
      <w:tblBorders>
        <w:top w:val="single" w:sz="4" w:space="0" w:color="A5A3F2" w:themeColor="accent1" w:themeTint="66"/>
        <w:left w:val="single" w:sz="4" w:space="0" w:color="A5A3F2" w:themeColor="accent1" w:themeTint="66"/>
        <w:bottom w:val="single" w:sz="4" w:space="0" w:color="A5A3F2" w:themeColor="accent1" w:themeTint="66"/>
        <w:right w:val="single" w:sz="4" w:space="0" w:color="A5A3F2" w:themeColor="accent1" w:themeTint="66"/>
        <w:insideH w:val="single" w:sz="4" w:space="0" w:color="A5A3F2" w:themeColor="accent1" w:themeTint="66"/>
        <w:insideV w:val="single" w:sz="4" w:space="0" w:color="A5A3F2" w:themeColor="accent1" w:themeTint="66"/>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2" w:space="0" w:color="7875E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27E8F"/>
    <w:tblPr>
      <w:tblStyleRowBandSize w:val="1"/>
      <w:tblStyleColBandSize w:val="1"/>
      <w:tblBorders>
        <w:top w:val="single" w:sz="4" w:space="0" w:color="9DCAFF" w:themeColor="accent2" w:themeTint="66"/>
        <w:left w:val="single" w:sz="4" w:space="0" w:color="9DCAFF" w:themeColor="accent2" w:themeTint="66"/>
        <w:bottom w:val="single" w:sz="4" w:space="0" w:color="9DCAFF" w:themeColor="accent2" w:themeTint="66"/>
        <w:right w:val="single" w:sz="4" w:space="0" w:color="9DCAFF" w:themeColor="accent2" w:themeTint="66"/>
        <w:insideH w:val="single" w:sz="4" w:space="0" w:color="9DCAFF" w:themeColor="accent2" w:themeTint="66"/>
        <w:insideV w:val="single" w:sz="4" w:space="0" w:color="9DCAFF" w:themeColor="accent2" w:themeTint="66"/>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2" w:space="0" w:color="6CB0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27E8F"/>
    <w:tblPr>
      <w:tblStyleRowBandSize w:val="1"/>
      <w:tblStyleColBandSize w:val="1"/>
      <w:tblBorders>
        <w:top w:val="single" w:sz="4" w:space="0" w:color="BDF4FF" w:themeColor="accent3" w:themeTint="66"/>
        <w:left w:val="single" w:sz="4" w:space="0" w:color="BDF4FF" w:themeColor="accent3" w:themeTint="66"/>
        <w:bottom w:val="single" w:sz="4" w:space="0" w:color="BDF4FF" w:themeColor="accent3" w:themeTint="66"/>
        <w:right w:val="single" w:sz="4" w:space="0" w:color="BDF4FF" w:themeColor="accent3" w:themeTint="66"/>
        <w:insideH w:val="single" w:sz="4" w:space="0" w:color="BDF4FF" w:themeColor="accent3" w:themeTint="66"/>
        <w:insideV w:val="single" w:sz="4" w:space="0" w:color="BDF4FF" w:themeColor="accent3" w:themeTint="66"/>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2" w:space="0" w:color="9C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27E8F"/>
    <w:tblPr>
      <w:tblStyleRowBandSize w:val="1"/>
      <w:tblStyleColBandSize w:val="1"/>
      <w:tblBorders>
        <w:top w:val="single" w:sz="4" w:space="0" w:color="5591FF" w:themeColor="accent4" w:themeTint="66"/>
        <w:left w:val="single" w:sz="4" w:space="0" w:color="5591FF" w:themeColor="accent4" w:themeTint="66"/>
        <w:bottom w:val="single" w:sz="4" w:space="0" w:color="5591FF" w:themeColor="accent4" w:themeTint="66"/>
        <w:right w:val="single" w:sz="4" w:space="0" w:color="5591FF" w:themeColor="accent4" w:themeTint="66"/>
        <w:insideH w:val="single" w:sz="4" w:space="0" w:color="5591FF" w:themeColor="accent4" w:themeTint="66"/>
        <w:insideV w:val="single" w:sz="4" w:space="0" w:color="5591FF" w:themeColor="accent4" w:themeTint="66"/>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2" w:space="0" w:color="005A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27E8F"/>
    <w:tblPr>
      <w:tblStyleRowBandSize w:val="1"/>
      <w:tblStyleColBandSize w:val="1"/>
      <w:tblBorders>
        <w:top w:val="single" w:sz="4" w:space="0" w:color="DBDBDB" w:themeColor="accent5" w:themeTint="66"/>
        <w:left w:val="single" w:sz="4" w:space="0" w:color="DBDBDB" w:themeColor="accent5" w:themeTint="66"/>
        <w:bottom w:val="single" w:sz="4" w:space="0" w:color="DBDBDB" w:themeColor="accent5" w:themeTint="66"/>
        <w:right w:val="single" w:sz="4" w:space="0" w:color="DBDBDB" w:themeColor="accent5" w:themeTint="66"/>
        <w:insideH w:val="single" w:sz="4" w:space="0" w:color="DBDBDB" w:themeColor="accent5" w:themeTint="66"/>
        <w:insideV w:val="single" w:sz="4" w:space="0" w:color="DBDBDB" w:themeColor="accent5" w:themeTint="66"/>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2" w:space="0" w:color="C9C9C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27E8F"/>
    <w:tblPr>
      <w:tblStyleRowBandSize w:val="1"/>
      <w:tblStyleColBandSize w:val="1"/>
      <w:tblBorders>
        <w:top w:val="single" w:sz="4" w:space="0" w:color="E9E9E9" w:themeColor="accent6" w:themeTint="66"/>
        <w:left w:val="single" w:sz="4" w:space="0" w:color="E9E9E9" w:themeColor="accent6" w:themeTint="66"/>
        <w:bottom w:val="single" w:sz="4" w:space="0" w:color="E9E9E9" w:themeColor="accent6" w:themeTint="66"/>
        <w:right w:val="single" w:sz="4" w:space="0" w:color="E9E9E9" w:themeColor="accent6" w:themeTint="66"/>
        <w:insideH w:val="single" w:sz="4" w:space="0" w:color="E9E9E9" w:themeColor="accent6" w:themeTint="66"/>
        <w:insideV w:val="single" w:sz="4" w:space="0" w:color="E9E9E9" w:themeColor="accent6" w:themeTint="66"/>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2" w:space="0" w:color="DEDEDE"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27E8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27E8F"/>
    <w:tblPr>
      <w:tblStyleRowBandSize w:val="1"/>
      <w:tblStyleColBandSize w:val="1"/>
      <w:tblBorders>
        <w:top w:val="single" w:sz="2" w:space="0" w:color="7875EC" w:themeColor="accent1" w:themeTint="99"/>
        <w:bottom w:val="single" w:sz="2" w:space="0" w:color="7875EC" w:themeColor="accent1" w:themeTint="99"/>
        <w:insideH w:val="single" w:sz="2" w:space="0" w:color="7875EC" w:themeColor="accent1" w:themeTint="99"/>
        <w:insideV w:val="single" w:sz="2" w:space="0" w:color="7875EC" w:themeColor="accent1" w:themeTint="99"/>
      </w:tblBorders>
    </w:tblPr>
    <w:tblStylePr w:type="firstRow">
      <w:rPr>
        <w:b/>
        <w:bCs/>
      </w:rPr>
      <w:tblPr/>
      <w:tcPr>
        <w:tcBorders>
          <w:top w:val="nil"/>
          <w:bottom w:val="single" w:sz="12" w:space="0" w:color="7875EC" w:themeColor="accent1" w:themeTint="99"/>
          <w:insideH w:val="nil"/>
          <w:insideV w:val="nil"/>
        </w:tcBorders>
        <w:shd w:val="clear" w:color="auto" w:fill="FFFFFF" w:themeFill="background1"/>
      </w:tcPr>
    </w:tblStylePr>
    <w:tblStylePr w:type="lastRow">
      <w:rPr>
        <w:b/>
        <w:bCs/>
      </w:rPr>
      <w:tblPr/>
      <w:tcPr>
        <w:tcBorders>
          <w:top w:val="double" w:sz="2" w:space="0" w:color="7875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2-Accent2">
    <w:name w:val="Grid Table 2 Accent 2"/>
    <w:basedOn w:val="TableNormal"/>
    <w:uiPriority w:val="47"/>
    <w:rsid w:val="00527E8F"/>
    <w:tblPr>
      <w:tblStyleRowBandSize w:val="1"/>
      <w:tblStyleColBandSize w:val="1"/>
      <w:tblBorders>
        <w:top w:val="single" w:sz="2" w:space="0" w:color="6CB0FF" w:themeColor="accent2" w:themeTint="99"/>
        <w:bottom w:val="single" w:sz="2" w:space="0" w:color="6CB0FF" w:themeColor="accent2" w:themeTint="99"/>
        <w:insideH w:val="single" w:sz="2" w:space="0" w:color="6CB0FF" w:themeColor="accent2" w:themeTint="99"/>
        <w:insideV w:val="single" w:sz="2" w:space="0" w:color="6CB0FF" w:themeColor="accent2" w:themeTint="99"/>
      </w:tblBorders>
    </w:tblPr>
    <w:tblStylePr w:type="firstRow">
      <w:rPr>
        <w:b/>
        <w:bCs/>
      </w:rPr>
      <w:tblPr/>
      <w:tcPr>
        <w:tcBorders>
          <w:top w:val="nil"/>
          <w:bottom w:val="single" w:sz="12" w:space="0" w:color="6CB0FF" w:themeColor="accent2" w:themeTint="99"/>
          <w:insideH w:val="nil"/>
          <w:insideV w:val="nil"/>
        </w:tcBorders>
        <w:shd w:val="clear" w:color="auto" w:fill="FFFFFF" w:themeFill="background1"/>
      </w:tcPr>
    </w:tblStylePr>
    <w:tblStylePr w:type="lastRow">
      <w:rPr>
        <w:b/>
        <w:bCs/>
      </w:rPr>
      <w:tblPr/>
      <w:tcPr>
        <w:tcBorders>
          <w:top w:val="double" w:sz="2" w:space="0" w:color="6CB0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2-Accent3">
    <w:name w:val="Grid Table 2 Accent 3"/>
    <w:basedOn w:val="TableNormal"/>
    <w:uiPriority w:val="47"/>
    <w:rsid w:val="00527E8F"/>
    <w:tblPr>
      <w:tblStyleRowBandSize w:val="1"/>
      <w:tblStyleColBandSize w:val="1"/>
      <w:tblBorders>
        <w:top w:val="single" w:sz="2" w:space="0" w:color="9CEFFF" w:themeColor="accent3" w:themeTint="99"/>
        <w:bottom w:val="single" w:sz="2" w:space="0" w:color="9CEFFF" w:themeColor="accent3" w:themeTint="99"/>
        <w:insideH w:val="single" w:sz="2" w:space="0" w:color="9CEFFF" w:themeColor="accent3" w:themeTint="99"/>
        <w:insideV w:val="single" w:sz="2" w:space="0" w:color="9CEFFF" w:themeColor="accent3" w:themeTint="99"/>
      </w:tblBorders>
    </w:tblPr>
    <w:tblStylePr w:type="firstRow">
      <w:rPr>
        <w:b/>
        <w:bCs/>
      </w:rPr>
      <w:tblPr/>
      <w:tcPr>
        <w:tcBorders>
          <w:top w:val="nil"/>
          <w:bottom w:val="single" w:sz="12" w:space="0" w:color="9CEFFF" w:themeColor="accent3" w:themeTint="99"/>
          <w:insideH w:val="nil"/>
          <w:insideV w:val="nil"/>
        </w:tcBorders>
        <w:shd w:val="clear" w:color="auto" w:fill="FFFFFF" w:themeFill="background1"/>
      </w:tcPr>
    </w:tblStylePr>
    <w:tblStylePr w:type="lastRow">
      <w:rPr>
        <w:b/>
        <w:bCs/>
      </w:rPr>
      <w:tblPr/>
      <w:tcPr>
        <w:tcBorders>
          <w:top w:val="double" w:sz="2" w:space="0" w:color="9C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2-Accent4">
    <w:name w:val="Grid Table 2 Accent 4"/>
    <w:basedOn w:val="TableNormal"/>
    <w:uiPriority w:val="47"/>
    <w:rsid w:val="00527E8F"/>
    <w:tblPr>
      <w:tblStyleRowBandSize w:val="1"/>
      <w:tblStyleColBandSize w:val="1"/>
      <w:tblBorders>
        <w:top w:val="single" w:sz="2" w:space="0" w:color="005AFF" w:themeColor="accent4" w:themeTint="99"/>
        <w:bottom w:val="single" w:sz="2" w:space="0" w:color="005AFF" w:themeColor="accent4" w:themeTint="99"/>
        <w:insideH w:val="single" w:sz="2" w:space="0" w:color="005AFF" w:themeColor="accent4" w:themeTint="99"/>
        <w:insideV w:val="single" w:sz="2" w:space="0" w:color="005AFF" w:themeColor="accent4" w:themeTint="99"/>
      </w:tblBorders>
    </w:tblPr>
    <w:tblStylePr w:type="firstRow">
      <w:rPr>
        <w:b/>
        <w:bCs/>
      </w:rPr>
      <w:tblPr/>
      <w:tcPr>
        <w:tcBorders>
          <w:top w:val="nil"/>
          <w:bottom w:val="single" w:sz="12" w:space="0" w:color="005AFF" w:themeColor="accent4" w:themeTint="99"/>
          <w:insideH w:val="nil"/>
          <w:insideV w:val="nil"/>
        </w:tcBorders>
        <w:shd w:val="clear" w:color="auto" w:fill="FFFFFF" w:themeFill="background1"/>
      </w:tcPr>
    </w:tblStylePr>
    <w:tblStylePr w:type="lastRow">
      <w:rPr>
        <w:b/>
        <w:bCs/>
      </w:rPr>
      <w:tblPr/>
      <w:tcPr>
        <w:tcBorders>
          <w:top w:val="double" w:sz="2" w:space="0" w:color="005A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2-Accent5">
    <w:name w:val="Grid Table 2 Accent 5"/>
    <w:basedOn w:val="TableNormal"/>
    <w:uiPriority w:val="47"/>
    <w:rsid w:val="00527E8F"/>
    <w:tblPr>
      <w:tblStyleRowBandSize w:val="1"/>
      <w:tblStyleColBandSize w:val="1"/>
      <w:tblBorders>
        <w:top w:val="single" w:sz="2" w:space="0" w:color="C9C9C9" w:themeColor="accent5" w:themeTint="99"/>
        <w:bottom w:val="single" w:sz="2" w:space="0" w:color="C9C9C9" w:themeColor="accent5" w:themeTint="99"/>
        <w:insideH w:val="single" w:sz="2" w:space="0" w:color="C9C9C9" w:themeColor="accent5" w:themeTint="99"/>
        <w:insideV w:val="single" w:sz="2" w:space="0" w:color="C9C9C9" w:themeColor="accent5" w:themeTint="99"/>
      </w:tblBorders>
    </w:tblPr>
    <w:tblStylePr w:type="firstRow">
      <w:rPr>
        <w:b/>
        <w:bCs/>
      </w:rPr>
      <w:tblPr/>
      <w:tcPr>
        <w:tcBorders>
          <w:top w:val="nil"/>
          <w:bottom w:val="single" w:sz="12" w:space="0" w:color="C9C9C9" w:themeColor="accent5" w:themeTint="99"/>
          <w:insideH w:val="nil"/>
          <w:insideV w:val="nil"/>
        </w:tcBorders>
        <w:shd w:val="clear" w:color="auto" w:fill="FFFFFF" w:themeFill="background1"/>
      </w:tcPr>
    </w:tblStylePr>
    <w:tblStylePr w:type="lastRow">
      <w:rPr>
        <w:b/>
        <w:bCs/>
      </w:rPr>
      <w:tblPr/>
      <w:tcPr>
        <w:tcBorders>
          <w:top w:val="double" w:sz="2" w:space="0" w:color="C9C9C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2-Accent6">
    <w:name w:val="Grid Table 2 Accent 6"/>
    <w:basedOn w:val="TableNormal"/>
    <w:uiPriority w:val="47"/>
    <w:rsid w:val="00527E8F"/>
    <w:tblPr>
      <w:tblStyleRowBandSize w:val="1"/>
      <w:tblStyleColBandSize w:val="1"/>
      <w:tblBorders>
        <w:top w:val="single" w:sz="2" w:space="0" w:color="DEDEDE" w:themeColor="accent6" w:themeTint="99"/>
        <w:bottom w:val="single" w:sz="2" w:space="0" w:color="DEDEDE" w:themeColor="accent6" w:themeTint="99"/>
        <w:insideH w:val="single" w:sz="2" w:space="0" w:color="DEDEDE" w:themeColor="accent6" w:themeTint="99"/>
        <w:insideV w:val="single" w:sz="2" w:space="0" w:color="DEDEDE" w:themeColor="accent6" w:themeTint="99"/>
      </w:tblBorders>
    </w:tblPr>
    <w:tblStylePr w:type="firstRow">
      <w:rPr>
        <w:b/>
        <w:bCs/>
      </w:rPr>
      <w:tblPr/>
      <w:tcPr>
        <w:tcBorders>
          <w:top w:val="nil"/>
          <w:bottom w:val="single" w:sz="12" w:space="0" w:color="DEDEDE" w:themeColor="accent6" w:themeTint="99"/>
          <w:insideH w:val="nil"/>
          <w:insideV w:val="nil"/>
        </w:tcBorders>
        <w:shd w:val="clear" w:color="auto" w:fill="FFFFFF" w:themeFill="background1"/>
      </w:tcPr>
    </w:tblStylePr>
    <w:tblStylePr w:type="lastRow">
      <w:rPr>
        <w:b/>
        <w:bCs/>
      </w:rPr>
      <w:tblPr/>
      <w:tcPr>
        <w:tcBorders>
          <w:top w:val="double" w:sz="2" w:space="0" w:color="DEDEDE"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3">
    <w:name w:val="Grid Table 3"/>
    <w:basedOn w:val="TableNormal"/>
    <w:uiPriority w:val="48"/>
    <w:rsid w:val="00527E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27E8F"/>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3-Accent2">
    <w:name w:val="Grid Table 3 Accent 2"/>
    <w:basedOn w:val="TableNormal"/>
    <w:uiPriority w:val="48"/>
    <w:rsid w:val="00527E8F"/>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3-Accent3">
    <w:name w:val="Grid Table 3 Accent 3"/>
    <w:basedOn w:val="TableNormal"/>
    <w:uiPriority w:val="48"/>
    <w:rsid w:val="00527E8F"/>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3-Accent4">
    <w:name w:val="Grid Table 3 Accent 4"/>
    <w:basedOn w:val="TableNormal"/>
    <w:uiPriority w:val="48"/>
    <w:rsid w:val="00527E8F"/>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3-Accent5">
    <w:name w:val="Grid Table 3 Accent 5"/>
    <w:basedOn w:val="TableNormal"/>
    <w:uiPriority w:val="48"/>
    <w:rsid w:val="00527E8F"/>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3-Accent6">
    <w:name w:val="Grid Table 3 Accent 6"/>
    <w:basedOn w:val="TableNormal"/>
    <w:uiPriority w:val="48"/>
    <w:rsid w:val="00527E8F"/>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table" w:styleId="GridTable4">
    <w:name w:val="Grid Table 4"/>
    <w:basedOn w:val="TableNormal"/>
    <w:uiPriority w:val="49"/>
    <w:rsid w:val="00527E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27E8F"/>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insideV w:val="nil"/>
        </w:tcBorders>
        <w:shd w:val="clear" w:color="auto" w:fill="231EDC" w:themeFill="accent1"/>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4-Accent2">
    <w:name w:val="Grid Table 4 Accent 2"/>
    <w:basedOn w:val="TableNormal"/>
    <w:uiPriority w:val="49"/>
    <w:rsid w:val="00527E8F"/>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insideV w:val="nil"/>
        </w:tcBorders>
        <w:shd w:val="clear" w:color="auto" w:fill="0A7DFF" w:themeFill="accent2"/>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4-Accent3">
    <w:name w:val="Grid Table 4 Accent 3"/>
    <w:basedOn w:val="TableNormal"/>
    <w:uiPriority w:val="49"/>
    <w:rsid w:val="00527E8F"/>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insideV w:val="nil"/>
        </w:tcBorders>
        <w:shd w:val="clear" w:color="auto" w:fill="5AE6FF" w:themeFill="accent3"/>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4-Accent4">
    <w:name w:val="Grid Table 4 Accent 4"/>
    <w:basedOn w:val="TableNormal"/>
    <w:uiPriority w:val="49"/>
    <w:rsid w:val="00527E8F"/>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insideV w:val="nil"/>
        </w:tcBorders>
        <w:shd w:val="clear" w:color="auto" w:fill="001E55" w:themeFill="accent4"/>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4-Accent5">
    <w:name w:val="Grid Table 4 Accent 5"/>
    <w:basedOn w:val="TableNormal"/>
    <w:uiPriority w:val="49"/>
    <w:rsid w:val="00527E8F"/>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insideV w:val="nil"/>
        </w:tcBorders>
        <w:shd w:val="clear" w:color="auto" w:fill="A5A5A5" w:themeFill="accent5"/>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5Dark">
    <w:name w:val="Grid Table 5 Dark"/>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1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ED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ED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ED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EDC" w:themeFill="accent1"/>
      </w:tcPr>
    </w:tblStylePr>
    <w:tblStylePr w:type="band1Vert">
      <w:tblPr/>
      <w:tcPr>
        <w:shd w:val="clear" w:color="auto" w:fill="A5A3F2" w:themeFill="accent1" w:themeFillTint="66"/>
      </w:tcPr>
    </w:tblStylePr>
    <w:tblStylePr w:type="band1Horz">
      <w:tblPr/>
      <w:tcPr>
        <w:shd w:val="clear" w:color="auto" w:fill="A5A3F2" w:themeFill="accent1" w:themeFillTint="66"/>
      </w:tcPr>
    </w:tblStylePr>
  </w:style>
  <w:style w:type="table" w:styleId="GridTable5Dark-Accent2">
    <w:name w:val="Grid Table 5 Dark Accent 2"/>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E4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7DF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7DF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7DF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7DFF" w:themeFill="accent2"/>
      </w:tcPr>
    </w:tblStylePr>
    <w:tblStylePr w:type="band1Vert">
      <w:tblPr/>
      <w:tcPr>
        <w:shd w:val="clear" w:color="auto" w:fill="9DCAFF" w:themeFill="accent2" w:themeFillTint="66"/>
      </w:tcPr>
    </w:tblStylePr>
    <w:tblStylePr w:type="band1Horz">
      <w:tblPr/>
      <w:tcPr>
        <w:shd w:val="clear" w:color="auto" w:fill="9DCAFF" w:themeFill="accent2" w:themeFillTint="66"/>
      </w:tcPr>
    </w:tblStylePr>
  </w:style>
  <w:style w:type="table" w:styleId="GridTable5Dark-Accent3">
    <w:name w:val="Grid Table 5 Dark Accent 3"/>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AE6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AE6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AE6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AE6FF" w:themeFill="accent3"/>
      </w:tcPr>
    </w:tblStylePr>
    <w:tblStylePr w:type="band1Vert">
      <w:tblPr/>
      <w:tcPr>
        <w:shd w:val="clear" w:color="auto" w:fill="BDF4FF" w:themeFill="accent3" w:themeFillTint="66"/>
      </w:tcPr>
    </w:tblStylePr>
    <w:tblStylePr w:type="band1Horz">
      <w:tblPr/>
      <w:tcPr>
        <w:shd w:val="clear" w:color="auto" w:fill="BDF4FF" w:themeFill="accent3" w:themeFillTint="66"/>
      </w:tcPr>
    </w:tblStylePr>
  </w:style>
  <w:style w:type="table" w:styleId="GridTable5Dark-Accent4">
    <w:name w:val="Grid Table 5 Dark Accent 4"/>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C8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E5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E5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E5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E55" w:themeFill="accent4"/>
      </w:tcPr>
    </w:tblStylePr>
    <w:tblStylePr w:type="band1Vert">
      <w:tblPr/>
      <w:tcPr>
        <w:shd w:val="clear" w:color="auto" w:fill="5591FF" w:themeFill="accent4" w:themeFillTint="66"/>
      </w:tcPr>
    </w:tblStylePr>
    <w:tblStylePr w:type="band1Horz">
      <w:tblPr/>
      <w:tcPr>
        <w:shd w:val="clear" w:color="auto" w:fill="5591FF" w:themeFill="accent4" w:themeFillTint="66"/>
      </w:tcPr>
    </w:tblStylePr>
  </w:style>
  <w:style w:type="table" w:styleId="GridTable5Dark-Accent5">
    <w:name w:val="Grid Table 5 Dark Accent 5"/>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5"/>
      </w:tcPr>
    </w:tblStylePr>
    <w:tblStylePr w:type="band1Vert">
      <w:tblPr/>
      <w:tcPr>
        <w:shd w:val="clear" w:color="auto" w:fill="DBDBDB" w:themeFill="accent5" w:themeFillTint="66"/>
      </w:tcPr>
    </w:tblStylePr>
    <w:tblStylePr w:type="band1Horz">
      <w:tblPr/>
      <w:tcPr>
        <w:shd w:val="clear" w:color="auto" w:fill="DBDBDB" w:themeFill="accent5" w:themeFillTint="66"/>
      </w:tcPr>
    </w:tblStylePr>
  </w:style>
  <w:style w:type="table" w:styleId="GridTable5Dark-Accent6">
    <w:name w:val="Grid Table 5 Dark Accent 6"/>
    <w:basedOn w:val="TableNormal"/>
    <w:uiPriority w:val="50"/>
    <w:rsid w:val="00527E8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6"/>
      </w:tcPr>
    </w:tblStylePr>
    <w:tblStylePr w:type="band1Vert">
      <w:tblPr/>
      <w:tcPr>
        <w:shd w:val="clear" w:color="auto" w:fill="E9E9E9" w:themeFill="accent6" w:themeFillTint="66"/>
      </w:tcPr>
    </w:tblStylePr>
    <w:tblStylePr w:type="band1Horz">
      <w:tblPr/>
      <w:tcPr>
        <w:shd w:val="clear" w:color="auto" w:fill="E9E9E9" w:themeFill="accent6" w:themeFillTint="66"/>
      </w:tcPr>
    </w:tblStylePr>
  </w:style>
  <w:style w:type="table" w:styleId="GridTable6Colorful">
    <w:name w:val="Grid Table 6 Colorful"/>
    <w:basedOn w:val="TableNormal"/>
    <w:uiPriority w:val="51"/>
    <w:rsid w:val="00527E8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27E8F"/>
    <w:rPr>
      <w:color w:val="1916A4" w:themeColor="accent1" w:themeShade="BF"/>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bottom w:val="single" w:sz="12" w:space="0" w:color="7875EC" w:themeColor="accent1" w:themeTint="99"/>
        </w:tcBorders>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GridTable6Colorful-Accent2">
    <w:name w:val="Grid Table 6 Colorful Accent 2"/>
    <w:basedOn w:val="TableNormal"/>
    <w:uiPriority w:val="51"/>
    <w:rsid w:val="00527E8F"/>
    <w:rPr>
      <w:color w:val="005CC6" w:themeColor="accent2" w:themeShade="BF"/>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bottom w:val="single" w:sz="12" w:space="0" w:color="6CB0FF" w:themeColor="accent2" w:themeTint="99"/>
        </w:tcBorders>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GridTable6Colorful-Accent3">
    <w:name w:val="Grid Table 6 Colorful Accent 3"/>
    <w:basedOn w:val="TableNormal"/>
    <w:uiPriority w:val="51"/>
    <w:rsid w:val="00527E8F"/>
    <w:rPr>
      <w:color w:val="03D8FF" w:themeColor="accent3" w:themeShade="BF"/>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bottom w:val="single" w:sz="12" w:space="0" w:color="9CEFFF" w:themeColor="accent3" w:themeTint="99"/>
        </w:tcBorders>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GridTable6Colorful-Accent4">
    <w:name w:val="Grid Table 6 Colorful Accent 4"/>
    <w:basedOn w:val="TableNormal"/>
    <w:uiPriority w:val="51"/>
    <w:rsid w:val="00527E8F"/>
    <w:rPr>
      <w:color w:val="00163F" w:themeColor="accent4" w:themeShade="BF"/>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bottom w:val="single" w:sz="12" w:space="0" w:color="005AFF" w:themeColor="accent4" w:themeTint="99"/>
        </w:tcBorders>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GridTable6Colorful-Accent5">
    <w:name w:val="Grid Table 6 Colorful Accent 5"/>
    <w:basedOn w:val="TableNormal"/>
    <w:uiPriority w:val="51"/>
    <w:rsid w:val="00527E8F"/>
    <w:rPr>
      <w:color w:val="7B7B7B" w:themeColor="accent5" w:themeShade="BF"/>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bottom w:val="single" w:sz="12" w:space="0" w:color="C9C9C9" w:themeColor="accent5" w:themeTint="99"/>
        </w:tcBorders>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GridTable6Colorful-Accent6">
    <w:name w:val="Grid Table 6 Colorful Accent 6"/>
    <w:basedOn w:val="TableNormal"/>
    <w:uiPriority w:val="51"/>
    <w:rsid w:val="00527E8F"/>
    <w:rPr>
      <w:color w:val="959595" w:themeColor="accent6" w:themeShade="BF"/>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bottom w:val="single" w:sz="12" w:space="0" w:color="DEDEDE" w:themeColor="accent6" w:themeTint="99"/>
        </w:tcBorders>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GridTable7Colorful">
    <w:name w:val="Grid Table 7 Colorful"/>
    <w:basedOn w:val="TableNormal"/>
    <w:uiPriority w:val="52"/>
    <w:rsid w:val="00527E8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27E8F"/>
    <w:rPr>
      <w:color w:val="1916A4" w:themeColor="accent1" w:themeShade="BF"/>
    </w:rPr>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insideV w:val="single" w:sz="4" w:space="0" w:color="7875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bottom w:val="single" w:sz="4" w:space="0" w:color="7875EC" w:themeColor="accent1" w:themeTint="99"/>
        </w:tcBorders>
      </w:tcPr>
    </w:tblStylePr>
    <w:tblStylePr w:type="nwCell">
      <w:tblPr/>
      <w:tcPr>
        <w:tcBorders>
          <w:bottom w:val="single" w:sz="4" w:space="0" w:color="7875EC" w:themeColor="accent1" w:themeTint="99"/>
        </w:tcBorders>
      </w:tcPr>
    </w:tblStylePr>
    <w:tblStylePr w:type="seCell">
      <w:tblPr/>
      <w:tcPr>
        <w:tcBorders>
          <w:top w:val="single" w:sz="4" w:space="0" w:color="7875EC" w:themeColor="accent1" w:themeTint="99"/>
        </w:tcBorders>
      </w:tcPr>
    </w:tblStylePr>
    <w:tblStylePr w:type="swCell">
      <w:tblPr/>
      <w:tcPr>
        <w:tcBorders>
          <w:top w:val="single" w:sz="4" w:space="0" w:color="7875EC" w:themeColor="accent1" w:themeTint="99"/>
        </w:tcBorders>
      </w:tcPr>
    </w:tblStylePr>
  </w:style>
  <w:style w:type="table" w:styleId="GridTable7Colorful-Accent2">
    <w:name w:val="Grid Table 7 Colorful Accent 2"/>
    <w:basedOn w:val="TableNormal"/>
    <w:uiPriority w:val="52"/>
    <w:rsid w:val="00527E8F"/>
    <w:rPr>
      <w:color w:val="005CC6" w:themeColor="accent2" w:themeShade="BF"/>
    </w:rPr>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insideV w:val="single" w:sz="4" w:space="0" w:color="6CB0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bottom w:val="single" w:sz="4" w:space="0" w:color="6CB0FF" w:themeColor="accent2" w:themeTint="99"/>
        </w:tcBorders>
      </w:tcPr>
    </w:tblStylePr>
    <w:tblStylePr w:type="nwCell">
      <w:tblPr/>
      <w:tcPr>
        <w:tcBorders>
          <w:bottom w:val="single" w:sz="4" w:space="0" w:color="6CB0FF" w:themeColor="accent2" w:themeTint="99"/>
        </w:tcBorders>
      </w:tcPr>
    </w:tblStylePr>
    <w:tblStylePr w:type="seCell">
      <w:tblPr/>
      <w:tcPr>
        <w:tcBorders>
          <w:top w:val="single" w:sz="4" w:space="0" w:color="6CB0FF" w:themeColor="accent2" w:themeTint="99"/>
        </w:tcBorders>
      </w:tcPr>
    </w:tblStylePr>
    <w:tblStylePr w:type="swCell">
      <w:tblPr/>
      <w:tcPr>
        <w:tcBorders>
          <w:top w:val="single" w:sz="4" w:space="0" w:color="6CB0FF" w:themeColor="accent2" w:themeTint="99"/>
        </w:tcBorders>
      </w:tcPr>
    </w:tblStylePr>
  </w:style>
  <w:style w:type="table" w:styleId="GridTable7Colorful-Accent3">
    <w:name w:val="Grid Table 7 Colorful Accent 3"/>
    <w:basedOn w:val="TableNormal"/>
    <w:uiPriority w:val="52"/>
    <w:rsid w:val="00527E8F"/>
    <w:rPr>
      <w:color w:val="03D8FF" w:themeColor="accent3" w:themeShade="BF"/>
    </w:rPr>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insideV w:val="single" w:sz="4" w:space="0" w:color="9C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bottom w:val="single" w:sz="4" w:space="0" w:color="9CEFFF" w:themeColor="accent3" w:themeTint="99"/>
        </w:tcBorders>
      </w:tcPr>
    </w:tblStylePr>
    <w:tblStylePr w:type="nwCell">
      <w:tblPr/>
      <w:tcPr>
        <w:tcBorders>
          <w:bottom w:val="single" w:sz="4" w:space="0" w:color="9CEFFF" w:themeColor="accent3" w:themeTint="99"/>
        </w:tcBorders>
      </w:tcPr>
    </w:tblStylePr>
    <w:tblStylePr w:type="seCell">
      <w:tblPr/>
      <w:tcPr>
        <w:tcBorders>
          <w:top w:val="single" w:sz="4" w:space="0" w:color="9CEFFF" w:themeColor="accent3" w:themeTint="99"/>
        </w:tcBorders>
      </w:tcPr>
    </w:tblStylePr>
    <w:tblStylePr w:type="swCell">
      <w:tblPr/>
      <w:tcPr>
        <w:tcBorders>
          <w:top w:val="single" w:sz="4" w:space="0" w:color="9CEFFF" w:themeColor="accent3" w:themeTint="99"/>
        </w:tcBorders>
      </w:tcPr>
    </w:tblStylePr>
  </w:style>
  <w:style w:type="table" w:styleId="GridTable7Colorful-Accent4">
    <w:name w:val="Grid Table 7 Colorful Accent 4"/>
    <w:basedOn w:val="TableNormal"/>
    <w:uiPriority w:val="52"/>
    <w:rsid w:val="00527E8F"/>
    <w:rPr>
      <w:color w:val="00163F" w:themeColor="accent4" w:themeShade="BF"/>
    </w:rPr>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insideV w:val="single" w:sz="4" w:space="0" w:color="005A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bottom w:val="single" w:sz="4" w:space="0" w:color="005AFF" w:themeColor="accent4" w:themeTint="99"/>
        </w:tcBorders>
      </w:tcPr>
    </w:tblStylePr>
    <w:tblStylePr w:type="nwCell">
      <w:tblPr/>
      <w:tcPr>
        <w:tcBorders>
          <w:bottom w:val="single" w:sz="4" w:space="0" w:color="005AFF" w:themeColor="accent4" w:themeTint="99"/>
        </w:tcBorders>
      </w:tcPr>
    </w:tblStylePr>
    <w:tblStylePr w:type="seCell">
      <w:tblPr/>
      <w:tcPr>
        <w:tcBorders>
          <w:top w:val="single" w:sz="4" w:space="0" w:color="005AFF" w:themeColor="accent4" w:themeTint="99"/>
        </w:tcBorders>
      </w:tcPr>
    </w:tblStylePr>
    <w:tblStylePr w:type="swCell">
      <w:tblPr/>
      <w:tcPr>
        <w:tcBorders>
          <w:top w:val="single" w:sz="4" w:space="0" w:color="005AFF" w:themeColor="accent4" w:themeTint="99"/>
        </w:tcBorders>
      </w:tcPr>
    </w:tblStylePr>
  </w:style>
  <w:style w:type="table" w:styleId="GridTable7Colorful-Accent5">
    <w:name w:val="Grid Table 7 Colorful Accent 5"/>
    <w:basedOn w:val="TableNormal"/>
    <w:uiPriority w:val="52"/>
    <w:rsid w:val="00527E8F"/>
    <w:rPr>
      <w:color w:val="7B7B7B" w:themeColor="accent5" w:themeShade="BF"/>
    </w:rPr>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insideV w:val="single" w:sz="4" w:space="0" w:color="C9C9C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bottom w:val="single" w:sz="4" w:space="0" w:color="C9C9C9" w:themeColor="accent5" w:themeTint="99"/>
        </w:tcBorders>
      </w:tcPr>
    </w:tblStylePr>
    <w:tblStylePr w:type="nwCell">
      <w:tblPr/>
      <w:tcPr>
        <w:tcBorders>
          <w:bottom w:val="single" w:sz="4" w:space="0" w:color="C9C9C9" w:themeColor="accent5" w:themeTint="99"/>
        </w:tcBorders>
      </w:tcPr>
    </w:tblStylePr>
    <w:tblStylePr w:type="seCell">
      <w:tblPr/>
      <w:tcPr>
        <w:tcBorders>
          <w:top w:val="single" w:sz="4" w:space="0" w:color="C9C9C9" w:themeColor="accent5" w:themeTint="99"/>
        </w:tcBorders>
      </w:tcPr>
    </w:tblStylePr>
    <w:tblStylePr w:type="swCell">
      <w:tblPr/>
      <w:tcPr>
        <w:tcBorders>
          <w:top w:val="single" w:sz="4" w:space="0" w:color="C9C9C9" w:themeColor="accent5" w:themeTint="99"/>
        </w:tcBorders>
      </w:tcPr>
    </w:tblStylePr>
  </w:style>
  <w:style w:type="table" w:styleId="GridTable7Colorful-Accent6">
    <w:name w:val="Grid Table 7 Colorful Accent 6"/>
    <w:basedOn w:val="TableNormal"/>
    <w:uiPriority w:val="52"/>
    <w:rsid w:val="00527E8F"/>
    <w:rPr>
      <w:color w:val="959595" w:themeColor="accent6" w:themeShade="BF"/>
    </w:rPr>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insideV w:val="single" w:sz="4" w:space="0" w:color="DEDEDE"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bottom w:val="single" w:sz="4" w:space="0" w:color="DEDEDE" w:themeColor="accent6" w:themeTint="99"/>
        </w:tcBorders>
      </w:tcPr>
    </w:tblStylePr>
    <w:tblStylePr w:type="nwCell">
      <w:tblPr/>
      <w:tcPr>
        <w:tcBorders>
          <w:bottom w:val="single" w:sz="4" w:space="0" w:color="DEDEDE" w:themeColor="accent6" w:themeTint="99"/>
        </w:tcBorders>
      </w:tcPr>
    </w:tblStylePr>
    <w:tblStylePr w:type="seCell">
      <w:tblPr/>
      <w:tcPr>
        <w:tcBorders>
          <w:top w:val="single" w:sz="4" w:space="0" w:color="DEDEDE" w:themeColor="accent6" w:themeTint="99"/>
        </w:tcBorders>
      </w:tcPr>
    </w:tblStylePr>
    <w:tblStylePr w:type="swCell">
      <w:tblPr/>
      <w:tcPr>
        <w:tcBorders>
          <w:top w:val="single" w:sz="4" w:space="0" w:color="DEDEDE" w:themeColor="accent6" w:themeTint="99"/>
        </w:tcBorders>
      </w:tcPr>
    </w:tblStylePr>
  </w:style>
  <w:style w:type="character" w:styleId="Hashtag">
    <w:name w:val="Hashtag"/>
    <w:basedOn w:val="DefaultParagraphFont"/>
    <w:uiPriority w:val="99"/>
    <w:semiHidden/>
    <w:unhideWhenUsed/>
    <w:rsid w:val="00527E8F"/>
    <w:rPr>
      <w:color w:val="2B579A"/>
      <w:shd w:val="clear" w:color="auto" w:fill="E6E6E6"/>
    </w:rPr>
  </w:style>
  <w:style w:type="character" w:styleId="HTMLAcronym">
    <w:name w:val="HTML Acronym"/>
    <w:basedOn w:val="DefaultParagraphFont"/>
    <w:uiPriority w:val="99"/>
    <w:semiHidden/>
    <w:unhideWhenUsed/>
    <w:rsid w:val="00527E8F"/>
  </w:style>
  <w:style w:type="paragraph" w:styleId="HTMLAddress">
    <w:name w:val="HTML Address"/>
    <w:basedOn w:val="Normal"/>
    <w:link w:val="HTMLAddressChar"/>
    <w:uiPriority w:val="99"/>
    <w:semiHidden/>
    <w:unhideWhenUsed/>
    <w:rsid w:val="00527E8F"/>
    <w:rPr>
      <w:i/>
      <w:iCs/>
    </w:rPr>
  </w:style>
  <w:style w:type="character" w:customStyle="1" w:styleId="HTMLAddressChar">
    <w:name w:val="HTML Address Char"/>
    <w:basedOn w:val="DefaultParagraphFont"/>
    <w:link w:val="HTMLAddress"/>
    <w:uiPriority w:val="99"/>
    <w:semiHidden/>
    <w:rsid w:val="00527E8F"/>
    <w:rPr>
      <w:rFonts w:asciiTheme="minorHAnsi" w:hAnsiTheme="minorHAnsi"/>
      <w:i/>
      <w:iCs/>
    </w:rPr>
  </w:style>
  <w:style w:type="character" w:styleId="HTMLCite">
    <w:name w:val="HTML Cite"/>
    <w:basedOn w:val="DefaultParagraphFont"/>
    <w:uiPriority w:val="99"/>
    <w:semiHidden/>
    <w:unhideWhenUsed/>
    <w:rsid w:val="00527E8F"/>
    <w:rPr>
      <w:i/>
      <w:iCs/>
    </w:rPr>
  </w:style>
  <w:style w:type="character" w:styleId="HTMLCode">
    <w:name w:val="HTML Code"/>
    <w:basedOn w:val="DefaultParagraphFont"/>
    <w:uiPriority w:val="99"/>
    <w:semiHidden/>
    <w:unhideWhenUsed/>
    <w:rsid w:val="00527E8F"/>
    <w:rPr>
      <w:rFonts w:ascii="Consolas" w:hAnsi="Consolas"/>
      <w:sz w:val="20"/>
      <w:szCs w:val="20"/>
    </w:rPr>
  </w:style>
  <w:style w:type="character" w:styleId="HTMLDefinition">
    <w:name w:val="HTML Definition"/>
    <w:basedOn w:val="DefaultParagraphFont"/>
    <w:uiPriority w:val="99"/>
    <w:semiHidden/>
    <w:unhideWhenUsed/>
    <w:rsid w:val="00527E8F"/>
    <w:rPr>
      <w:i/>
      <w:iCs/>
    </w:rPr>
  </w:style>
  <w:style w:type="character" w:styleId="HTMLKeyboard">
    <w:name w:val="HTML Keyboard"/>
    <w:basedOn w:val="DefaultParagraphFont"/>
    <w:uiPriority w:val="99"/>
    <w:semiHidden/>
    <w:unhideWhenUsed/>
    <w:rsid w:val="00527E8F"/>
    <w:rPr>
      <w:rFonts w:ascii="Consolas" w:hAnsi="Consolas"/>
      <w:sz w:val="20"/>
      <w:szCs w:val="20"/>
    </w:rPr>
  </w:style>
  <w:style w:type="paragraph" w:styleId="HTMLPreformatted">
    <w:name w:val="HTML Preformatted"/>
    <w:basedOn w:val="Normal"/>
    <w:link w:val="HTMLPreformattedChar"/>
    <w:uiPriority w:val="99"/>
    <w:semiHidden/>
    <w:unhideWhenUsed/>
    <w:rsid w:val="00527E8F"/>
    <w:rPr>
      <w:rFonts w:ascii="Consolas" w:hAnsi="Consolas"/>
    </w:rPr>
  </w:style>
  <w:style w:type="character" w:customStyle="1" w:styleId="HTMLPreformattedChar">
    <w:name w:val="HTML Preformatted Char"/>
    <w:basedOn w:val="DefaultParagraphFont"/>
    <w:link w:val="HTMLPreformatted"/>
    <w:uiPriority w:val="99"/>
    <w:semiHidden/>
    <w:rsid w:val="00527E8F"/>
    <w:rPr>
      <w:rFonts w:ascii="Consolas" w:hAnsi="Consolas"/>
    </w:rPr>
  </w:style>
  <w:style w:type="character" w:styleId="HTMLSample">
    <w:name w:val="HTML Sample"/>
    <w:basedOn w:val="DefaultParagraphFont"/>
    <w:uiPriority w:val="99"/>
    <w:semiHidden/>
    <w:unhideWhenUsed/>
    <w:rsid w:val="00527E8F"/>
    <w:rPr>
      <w:rFonts w:ascii="Consolas" w:hAnsi="Consolas"/>
      <w:sz w:val="24"/>
      <w:szCs w:val="24"/>
    </w:rPr>
  </w:style>
  <w:style w:type="character" w:styleId="HTMLTypewriter">
    <w:name w:val="HTML Typewriter"/>
    <w:basedOn w:val="DefaultParagraphFont"/>
    <w:uiPriority w:val="99"/>
    <w:semiHidden/>
    <w:unhideWhenUsed/>
    <w:rsid w:val="00527E8F"/>
    <w:rPr>
      <w:rFonts w:ascii="Consolas" w:hAnsi="Consolas"/>
      <w:sz w:val="20"/>
      <w:szCs w:val="20"/>
    </w:rPr>
  </w:style>
  <w:style w:type="character" w:styleId="HTMLVariable">
    <w:name w:val="HTML Variable"/>
    <w:basedOn w:val="DefaultParagraphFont"/>
    <w:uiPriority w:val="99"/>
    <w:semiHidden/>
    <w:unhideWhenUsed/>
    <w:rsid w:val="00527E8F"/>
    <w:rPr>
      <w:i/>
      <w:iCs/>
    </w:rPr>
  </w:style>
  <w:style w:type="paragraph" w:styleId="Index1">
    <w:name w:val="index 1"/>
    <w:basedOn w:val="Normal"/>
    <w:next w:val="Normal"/>
    <w:autoRedefine/>
    <w:uiPriority w:val="99"/>
    <w:semiHidden/>
    <w:unhideWhenUsed/>
    <w:rsid w:val="00527E8F"/>
    <w:pPr>
      <w:ind w:left="220" w:hanging="220"/>
    </w:pPr>
  </w:style>
  <w:style w:type="paragraph" w:styleId="Index2">
    <w:name w:val="index 2"/>
    <w:basedOn w:val="Normal"/>
    <w:next w:val="Normal"/>
    <w:autoRedefine/>
    <w:uiPriority w:val="99"/>
    <w:semiHidden/>
    <w:unhideWhenUsed/>
    <w:rsid w:val="00527E8F"/>
    <w:pPr>
      <w:ind w:left="440" w:hanging="220"/>
    </w:pPr>
  </w:style>
  <w:style w:type="paragraph" w:styleId="Index3">
    <w:name w:val="index 3"/>
    <w:basedOn w:val="Normal"/>
    <w:next w:val="Normal"/>
    <w:autoRedefine/>
    <w:uiPriority w:val="99"/>
    <w:semiHidden/>
    <w:unhideWhenUsed/>
    <w:rsid w:val="00527E8F"/>
    <w:pPr>
      <w:ind w:left="660" w:hanging="220"/>
    </w:pPr>
  </w:style>
  <w:style w:type="paragraph" w:styleId="Index4">
    <w:name w:val="index 4"/>
    <w:basedOn w:val="Normal"/>
    <w:next w:val="Normal"/>
    <w:autoRedefine/>
    <w:uiPriority w:val="99"/>
    <w:semiHidden/>
    <w:unhideWhenUsed/>
    <w:rsid w:val="00527E8F"/>
    <w:pPr>
      <w:ind w:left="880" w:hanging="220"/>
    </w:pPr>
  </w:style>
  <w:style w:type="paragraph" w:styleId="Index5">
    <w:name w:val="index 5"/>
    <w:basedOn w:val="Normal"/>
    <w:next w:val="Normal"/>
    <w:autoRedefine/>
    <w:uiPriority w:val="99"/>
    <w:semiHidden/>
    <w:unhideWhenUsed/>
    <w:rsid w:val="00527E8F"/>
    <w:pPr>
      <w:ind w:left="1100" w:hanging="220"/>
    </w:pPr>
  </w:style>
  <w:style w:type="paragraph" w:styleId="Index6">
    <w:name w:val="index 6"/>
    <w:basedOn w:val="Normal"/>
    <w:next w:val="Normal"/>
    <w:autoRedefine/>
    <w:uiPriority w:val="99"/>
    <w:semiHidden/>
    <w:unhideWhenUsed/>
    <w:rsid w:val="00527E8F"/>
    <w:pPr>
      <w:ind w:left="1320" w:hanging="220"/>
    </w:pPr>
  </w:style>
  <w:style w:type="paragraph" w:styleId="Index7">
    <w:name w:val="index 7"/>
    <w:basedOn w:val="Normal"/>
    <w:next w:val="Normal"/>
    <w:autoRedefine/>
    <w:uiPriority w:val="99"/>
    <w:semiHidden/>
    <w:unhideWhenUsed/>
    <w:rsid w:val="00527E8F"/>
    <w:pPr>
      <w:ind w:left="1540" w:hanging="220"/>
    </w:pPr>
  </w:style>
  <w:style w:type="paragraph" w:styleId="Index8">
    <w:name w:val="index 8"/>
    <w:basedOn w:val="Normal"/>
    <w:next w:val="Normal"/>
    <w:autoRedefine/>
    <w:uiPriority w:val="99"/>
    <w:semiHidden/>
    <w:unhideWhenUsed/>
    <w:rsid w:val="00527E8F"/>
    <w:pPr>
      <w:ind w:left="1760" w:hanging="220"/>
    </w:pPr>
  </w:style>
  <w:style w:type="paragraph" w:styleId="Index9">
    <w:name w:val="index 9"/>
    <w:basedOn w:val="Normal"/>
    <w:next w:val="Normal"/>
    <w:autoRedefine/>
    <w:uiPriority w:val="99"/>
    <w:semiHidden/>
    <w:unhideWhenUsed/>
    <w:rsid w:val="00527E8F"/>
    <w:pPr>
      <w:ind w:left="1980" w:hanging="220"/>
    </w:pPr>
  </w:style>
  <w:style w:type="paragraph" w:styleId="IndexHeading">
    <w:name w:val="index heading"/>
    <w:basedOn w:val="Normal"/>
    <w:next w:val="Index1"/>
    <w:uiPriority w:val="99"/>
    <w:semiHidden/>
    <w:unhideWhenUsed/>
    <w:rsid w:val="00527E8F"/>
    <w:rPr>
      <w:rFonts w:eastAsiaTheme="majorEastAsia" w:cstheme="majorBidi"/>
      <w:b/>
      <w:bCs/>
    </w:rPr>
  </w:style>
  <w:style w:type="character" w:styleId="IntenseEmphasis">
    <w:name w:val="Intense Emphasis"/>
    <w:basedOn w:val="DefaultParagraphFont"/>
    <w:uiPriority w:val="99"/>
    <w:rsid w:val="00527E8F"/>
    <w:rPr>
      <w:i/>
      <w:iCs/>
      <w:color w:val="231EDC" w:themeColor="accent1"/>
    </w:rPr>
  </w:style>
  <w:style w:type="paragraph" w:styleId="IntenseQuote">
    <w:name w:val="Intense Quote"/>
    <w:basedOn w:val="Normal"/>
    <w:next w:val="Normal"/>
    <w:link w:val="IntenseQuoteChar"/>
    <w:uiPriority w:val="99"/>
    <w:rsid w:val="00527E8F"/>
    <w:pPr>
      <w:pBdr>
        <w:top w:val="single" w:sz="4" w:space="10" w:color="231EDC" w:themeColor="accent1"/>
        <w:bottom w:val="single" w:sz="4" w:space="10" w:color="231EDC" w:themeColor="accent1"/>
      </w:pBdr>
      <w:spacing w:before="360" w:after="360"/>
      <w:ind w:left="864" w:right="864"/>
      <w:jc w:val="center"/>
    </w:pPr>
    <w:rPr>
      <w:i/>
      <w:iCs/>
      <w:color w:val="231EDC" w:themeColor="accent1"/>
    </w:rPr>
  </w:style>
  <w:style w:type="character" w:customStyle="1" w:styleId="IntenseQuoteChar">
    <w:name w:val="Intense Quote Char"/>
    <w:basedOn w:val="DefaultParagraphFont"/>
    <w:link w:val="IntenseQuote"/>
    <w:uiPriority w:val="99"/>
    <w:rsid w:val="00527E8F"/>
    <w:rPr>
      <w:rFonts w:asciiTheme="minorHAnsi" w:hAnsiTheme="minorHAnsi"/>
      <w:i/>
      <w:iCs/>
      <w:color w:val="231EDC" w:themeColor="accent1"/>
    </w:rPr>
  </w:style>
  <w:style w:type="character" w:styleId="IntenseReference">
    <w:name w:val="Intense Reference"/>
    <w:basedOn w:val="DefaultParagraphFont"/>
    <w:uiPriority w:val="99"/>
    <w:rsid w:val="00527E8F"/>
    <w:rPr>
      <w:b/>
      <w:bCs/>
      <w:smallCaps/>
      <w:color w:val="231EDC" w:themeColor="accent1"/>
      <w:spacing w:val="5"/>
    </w:rPr>
  </w:style>
  <w:style w:type="table" w:styleId="LightGrid">
    <w:name w:val="Light Grid"/>
    <w:basedOn w:val="TableNormal"/>
    <w:uiPriority w:val="62"/>
    <w:semiHidden/>
    <w:unhideWhenUsed/>
    <w:rsid w:val="00527E8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27E8F"/>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18" w:space="0" w:color="231EDC" w:themeColor="accent1"/>
          <w:right w:val="single" w:sz="8" w:space="0" w:color="231EDC" w:themeColor="accent1"/>
          <w:insideH w:val="nil"/>
          <w:insideV w:val="single" w:sz="8" w:space="0" w:color="231ED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insideH w:val="nil"/>
          <w:insideV w:val="single" w:sz="8" w:space="0" w:color="231ED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shd w:val="clear" w:color="auto" w:fill="C7C6F7" w:themeFill="accent1" w:themeFillTint="3F"/>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shd w:val="clear" w:color="auto" w:fill="C7C6F7" w:themeFill="accent1" w:themeFillTint="3F"/>
      </w:tcPr>
    </w:tblStylePr>
    <w:tblStylePr w:type="band2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insideV w:val="single" w:sz="8" w:space="0" w:color="231EDC" w:themeColor="accent1"/>
        </w:tcBorders>
      </w:tcPr>
    </w:tblStylePr>
  </w:style>
  <w:style w:type="table" w:styleId="LightGrid-Accent2">
    <w:name w:val="Light Grid Accent 2"/>
    <w:basedOn w:val="TableNormal"/>
    <w:uiPriority w:val="62"/>
    <w:semiHidden/>
    <w:unhideWhenUsed/>
    <w:rsid w:val="00527E8F"/>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18" w:space="0" w:color="0A7DFF" w:themeColor="accent2"/>
          <w:right w:val="single" w:sz="8" w:space="0" w:color="0A7DFF" w:themeColor="accent2"/>
          <w:insideH w:val="nil"/>
          <w:insideV w:val="single" w:sz="8" w:space="0" w:color="0A7DF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insideH w:val="nil"/>
          <w:insideV w:val="single" w:sz="8" w:space="0" w:color="0A7DF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shd w:val="clear" w:color="auto" w:fill="C2DEFF" w:themeFill="accent2" w:themeFillTint="3F"/>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shd w:val="clear" w:color="auto" w:fill="C2DEFF" w:themeFill="accent2" w:themeFillTint="3F"/>
      </w:tcPr>
    </w:tblStylePr>
    <w:tblStylePr w:type="band2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insideV w:val="single" w:sz="8" w:space="0" w:color="0A7DFF" w:themeColor="accent2"/>
        </w:tcBorders>
      </w:tcPr>
    </w:tblStylePr>
  </w:style>
  <w:style w:type="table" w:styleId="LightGrid-Accent3">
    <w:name w:val="Light Grid Accent 3"/>
    <w:basedOn w:val="TableNormal"/>
    <w:uiPriority w:val="62"/>
    <w:semiHidden/>
    <w:unhideWhenUsed/>
    <w:rsid w:val="00527E8F"/>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18" w:space="0" w:color="5AE6FF" w:themeColor="accent3"/>
          <w:right w:val="single" w:sz="8" w:space="0" w:color="5AE6FF" w:themeColor="accent3"/>
          <w:insideH w:val="nil"/>
          <w:insideV w:val="single" w:sz="8" w:space="0" w:color="5AE6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insideH w:val="nil"/>
          <w:insideV w:val="single" w:sz="8" w:space="0" w:color="5AE6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shd w:val="clear" w:color="auto" w:fill="D6F8FF" w:themeFill="accent3" w:themeFillTint="3F"/>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shd w:val="clear" w:color="auto" w:fill="D6F8FF" w:themeFill="accent3" w:themeFillTint="3F"/>
      </w:tcPr>
    </w:tblStylePr>
    <w:tblStylePr w:type="band2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insideV w:val="single" w:sz="8" w:space="0" w:color="5AE6FF" w:themeColor="accent3"/>
        </w:tcBorders>
      </w:tcPr>
    </w:tblStylePr>
  </w:style>
  <w:style w:type="table" w:styleId="LightGrid-Accent4">
    <w:name w:val="Light Grid Accent 4"/>
    <w:basedOn w:val="TableNormal"/>
    <w:uiPriority w:val="62"/>
    <w:semiHidden/>
    <w:unhideWhenUsed/>
    <w:rsid w:val="00527E8F"/>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18" w:space="0" w:color="001E55" w:themeColor="accent4"/>
          <w:right w:val="single" w:sz="8" w:space="0" w:color="001E55" w:themeColor="accent4"/>
          <w:insideH w:val="nil"/>
          <w:insideV w:val="single" w:sz="8" w:space="0" w:color="001E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insideH w:val="nil"/>
          <w:insideV w:val="single" w:sz="8" w:space="0" w:color="001E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shd w:val="clear" w:color="auto" w:fill="96BBFF" w:themeFill="accent4" w:themeFillTint="3F"/>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shd w:val="clear" w:color="auto" w:fill="96BBFF" w:themeFill="accent4" w:themeFillTint="3F"/>
      </w:tcPr>
    </w:tblStylePr>
    <w:tblStylePr w:type="band2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insideV w:val="single" w:sz="8" w:space="0" w:color="001E55" w:themeColor="accent4"/>
        </w:tcBorders>
      </w:tcPr>
    </w:tblStylePr>
  </w:style>
  <w:style w:type="table" w:styleId="LightGrid-Accent5">
    <w:name w:val="Light Grid Accent 5"/>
    <w:basedOn w:val="TableNormal"/>
    <w:uiPriority w:val="62"/>
    <w:semiHidden/>
    <w:unhideWhenUsed/>
    <w:rsid w:val="00527E8F"/>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18" w:space="0" w:color="A5A5A5" w:themeColor="accent5"/>
          <w:right w:val="single" w:sz="8" w:space="0" w:color="A5A5A5" w:themeColor="accent5"/>
          <w:insideH w:val="nil"/>
          <w:insideV w:val="single" w:sz="8" w:space="0" w:color="A5A5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insideH w:val="nil"/>
          <w:insideV w:val="single" w:sz="8" w:space="0" w:color="A5A5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shd w:val="clear" w:color="auto" w:fill="E8E8E8" w:themeFill="accent5" w:themeFillTint="3F"/>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shd w:val="clear" w:color="auto" w:fill="E8E8E8" w:themeFill="accent5" w:themeFillTint="3F"/>
      </w:tcPr>
    </w:tblStylePr>
    <w:tblStylePr w:type="band2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insideV w:val="single" w:sz="8" w:space="0" w:color="A5A5A5" w:themeColor="accent5"/>
        </w:tcBorders>
      </w:tcPr>
    </w:tblStylePr>
  </w:style>
  <w:style w:type="table" w:styleId="LightGrid-Accent6">
    <w:name w:val="Light Grid Accent 6"/>
    <w:basedOn w:val="TableNormal"/>
    <w:uiPriority w:val="62"/>
    <w:semiHidden/>
    <w:unhideWhenUsed/>
    <w:rsid w:val="00527E8F"/>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18" w:space="0" w:color="C8C8C8" w:themeColor="accent6"/>
          <w:right w:val="single" w:sz="8" w:space="0" w:color="C8C8C8" w:themeColor="accent6"/>
          <w:insideH w:val="nil"/>
          <w:insideV w:val="single" w:sz="8" w:space="0" w:color="C8C8C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insideH w:val="nil"/>
          <w:insideV w:val="single" w:sz="8" w:space="0" w:color="C8C8C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shd w:val="clear" w:color="auto" w:fill="F1F1F1" w:themeFill="accent6" w:themeFillTint="3F"/>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shd w:val="clear" w:color="auto" w:fill="F1F1F1" w:themeFill="accent6" w:themeFillTint="3F"/>
      </w:tcPr>
    </w:tblStylePr>
    <w:tblStylePr w:type="band2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insideV w:val="single" w:sz="8" w:space="0" w:color="C8C8C8" w:themeColor="accent6"/>
        </w:tcBorders>
      </w:tcPr>
    </w:tblStylePr>
  </w:style>
  <w:style w:type="table" w:styleId="LightList">
    <w:name w:val="Light List"/>
    <w:basedOn w:val="TableNormal"/>
    <w:uiPriority w:val="61"/>
    <w:semiHidden/>
    <w:unhideWhenUsed/>
    <w:rsid w:val="00527E8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27E8F"/>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pPr>
        <w:spacing w:before="0" w:after="0" w:line="240" w:lineRule="auto"/>
      </w:pPr>
      <w:rPr>
        <w:b/>
        <w:bCs/>
        <w:color w:val="FFFFFF" w:themeColor="background1"/>
      </w:rPr>
      <w:tblPr/>
      <w:tcPr>
        <w:shd w:val="clear" w:color="auto" w:fill="231EDC" w:themeFill="accent1"/>
      </w:tcPr>
    </w:tblStylePr>
    <w:tblStylePr w:type="lastRow">
      <w:pPr>
        <w:spacing w:before="0" w:after="0" w:line="240" w:lineRule="auto"/>
      </w:pPr>
      <w:rPr>
        <w:b/>
        <w:bCs/>
      </w:rPr>
      <w:tblPr/>
      <w:tcPr>
        <w:tcBorders>
          <w:top w:val="double" w:sz="6" w:space="0" w:color="231EDC" w:themeColor="accent1"/>
          <w:left w:val="single" w:sz="8" w:space="0" w:color="231EDC" w:themeColor="accent1"/>
          <w:bottom w:val="single" w:sz="8" w:space="0" w:color="231EDC" w:themeColor="accent1"/>
          <w:right w:val="single" w:sz="8" w:space="0" w:color="231EDC" w:themeColor="accent1"/>
        </w:tcBorders>
      </w:tcPr>
    </w:tblStylePr>
    <w:tblStylePr w:type="firstCol">
      <w:rPr>
        <w:b/>
        <w:bCs/>
      </w:rPr>
    </w:tblStylePr>
    <w:tblStylePr w:type="lastCol">
      <w:rPr>
        <w:b/>
        <w:bCs/>
      </w:rPr>
    </w:tblStylePr>
    <w:tblStylePr w:type="band1Vert">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tblStylePr w:type="band1Horz">
      <w:tblPr/>
      <w:tcPr>
        <w:tcBorders>
          <w:top w:val="single" w:sz="8" w:space="0" w:color="231EDC" w:themeColor="accent1"/>
          <w:left w:val="single" w:sz="8" w:space="0" w:color="231EDC" w:themeColor="accent1"/>
          <w:bottom w:val="single" w:sz="8" w:space="0" w:color="231EDC" w:themeColor="accent1"/>
          <w:right w:val="single" w:sz="8" w:space="0" w:color="231EDC" w:themeColor="accent1"/>
        </w:tcBorders>
      </w:tcPr>
    </w:tblStylePr>
  </w:style>
  <w:style w:type="table" w:styleId="LightList-Accent2">
    <w:name w:val="Light List Accent 2"/>
    <w:basedOn w:val="TableNormal"/>
    <w:uiPriority w:val="61"/>
    <w:semiHidden/>
    <w:unhideWhenUsed/>
    <w:rsid w:val="00527E8F"/>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pPr>
        <w:spacing w:before="0" w:after="0" w:line="240" w:lineRule="auto"/>
      </w:pPr>
      <w:rPr>
        <w:b/>
        <w:bCs/>
        <w:color w:val="FFFFFF" w:themeColor="background1"/>
      </w:rPr>
      <w:tblPr/>
      <w:tcPr>
        <w:shd w:val="clear" w:color="auto" w:fill="0A7DFF" w:themeFill="accent2"/>
      </w:tcPr>
    </w:tblStylePr>
    <w:tblStylePr w:type="lastRow">
      <w:pPr>
        <w:spacing w:before="0" w:after="0" w:line="240" w:lineRule="auto"/>
      </w:pPr>
      <w:rPr>
        <w:b/>
        <w:bCs/>
      </w:rPr>
      <w:tblPr/>
      <w:tcPr>
        <w:tcBorders>
          <w:top w:val="double" w:sz="6" w:space="0" w:color="0A7DFF" w:themeColor="accent2"/>
          <w:left w:val="single" w:sz="8" w:space="0" w:color="0A7DFF" w:themeColor="accent2"/>
          <w:bottom w:val="single" w:sz="8" w:space="0" w:color="0A7DFF" w:themeColor="accent2"/>
          <w:right w:val="single" w:sz="8" w:space="0" w:color="0A7DFF" w:themeColor="accent2"/>
        </w:tcBorders>
      </w:tcPr>
    </w:tblStylePr>
    <w:tblStylePr w:type="firstCol">
      <w:rPr>
        <w:b/>
        <w:bCs/>
      </w:rPr>
    </w:tblStylePr>
    <w:tblStylePr w:type="lastCol">
      <w:rPr>
        <w:b/>
        <w:bCs/>
      </w:rPr>
    </w:tblStylePr>
    <w:tblStylePr w:type="band1Vert">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tblStylePr w:type="band1Horz">
      <w:tblPr/>
      <w:tcPr>
        <w:tcBorders>
          <w:top w:val="single" w:sz="8" w:space="0" w:color="0A7DFF" w:themeColor="accent2"/>
          <w:left w:val="single" w:sz="8" w:space="0" w:color="0A7DFF" w:themeColor="accent2"/>
          <w:bottom w:val="single" w:sz="8" w:space="0" w:color="0A7DFF" w:themeColor="accent2"/>
          <w:right w:val="single" w:sz="8" w:space="0" w:color="0A7DFF" w:themeColor="accent2"/>
        </w:tcBorders>
      </w:tcPr>
    </w:tblStylePr>
  </w:style>
  <w:style w:type="table" w:styleId="LightList-Accent3">
    <w:name w:val="Light List Accent 3"/>
    <w:basedOn w:val="TableNormal"/>
    <w:uiPriority w:val="61"/>
    <w:semiHidden/>
    <w:unhideWhenUsed/>
    <w:rsid w:val="00527E8F"/>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pPr>
        <w:spacing w:before="0" w:after="0" w:line="240" w:lineRule="auto"/>
      </w:pPr>
      <w:rPr>
        <w:b/>
        <w:bCs/>
        <w:color w:val="FFFFFF" w:themeColor="background1"/>
      </w:rPr>
      <w:tblPr/>
      <w:tcPr>
        <w:shd w:val="clear" w:color="auto" w:fill="5AE6FF" w:themeFill="accent3"/>
      </w:tcPr>
    </w:tblStylePr>
    <w:tblStylePr w:type="lastRow">
      <w:pPr>
        <w:spacing w:before="0" w:after="0" w:line="240" w:lineRule="auto"/>
      </w:pPr>
      <w:rPr>
        <w:b/>
        <w:bCs/>
      </w:rPr>
      <w:tblPr/>
      <w:tcPr>
        <w:tcBorders>
          <w:top w:val="double" w:sz="6" w:space="0" w:color="5AE6FF" w:themeColor="accent3"/>
          <w:left w:val="single" w:sz="8" w:space="0" w:color="5AE6FF" w:themeColor="accent3"/>
          <w:bottom w:val="single" w:sz="8" w:space="0" w:color="5AE6FF" w:themeColor="accent3"/>
          <w:right w:val="single" w:sz="8" w:space="0" w:color="5AE6FF" w:themeColor="accent3"/>
        </w:tcBorders>
      </w:tcPr>
    </w:tblStylePr>
    <w:tblStylePr w:type="firstCol">
      <w:rPr>
        <w:b/>
        <w:bCs/>
      </w:rPr>
    </w:tblStylePr>
    <w:tblStylePr w:type="lastCol">
      <w:rPr>
        <w:b/>
        <w:bCs/>
      </w:rPr>
    </w:tblStylePr>
    <w:tblStylePr w:type="band1Vert">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tblStylePr w:type="band1Horz">
      <w:tblPr/>
      <w:tcPr>
        <w:tcBorders>
          <w:top w:val="single" w:sz="8" w:space="0" w:color="5AE6FF" w:themeColor="accent3"/>
          <w:left w:val="single" w:sz="8" w:space="0" w:color="5AE6FF" w:themeColor="accent3"/>
          <w:bottom w:val="single" w:sz="8" w:space="0" w:color="5AE6FF" w:themeColor="accent3"/>
          <w:right w:val="single" w:sz="8" w:space="0" w:color="5AE6FF" w:themeColor="accent3"/>
        </w:tcBorders>
      </w:tcPr>
    </w:tblStylePr>
  </w:style>
  <w:style w:type="table" w:styleId="LightList-Accent4">
    <w:name w:val="Light List Accent 4"/>
    <w:basedOn w:val="TableNormal"/>
    <w:uiPriority w:val="61"/>
    <w:semiHidden/>
    <w:unhideWhenUsed/>
    <w:rsid w:val="00527E8F"/>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pPr>
        <w:spacing w:before="0" w:after="0" w:line="240" w:lineRule="auto"/>
      </w:pPr>
      <w:rPr>
        <w:b/>
        <w:bCs/>
        <w:color w:val="FFFFFF" w:themeColor="background1"/>
      </w:rPr>
      <w:tblPr/>
      <w:tcPr>
        <w:shd w:val="clear" w:color="auto" w:fill="001E55" w:themeFill="accent4"/>
      </w:tcPr>
    </w:tblStylePr>
    <w:tblStylePr w:type="lastRow">
      <w:pPr>
        <w:spacing w:before="0" w:after="0" w:line="240" w:lineRule="auto"/>
      </w:pPr>
      <w:rPr>
        <w:b/>
        <w:bCs/>
      </w:rPr>
      <w:tblPr/>
      <w:tcPr>
        <w:tcBorders>
          <w:top w:val="double" w:sz="6" w:space="0" w:color="001E55" w:themeColor="accent4"/>
          <w:left w:val="single" w:sz="8" w:space="0" w:color="001E55" w:themeColor="accent4"/>
          <w:bottom w:val="single" w:sz="8" w:space="0" w:color="001E55" w:themeColor="accent4"/>
          <w:right w:val="single" w:sz="8" w:space="0" w:color="001E55" w:themeColor="accent4"/>
        </w:tcBorders>
      </w:tcPr>
    </w:tblStylePr>
    <w:tblStylePr w:type="firstCol">
      <w:rPr>
        <w:b/>
        <w:bCs/>
      </w:rPr>
    </w:tblStylePr>
    <w:tblStylePr w:type="lastCol">
      <w:rPr>
        <w:b/>
        <w:bCs/>
      </w:rPr>
    </w:tblStylePr>
    <w:tblStylePr w:type="band1Vert">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tblStylePr w:type="band1Horz">
      <w:tblPr/>
      <w:tcPr>
        <w:tcBorders>
          <w:top w:val="single" w:sz="8" w:space="0" w:color="001E55" w:themeColor="accent4"/>
          <w:left w:val="single" w:sz="8" w:space="0" w:color="001E55" w:themeColor="accent4"/>
          <w:bottom w:val="single" w:sz="8" w:space="0" w:color="001E55" w:themeColor="accent4"/>
          <w:right w:val="single" w:sz="8" w:space="0" w:color="001E55" w:themeColor="accent4"/>
        </w:tcBorders>
      </w:tcPr>
    </w:tblStylePr>
  </w:style>
  <w:style w:type="table" w:styleId="LightList-Accent5">
    <w:name w:val="Light List Accent 5"/>
    <w:basedOn w:val="TableNormal"/>
    <w:uiPriority w:val="61"/>
    <w:semiHidden/>
    <w:unhideWhenUsed/>
    <w:rsid w:val="00527E8F"/>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pPr>
        <w:spacing w:before="0" w:after="0" w:line="240" w:lineRule="auto"/>
      </w:pPr>
      <w:rPr>
        <w:b/>
        <w:bCs/>
        <w:color w:val="FFFFFF" w:themeColor="background1"/>
      </w:rPr>
      <w:tblPr/>
      <w:tcPr>
        <w:shd w:val="clear" w:color="auto" w:fill="A5A5A5" w:themeFill="accent5"/>
      </w:tcPr>
    </w:tblStylePr>
    <w:tblStylePr w:type="lastRow">
      <w:pPr>
        <w:spacing w:before="0" w:after="0" w:line="240" w:lineRule="auto"/>
      </w:pPr>
      <w:rPr>
        <w:b/>
        <w:bCs/>
      </w:rPr>
      <w:tblPr/>
      <w:tcPr>
        <w:tcBorders>
          <w:top w:val="double" w:sz="6" w:space="0" w:color="A5A5A5" w:themeColor="accent5"/>
          <w:left w:val="single" w:sz="8" w:space="0" w:color="A5A5A5" w:themeColor="accent5"/>
          <w:bottom w:val="single" w:sz="8" w:space="0" w:color="A5A5A5" w:themeColor="accent5"/>
          <w:right w:val="single" w:sz="8" w:space="0" w:color="A5A5A5" w:themeColor="accent5"/>
        </w:tcBorders>
      </w:tcPr>
    </w:tblStylePr>
    <w:tblStylePr w:type="firstCol">
      <w:rPr>
        <w:b/>
        <w:bCs/>
      </w:rPr>
    </w:tblStylePr>
    <w:tblStylePr w:type="lastCol">
      <w:rPr>
        <w:b/>
        <w:bCs/>
      </w:rPr>
    </w:tblStylePr>
    <w:tblStylePr w:type="band1Vert">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tblStylePr w:type="band1Horz">
      <w:tblPr/>
      <w:tcPr>
        <w:tcBorders>
          <w:top w:val="single" w:sz="8" w:space="0" w:color="A5A5A5" w:themeColor="accent5"/>
          <w:left w:val="single" w:sz="8" w:space="0" w:color="A5A5A5" w:themeColor="accent5"/>
          <w:bottom w:val="single" w:sz="8" w:space="0" w:color="A5A5A5" w:themeColor="accent5"/>
          <w:right w:val="single" w:sz="8" w:space="0" w:color="A5A5A5" w:themeColor="accent5"/>
        </w:tcBorders>
      </w:tcPr>
    </w:tblStylePr>
  </w:style>
  <w:style w:type="table" w:styleId="LightList-Accent6">
    <w:name w:val="Light List Accent 6"/>
    <w:basedOn w:val="TableNormal"/>
    <w:uiPriority w:val="61"/>
    <w:semiHidden/>
    <w:unhideWhenUsed/>
    <w:rsid w:val="00527E8F"/>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pPr>
        <w:spacing w:before="0" w:after="0" w:line="240" w:lineRule="auto"/>
      </w:pPr>
      <w:rPr>
        <w:b/>
        <w:bCs/>
        <w:color w:val="FFFFFF" w:themeColor="background1"/>
      </w:rPr>
      <w:tblPr/>
      <w:tcPr>
        <w:shd w:val="clear" w:color="auto" w:fill="C8C8C8" w:themeFill="accent6"/>
      </w:tcPr>
    </w:tblStylePr>
    <w:tblStylePr w:type="lastRow">
      <w:pPr>
        <w:spacing w:before="0" w:after="0" w:line="240" w:lineRule="auto"/>
      </w:pPr>
      <w:rPr>
        <w:b/>
        <w:bCs/>
      </w:rPr>
      <w:tblPr/>
      <w:tcPr>
        <w:tcBorders>
          <w:top w:val="double" w:sz="6" w:space="0" w:color="C8C8C8" w:themeColor="accent6"/>
          <w:left w:val="single" w:sz="8" w:space="0" w:color="C8C8C8" w:themeColor="accent6"/>
          <w:bottom w:val="single" w:sz="8" w:space="0" w:color="C8C8C8" w:themeColor="accent6"/>
          <w:right w:val="single" w:sz="8" w:space="0" w:color="C8C8C8" w:themeColor="accent6"/>
        </w:tcBorders>
      </w:tcPr>
    </w:tblStylePr>
    <w:tblStylePr w:type="firstCol">
      <w:rPr>
        <w:b/>
        <w:bCs/>
      </w:rPr>
    </w:tblStylePr>
    <w:tblStylePr w:type="lastCol">
      <w:rPr>
        <w:b/>
        <w:bCs/>
      </w:rPr>
    </w:tblStylePr>
    <w:tblStylePr w:type="band1Vert">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tblStylePr w:type="band1Horz">
      <w:tblPr/>
      <w:tcPr>
        <w:tcBorders>
          <w:top w:val="single" w:sz="8" w:space="0" w:color="C8C8C8" w:themeColor="accent6"/>
          <w:left w:val="single" w:sz="8" w:space="0" w:color="C8C8C8" w:themeColor="accent6"/>
          <w:bottom w:val="single" w:sz="8" w:space="0" w:color="C8C8C8" w:themeColor="accent6"/>
          <w:right w:val="single" w:sz="8" w:space="0" w:color="C8C8C8" w:themeColor="accent6"/>
        </w:tcBorders>
      </w:tcPr>
    </w:tblStylePr>
  </w:style>
  <w:style w:type="table" w:styleId="LightShading">
    <w:name w:val="Light Shading"/>
    <w:basedOn w:val="TableNormal"/>
    <w:uiPriority w:val="60"/>
    <w:semiHidden/>
    <w:unhideWhenUsed/>
    <w:rsid w:val="00527E8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27E8F"/>
    <w:rPr>
      <w:color w:val="1916A4" w:themeColor="accent1" w:themeShade="BF"/>
    </w:rPr>
    <w:tblPr>
      <w:tblStyleRowBandSize w:val="1"/>
      <w:tblStyleColBandSize w:val="1"/>
      <w:tblBorders>
        <w:top w:val="single" w:sz="8" w:space="0" w:color="231EDC" w:themeColor="accent1"/>
        <w:bottom w:val="single" w:sz="8" w:space="0" w:color="231EDC" w:themeColor="accent1"/>
      </w:tblBorders>
    </w:tblPr>
    <w:tblStylePr w:type="fir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lastRow">
      <w:pPr>
        <w:spacing w:before="0" w:after="0" w:line="240" w:lineRule="auto"/>
      </w:pPr>
      <w:rPr>
        <w:b/>
        <w:bCs/>
      </w:rPr>
      <w:tblPr/>
      <w:tcPr>
        <w:tcBorders>
          <w:top w:val="single" w:sz="8" w:space="0" w:color="231EDC" w:themeColor="accent1"/>
          <w:left w:val="nil"/>
          <w:bottom w:val="single" w:sz="8" w:space="0" w:color="231ED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left w:val="nil"/>
          <w:right w:val="nil"/>
          <w:insideH w:val="nil"/>
          <w:insideV w:val="nil"/>
        </w:tcBorders>
        <w:shd w:val="clear" w:color="auto" w:fill="C7C6F7" w:themeFill="accent1" w:themeFillTint="3F"/>
      </w:tcPr>
    </w:tblStylePr>
  </w:style>
  <w:style w:type="table" w:styleId="LightShading-Accent2">
    <w:name w:val="Light Shading Accent 2"/>
    <w:basedOn w:val="TableNormal"/>
    <w:uiPriority w:val="60"/>
    <w:semiHidden/>
    <w:unhideWhenUsed/>
    <w:rsid w:val="00527E8F"/>
    <w:rPr>
      <w:color w:val="005CC6" w:themeColor="accent2" w:themeShade="BF"/>
    </w:rPr>
    <w:tblPr>
      <w:tblStyleRowBandSize w:val="1"/>
      <w:tblStyleColBandSize w:val="1"/>
      <w:tblBorders>
        <w:top w:val="single" w:sz="8" w:space="0" w:color="0A7DFF" w:themeColor="accent2"/>
        <w:bottom w:val="single" w:sz="8" w:space="0" w:color="0A7DFF" w:themeColor="accent2"/>
      </w:tblBorders>
    </w:tblPr>
    <w:tblStylePr w:type="fir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lastRow">
      <w:pPr>
        <w:spacing w:before="0" w:after="0" w:line="240" w:lineRule="auto"/>
      </w:pPr>
      <w:rPr>
        <w:b/>
        <w:bCs/>
      </w:rPr>
      <w:tblPr/>
      <w:tcPr>
        <w:tcBorders>
          <w:top w:val="single" w:sz="8" w:space="0" w:color="0A7DFF" w:themeColor="accent2"/>
          <w:left w:val="nil"/>
          <w:bottom w:val="single" w:sz="8" w:space="0" w:color="0A7DF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left w:val="nil"/>
          <w:right w:val="nil"/>
          <w:insideH w:val="nil"/>
          <w:insideV w:val="nil"/>
        </w:tcBorders>
        <w:shd w:val="clear" w:color="auto" w:fill="C2DEFF" w:themeFill="accent2" w:themeFillTint="3F"/>
      </w:tcPr>
    </w:tblStylePr>
  </w:style>
  <w:style w:type="table" w:styleId="LightShading-Accent3">
    <w:name w:val="Light Shading Accent 3"/>
    <w:basedOn w:val="TableNormal"/>
    <w:uiPriority w:val="60"/>
    <w:semiHidden/>
    <w:unhideWhenUsed/>
    <w:rsid w:val="00527E8F"/>
    <w:rPr>
      <w:color w:val="03D8FF" w:themeColor="accent3" w:themeShade="BF"/>
    </w:rPr>
    <w:tblPr>
      <w:tblStyleRowBandSize w:val="1"/>
      <w:tblStyleColBandSize w:val="1"/>
      <w:tblBorders>
        <w:top w:val="single" w:sz="8" w:space="0" w:color="5AE6FF" w:themeColor="accent3"/>
        <w:bottom w:val="single" w:sz="8" w:space="0" w:color="5AE6FF" w:themeColor="accent3"/>
      </w:tblBorders>
    </w:tblPr>
    <w:tblStylePr w:type="fir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lastRow">
      <w:pPr>
        <w:spacing w:before="0" w:after="0" w:line="240" w:lineRule="auto"/>
      </w:pPr>
      <w:rPr>
        <w:b/>
        <w:bCs/>
      </w:rPr>
      <w:tblPr/>
      <w:tcPr>
        <w:tcBorders>
          <w:top w:val="single" w:sz="8" w:space="0" w:color="5AE6FF" w:themeColor="accent3"/>
          <w:left w:val="nil"/>
          <w:bottom w:val="single" w:sz="8" w:space="0" w:color="5AE6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left w:val="nil"/>
          <w:right w:val="nil"/>
          <w:insideH w:val="nil"/>
          <w:insideV w:val="nil"/>
        </w:tcBorders>
        <w:shd w:val="clear" w:color="auto" w:fill="D6F8FF" w:themeFill="accent3" w:themeFillTint="3F"/>
      </w:tcPr>
    </w:tblStylePr>
  </w:style>
  <w:style w:type="table" w:styleId="LightShading-Accent4">
    <w:name w:val="Light Shading Accent 4"/>
    <w:basedOn w:val="TableNormal"/>
    <w:uiPriority w:val="60"/>
    <w:semiHidden/>
    <w:unhideWhenUsed/>
    <w:rsid w:val="00527E8F"/>
    <w:rPr>
      <w:color w:val="00163F" w:themeColor="accent4" w:themeShade="BF"/>
    </w:rPr>
    <w:tblPr>
      <w:tblStyleRowBandSize w:val="1"/>
      <w:tblStyleColBandSize w:val="1"/>
      <w:tblBorders>
        <w:top w:val="single" w:sz="8" w:space="0" w:color="001E55" w:themeColor="accent4"/>
        <w:bottom w:val="single" w:sz="8" w:space="0" w:color="001E55" w:themeColor="accent4"/>
      </w:tblBorders>
    </w:tblPr>
    <w:tblStylePr w:type="fir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lastRow">
      <w:pPr>
        <w:spacing w:before="0" w:after="0" w:line="240" w:lineRule="auto"/>
      </w:pPr>
      <w:rPr>
        <w:b/>
        <w:bCs/>
      </w:rPr>
      <w:tblPr/>
      <w:tcPr>
        <w:tcBorders>
          <w:top w:val="single" w:sz="8" w:space="0" w:color="001E55" w:themeColor="accent4"/>
          <w:left w:val="nil"/>
          <w:bottom w:val="single" w:sz="8" w:space="0" w:color="001E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left w:val="nil"/>
          <w:right w:val="nil"/>
          <w:insideH w:val="nil"/>
          <w:insideV w:val="nil"/>
        </w:tcBorders>
        <w:shd w:val="clear" w:color="auto" w:fill="96BBFF" w:themeFill="accent4" w:themeFillTint="3F"/>
      </w:tcPr>
    </w:tblStylePr>
  </w:style>
  <w:style w:type="table" w:styleId="LightShading-Accent5">
    <w:name w:val="Light Shading Accent 5"/>
    <w:basedOn w:val="TableNormal"/>
    <w:uiPriority w:val="60"/>
    <w:semiHidden/>
    <w:unhideWhenUsed/>
    <w:rsid w:val="00527E8F"/>
    <w:rPr>
      <w:color w:val="7B7B7B" w:themeColor="accent5" w:themeShade="BF"/>
    </w:rPr>
    <w:tblPr>
      <w:tblStyleRowBandSize w:val="1"/>
      <w:tblStyleColBandSize w:val="1"/>
      <w:tblBorders>
        <w:top w:val="single" w:sz="8" w:space="0" w:color="A5A5A5" w:themeColor="accent5"/>
        <w:bottom w:val="single" w:sz="8" w:space="0" w:color="A5A5A5" w:themeColor="accent5"/>
      </w:tblBorders>
    </w:tblPr>
    <w:tblStylePr w:type="fir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lastRow">
      <w:pPr>
        <w:spacing w:before="0" w:after="0" w:line="240" w:lineRule="auto"/>
      </w:pPr>
      <w:rPr>
        <w:b/>
        <w:bCs/>
      </w:rPr>
      <w:tblPr/>
      <w:tcPr>
        <w:tcBorders>
          <w:top w:val="single" w:sz="8" w:space="0" w:color="A5A5A5" w:themeColor="accent5"/>
          <w:left w:val="nil"/>
          <w:bottom w:val="single" w:sz="8" w:space="0" w:color="A5A5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left w:val="nil"/>
          <w:right w:val="nil"/>
          <w:insideH w:val="nil"/>
          <w:insideV w:val="nil"/>
        </w:tcBorders>
        <w:shd w:val="clear" w:color="auto" w:fill="E8E8E8" w:themeFill="accent5" w:themeFillTint="3F"/>
      </w:tcPr>
    </w:tblStylePr>
  </w:style>
  <w:style w:type="table" w:styleId="LightShading-Accent6">
    <w:name w:val="Light Shading Accent 6"/>
    <w:basedOn w:val="TableNormal"/>
    <w:uiPriority w:val="60"/>
    <w:semiHidden/>
    <w:unhideWhenUsed/>
    <w:rsid w:val="00527E8F"/>
    <w:rPr>
      <w:color w:val="959595" w:themeColor="accent6" w:themeShade="BF"/>
    </w:rPr>
    <w:tblPr>
      <w:tblStyleRowBandSize w:val="1"/>
      <w:tblStyleColBandSize w:val="1"/>
      <w:tblBorders>
        <w:top w:val="single" w:sz="8" w:space="0" w:color="C8C8C8" w:themeColor="accent6"/>
        <w:bottom w:val="single" w:sz="8" w:space="0" w:color="C8C8C8" w:themeColor="accent6"/>
      </w:tblBorders>
    </w:tblPr>
    <w:tblStylePr w:type="fir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lastRow">
      <w:pPr>
        <w:spacing w:before="0" w:after="0" w:line="240" w:lineRule="auto"/>
      </w:pPr>
      <w:rPr>
        <w:b/>
        <w:bCs/>
      </w:rPr>
      <w:tblPr/>
      <w:tcPr>
        <w:tcBorders>
          <w:top w:val="single" w:sz="8" w:space="0" w:color="C8C8C8" w:themeColor="accent6"/>
          <w:left w:val="nil"/>
          <w:bottom w:val="single" w:sz="8" w:space="0" w:color="C8C8C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left w:val="nil"/>
          <w:right w:val="nil"/>
          <w:insideH w:val="nil"/>
          <w:insideV w:val="nil"/>
        </w:tcBorders>
        <w:shd w:val="clear" w:color="auto" w:fill="F1F1F1" w:themeFill="accent6" w:themeFillTint="3F"/>
      </w:tcPr>
    </w:tblStylePr>
  </w:style>
  <w:style w:type="character" w:styleId="LineNumber">
    <w:name w:val="line number"/>
    <w:basedOn w:val="DefaultParagraphFont"/>
    <w:uiPriority w:val="99"/>
    <w:semiHidden/>
    <w:unhideWhenUsed/>
    <w:rsid w:val="00527E8F"/>
  </w:style>
  <w:style w:type="paragraph" w:styleId="List">
    <w:name w:val="List"/>
    <w:basedOn w:val="Normal"/>
    <w:uiPriority w:val="99"/>
    <w:semiHidden/>
    <w:unhideWhenUsed/>
    <w:rsid w:val="00527E8F"/>
    <w:pPr>
      <w:ind w:left="283" w:hanging="283"/>
      <w:contextualSpacing/>
    </w:pPr>
  </w:style>
  <w:style w:type="paragraph" w:styleId="List2">
    <w:name w:val="List 2"/>
    <w:basedOn w:val="Normal"/>
    <w:uiPriority w:val="99"/>
    <w:semiHidden/>
    <w:unhideWhenUsed/>
    <w:rsid w:val="00527E8F"/>
    <w:pPr>
      <w:ind w:left="566" w:hanging="283"/>
      <w:contextualSpacing/>
    </w:pPr>
  </w:style>
  <w:style w:type="paragraph" w:styleId="List3">
    <w:name w:val="List 3"/>
    <w:basedOn w:val="Normal"/>
    <w:uiPriority w:val="99"/>
    <w:semiHidden/>
    <w:unhideWhenUsed/>
    <w:rsid w:val="00527E8F"/>
    <w:pPr>
      <w:ind w:left="849" w:hanging="283"/>
      <w:contextualSpacing/>
    </w:pPr>
  </w:style>
  <w:style w:type="paragraph" w:styleId="List4">
    <w:name w:val="List 4"/>
    <w:basedOn w:val="Normal"/>
    <w:uiPriority w:val="99"/>
    <w:semiHidden/>
    <w:unhideWhenUsed/>
    <w:rsid w:val="00527E8F"/>
    <w:pPr>
      <w:ind w:left="1132" w:hanging="283"/>
      <w:contextualSpacing/>
    </w:pPr>
  </w:style>
  <w:style w:type="paragraph" w:styleId="List5">
    <w:name w:val="List 5"/>
    <w:basedOn w:val="Normal"/>
    <w:uiPriority w:val="99"/>
    <w:semiHidden/>
    <w:unhideWhenUsed/>
    <w:rsid w:val="00527E8F"/>
    <w:pPr>
      <w:ind w:left="1415" w:hanging="283"/>
      <w:contextualSpacing/>
    </w:pPr>
  </w:style>
  <w:style w:type="paragraph" w:styleId="ListBullet4">
    <w:name w:val="List Bullet 4"/>
    <w:basedOn w:val="Normal"/>
    <w:uiPriority w:val="99"/>
    <w:semiHidden/>
    <w:unhideWhenUsed/>
    <w:rsid w:val="00527E8F"/>
    <w:pPr>
      <w:tabs>
        <w:tab w:val="num" w:pos="1209"/>
      </w:tabs>
      <w:ind w:left="1209" w:hanging="360"/>
      <w:contextualSpacing/>
    </w:pPr>
  </w:style>
  <w:style w:type="paragraph" w:styleId="ListBullet5">
    <w:name w:val="List Bullet 5"/>
    <w:basedOn w:val="Normal"/>
    <w:uiPriority w:val="99"/>
    <w:semiHidden/>
    <w:unhideWhenUsed/>
    <w:rsid w:val="00527E8F"/>
    <w:pPr>
      <w:tabs>
        <w:tab w:val="num" w:pos="1492"/>
      </w:tabs>
      <w:ind w:left="1492" w:hanging="360"/>
      <w:contextualSpacing/>
    </w:pPr>
  </w:style>
  <w:style w:type="paragraph" w:styleId="ListContinue">
    <w:name w:val="List Continue"/>
    <w:basedOn w:val="Normal"/>
    <w:uiPriority w:val="99"/>
    <w:semiHidden/>
    <w:unhideWhenUsed/>
    <w:rsid w:val="00527E8F"/>
    <w:pPr>
      <w:spacing w:after="120"/>
      <w:ind w:left="283"/>
      <w:contextualSpacing/>
    </w:pPr>
  </w:style>
  <w:style w:type="paragraph" w:styleId="ListContinue2">
    <w:name w:val="List Continue 2"/>
    <w:basedOn w:val="Normal"/>
    <w:uiPriority w:val="99"/>
    <w:semiHidden/>
    <w:unhideWhenUsed/>
    <w:rsid w:val="00527E8F"/>
    <w:pPr>
      <w:spacing w:after="120"/>
      <w:ind w:left="566"/>
      <w:contextualSpacing/>
    </w:pPr>
  </w:style>
  <w:style w:type="paragraph" w:styleId="ListContinue3">
    <w:name w:val="List Continue 3"/>
    <w:basedOn w:val="Normal"/>
    <w:uiPriority w:val="99"/>
    <w:semiHidden/>
    <w:unhideWhenUsed/>
    <w:rsid w:val="00527E8F"/>
    <w:pPr>
      <w:spacing w:after="120"/>
      <w:ind w:left="849"/>
      <w:contextualSpacing/>
    </w:pPr>
  </w:style>
  <w:style w:type="paragraph" w:styleId="ListContinue4">
    <w:name w:val="List Continue 4"/>
    <w:basedOn w:val="Normal"/>
    <w:uiPriority w:val="99"/>
    <w:semiHidden/>
    <w:unhideWhenUsed/>
    <w:rsid w:val="00527E8F"/>
    <w:pPr>
      <w:spacing w:after="120"/>
      <w:ind w:left="1132"/>
      <w:contextualSpacing/>
    </w:pPr>
  </w:style>
  <w:style w:type="paragraph" w:styleId="ListContinue5">
    <w:name w:val="List Continue 5"/>
    <w:basedOn w:val="Normal"/>
    <w:uiPriority w:val="99"/>
    <w:semiHidden/>
    <w:unhideWhenUsed/>
    <w:rsid w:val="00527E8F"/>
    <w:pPr>
      <w:spacing w:after="120"/>
      <w:ind w:left="1415"/>
      <w:contextualSpacing/>
    </w:pPr>
  </w:style>
  <w:style w:type="paragraph" w:styleId="ListNumber5">
    <w:name w:val="List Number 5"/>
    <w:basedOn w:val="Normal"/>
    <w:uiPriority w:val="99"/>
    <w:semiHidden/>
    <w:unhideWhenUsed/>
    <w:rsid w:val="00527E8F"/>
    <w:pPr>
      <w:tabs>
        <w:tab w:val="num" w:pos="1492"/>
      </w:tabs>
      <w:ind w:left="1492" w:hanging="360"/>
      <w:contextualSpacing/>
    </w:pPr>
  </w:style>
  <w:style w:type="table" w:styleId="ListTable1Light">
    <w:name w:val="List Table 1 Light"/>
    <w:basedOn w:val="TableNormal"/>
    <w:uiPriority w:val="46"/>
    <w:rsid w:val="00527E8F"/>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27E8F"/>
    <w:tblPr>
      <w:tblStyleRowBandSize w:val="1"/>
      <w:tblStyleColBandSize w:val="1"/>
    </w:tblPr>
    <w:tblStylePr w:type="firstRow">
      <w:rPr>
        <w:b/>
        <w:bCs/>
      </w:rPr>
      <w:tblPr/>
      <w:tcPr>
        <w:tcBorders>
          <w:bottom w:val="single" w:sz="4" w:space="0" w:color="7875EC" w:themeColor="accent1" w:themeTint="99"/>
        </w:tcBorders>
      </w:tcPr>
    </w:tblStylePr>
    <w:tblStylePr w:type="lastRow">
      <w:rPr>
        <w:b/>
        <w:bCs/>
      </w:rPr>
      <w:tblPr/>
      <w:tcPr>
        <w:tcBorders>
          <w:top w:val="sing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1Light-Accent2">
    <w:name w:val="List Table 1 Light Accent 2"/>
    <w:basedOn w:val="TableNormal"/>
    <w:uiPriority w:val="46"/>
    <w:rsid w:val="00527E8F"/>
    <w:tblPr>
      <w:tblStyleRowBandSize w:val="1"/>
      <w:tblStyleColBandSize w:val="1"/>
    </w:tblPr>
    <w:tblStylePr w:type="firstRow">
      <w:rPr>
        <w:b/>
        <w:bCs/>
      </w:rPr>
      <w:tblPr/>
      <w:tcPr>
        <w:tcBorders>
          <w:bottom w:val="single" w:sz="4" w:space="0" w:color="6CB0FF" w:themeColor="accent2" w:themeTint="99"/>
        </w:tcBorders>
      </w:tcPr>
    </w:tblStylePr>
    <w:tblStylePr w:type="lastRow">
      <w:rPr>
        <w:b/>
        <w:bCs/>
      </w:rPr>
      <w:tblPr/>
      <w:tcPr>
        <w:tcBorders>
          <w:top w:val="sing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1Light-Accent3">
    <w:name w:val="List Table 1 Light Accent 3"/>
    <w:basedOn w:val="TableNormal"/>
    <w:uiPriority w:val="46"/>
    <w:rsid w:val="00527E8F"/>
    <w:tblPr>
      <w:tblStyleRowBandSize w:val="1"/>
      <w:tblStyleColBandSize w:val="1"/>
    </w:tblPr>
    <w:tblStylePr w:type="firstRow">
      <w:rPr>
        <w:b/>
        <w:bCs/>
      </w:rPr>
      <w:tblPr/>
      <w:tcPr>
        <w:tcBorders>
          <w:bottom w:val="single" w:sz="4" w:space="0" w:color="9CEFFF" w:themeColor="accent3" w:themeTint="99"/>
        </w:tcBorders>
      </w:tcPr>
    </w:tblStylePr>
    <w:tblStylePr w:type="lastRow">
      <w:rPr>
        <w:b/>
        <w:bCs/>
      </w:rPr>
      <w:tblPr/>
      <w:tcPr>
        <w:tcBorders>
          <w:top w:val="sing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1Light-Accent4">
    <w:name w:val="List Table 1 Light Accent 4"/>
    <w:basedOn w:val="TableNormal"/>
    <w:uiPriority w:val="46"/>
    <w:rsid w:val="00527E8F"/>
    <w:tblPr>
      <w:tblStyleRowBandSize w:val="1"/>
      <w:tblStyleColBandSize w:val="1"/>
    </w:tblPr>
    <w:tblStylePr w:type="firstRow">
      <w:rPr>
        <w:b/>
        <w:bCs/>
      </w:rPr>
      <w:tblPr/>
      <w:tcPr>
        <w:tcBorders>
          <w:bottom w:val="single" w:sz="4" w:space="0" w:color="005AFF" w:themeColor="accent4" w:themeTint="99"/>
        </w:tcBorders>
      </w:tcPr>
    </w:tblStylePr>
    <w:tblStylePr w:type="lastRow">
      <w:rPr>
        <w:b/>
        <w:bCs/>
      </w:rPr>
      <w:tblPr/>
      <w:tcPr>
        <w:tcBorders>
          <w:top w:val="sing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1Light-Accent5">
    <w:name w:val="List Table 1 Light Accent 5"/>
    <w:basedOn w:val="TableNormal"/>
    <w:uiPriority w:val="46"/>
    <w:rsid w:val="00527E8F"/>
    <w:tblPr>
      <w:tblStyleRowBandSize w:val="1"/>
      <w:tblStyleColBandSize w:val="1"/>
    </w:tblPr>
    <w:tblStylePr w:type="firstRow">
      <w:rPr>
        <w:b/>
        <w:bCs/>
      </w:rPr>
      <w:tblPr/>
      <w:tcPr>
        <w:tcBorders>
          <w:bottom w:val="single" w:sz="4" w:space="0" w:color="C9C9C9" w:themeColor="accent5" w:themeTint="99"/>
        </w:tcBorders>
      </w:tcPr>
    </w:tblStylePr>
    <w:tblStylePr w:type="lastRow">
      <w:rPr>
        <w:b/>
        <w:bCs/>
      </w:rPr>
      <w:tblPr/>
      <w:tcPr>
        <w:tcBorders>
          <w:top w:val="sing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1Light-Accent6">
    <w:name w:val="List Table 1 Light Accent 6"/>
    <w:basedOn w:val="TableNormal"/>
    <w:uiPriority w:val="46"/>
    <w:rsid w:val="00527E8F"/>
    <w:tblPr>
      <w:tblStyleRowBandSize w:val="1"/>
      <w:tblStyleColBandSize w:val="1"/>
    </w:tblPr>
    <w:tblStylePr w:type="firstRow">
      <w:rPr>
        <w:b/>
        <w:bCs/>
      </w:rPr>
      <w:tblPr/>
      <w:tcPr>
        <w:tcBorders>
          <w:bottom w:val="single" w:sz="4" w:space="0" w:color="DEDEDE" w:themeColor="accent6" w:themeTint="99"/>
        </w:tcBorders>
      </w:tcPr>
    </w:tblStylePr>
    <w:tblStylePr w:type="lastRow">
      <w:rPr>
        <w:b/>
        <w:bCs/>
      </w:rPr>
      <w:tblPr/>
      <w:tcPr>
        <w:tcBorders>
          <w:top w:val="sing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2">
    <w:name w:val="List Table 2"/>
    <w:basedOn w:val="TableNormal"/>
    <w:uiPriority w:val="47"/>
    <w:rsid w:val="00527E8F"/>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27E8F"/>
    <w:tblPr>
      <w:tblStyleRowBandSize w:val="1"/>
      <w:tblStyleColBandSize w:val="1"/>
      <w:tblBorders>
        <w:top w:val="single" w:sz="4" w:space="0" w:color="7875EC" w:themeColor="accent1" w:themeTint="99"/>
        <w:bottom w:val="single" w:sz="4" w:space="0" w:color="7875EC" w:themeColor="accent1" w:themeTint="99"/>
        <w:insideH w:val="single" w:sz="4" w:space="0" w:color="7875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2-Accent2">
    <w:name w:val="List Table 2 Accent 2"/>
    <w:basedOn w:val="TableNormal"/>
    <w:uiPriority w:val="47"/>
    <w:rsid w:val="00527E8F"/>
    <w:tblPr>
      <w:tblStyleRowBandSize w:val="1"/>
      <w:tblStyleColBandSize w:val="1"/>
      <w:tblBorders>
        <w:top w:val="single" w:sz="4" w:space="0" w:color="6CB0FF" w:themeColor="accent2" w:themeTint="99"/>
        <w:bottom w:val="single" w:sz="4" w:space="0" w:color="6CB0FF" w:themeColor="accent2" w:themeTint="99"/>
        <w:insideH w:val="single" w:sz="4" w:space="0" w:color="6CB0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2-Accent3">
    <w:name w:val="List Table 2 Accent 3"/>
    <w:basedOn w:val="TableNormal"/>
    <w:uiPriority w:val="47"/>
    <w:rsid w:val="00527E8F"/>
    <w:tblPr>
      <w:tblStyleRowBandSize w:val="1"/>
      <w:tblStyleColBandSize w:val="1"/>
      <w:tblBorders>
        <w:top w:val="single" w:sz="4" w:space="0" w:color="9CEFFF" w:themeColor="accent3" w:themeTint="99"/>
        <w:bottom w:val="single" w:sz="4" w:space="0" w:color="9CEFFF" w:themeColor="accent3" w:themeTint="99"/>
        <w:insideH w:val="single" w:sz="4" w:space="0" w:color="9C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2-Accent4">
    <w:name w:val="List Table 2 Accent 4"/>
    <w:basedOn w:val="TableNormal"/>
    <w:uiPriority w:val="47"/>
    <w:rsid w:val="00527E8F"/>
    <w:tblPr>
      <w:tblStyleRowBandSize w:val="1"/>
      <w:tblStyleColBandSize w:val="1"/>
      <w:tblBorders>
        <w:top w:val="single" w:sz="4" w:space="0" w:color="005AFF" w:themeColor="accent4" w:themeTint="99"/>
        <w:bottom w:val="single" w:sz="4" w:space="0" w:color="005AFF" w:themeColor="accent4" w:themeTint="99"/>
        <w:insideH w:val="single" w:sz="4" w:space="0" w:color="005A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2-Accent5">
    <w:name w:val="List Table 2 Accent 5"/>
    <w:basedOn w:val="TableNormal"/>
    <w:uiPriority w:val="47"/>
    <w:rsid w:val="00527E8F"/>
    <w:tblPr>
      <w:tblStyleRowBandSize w:val="1"/>
      <w:tblStyleColBandSize w:val="1"/>
      <w:tblBorders>
        <w:top w:val="single" w:sz="4" w:space="0" w:color="C9C9C9" w:themeColor="accent5" w:themeTint="99"/>
        <w:bottom w:val="single" w:sz="4" w:space="0" w:color="C9C9C9" w:themeColor="accent5" w:themeTint="99"/>
        <w:insideH w:val="single" w:sz="4" w:space="0" w:color="C9C9C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2-Accent6">
    <w:name w:val="List Table 2 Accent 6"/>
    <w:basedOn w:val="TableNormal"/>
    <w:uiPriority w:val="47"/>
    <w:rsid w:val="00527E8F"/>
    <w:tblPr>
      <w:tblStyleRowBandSize w:val="1"/>
      <w:tblStyleColBandSize w:val="1"/>
      <w:tblBorders>
        <w:top w:val="single" w:sz="4" w:space="0" w:color="DEDEDE" w:themeColor="accent6" w:themeTint="99"/>
        <w:bottom w:val="single" w:sz="4" w:space="0" w:color="DEDEDE" w:themeColor="accent6" w:themeTint="99"/>
        <w:insideH w:val="single" w:sz="4" w:space="0" w:color="DEDEDE"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3">
    <w:name w:val="List Table 3"/>
    <w:basedOn w:val="TableNormal"/>
    <w:uiPriority w:val="48"/>
    <w:rsid w:val="00527E8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27E8F"/>
    <w:tblPr>
      <w:tblStyleRowBandSize w:val="1"/>
      <w:tblStyleColBandSize w:val="1"/>
      <w:tblBorders>
        <w:top w:val="single" w:sz="4" w:space="0" w:color="231EDC" w:themeColor="accent1"/>
        <w:left w:val="single" w:sz="4" w:space="0" w:color="231EDC" w:themeColor="accent1"/>
        <w:bottom w:val="single" w:sz="4" w:space="0" w:color="231EDC" w:themeColor="accent1"/>
        <w:right w:val="single" w:sz="4" w:space="0" w:color="231EDC" w:themeColor="accent1"/>
      </w:tblBorders>
    </w:tblPr>
    <w:tblStylePr w:type="firstRow">
      <w:rPr>
        <w:b/>
        <w:bCs/>
        <w:color w:val="FFFFFF" w:themeColor="background1"/>
      </w:rPr>
      <w:tblPr/>
      <w:tcPr>
        <w:shd w:val="clear" w:color="auto" w:fill="231EDC" w:themeFill="accent1"/>
      </w:tcPr>
    </w:tblStylePr>
    <w:tblStylePr w:type="lastRow">
      <w:rPr>
        <w:b/>
        <w:bCs/>
      </w:rPr>
      <w:tblPr/>
      <w:tcPr>
        <w:tcBorders>
          <w:top w:val="double" w:sz="4" w:space="0" w:color="231ED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EDC" w:themeColor="accent1"/>
          <w:right w:val="single" w:sz="4" w:space="0" w:color="231EDC" w:themeColor="accent1"/>
        </w:tcBorders>
      </w:tcPr>
    </w:tblStylePr>
    <w:tblStylePr w:type="band1Horz">
      <w:tblPr/>
      <w:tcPr>
        <w:tcBorders>
          <w:top w:val="single" w:sz="4" w:space="0" w:color="231EDC" w:themeColor="accent1"/>
          <w:bottom w:val="single" w:sz="4" w:space="0" w:color="231ED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EDC" w:themeColor="accent1"/>
          <w:left w:val="nil"/>
        </w:tcBorders>
      </w:tcPr>
    </w:tblStylePr>
    <w:tblStylePr w:type="swCell">
      <w:tblPr/>
      <w:tcPr>
        <w:tcBorders>
          <w:top w:val="double" w:sz="4" w:space="0" w:color="231EDC" w:themeColor="accent1"/>
          <w:right w:val="nil"/>
        </w:tcBorders>
      </w:tcPr>
    </w:tblStylePr>
  </w:style>
  <w:style w:type="table" w:styleId="ListTable3-Accent2">
    <w:name w:val="List Table 3 Accent 2"/>
    <w:basedOn w:val="TableNormal"/>
    <w:uiPriority w:val="48"/>
    <w:rsid w:val="00527E8F"/>
    <w:tblPr>
      <w:tblStyleRowBandSize w:val="1"/>
      <w:tblStyleColBandSize w:val="1"/>
      <w:tblBorders>
        <w:top w:val="single" w:sz="4" w:space="0" w:color="0A7DFF" w:themeColor="accent2"/>
        <w:left w:val="single" w:sz="4" w:space="0" w:color="0A7DFF" w:themeColor="accent2"/>
        <w:bottom w:val="single" w:sz="4" w:space="0" w:color="0A7DFF" w:themeColor="accent2"/>
        <w:right w:val="single" w:sz="4" w:space="0" w:color="0A7DFF" w:themeColor="accent2"/>
      </w:tblBorders>
    </w:tblPr>
    <w:tblStylePr w:type="firstRow">
      <w:rPr>
        <w:b/>
        <w:bCs/>
        <w:color w:val="FFFFFF" w:themeColor="background1"/>
      </w:rPr>
      <w:tblPr/>
      <w:tcPr>
        <w:shd w:val="clear" w:color="auto" w:fill="0A7DFF" w:themeFill="accent2"/>
      </w:tcPr>
    </w:tblStylePr>
    <w:tblStylePr w:type="lastRow">
      <w:rPr>
        <w:b/>
        <w:bCs/>
      </w:rPr>
      <w:tblPr/>
      <w:tcPr>
        <w:tcBorders>
          <w:top w:val="double" w:sz="4" w:space="0" w:color="0A7DF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7DFF" w:themeColor="accent2"/>
          <w:right w:val="single" w:sz="4" w:space="0" w:color="0A7DFF" w:themeColor="accent2"/>
        </w:tcBorders>
      </w:tcPr>
    </w:tblStylePr>
    <w:tblStylePr w:type="band1Horz">
      <w:tblPr/>
      <w:tcPr>
        <w:tcBorders>
          <w:top w:val="single" w:sz="4" w:space="0" w:color="0A7DFF" w:themeColor="accent2"/>
          <w:bottom w:val="single" w:sz="4" w:space="0" w:color="0A7DF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7DFF" w:themeColor="accent2"/>
          <w:left w:val="nil"/>
        </w:tcBorders>
      </w:tcPr>
    </w:tblStylePr>
    <w:tblStylePr w:type="swCell">
      <w:tblPr/>
      <w:tcPr>
        <w:tcBorders>
          <w:top w:val="double" w:sz="4" w:space="0" w:color="0A7DFF" w:themeColor="accent2"/>
          <w:right w:val="nil"/>
        </w:tcBorders>
      </w:tcPr>
    </w:tblStylePr>
  </w:style>
  <w:style w:type="table" w:styleId="ListTable3-Accent3">
    <w:name w:val="List Table 3 Accent 3"/>
    <w:basedOn w:val="TableNormal"/>
    <w:uiPriority w:val="48"/>
    <w:rsid w:val="00527E8F"/>
    <w:tblPr>
      <w:tblStyleRowBandSize w:val="1"/>
      <w:tblStyleColBandSize w:val="1"/>
      <w:tblBorders>
        <w:top w:val="single" w:sz="4" w:space="0" w:color="5AE6FF" w:themeColor="accent3"/>
        <w:left w:val="single" w:sz="4" w:space="0" w:color="5AE6FF" w:themeColor="accent3"/>
        <w:bottom w:val="single" w:sz="4" w:space="0" w:color="5AE6FF" w:themeColor="accent3"/>
        <w:right w:val="single" w:sz="4" w:space="0" w:color="5AE6FF" w:themeColor="accent3"/>
      </w:tblBorders>
    </w:tblPr>
    <w:tblStylePr w:type="firstRow">
      <w:rPr>
        <w:b/>
        <w:bCs/>
        <w:color w:val="FFFFFF" w:themeColor="background1"/>
      </w:rPr>
      <w:tblPr/>
      <w:tcPr>
        <w:shd w:val="clear" w:color="auto" w:fill="5AE6FF" w:themeFill="accent3"/>
      </w:tcPr>
    </w:tblStylePr>
    <w:tblStylePr w:type="lastRow">
      <w:rPr>
        <w:b/>
        <w:bCs/>
      </w:rPr>
      <w:tblPr/>
      <w:tcPr>
        <w:tcBorders>
          <w:top w:val="double" w:sz="4" w:space="0" w:color="5AE6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AE6FF" w:themeColor="accent3"/>
          <w:right w:val="single" w:sz="4" w:space="0" w:color="5AE6FF" w:themeColor="accent3"/>
        </w:tcBorders>
      </w:tcPr>
    </w:tblStylePr>
    <w:tblStylePr w:type="band1Horz">
      <w:tblPr/>
      <w:tcPr>
        <w:tcBorders>
          <w:top w:val="single" w:sz="4" w:space="0" w:color="5AE6FF" w:themeColor="accent3"/>
          <w:bottom w:val="single" w:sz="4" w:space="0" w:color="5AE6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AE6FF" w:themeColor="accent3"/>
          <w:left w:val="nil"/>
        </w:tcBorders>
      </w:tcPr>
    </w:tblStylePr>
    <w:tblStylePr w:type="swCell">
      <w:tblPr/>
      <w:tcPr>
        <w:tcBorders>
          <w:top w:val="double" w:sz="4" w:space="0" w:color="5AE6FF" w:themeColor="accent3"/>
          <w:right w:val="nil"/>
        </w:tcBorders>
      </w:tcPr>
    </w:tblStylePr>
  </w:style>
  <w:style w:type="table" w:styleId="ListTable3-Accent4">
    <w:name w:val="List Table 3 Accent 4"/>
    <w:basedOn w:val="TableNormal"/>
    <w:uiPriority w:val="48"/>
    <w:rsid w:val="00527E8F"/>
    <w:tblPr>
      <w:tblStyleRowBandSize w:val="1"/>
      <w:tblStyleColBandSize w:val="1"/>
      <w:tblBorders>
        <w:top w:val="single" w:sz="4" w:space="0" w:color="001E55" w:themeColor="accent4"/>
        <w:left w:val="single" w:sz="4" w:space="0" w:color="001E55" w:themeColor="accent4"/>
        <w:bottom w:val="single" w:sz="4" w:space="0" w:color="001E55" w:themeColor="accent4"/>
        <w:right w:val="single" w:sz="4" w:space="0" w:color="001E55" w:themeColor="accent4"/>
      </w:tblBorders>
    </w:tblPr>
    <w:tblStylePr w:type="firstRow">
      <w:rPr>
        <w:b/>
        <w:bCs/>
        <w:color w:val="FFFFFF" w:themeColor="background1"/>
      </w:rPr>
      <w:tblPr/>
      <w:tcPr>
        <w:shd w:val="clear" w:color="auto" w:fill="001E55" w:themeFill="accent4"/>
      </w:tcPr>
    </w:tblStylePr>
    <w:tblStylePr w:type="lastRow">
      <w:rPr>
        <w:b/>
        <w:bCs/>
      </w:rPr>
      <w:tblPr/>
      <w:tcPr>
        <w:tcBorders>
          <w:top w:val="double" w:sz="4" w:space="0" w:color="001E5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E55" w:themeColor="accent4"/>
          <w:right w:val="single" w:sz="4" w:space="0" w:color="001E55" w:themeColor="accent4"/>
        </w:tcBorders>
      </w:tcPr>
    </w:tblStylePr>
    <w:tblStylePr w:type="band1Horz">
      <w:tblPr/>
      <w:tcPr>
        <w:tcBorders>
          <w:top w:val="single" w:sz="4" w:space="0" w:color="001E55" w:themeColor="accent4"/>
          <w:bottom w:val="single" w:sz="4" w:space="0" w:color="001E5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E55" w:themeColor="accent4"/>
          <w:left w:val="nil"/>
        </w:tcBorders>
      </w:tcPr>
    </w:tblStylePr>
    <w:tblStylePr w:type="swCell">
      <w:tblPr/>
      <w:tcPr>
        <w:tcBorders>
          <w:top w:val="double" w:sz="4" w:space="0" w:color="001E55" w:themeColor="accent4"/>
          <w:right w:val="nil"/>
        </w:tcBorders>
      </w:tcPr>
    </w:tblStylePr>
  </w:style>
  <w:style w:type="table" w:styleId="ListTable3-Accent5">
    <w:name w:val="List Table 3 Accent 5"/>
    <w:basedOn w:val="TableNormal"/>
    <w:uiPriority w:val="48"/>
    <w:rsid w:val="00527E8F"/>
    <w:tblPr>
      <w:tblStyleRowBandSize w:val="1"/>
      <w:tblStyleColBandSize w:val="1"/>
      <w:tblBorders>
        <w:top w:val="single" w:sz="4" w:space="0" w:color="A5A5A5" w:themeColor="accent5"/>
        <w:left w:val="single" w:sz="4" w:space="0" w:color="A5A5A5" w:themeColor="accent5"/>
        <w:bottom w:val="single" w:sz="4" w:space="0" w:color="A5A5A5" w:themeColor="accent5"/>
        <w:right w:val="single" w:sz="4" w:space="0" w:color="A5A5A5" w:themeColor="accent5"/>
      </w:tblBorders>
    </w:tblPr>
    <w:tblStylePr w:type="firstRow">
      <w:rPr>
        <w:b/>
        <w:bCs/>
        <w:color w:val="FFFFFF" w:themeColor="background1"/>
      </w:rPr>
      <w:tblPr/>
      <w:tcPr>
        <w:shd w:val="clear" w:color="auto" w:fill="A5A5A5" w:themeFill="accent5"/>
      </w:tcPr>
    </w:tblStylePr>
    <w:tblStylePr w:type="lastRow">
      <w:rPr>
        <w:b/>
        <w:bCs/>
      </w:rPr>
      <w:tblPr/>
      <w:tcPr>
        <w:tcBorders>
          <w:top w:val="double" w:sz="4" w:space="0" w:color="A5A5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5"/>
          <w:right w:val="single" w:sz="4" w:space="0" w:color="A5A5A5" w:themeColor="accent5"/>
        </w:tcBorders>
      </w:tcPr>
    </w:tblStylePr>
    <w:tblStylePr w:type="band1Horz">
      <w:tblPr/>
      <w:tcPr>
        <w:tcBorders>
          <w:top w:val="single" w:sz="4" w:space="0" w:color="A5A5A5" w:themeColor="accent5"/>
          <w:bottom w:val="single" w:sz="4" w:space="0" w:color="A5A5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5"/>
          <w:left w:val="nil"/>
        </w:tcBorders>
      </w:tcPr>
    </w:tblStylePr>
    <w:tblStylePr w:type="swCell">
      <w:tblPr/>
      <w:tcPr>
        <w:tcBorders>
          <w:top w:val="double" w:sz="4" w:space="0" w:color="A5A5A5" w:themeColor="accent5"/>
          <w:right w:val="nil"/>
        </w:tcBorders>
      </w:tcPr>
    </w:tblStylePr>
  </w:style>
  <w:style w:type="table" w:styleId="ListTable3-Accent6">
    <w:name w:val="List Table 3 Accent 6"/>
    <w:basedOn w:val="TableNormal"/>
    <w:uiPriority w:val="48"/>
    <w:rsid w:val="00527E8F"/>
    <w:tblPr>
      <w:tblStyleRowBandSize w:val="1"/>
      <w:tblStyleColBandSize w:val="1"/>
      <w:tblBorders>
        <w:top w:val="single" w:sz="4" w:space="0" w:color="C8C8C8" w:themeColor="accent6"/>
        <w:left w:val="single" w:sz="4" w:space="0" w:color="C8C8C8" w:themeColor="accent6"/>
        <w:bottom w:val="single" w:sz="4" w:space="0" w:color="C8C8C8" w:themeColor="accent6"/>
        <w:right w:val="single" w:sz="4" w:space="0" w:color="C8C8C8" w:themeColor="accent6"/>
      </w:tblBorders>
    </w:tblPr>
    <w:tblStylePr w:type="firstRow">
      <w:rPr>
        <w:b/>
        <w:bCs/>
        <w:color w:val="FFFFFF" w:themeColor="background1"/>
      </w:rPr>
      <w:tblPr/>
      <w:tcPr>
        <w:shd w:val="clear" w:color="auto" w:fill="C8C8C8" w:themeFill="accent6"/>
      </w:tcPr>
    </w:tblStylePr>
    <w:tblStylePr w:type="lastRow">
      <w:rPr>
        <w:b/>
        <w:bCs/>
      </w:rPr>
      <w:tblPr/>
      <w:tcPr>
        <w:tcBorders>
          <w:top w:val="double" w:sz="4" w:space="0" w:color="C8C8C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6"/>
          <w:right w:val="single" w:sz="4" w:space="0" w:color="C8C8C8" w:themeColor="accent6"/>
        </w:tcBorders>
      </w:tcPr>
    </w:tblStylePr>
    <w:tblStylePr w:type="band1Horz">
      <w:tblPr/>
      <w:tcPr>
        <w:tcBorders>
          <w:top w:val="single" w:sz="4" w:space="0" w:color="C8C8C8" w:themeColor="accent6"/>
          <w:bottom w:val="single" w:sz="4" w:space="0" w:color="C8C8C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6"/>
          <w:left w:val="nil"/>
        </w:tcBorders>
      </w:tcPr>
    </w:tblStylePr>
    <w:tblStylePr w:type="swCell">
      <w:tblPr/>
      <w:tcPr>
        <w:tcBorders>
          <w:top w:val="double" w:sz="4" w:space="0" w:color="C8C8C8" w:themeColor="accent6"/>
          <w:right w:val="nil"/>
        </w:tcBorders>
      </w:tcPr>
    </w:tblStylePr>
  </w:style>
  <w:style w:type="table" w:styleId="ListTable4">
    <w:name w:val="List Table 4"/>
    <w:basedOn w:val="TableNormal"/>
    <w:uiPriority w:val="49"/>
    <w:rsid w:val="00527E8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27E8F"/>
    <w:tblPr>
      <w:tblStyleRowBandSize w:val="1"/>
      <w:tblStyleColBandSize w:val="1"/>
      <w:tblBorders>
        <w:top w:val="single" w:sz="4" w:space="0" w:color="7875EC" w:themeColor="accent1" w:themeTint="99"/>
        <w:left w:val="single" w:sz="4" w:space="0" w:color="7875EC" w:themeColor="accent1" w:themeTint="99"/>
        <w:bottom w:val="single" w:sz="4" w:space="0" w:color="7875EC" w:themeColor="accent1" w:themeTint="99"/>
        <w:right w:val="single" w:sz="4" w:space="0" w:color="7875EC" w:themeColor="accent1" w:themeTint="99"/>
        <w:insideH w:val="single" w:sz="4" w:space="0" w:color="7875EC" w:themeColor="accent1" w:themeTint="99"/>
      </w:tblBorders>
    </w:tblPr>
    <w:tblStylePr w:type="firstRow">
      <w:rPr>
        <w:b/>
        <w:bCs/>
        <w:color w:val="FFFFFF" w:themeColor="background1"/>
      </w:rPr>
      <w:tblPr/>
      <w:tcPr>
        <w:tcBorders>
          <w:top w:val="single" w:sz="4" w:space="0" w:color="231EDC" w:themeColor="accent1"/>
          <w:left w:val="single" w:sz="4" w:space="0" w:color="231EDC" w:themeColor="accent1"/>
          <w:bottom w:val="single" w:sz="4" w:space="0" w:color="231EDC" w:themeColor="accent1"/>
          <w:right w:val="single" w:sz="4" w:space="0" w:color="231EDC" w:themeColor="accent1"/>
          <w:insideH w:val="nil"/>
        </w:tcBorders>
        <w:shd w:val="clear" w:color="auto" w:fill="231EDC" w:themeFill="accent1"/>
      </w:tcPr>
    </w:tblStylePr>
    <w:tblStylePr w:type="lastRow">
      <w:rPr>
        <w:b/>
        <w:bCs/>
      </w:rPr>
      <w:tblPr/>
      <w:tcPr>
        <w:tcBorders>
          <w:top w:val="double" w:sz="4" w:space="0" w:color="7875EC" w:themeColor="accent1" w:themeTint="99"/>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4-Accent2">
    <w:name w:val="List Table 4 Accent 2"/>
    <w:basedOn w:val="TableNormal"/>
    <w:uiPriority w:val="49"/>
    <w:rsid w:val="00527E8F"/>
    <w:tblPr>
      <w:tblStyleRowBandSize w:val="1"/>
      <w:tblStyleColBandSize w:val="1"/>
      <w:tblBorders>
        <w:top w:val="single" w:sz="4" w:space="0" w:color="6CB0FF" w:themeColor="accent2" w:themeTint="99"/>
        <w:left w:val="single" w:sz="4" w:space="0" w:color="6CB0FF" w:themeColor="accent2" w:themeTint="99"/>
        <w:bottom w:val="single" w:sz="4" w:space="0" w:color="6CB0FF" w:themeColor="accent2" w:themeTint="99"/>
        <w:right w:val="single" w:sz="4" w:space="0" w:color="6CB0FF" w:themeColor="accent2" w:themeTint="99"/>
        <w:insideH w:val="single" w:sz="4" w:space="0" w:color="6CB0FF" w:themeColor="accent2" w:themeTint="99"/>
      </w:tblBorders>
    </w:tblPr>
    <w:tblStylePr w:type="firstRow">
      <w:rPr>
        <w:b/>
        <w:bCs/>
        <w:color w:val="FFFFFF" w:themeColor="background1"/>
      </w:rPr>
      <w:tblPr/>
      <w:tcPr>
        <w:tcBorders>
          <w:top w:val="single" w:sz="4" w:space="0" w:color="0A7DFF" w:themeColor="accent2"/>
          <w:left w:val="single" w:sz="4" w:space="0" w:color="0A7DFF" w:themeColor="accent2"/>
          <w:bottom w:val="single" w:sz="4" w:space="0" w:color="0A7DFF" w:themeColor="accent2"/>
          <w:right w:val="single" w:sz="4" w:space="0" w:color="0A7DFF" w:themeColor="accent2"/>
          <w:insideH w:val="nil"/>
        </w:tcBorders>
        <w:shd w:val="clear" w:color="auto" w:fill="0A7DFF" w:themeFill="accent2"/>
      </w:tcPr>
    </w:tblStylePr>
    <w:tblStylePr w:type="lastRow">
      <w:rPr>
        <w:b/>
        <w:bCs/>
      </w:rPr>
      <w:tblPr/>
      <w:tcPr>
        <w:tcBorders>
          <w:top w:val="double" w:sz="4" w:space="0" w:color="6CB0FF" w:themeColor="accent2" w:themeTint="99"/>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4-Accent3">
    <w:name w:val="List Table 4 Accent 3"/>
    <w:basedOn w:val="TableNormal"/>
    <w:uiPriority w:val="49"/>
    <w:rsid w:val="00527E8F"/>
    <w:tblPr>
      <w:tblStyleRowBandSize w:val="1"/>
      <w:tblStyleColBandSize w:val="1"/>
      <w:tblBorders>
        <w:top w:val="single" w:sz="4" w:space="0" w:color="9CEFFF" w:themeColor="accent3" w:themeTint="99"/>
        <w:left w:val="single" w:sz="4" w:space="0" w:color="9CEFFF" w:themeColor="accent3" w:themeTint="99"/>
        <w:bottom w:val="single" w:sz="4" w:space="0" w:color="9CEFFF" w:themeColor="accent3" w:themeTint="99"/>
        <w:right w:val="single" w:sz="4" w:space="0" w:color="9CEFFF" w:themeColor="accent3" w:themeTint="99"/>
        <w:insideH w:val="single" w:sz="4" w:space="0" w:color="9CEFFF" w:themeColor="accent3" w:themeTint="99"/>
      </w:tblBorders>
    </w:tblPr>
    <w:tblStylePr w:type="firstRow">
      <w:rPr>
        <w:b/>
        <w:bCs/>
        <w:color w:val="FFFFFF" w:themeColor="background1"/>
      </w:rPr>
      <w:tblPr/>
      <w:tcPr>
        <w:tcBorders>
          <w:top w:val="single" w:sz="4" w:space="0" w:color="5AE6FF" w:themeColor="accent3"/>
          <w:left w:val="single" w:sz="4" w:space="0" w:color="5AE6FF" w:themeColor="accent3"/>
          <w:bottom w:val="single" w:sz="4" w:space="0" w:color="5AE6FF" w:themeColor="accent3"/>
          <w:right w:val="single" w:sz="4" w:space="0" w:color="5AE6FF" w:themeColor="accent3"/>
          <w:insideH w:val="nil"/>
        </w:tcBorders>
        <w:shd w:val="clear" w:color="auto" w:fill="5AE6FF" w:themeFill="accent3"/>
      </w:tcPr>
    </w:tblStylePr>
    <w:tblStylePr w:type="lastRow">
      <w:rPr>
        <w:b/>
        <w:bCs/>
      </w:rPr>
      <w:tblPr/>
      <w:tcPr>
        <w:tcBorders>
          <w:top w:val="double" w:sz="4" w:space="0" w:color="9CEFFF" w:themeColor="accent3" w:themeTint="99"/>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4-Accent4">
    <w:name w:val="List Table 4 Accent 4"/>
    <w:basedOn w:val="TableNormal"/>
    <w:uiPriority w:val="49"/>
    <w:rsid w:val="00527E8F"/>
    <w:tblPr>
      <w:tblStyleRowBandSize w:val="1"/>
      <w:tblStyleColBandSize w:val="1"/>
      <w:tblBorders>
        <w:top w:val="single" w:sz="4" w:space="0" w:color="005AFF" w:themeColor="accent4" w:themeTint="99"/>
        <w:left w:val="single" w:sz="4" w:space="0" w:color="005AFF" w:themeColor="accent4" w:themeTint="99"/>
        <w:bottom w:val="single" w:sz="4" w:space="0" w:color="005AFF" w:themeColor="accent4" w:themeTint="99"/>
        <w:right w:val="single" w:sz="4" w:space="0" w:color="005AFF" w:themeColor="accent4" w:themeTint="99"/>
        <w:insideH w:val="single" w:sz="4" w:space="0" w:color="005AFF" w:themeColor="accent4" w:themeTint="99"/>
      </w:tblBorders>
    </w:tblPr>
    <w:tblStylePr w:type="firstRow">
      <w:rPr>
        <w:b/>
        <w:bCs/>
        <w:color w:val="FFFFFF" w:themeColor="background1"/>
      </w:rPr>
      <w:tblPr/>
      <w:tcPr>
        <w:tcBorders>
          <w:top w:val="single" w:sz="4" w:space="0" w:color="001E55" w:themeColor="accent4"/>
          <w:left w:val="single" w:sz="4" w:space="0" w:color="001E55" w:themeColor="accent4"/>
          <w:bottom w:val="single" w:sz="4" w:space="0" w:color="001E55" w:themeColor="accent4"/>
          <w:right w:val="single" w:sz="4" w:space="0" w:color="001E55" w:themeColor="accent4"/>
          <w:insideH w:val="nil"/>
        </w:tcBorders>
        <w:shd w:val="clear" w:color="auto" w:fill="001E55" w:themeFill="accent4"/>
      </w:tcPr>
    </w:tblStylePr>
    <w:tblStylePr w:type="lastRow">
      <w:rPr>
        <w:b/>
        <w:bCs/>
      </w:rPr>
      <w:tblPr/>
      <w:tcPr>
        <w:tcBorders>
          <w:top w:val="double" w:sz="4" w:space="0" w:color="005AFF" w:themeColor="accent4" w:themeTint="99"/>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4-Accent5">
    <w:name w:val="List Table 4 Accent 5"/>
    <w:basedOn w:val="TableNormal"/>
    <w:uiPriority w:val="49"/>
    <w:rsid w:val="00527E8F"/>
    <w:tblPr>
      <w:tblStyleRowBandSize w:val="1"/>
      <w:tblStyleColBandSize w:val="1"/>
      <w:tblBorders>
        <w:top w:val="single" w:sz="4" w:space="0" w:color="C9C9C9" w:themeColor="accent5" w:themeTint="99"/>
        <w:left w:val="single" w:sz="4" w:space="0" w:color="C9C9C9" w:themeColor="accent5" w:themeTint="99"/>
        <w:bottom w:val="single" w:sz="4" w:space="0" w:color="C9C9C9" w:themeColor="accent5" w:themeTint="99"/>
        <w:right w:val="single" w:sz="4" w:space="0" w:color="C9C9C9" w:themeColor="accent5" w:themeTint="99"/>
        <w:insideH w:val="single" w:sz="4" w:space="0" w:color="C9C9C9" w:themeColor="accent5" w:themeTint="99"/>
      </w:tblBorders>
    </w:tblPr>
    <w:tblStylePr w:type="firstRow">
      <w:rPr>
        <w:b/>
        <w:bCs/>
        <w:color w:val="FFFFFF" w:themeColor="background1"/>
      </w:rPr>
      <w:tblPr/>
      <w:tcPr>
        <w:tcBorders>
          <w:top w:val="single" w:sz="4" w:space="0" w:color="A5A5A5" w:themeColor="accent5"/>
          <w:left w:val="single" w:sz="4" w:space="0" w:color="A5A5A5" w:themeColor="accent5"/>
          <w:bottom w:val="single" w:sz="4" w:space="0" w:color="A5A5A5" w:themeColor="accent5"/>
          <w:right w:val="single" w:sz="4" w:space="0" w:color="A5A5A5" w:themeColor="accent5"/>
          <w:insideH w:val="nil"/>
        </w:tcBorders>
        <w:shd w:val="clear" w:color="auto" w:fill="A5A5A5" w:themeFill="accent5"/>
      </w:tcPr>
    </w:tblStylePr>
    <w:tblStylePr w:type="lastRow">
      <w:rPr>
        <w:b/>
        <w:bCs/>
      </w:rPr>
      <w:tblPr/>
      <w:tcPr>
        <w:tcBorders>
          <w:top w:val="double" w:sz="4" w:space="0" w:color="C9C9C9" w:themeColor="accent5" w:themeTint="99"/>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4-Accent6">
    <w:name w:val="List Table 4 Accent 6"/>
    <w:basedOn w:val="TableNormal"/>
    <w:uiPriority w:val="49"/>
    <w:rsid w:val="00527E8F"/>
    <w:tblPr>
      <w:tblStyleRowBandSize w:val="1"/>
      <w:tblStyleColBandSize w:val="1"/>
      <w:tblBorders>
        <w:top w:val="single" w:sz="4" w:space="0" w:color="DEDEDE" w:themeColor="accent6" w:themeTint="99"/>
        <w:left w:val="single" w:sz="4" w:space="0" w:color="DEDEDE" w:themeColor="accent6" w:themeTint="99"/>
        <w:bottom w:val="single" w:sz="4" w:space="0" w:color="DEDEDE" w:themeColor="accent6" w:themeTint="99"/>
        <w:right w:val="single" w:sz="4" w:space="0" w:color="DEDEDE" w:themeColor="accent6" w:themeTint="99"/>
        <w:insideH w:val="single" w:sz="4" w:space="0" w:color="DEDEDE" w:themeColor="accent6" w:themeTint="99"/>
      </w:tblBorders>
    </w:tblPr>
    <w:tblStylePr w:type="firstRow">
      <w:rPr>
        <w:b/>
        <w:bCs/>
        <w:color w:val="FFFFFF" w:themeColor="background1"/>
      </w:rPr>
      <w:tblPr/>
      <w:tcPr>
        <w:tcBorders>
          <w:top w:val="single" w:sz="4" w:space="0" w:color="C8C8C8" w:themeColor="accent6"/>
          <w:left w:val="single" w:sz="4" w:space="0" w:color="C8C8C8" w:themeColor="accent6"/>
          <w:bottom w:val="single" w:sz="4" w:space="0" w:color="C8C8C8" w:themeColor="accent6"/>
          <w:right w:val="single" w:sz="4" w:space="0" w:color="C8C8C8" w:themeColor="accent6"/>
          <w:insideH w:val="nil"/>
        </w:tcBorders>
        <w:shd w:val="clear" w:color="auto" w:fill="C8C8C8" w:themeFill="accent6"/>
      </w:tcPr>
    </w:tblStylePr>
    <w:tblStylePr w:type="lastRow">
      <w:rPr>
        <w:b/>
        <w:bCs/>
      </w:rPr>
      <w:tblPr/>
      <w:tcPr>
        <w:tcBorders>
          <w:top w:val="double" w:sz="4" w:space="0" w:color="DEDEDE" w:themeColor="accent6" w:themeTint="99"/>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5Dark">
    <w:name w:val="List Table 5 Dark"/>
    <w:basedOn w:val="TableNormal"/>
    <w:uiPriority w:val="50"/>
    <w:rsid w:val="00527E8F"/>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27E8F"/>
    <w:rPr>
      <w:color w:val="FFFFFF" w:themeColor="background1"/>
    </w:rPr>
    <w:tblPr>
      <w:tblStyleRowBandSize w:val="1"/>
      <w:tblStyleColBandSize w:val="1"/>
      <w:tblBorders>
        <w:top w:val="single" w:sz="24" w:space="0" w:color="231EDC" w:themeColor="accent1"/>
        <w:left w:val="single" w:sz="24" w:space="0" w:color="231EDC" w:themeColor="accent1"/>
        <w:bottom w:val="single" w:sz="24" w:space="0" w:color="231EDC" w:themeColor="accent1"/>
        <w:right w:val="single" w:sz="24" w:space="0" w:color="231EDC" w:themeColor="accent1"/>
      </w:tblBorders>
    </w:tblPr>
    <w:tcPr>
      <w:shd w:val="clear" w:color="auto" w:fill="231ED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27E8F"/>
    <w:rPr>
      <w:color w:val="FFFFFF" w:themeColor="background1"/>
    </w:rPr>
    <w:tblPr>
      <w:tblStyleRowBandSize w:val="1"/>
      <w:tblStyleColBandSize w:val="1"/>
      <w:tblBorders>
        <w:top w:val="single" w:sz="24" w:space="0" w:color="0A7DFF" w:themeColor="accent2"/>
        <w:left w:val="single" w:sz="24" w:space="0" w:color="0A7DFF" w:themeColor="accent2"/>
        <w:bottom w:val="single" w:sz="24" w:space="0" w:color="0A7DFF" w:themeColor="accent2"/>
        <w:right w:val="single" w:sz="24" w:space="0" w:color="0A7DFF" w:themeColor="accent2"/>
      </w:tblBorders>
    </w:tblPr>
    <w:tcPr>
      <w:shd w:val="clear" w:color="auto" w:fill="0A7DF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27E8F"/>
    <w:rPr>
      <w:color w:val="FFFFFF" w:themeColor="background1"/>
    </w:rPr>
    <w:tblPr>
      <w:tblStyleRowBandSize w:val="1"/>
      <w:tblStyleColBandSize w:val="1"/>
      <w:tblBorders>
        <w:top w:val="single" w:sz="24" w:space="0" w:color="5AE6FF" w:themeColor="accent3"/>
        <w:left w:val="single" w:sz="24" w:space="0" w:color="5AE6FF" w:themeColor="accent3"/>
        <w:bottom w:val="single" w:sz="24" w:space="0" w:color="5AE6FF" w:themeColor="accent3"/>
        <w:right w:val="single" w:sz="24" w:space="0" w:color="5AE6FF" w:themeColor="accent3"/>
      </w:tblBorders>
    </w:tblPr>
    <w:tcPr>
      <w:shd w:val="clear" w:color="auto" w:fill="5AE6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27E8F"/>
    <w:rPr>
      <w:color w:val="FFFFFF" w:themeColor="background1"/>
    </w:rPr>
    <w:tblPr>
      <w:tblStyleRowBandSize w:val="1"/>
      <w:tblStyleColBandSize w:val="1"/>
      <w:tblBorders>
        <w:top w:val="single" w:sz="24" w:space="0" w:color="001E55" w:themeColor="accent4"/>
        <w:left w:val="single" w:sz="24" w:space="0" w:color="001E55" w:themeColor="accent4"/>
        <w:bottom w:val="single" w:sz="24" w:space="0" w:color="001E55" w:themeColor="accent4"/>
        <w:right w:val="single" w:sz="24" w:space="0" w:color="001E55" w:themeColor="accent4"/>
      </w:tblBorders>
    </w:tblPr>
    <w:tcPr>
      <w:shd w:val="clear" w:color="auto" w:fill="001E5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27E8F"/>
    <w:rPr>
      <w:color w:val="FFFFFF" w:themeColor="background1"/>
    </w:rPr>
    <w:tblPr>
      <w:tblStyleRowBandSize w:val="1"/>
      <w:tblStyleColBandSize w:val="1"/>
      <w:tblBorders>
        <w:top w:val="single" w:sz="24" w:space="0" w:color="A5A5A5" w:themeColor="accent5"/>
        <w:left w:val="single" w:sz="24" w:space="0" w:color="A5A5A5" w:themeColor="accent5"/>
        <w:bottom w:val="single" w:sz="24" w:space="0" w:color="A5A5A5" w:themeColor="accent5"/>
        <w:right w:val="single" w:sz="24" w:space="0" w:color="A5A5A5" w:themeColor="accent5"/>
      </w:tblBorders>
    </w:tblPr>
    <w:tcPr>
      <w:shd w:val="clear" w:color="auto" w:fill="A5A5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27E8F"/>
    <w:rPr>
      <w:color w:val="FFFFFF" w:themeColor="background1"/>
    </w:rPr>
    <w:tblPr>
      <w:tblStyleRowBandSize w:val="1"/>
      <w:tblStyleColBandSize w:val="1"/>
      <w:tblBorders>
        <w:top w:val="single" w:sz="24" w:space="0" w:color="C8C8C8" w:themeColor="accent6"/>
        <w:left w:val="single" w:sz="24" w:space="0" w:color="C8C8C8" w:themeColor="accent6"/>
        <w:bottom w:val="single" w:sz="24" w:space="0" w:color="C8C8C8" w:themeColor="accent6"/>
        <w:right w:val="single" w:sz="24" w:space="0" w:color="C8C8C8" w:themeColor="accent6"/>
      </w:tblBorders>
    </w:tblPr>
    <w:tcPr>
      <w:shd w:val="clear" w:color="auto" w:fill="C8C8C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27E8F"/>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27E8F"/>
    <w:rPr>
      <w:color w:val="1916A4" w:themeColor="accent1" w:themeShade="BF"/>
    </w:rPr>
    <w:tblPr>
      <w:tblStyleRowBandSize w:val="1"/>
      <w:tblStyleColBandSize w:val="1"/>
      <w:tblBorders>
        <w:top w:val="single" w:sz="4" w:space="0" w:color="231EDC" w:themeColor="accent1"/>
        <w:bottom w:val="single" w:sz="4" w:space="0" w:color="231EDC" w:themeColor="accent1"/>
      </w:tblBorders>
    </w:tblPr>
    <w:tblStylePr w:type="firstRow">
      <w:rPr>
        <w:b/>
        <w:bCs/>
      </w:rPr>
      <w:tblPr/>
      <w:tcPr>
        <w:tcBorders>
          <w:bottom w:val="single" w:sz="4" w:space="0" w:color="231EDC" w:themeColor="accent1"/>
        </w:tcBorders>
      </w:tcPr>
    </w:tblStylePr>
    <w:tblStylePr w:type="lastRow">
      <w:rPr>
        <w:b/>
        <w:bCs/>
      </w:rPr>
      <w:tblPr/>
      <w:tcPr>
        <w:tcBorders>
          <w:top w:val="double" w:sz="4" w:space="0" w:color="231EDC" w:themeColor="accent1"/>
        </w:tcBorders>
      </w:tcPr>
    </w:tblStylePr>
    <w:tblStylePr w:type="firstCol">
      <w:rPr>
        <w:b/>
        <w:bCs/>
      </w:rPr>
    </w:tblStylePr>
    <w:tblStylePr w:type="lastCol">
      <w:rPr>
        <w:b/>
        <w:bCs/>
      </w:rPr>
    </w:tblStylePr>
    <w:tblStylePr w:type="band1Vert">
      <w:tblPr/>
      <w:tcPr>
        <w:shd w:val="clear" w:color="auto" w:fill="D2D1F8" w:themeFill="accent1" w:themeFillTint="33"/>
      </w:tcPr>
    </w:tblStylePr>
    <w:tblStylePr w:type="band1Horz">
      <w:tblPr/>
      <w:tcPr>
        <w:shd w:val="clear" w:color="auto" w:fill="D2D1F8" w:themeFill="accent1" w:themeFillTint="33"/>
      </w:tcPr>
    </w:tblStylePr>
  </w:style>
  <w:style w:type="table" w:styleId="ListTable6Colorful-Accent2">
    <w:name w:val="List Table 6 Colorful Accent 2"/>
    <w:basedOn w:val="TableNormal"/>
    <w:uiPriority w:val="51"/>
    <w:rsid w:val="00527E8F"/>
    <w:rPr>
      <w:color w:val="005CC6" w:themeColor="accent2" w:themeShade="BF"/>
    </w:rPr>
    <w:tblPr>
      <w:tblStyleRowBandSize w:val="1"/>
      <w:tblStyleColBandSize w:val="1"/>
      <w:tblBorders>
        <w:top w:val="single" w:sz="4" w:space="0" w:color="0A7DFF" w:themeColor="accent2"/>
        <w:bottom w:val="single" w:sz="4" w:space="0" w:color="0A7DFF" w:themeColor="accent2"/>
      </w:tblBorders>
    </w:tblPr>
    <w:tblStylePr w:type="firstRow">
      <w:rPr>
        <w:b/>
        <w:bCs/>
      </w:rPr>
      <w:tblPr/>
      <w:tcPr>
        <w:tcBorders>
          <w:bottom w:val="single" w:sz="4" w:space="0" w:color="0A7DFF" w:themeColor="accent2"/>
        </w:tcBorders>
      </w:tcPr>
    </w:tblStylePr>
    <w:tblStylePr w:type="lastRow">
      <w:rPr>
        <w:b/>
        <w:bCs/>
      </w:rPr>
      <w:tblPr/>
      <w:tcPr>
        <w:tcBorders>
          <w:top w:val="double" w:sz="4" w:space="0" w:color="0A7DFF" w:themeColor="accent2"/>
        </w:tcBorders>
      </w:tcPr>
    </w:tblStylePr>
    <w:tblStylePr w:type="firstCol">
      <w:rPr>
        <w:b/>
        <w:bCs/>
      </w:rPr>
    </w:tblStylePr>
    <w:tblStylePr w:type="lastCol">
      <w:rPr>
        <w:b/>
        <w:bCs/>
      </w:rPr>
    </w:tblStylePr>
    <w:tblStylePr w:type="band1Vert">
      <w:tblPr/>
      <w:tcPr>
        <w:shd w:val="clear" w:color="auto" w:fill="CEE4FF" w:themeFill="accent2" w:themeFillTint="33"/>
      </w:tcPr>
    </w:tblStylePr>
    <w:tblStylePr w:type="band1Horz">
      <w:tblPr/>
      <w:tcPr>
        <w:shd w:val="clear" w:color="auto" w:fill="CEE4FF" w:themeFill="accent2" w:themeFillTint="33"/>
      </w:tcPr>
    </w:tblStylePr>
  </w:style>
  <w:style w:type="table" w:styleId="ListTable6Colorful-Accent3">
    <w:name w:val="List Table 6 Colorful Accent 3"/>
    <w:basedOn w:val="TableNormal"/>
    <w:uiPriority w:val="51"/>
    <w:rsid w:val="00527E8F"/>
    <w:rPr>
      <w:color w:val="03D8FF" w:themeColor="accent3" w:themeShade="BF"/>
    </w:rPr>
    <w:tblPr>
      <w:tblStyleRowBandSize w:val="1"/>
      <w:tblStyleColBandSize w:val="1"/>
      <w:tblBorders>
        <w:top w:val="single" w:sz="4" w:space="0" w:color="5AE6FF" w:themeColor="accent3"/>
        <w:bottom w:val="single" w:sz="4" w:space="0" w:color="5AE6FF" w:themeColor="accent3"/>
      </w:tblBorders>
    </w:tblPr>
    <w:tblStylePr w:type="firstRow">
      <w:rPr>
        <w:b/>
        <w:bCs/>
      </w:rPr>
      <w:tblPr/>
      <w:tcPr>
        <w:tcBorders>
          <w:bottom w:val="single" w:sz="4" w:space="0" w:color="5AE6FF" w:themeColor="accent3"/>
        </w:tcBorders>
      </w:tcPr>
    </w:tblStylePr>
    <w:tblStylePr w:type="lastRow">
      <w:rPr>
        <w:b/>
        <w:bCs/>
      </w:rPr>
      <w:tblPr/>
      <w:tcPr>
        <w:tcBorders>
          <w:top w:val="double" w:sz="4" w:space="0" w:color="5AE6FF" w:themeColor="accent3"/>
        </w:tcBorders>
      </w:tcPr>
    </w:tblStylePr>
    <w:tblStylePr w:type="firstCol">
      <w:rPr>
        <w:b/>
        <w:bCs/>
      </w:rPr>
    </w:tblStylePr>
    <w:tblStylePr w:type="lastCol">
      <w:rPr>
        <w:b/>
        <w:bCs/>
      </w:rPr>
    </w:tblStylePr>
    <w:tblStylePr w:type="band1Vert">
      <w:tblPr/>
      <w:tcPr>
        <w:shd w:val="clear" w:color="auto" w:fill="DEF9FF" w:themeFill="accent3" w:themeFillTint="33"/>
      </w:tcPr>
    </w:tblStylePr>
    <w:tblStylePr w:type="band1Horz">
      <w:tblPr/>
      <w:tcPr>
        <w:shd w:val="clear" w:color="auto" w:fill="DEF9FF" w:themeFill="accent3" w:themeFillTint="33"/>
      </w:tcPr>
    </w:tblStylePr>
  </w:style>
  <w:style w:type="table" w:styleId="ListTable6Colorful-Accent4">
    <w:name w:val="List Table 6 Colorful Accent 4"/>
    <w:basedOn w:val="TableNormal"/>
    <w:uiPriority w:val="51"/>
    <w:rsid w:val="00527E8F"/>
    <w:rPr>
      <w:color w:val="00163F" w:themeColor="accent4" w:themeShade="BF"/>
    </w:rPr>
    <w:tblPr>
      <w:tblStyleRowBandSize w:val="1"/>
      <w:tblStyleColBandSize w:val="1"/>
      <w:tblBorders>
        <w:top w:val="single" w:sz="4" w:space="0" w:color="001E55" w:themeColor="accent4"/>
        <w:bottom w:val="single" w:sz="4" w:space="0" w:color="001E55" w:themeColor="accent4"/>
      </w:tblBorders>
    </w:tblPr>
    <w:tblStylePr w:type="firstRow">
      <w:rPr>
        <w:b/>
        <w:bCs/>
      </w:rPr>
      <w:tblPr/>
      <w:tcPr>
        <w:tcBorders>
          <w:bottom w:val="single" w:sz="4" w:space="0" w:color="001E55" w:themeColor="accent4"/>
        </w:tcBorders>
      </w:tcPr>
    </w:tblStylePr>
    <w:tblStylePr w:type="lastRow">
      <w:rPr>
        <w:b/>
        <w:bCs/>
      </w:rPr>
      <w:tblPr/>
      <w:tcPr>
        <w:tcBorders>
          <w:top w:val="double" w:sz="4" w:space="0" w:color="001E55" w:themeColor="accent4"/>
        </w:tcBorders>
      </w:tcPr>
    </w:tblStylePr>
    <w:tblStylePr w:type="firstCol">
      <w:rPr>
        <w:b/>
        <w:bCs/>
      </w:rPr>
    </w:tblStylePr>
    <w:tblStylePr w:type="lastCol">
      <w:rPr>
        <w:b/>
        <w:bCs/>
      </w:rPr>
    </w:tblStylePr>
    <w:tblStylePr w:type="band1Vert">
      <w:tblPr/>
      <w:tcPr>
        <w:shd w:val="clear" w:color="auto" w:fill="AAC8FF" w:themeFill="accent4" w:themeFillTint="33"/>
      </w:tcPr>
    </w:tblStylePr>
    <w:tblStylePr w:type="band1Horz">
      <w:tblPr/>
      <w:tcPr>
        <w:shd w:val="clear" w:color="auto" w:fill="AAC8FF" w:themeFill="accent4" w:themeFillTint="33"/>
      </w:tcPr>
    </w:tblStylePr>
  </w:style>
  <w:style w:type="table" w:styleId="ListTable6Colorful-Accent5">
    <w:name w:val="List Table 6 Colorful Accent 5"/>
    <w:basedOn w:val="TableNormal"/>
    <w:uiPriority w:val="51"/>
    <w:rsid w:val="00527E8F"/>
    <w:rPr>
      <w:color w:val="7B7B7B" w:themeColor="accent5" w:themeShade="BF"/>
    </w:rPr>
    <w:tblPr>
      <w:tblStyleRowBandSize w:val="1"/>
      <w:tblStyleColBandSize w:val="1"/>
      <w:tblBorders>
        <w:top w:val="single" w:sz="4" w:space="0" w:color="A5A5A5" w:themeColor="accent5"/>
        <w:bottom w:val="single" w:sz="4" w:space="0" w:color="A5A5A5" w:themeColor="accent5"/>
      </w:tblBorders>
    </w:tblPr>
    <w:tblStylePr w:type="firstRow">
      <w:rPr>
        <w:b/>
        <w:bCs/>
      </w:rPr>
      <w:tblPr/>
      <w:tcPr>
        <w:tcBorders>
          <w:bottom w:val="single" w:sz="4" w:space="0" w:color="A5A5A5" w:themeColor="accent5"/>
        </w:tcBorders>
      </w:tcPr>
    </w:tblStylePr>
    <w:tblStylePr w:type="lastRow">
      <w:rPr>
        <w:b/>
        <w:bCs/>
      </w:rPr>
      <w:tblPr/>
      <w:tcPr>
        <w:tcBorders>
          <w:top w:val="double" w:sz="4" w:space="0" w:color="A5A5A5" w:themeColor="accent5"/>
        </w:tcBorders>
      </w:tcPr>
    </w:tblStylePr>
    <w:tblStylePr w:type="firstCol">
      <w:rPr>
        <w:b/>
        <w:bCs/>
      </w:rPr>
    </w:tblStylePr>
    <w:tblStylePr w:type="lastCol">
      <w:rPr>
        <w:b/>
        <w:bCs/>
      </w:rPr>
    </w:tblStylePr>
    <w:tblStylePr w:type="band1Vert">
      <w:tblPr/>
      <w:tcPr>
        <w:shd w:val="clear" w:color="auto" w:fill="EDEDED" w:themeFill="accent5" w:themeFillTint="33"/>
      </w:tcPr>
    </w:tblStylePr>
    <w:tblStylePr w:type="band1Horz">
      <w:tblPr/>
      <w:tcPr>
        <w:shd w:val="clear" w:color="auto" w:fill="EDEDED" w:themeFill="accent5" w:themeFillTint="33"/>
      </w:tcPr>
    </w:tblStylePr>
  </w:style>
  <w:style w:type="table" w:styleId="ListTable6Colorful-Accent6">
    <w:name w:val="List Table 6 Colorful Accent 6"/>
    <w:basedOn w:val="TableNormal"/>
    <w:uiPriority w:val="51"/>
    <w:rsid w:val="00527E8F"/>
    <w:rPr>
      <w:color w:val="959595" w:themeColor="accent6" w:themeShade="BF"/>
    </w:rPr>
    <w:tblPr>
      <w:tblStyleRowBandSize w:val="1"/>
      <w:tblStyleColBandSize w:val="1"/>
      <w:tblBorders>
        <w:top w:val="single" w:sz="4" w:space="0" w:color="C8C8C8" w:themeColor="accent6"/>
        <w:bottom w:val="single" w:sz="4" w:space="0" w:color="C8C8C8" w:themeColor="accent6"/>
      </w:tblBorders>
    </w:tblPr>
    <w:tblStylePr w:type="firstRow">
      <w:rPr>
        <w:b/>
        <w:bCs/>
      </w:rPr>
      <w:tblPr/>
      <w:tcPr>
        <w:tcBorders>
          <w:bottom w:val="single" w:sz="4" w:space="0" w:color="C8C8C8" w:themeColor="accent6"/>
        </w:tcBorders>
      </w:tcPr>
    </w:tblStylePr>
    <w:tblStylePr w:type="lastRow">
      <w:rPr>
        <w:b/>
        <w:bCs/>
      </w:rPr>
      <w:tblPr/>
      <w:tcPr>
        <w:tcBorders>
          <w:top w:val="double" w:sz="4" w:space="0" w:color="C8C8C8" w:themeColor="accent6"/>
        </w:tcBorders>
      </w:tcPr>
    </w:tblStylePr>
    <w:tblStylePr w:type="firstCol">
      <w:rPr>
        <w:b/>
        <w:bCs/>
      </w:rPr>
    </w:tblStylePr>
    <w:tblStylePr w:type="lastCol">
      <w:rPr>
        <w:b/>
        <w:bCs/>
      </w:rPr>
    </w:tblStylePr>
    <w:tblStylePr w:type="band1Vert">
      <w:tblPr/>
      <w:tcPr>
        <w:shd w:val="clear" w:color="auto" w:fill="F4F4F4" w:themeFill="accent6" w:themeFillTint="33"/>
      </w:tcPr>
    </w:tblStylePr>
    <w:tblStylePr w:type="band1Horz">
      <w:tblPr/>
      <w:tcPr>
        <w:shd w:val="clear" w:color="auto" w:fill="F4F4F4" w:themeFill="accent6" w:themeFillTint="33"/>
      </w:tcPr>
    </w:tblStylePr>
  </w:style>
  <w:style w:type="table" w:styleId="ListTable7Colorful">
    <w:name w:val="List Table 7 Colorful"/>
    <w:basedOn w:val="TableNormal"/>
    <w:uiPriority w:val="52"/>
    <w:rsid w:val="00527E8F"/>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27E8F"/>
    <w:rPr>
      <w:color w:val="1916A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ED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ED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ED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EDC" w:themeColor="accent1"/>
        </w:tcBorders>
        <w:shd w:val="clear" w:color="auto" w:fill="FFFFFF" w:themeFill="background1"/>
      </w:tcPr>
    </w:tblStylePr>
    <w:tblStylePr w:type="band1Vert">
      <w:tblPr/>
      <w:tcPr>
        <w:shd w:val="clear" w:color="auto" w:fill="D2D1F8" w:themeFill="accent1" w:themeFillTint="33"/>
      </w:tcPr>
    </w:tblStylePr>
    <w:tblStylePr w:type="band1Horz">
      <w:tblPr/>
      <w:tcPr>
        <w:shd w:val="clear" w:color="auto" w:fill="D2D1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27E8F"/>
    <w:rPr>
      <w:color w:val="005CC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7DF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7DF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7DF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7DFF" w:themeColor="accent2"/>
        </w:tcBorders>
        <w:shd w:val="clear" w:color="auto" w:fill="FFFFFF" w:themeFill="background1"/>
      </w:tcPr>
    </w:tblStylePr>
    <w:tblStylePr w:type="band1Vert">
      <w:tblPr/>
      <w:tcPr>
        <w:shd w:val="clear" w:color="auto" w:fill="CEE4FF" w:themeFill="accent2" w:themeFillTint="33"/>
      </w:tcPr>
    </w:tblStylePr>
    <w:tblStylePr w:type="band1Horz">
      <w:tblPr/>
      <w:tcPr>
        <w:shd w:val="clear" w:color="auto" w:fill="CEE4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27E8F"/>
    <w:rPr>
      <w:color w:val="03D8F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E6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E6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E6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E6FF" w:themeColor="accent3"/>
        </w:tcBorders>
        <w:shd w:val="clear" w:color="auto" w:fill="FFFFFF" w:themeFill="background1"/>
      </w:tcPr>
    </w:tblStylePr>
    <w:tblStylePr w:type="band1Vert">
      <w:tblPr/>
      <w:tcPr>
        <w:shd w:val="clear" w:color="auto" w:fill="DEF9FF" w:themeFill="accent3" w:themeFillTint="33"/>
      </w:tcPr>
    </w:tblStylePr>
    <w:tblStylePr w:type="band1Horz">
      <w:tblPr/>
      <w:tcPr>
        <w:shd w:val="clear" w:color="auto" w:fill="DE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27E8F"/>
    <w:rPr>
      <w:color w:val="00163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E5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E5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E5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E55" w:themeColor="accent4"/>
        </w:tcBorders>
        <w:shd w:val="clear" w:color="auto" w:fill="FFFFFF" w:themeFill="background1"/>
      </w:tcPr>
    </w:tblStylePr>
    <w:tblStylePr w:type="band1Vert">
      <w:tblPr/>
      <w:tcPr>
        <w:shd w:val="clear" w:color="auto" w:fill="AAC8FF" w:themeFill="accent4" w:themeFillTint="33"/>
      </w:tcPr>
    </w:tblStylePr>
    <w:tblStylePr w:type="band1Horz">
      <w:tblPr/>
      <w:tcPr>
        <w:shd w:val="clear" w:color="auto" w:fill="AAC8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27E8F"/>
    <w:rPr>
      <w:color w:val="7B7B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5"/>
        </w:tcBorders>
        <w:shd w:val="clear" w:color="auto" w:fill="FFFFFF" w:themeFill="background1"/>
      </w:tcPr>
    </w:tblStylePr>
    <w:tblStylePr w:type="band1Vert">
      <w:tblPr/>
      <w:tcPr>
        <w:shd w:val="clear" w:color="auto" w:fill="EDEDED" w:themeFill="accent5" w:themeFillTint="33"/>
      </w:tcPr>
    </w:tblStylePr>
    <w:tblStylePr w:type="band1Horz">
      <w:tblPr/>
      <w:tcPr>
        <w:shd w:val="clear" w:color="auto" w:fill="EDED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27E8F"/>
    <w:rPr>
      <w:color w:val="95959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6"/>
        </w:tcBorders>
        <w:shd w:val="clear" w:color="auto" w:fill="FFFFFF" w:themeFill="background1"/>
      </w:tcPr>
    </w:tblStylePr>
    <w:tblStylePr w:type="band1Vert">
      <w:tblPr/>
      <w:tcPr>
        <w:shd w:val="clear" w:color="auto" w:fill="F4F4F4" w:themeFill="accent6" w:themeFillTint="33"/>
      </w:tcPr>
    </w:tblStylePr>
    <w:tblStylePr w:type="band1Horz">
      <w:tblPr/>
      <w:tcPr>
        <w:shd w:val="clear" w:color="auto" w:fill="F4F4F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27E8F"/>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527E8F"/>
    <w:rPr>
      <w:rFonts w:ascii="Consolas" w:hAnsi="Consolas"/>
    </w:rPr>
  </w:style>
  <w:style w:type="table" w:styleId="MediumGrid1">
    <w:name w:val="Medium Grid 1"/>
    <w:basedOn w:val="TableNormal"/>
    <w:uiPriority w:val="67"/>
    <w:semiHidden/>
    <w:unhideWhenUsed/>
    <w:rsid w:val="00527E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27E8F"/>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insideV w:val="single" w:sz="8" w:space="0" w:color="5653E7" w:themeColor="accent1" w:themeTint="BF"/>
      </w:tblBorders>
    </w:tblPr>
    <w:tcPr>
      <w:shd w:val="clear" w:color="auto" w:fill="C7C6F7" w:themeFill="accent1" w:themeFillTint="3F"/>
    </w:tcPr>
    <w:tblStylePr w:type="firstRow">
      <w:rPr>
        <w:b/>
        <w:bCs/>
      </w:rPr>
    </w:tblStylePr>
    <w:tblStylePr w:type="lastRow">
      <w:rPr>
        <w:b/>
        <w:bCs/>
      </w:rPr>
      <w:tblPr/>
      <w:tcPr>
        <w:tcBorders>
          <w:top w:val="single" w:sz="18" w:space="0" w:color="5653E7" w:themeColor="accent1" w:themeTint="BF"/>
        </w:tcBorders>
      </w:tcPr>
    </w:tblStylePr>
    <w:tblStylePr w:type="firstCol">
      <w:rPr>
        <w:b/>
        <w:bCs/>
      </w:rPr>
    </w:tblStylePr>
    <w:tblStylePr w:type="lastCol">
      <w:rPr>
        <w:b/>
        <w:bCs/>
      </w:rPr>
    </w:tblStylePr>
    <w:tblStylePr w:type="band1Vert">
      <w:tblPr/>
      <w:tcPr>
        <w:shd w:val="clear" w:color="auto" w:fill="8F8CEF" w:themeFill="accent1" w:themeFillTint="7F"/>
      </w:tcPr>
    </w:tblStylePr>
    <w:tblStylePr w:type="band1Horz">
      <w:tblPr/>
      <w:tcPr>
        <w:shd w:val="clear" w:color="auto" w:fill="8F8CEF" w:themeFill="accent1" w:themeFillTint="7F"/>
      </w:tcPr>
    </w:tblStylePr>
  </w:style>
  <w:style w:type="table" w:styleId="MediumGrid1-Accent2">
    <w:name w:val="Medium Grid 1 Accent 2"/>
    <w:basedOn w:val="TableNormal"/>
    <w:uiPriority w:val="67"/>
    <w:semiHidden/>
    <w:unhideWhenUsed/>
    <w:rsid w:val="00527E8F"/>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insideV w:val="single" w:sz="8" w:space="0" w:color="479DFF" w:themeColor="accent2" w:themeTint="BF"/>
      </w:tblBorders>
    </w:tblPr>
    <w:tcPr>
      <w:shd w:val="clear" w:color="auto" w:fill="C2DEFF" w:themeFill="accent2" w:themeFillTint="3F"/>
    </w:tcPr>
    <w:tblStylePr w:type="firstRow">
      <w:rPr>
        <w:b/>
        <w:bCs/>
      </w:rPr>
    </w:tblStylePr>
    <w:tblStylePr w:type="lastRow">
      <w:rPr>
        <w:b/>
        <w:bCs/>
      </w:rPr>
      <w:tblPr/>
      <w:tcPr>
        <w:tcBorders>
          <w:top w:val="single" w:sz="18" w:space="0" w:color="479DFF" w:themeColor="accent2" w:themeTint="BF"/>
        </w:tcBorders>
      </w:tcPr>
    </w:tblStylePr>
    <w:tblStylePr w:type="firstCol">
      <w:rPr>
        <w:b/>
        <w:bCs/>
      </w:rPr>
    </w:tblStylePr>
    <w:tblStylePr w:type="lastCol">
      <w:rPr>
        <w:b/>
        <w:bCs/>
      </w:rPr>
    </w:tblStylePr>
    <w:tblStylePr w:type="band1Vert">
      <w:tblPr/>
      <w:tcPr>
        <w:shd w:val="clear" w:color="auto" w:fill="84BDFF" w:themeFill="accent2" w:themeFillTint="7F"/>
      </w:tcPr>
    </w:tblStylePr>
    <w:tblStylePr w:type="band1Horz">
      <w:tblPr/>
      <w:tcPr>
        <w:shd w:val="clear" w:color="auto" w:fill="84BDFF" w:themeFill="accent2" w:themeFillTint="7F"/>
      </w:tcPr>
    </w:tblStylePr>
  </w:style>
  <w:style w:type="table" w:styleId="MediumGrid1-Accent3">
    <w:name w:val="Medium Grid 1 Accent 3"/>
    <w:basedOn w:val="TableNormal"/>
    <w:uiPriority w:val="67"/>
    <w:semiHidden/>
    <w:unhideWhenUsed/>
    <w:rsid w:val="00527E8F"/>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insideV w:val="single" w:sz="8" w:space="0" w:color="83ECFF" w:themeColor="accent3" w:themeTint="BF"/>
      </w:tblBorders>
    </w:tblPr>
    <w:tcPr>
      <w:shd w:val="clear" w:color="auto" w:fill="D6F8FF" w:themeFill="accent3" w:themeFillTint="3F"/>
    </w:tcPr>
    <w:tblStylePr w:type="firstRow">
      <w:rPr>
        <w:b/>
        <w:bCs/>
      </w:rPr>
    </w:tblStylePr>
    <w:tblStylePr w:type="lastRow">
      <w:rPr>
        <w:b/>
        <w:bCs/>
      </w:rPr>
      <w:tblPr/>
      <w:tcPr>
        <w:tcBorders>
          <w:top w:val="single" w:sz="18" w:space="0" w:color="83ECFF" w:themeColor="accent3" w:themeTint="BF"/>
        </w:tcBorders>
      </w:tcPr>
    </w:tblStylePr>
    <w:tblStylePr w:type="firstCol">
      <w:rPr>
        <w:b/>
        <w:bCs/>
      </w:rPr>
    </w:tblStylePr>
    <w:tblStylePr w:type="lastCol">
      <w:rPr>
        <w:b/>
        <w:bCs/>
      </w:rPr>
    </w:tblStylePr>
    <w:tblStylePr w:type="band1Vert">
      <w:tblPr/>
      <w:tcPr>
        <w:shd w:val="clear" w:color="auto" w:fill="ACF2FF" w:themeFill="accent3" w:themeFillTint="7F"/>
      </w:tcPr>
    </w:tblStylePr>
    <w:tblStylePr w:type="band1Horz">
      <w:tblPr/>
      <w:tcPr>
        <w:shd w:val="clear" w:color="auto" w:fill="ACF2FF" w:themeFill="accent3" w:themeFillTint="7F"/>
      </w:tcPr>
    </w:tblStylePr>
  </w:style>
  <w:style w:type="table" w:styleId="MediumGrid1-Accent4">
    <w:name w:val="Medium Grid 1 Accent 4"/>
    <w:basedOn w:val="TableNormal"/>
    <w:uiPriority w:val="67"/>
    <w:semiHidden/>
    <w:unhideWhenUsed/>
    <w:rsid w:val="00527E8F"/>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insideV w:val="single" w:sz="8" w:space="0" w:color="0043BF" w:themeColor="accent4" w:themeTint="BF"/>
      </w:tblBorders>
    </w:tblPr>
    <w:tcPr>
      <w:shd w:val="clear" w:color="auto" w:fill="96BBFF" w:themeFill="accent4" w:themeFillTint="3F"/>
    </w:tcPr>
    <w:tblStylePr w:type="firstRow">
      <w:rPr>
        <w:b/>
        <w:bCs/>
      </w:rPr>
    </w:tblStylePr>
    <w:tblStylePr w:type="lastRow">
      <w:rPr>
        <w:b/>
        <w:bCs/>
      </w:rPr>
      <w:tblPr/>
      <w:tcPr>
        <w:tcBorders>
          <w:top w:val="single" w:sz="18" w:space="0" w:color="0043BF" w:themeColor="accent4" w:themeTint="BF"/>
        </w:tcBorders>
      </w:tcPr>
    </w:tblStylePr>
    <w:tblStylePr w:type="firstCol">
      <w:rPr>
        <w:b/>
        <w:bCs/>
      </w:rPr>
    </w:tblStylePr>
    <w:tblStylePr w:type="lastCol">
      <w:rPr>
        <w:b/>
        <w:bCs/>
      </w:rPr>
    </w:tblStylePr>
    <w:tblStylePr w:type="band1Vert">
      <w:tblPr/>
      <w:tcPr>
        <w:shd w:val="clear" w:color="auto" w:fill="2B76FF" w:themeFill="accent4" w:themeFillTint="7F"/>
      </w:tcPr>
    </w:tblStylePr>
    <w:tblStylePr w:type="band1Horz">
      <w:tblPr/>
      <w:tcPr>
        <w:shd w:val="clear" w:color="auto" w:fill="2B76FF" w:themeFill="accent4" w:themeFillTint="7F"/>
      </w:tcPr>
    </w:tblStylePr>
  </w:style>
  <w:style w:type="table" w:styleId="MediumGrid1-Accent5">
    <w:name w:val="Medium Grid 1 Accent 5"/>
    <w:basedOn w:val="TableNormal"/>
    <w:uiPriority w:val="67"/>
    <w:semiHidden/>
    <w:unhideWhenUsed/>
    <w:rsid w:val="00527E8F"/>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insideV w:val="single" w:sz="8" w:space="0" w:color="BBBBBB" w:themeColor="accent5" w:themeTint="BF"/>
      </w:tblBorders>
    </w:tblPr>
    <w:tcPr>
      <w:shd w:val="clear" w:color="auto" w:fill="E8E8E8" w:themeFill="accent5" w:themeFillTint="3F"/>
    </w:tcPr>
    <w:tblStylePr w:type="firstRow">
      <w:rPr>
        <w:b/>
        <w:bCs/>
      </w:rPr>
    </w:tblStylePr>
    <w:tblStylePr w:type="lastRow">
      <w:rPr>
        <w:b/>
        <w:bCs/>
      </w:rPr>
      <w:tblPr/>
      <w:tcPr>
        <w:tcBorders>
          <w:top w:val="single" w:sz="18" w:space="0" w:color="BBBBBB" w:themeColor="accent5" w:themeTint="BF"/>
        </w:tcBorders>
      </w:tcPr>
    </w:tblStylePr>
    <w:tblStylePr w:type="firstCol">
      <w:rPr>
        <w:b/>
        <w:bCs/>
      </w:rPr>
    </w:tblStylePr>
    <w:tblStylePr w:type="lastCol">
      <w:rPr>
        <w:b/>
        <w:bCs/>
      </w:rPr>
    </w:tblStylePr>
    <w:tblStylePr w:type="band1Vert">
      <w:tblPr/>
      <w:tcPr>
        <w:shd w:val="clear" w:color="auto" w:fill="D2D2D2" w:themeFill="accent5" w:themeFillTint="7F"/>
      </w:tcPr>
    </w:tblStylePr>
    <w:tblStylePr w:type="band1Horz">
      <w:tblPr/>
      <w:tcPr>
        <w:shd w:val="clear" w:color="auto" w:fill="D2D2D2" w:themeFill="accent5" w:themeFillTint="7F"/>
      </w:tcPr>
    </w:tblStylePr>
  </w:style>
  <w:style w:type="table" w:styleId="MediumGrid1-Accent6">
    <w:name w:val="Medium Grid 1 Accent 6"/>
    <w:basedOn w:val="TableNormal"/>
    <w:uiPriority w:val="67"/>
    <w:semiHidden/>
    <w:unhideWhenUsed/>
    <w:rsid w:val="00527E8F"/>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insideV w:val="single" w:sz="8" w:space="0" w:color="D5D5D5" w:themeColor="accent6" w:themeTint="BF"/>
      </w:tblBorders>
    </w:tblPr>
    <w:tcPr>
      <w:shd w:val="clear" w:color="auto" w:fill="F1F1F1" w:themeFill="accent6" w:themeFillTint="3F"/>
    </w:tcPr>
    <w:tblStylePr w:type="firstRow">
      <w:rPr>
        <w:b/>
        <w:bCs/>
      </w:rPr>
    </w:tblStylePr>
    <w:tblStylePr w:type="lastRow">
      <w:rPr>
        <w:b/>
        <w:bCs/>
      </w:rPr>
      <w:tblPr/>
      <w:tcPr>
        <w:tcBorders>
          <w:top w:val="single" w:sz="18" w:space="0" w:color="D5D5D5" w:themeColor="accent6" w:themeTint="BF"/>
        </w:tcBorders>
      </w:tcPr>
    </w:tblStylePr>
    <w:tblStylePr w:type="firstCol">
      <w:rPr>
        <w:b/>
        <w:bCs/>
      </w:rPr>
    </w:tblStylePr>
    <w:tblStylePr w:type="lastCol">
      <w:rPr>
        <w:b/>
        <w:bCs/>
      </w:rPr>
    </w:tblStylePr>
    <w:tblStylePr w:type="band1Vert">
      <w:tblPr/>
      <w:tcPr>
        <w:shd w:val="clear" w:color="auto" w:fill="E3E3E3" w:themeFill="accent6" w:themeFillTint="7F"/>
      </w:tcPr>
    </w:tblStylePr>
    <w:tblStylePr w:type="band1Horz">
      <w:tblPr/>
      <w:tcPr>
        <w:shd w:val="clear" w:color="auto" w:fill="E3E3E3" w:themeFill="accent6" w:themeFillTint="7F"/>
      </w:tcPr>
    </w:tblStylePr>
  </w:style>
  <w:style w:type="table" w:styleId="MediumGrid2">
    <w:name w:val="Medium Grid 2"/>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insideH w:val="single" w:sz="8" w:space="0" w:color="231EDC" w:themeColor="accent1"/>
        <w:insideV w:val="single" w:sz="8" w:space="0" w:color="231EDC" w:themeColor="accent1"/>
      </w:tblBorders>
    </w:tblPr>
    <w:tcPr>
      <w:shd w:val="clear" w:color="auto" w:fill="C7C6F7" w:themeFill="accent1" w:themeFillTint="3F"/>
    </w:tcPr>
    <w:tblStylePr w:type="firstRow">
      <w:rPr>
        <w:b/>
        <w:bCs/>
        <w:color w:val="000000" w:themeColor="text1"/>
      </w:rPr>
      <w:tblPr/>
      <w:tcPr>
        <w:shd w:val="clear" w:color="auto" w:fill="E8E8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D1F8" w:themeFill="accent1" w:themeFillTint="33"/>
      </w:tcPr>
    </w:tblStylePr>
    <w:tblStylePr w:type="band1Vert">
      <w:tblPr/>
      <w:tcPr>
        <w:shd w:val="clear" w:color="auto" w:fill="8F8CEF" w:themeFill="accent1" w:themeFillTint="7F"/>
      </w:tcPr>
    </w:tblStylePr>
    <w:tblStylePr w:type="band1Horz">
      <w:tblPr/>
      <w:tcPr>
        <w:tcBorders>
          <w:insideH w:val="single" w:sz="6" w:space="0" w:color="231EDC" w:themeColor="accent1"/>
          <w:insideV w:val="single" w:sz="6" w:space="0" w:color="231EDC" w:themeColor="accent1"/>
        </w:tcBorders>
        <w:shd w:val="clear" w:color="auto" w:fill="8F8CE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insideH w:val="single" w:sz="8" w:space="0" w:color="0A7DFF" w:themeColor="accent2"/>
        <w:insideV w:val="single" w:sz="8" w:space="0" w:color="0A7DFF" w:themeColor="accent2"/>
      </w:tblBorders>
    </w:tblPr>
    <w:tcPr>
      <w:shd w:val="clear" w:color="auto" w:fill="C2DEFF" w:themeFill="accent2" w:themeFillTint="3F"/>
    </w:tcPr>
    <w:tblStylePr w:type="firstRow">
      <w:rPr>
        <w:b/>
        <w:bCs/>
        <w:color w:val="000000" w:themeColor="text1"/>
      </w:rPr>
      <w:tblPr/>
      <w:tcPr>
        <w:shd w:val="clear" w:color="auto" w:fill="E6F2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E4FF" w:themeFill="accent2" w:themeFillTint="33"/>
      </w:tcPr>
    </w:tblStylePr>
    <w:tblStylePr w:type="band1Vert">
      <w:tblPr/>
      <w:tcPr>
        <w:shd w:val="clear" w:color="auto" w:fill="84BDFF" w:themeFill="accent2" w:themeFillTint="7F"/>
      </w:tcPr>
    </w:tblStylePr>
    <w:tblStylePr w:type="band1Horz">
      <w:tblPr/>
      <w:tcPr>
        <w:tcBorders>
          <w:insideH w:val="single" w:sz="6" w:space="0" w:color="0A7DFF" w:themeColor="accent2"/>
          <w:insideV w:val="single" w:sz="6" w:space="0" w:color="0A7DFF" w:themeColor="accent2"/>
        </w:tcBorders>
        <w:shd w:val="clear" w:color="auto" w:fill="84BD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insideH w:val="single" w:sz="8" w:space="0" w:color="5AE6FF" w:themeColor="accent3"/>
        <w:insideV w:val="single" w:sz="8" w:space="0" w:color="5AE6FF" w:themeColor="accent3"/>
      </w:tblBorders>
    </w:tblPr>
    <w:tcPr>
      <w:shd w:val="clear" w:color="auto" w:fill="D6F8FF" w:themeFill="accent3" w:themeFillTint="3F"/>
    </w:tcPr>
    <w:tblStylePr w:type="firstRow">
      <w:rPr>
        <w:b/>
        <w:bCs/>
        <w:color w:val="000000" w:themeColor="text1"/>
      </w:rPr>
      <w:tblPr/>
      <w:tcPr>
        <w:shd w:val="clear" w:color="auto" w:fill="EE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9FF" w:themeFill="accent3" w:themeFillTint="33"/>
      </w:tcPr>
    </w:tblStylePr>
    <w:tblStylePr w:type="band1Vert">
      <w:tblPr/>
      <w:tcPr>
        <w:shd w:val="clear" w:color="auto" w:fill="ACF2FF" w:themeFill="accent3" w:themeFillTint="7F"/>
      </w:tcPr>
    </w:tblStylePr>
    <w:tblStylePr w:type="band1Horz">
      <w:tblPr/>
      <w:tcPr>
        <w:tcBorders>
          <w:insideH w:val="single" w:sz="6" w:space="0" w:color="5AE6FF" w:themeColor="accent3"/>
          <w:insideV w:val="single" w:sz="6" w:space="0" w:color="5AE6FF" w:themeColor="accent3"/>
        </w:tcBorders>
        <w:shd w:val="clear" w:color="auto" w:fill="A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insideH w:val="single" w:sz="8" w:space="0" w:color="001E55" w:themeColor="accent4"/>
        <w:insideV w:val="single" w:sz="8" w:space="0" w:color="001E55" w:themeColor="accent4"/>
      </w:tblBorders>
    </w:tblPr>
    <w:tcPr>
      <w:shd w:val="clear" w:color="auto" w:fill="96BBFF" w:themeFill="accent4" w:themeFillTint="3F"/>
    </w:tcPr>
    <w:tblStylePr w:type="firstRow">
      <w:rPr>
        <w:b/>
        <w:bCs/>
        <w:color w:val="000000" w:themeColor="text1"/>
      </w:rPr>
      <w:tblPr/>
      <w:tcPr>
        <w:shd w:val="clear" w:color="auto" w:fill="D5E4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C8FF" w:themeFill="accent4" w:themeFillTint="33"/>
      </w:tcPr>
    </w:tblStylePr>
    <w:tblStylePr w:type="band1Vert">
      <w:tblPr/>
      <w:tcPr>
        <w:shd w:val="clear" w:color="auto" w:fill="2B76FF" w:themeFill="accent4" w:themeFillTint="7F"/>
      </w:tcPr>
    </w:tblStylePr>
    <w:tblStylePr w:type="band1Horz">
      <w:tblPr/>
      <w:tcPr>
        <w:tcBorders>
          <w:insideH w:val="single" w:sz="6" w:space="0" w:color="001E55" w:themeColor="accent4"/>
          <w:insideV w:val="single" w:sz="6" w:space="0" w:color="001E55" w:themeColor="accent4"/>
        </w:tcBorders>
        <w:shd w:val="clear" w:color="auto" w:fill="2B76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insideH w:val="single" w:sz="8" w:space="0" w:color="A5A5A5" w:themeColor="accent5"/>
        <w:insideV w:val="single" w:sz="8" w:space="0" w:color="A5A5A5" w:themeColor="accent5"/>
      </w:tblBorders>
    </w:tblPr>
    <w:tcPr>
      <w:shd w:val="clear" w:color="auto" w:fill="E8E8E8" w:themeFill="accent5" w:themeFillTint="3F"/>
    </w:tcPr>
    <w:tblStylePr w:type="firstRow">
      <w:rPr>
        <w:b/>
        <w:bCs/>
        <w:color w:val="000000" w:themeColor="text1"/>
      </w:rPr>
      <w:tblPr/>
      <w:tcPr>
        <w:shd w:val="clear" w:color="auto" w:fill="F6F6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5" w:themeFillTint="33"/>
      </w:tcPr>
    </w:tblStylePr>
    <w:tblStylePr w:type="band1Vert">
      <w:tblPr/>
      <w:tcPr>
        <w:shd w:val="clear" w:color="auto" w:fill="D2D2D2" w:themeFill="accent5" w:themeFillTint="7F"/>
      </w:tcPr>
    </w:tblStylePr>
    <w:tblStylePr w:type="band1Horz">
      <w:tblPr/>
      <w:tcPr>
        <w:tcBorders>
          <w:insideH w:val="single" w:sz="6" w:space="0" w:color="A5A5A5" w:themeColor="accent5"/>
          <w:insideV w:val="single" w:sz="6" w:space="0" w:color="A5A5A5" w:themeColor="accent5"/>
        </w:tcBorders>
        <w:shd w:val="clear" w:color="auto" w:fill="D2D2D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27E8F"/>
    <w:rPr>
      <w:rFonts w:eastAsiaTheme="majorEastAsia" w:cstheme="majorBidi"/>
      <w:color w:val="000000" w:themeColor="text1"/>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insideH w:val="single" w:sz="8" w:space="0" w:color="C8C8C8" w:themeColor="accent6"/>
        <w:insideV w:val="single" w:sz="8" w:space="0" w:color="C8C8C8" w:themeColor="accent6"/>
      </w:tblBorders>
    </w:tblPr>
    <w:tcPr>
      <w:shd w:val="clear" w:color="auto" w:fill="F1F1F1"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6" w:themeFillTint="33"/>
      </w:tcPr>
    </w:tblStylePr>
    <w:tblStylePr w:type="band1Vert">
      <w:tblPr/>
      <w:tcPr>
        <w:shd w:val="clear" w:color="auto" w:fill="E3E3E3" w:themeFill="accent6" w:themeFillTint="7F"/>
      </w:tcPr>
    </w:tblStylePr>
    <w:tblStylePr w:type="band1Horz">
      <w:tblPr/>
      <w:tcPr>
        <w:tcBorders>
          <w:insideH w:val="single" w:sz="6" w:space="0" w:color="C8C8C8" w:themeColor="accent6"/>
          <w:insideV w:val="single" w:sz="6" w:space="0" w:color="C8C8C8" w:themeColor="accent6"/>
        </w:tcBorders>
        <w:shd w:val="clear" w:color="auto" w:fill="E3E3E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C6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ED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ED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ED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8C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8CEF" w:themeFill="accent1" w:themeFillTint="7F"/>
      </w:tcPr>
    </w:tblStylePr>
  </w:style>
  <w:style w:type="table" w:styleId="MediumGrid3-Accent2">
    <w:name w:val="Medium Grid 3 Accent 2"/>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E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7DF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7DF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7DF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4BD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4BDFF" w:themeFill="accent2" w:themeFillTint="7F"/>
      </w:tcPr>
    </w:tblStylePr>
  </w:style>
  <w:style w:type="table" w:styleId="MediumGrid3-Accent3">
    <w:name w:val="Medium Grid 3 Accent 3"/>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AE6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AE6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AE6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F2FF" w:themeFill="accent3" w:themeFillTint="7F"/>
      </w:tcPr>
    </w:tblStylePr>
  </w:style>
  <w:style w:type="table" w:styleId="MediumGrid3-Accent4">
    <w:name w:val="Medium Grid 3 Accent 4"/>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BB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E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E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E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76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76FF" w:themeFill="accent4" w:themeFillTint="7F"/>
      </w:tcPr>
    </w:tblStylePr>
  </w:style>
  <w:style w:type="table" w:styleId="MediumGrid3-Accent5">
    <w:name w:val="Medium Grid 3 Accent 5"/>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5" w:themeFillTint="7F"/>
      </w:tcPr>
    </w:tblStylePr>
  </w:style>
  <w:style w:type="table" w:styleId="MediumGrid3-Accent6">
    <w:name w:val="Medium Grid 3 Accent 6"/>
    <w:basedOn w:val="TableNormal"/>
    <w:uiPriority w:val="69"/>
    <w:semiHidden/>
    <w:unhideWhenUsed/>
    <w:rsid w:val="00527E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6" w:themeFillTint="7F"/>
      </w:tcPr>
    </w:tblStylePr>
  </w:style>
  <w:style w:type="table" w:styleId="MediumList1">
    <w:name w:val="Medium List 1"/>
    <w:basedOn w:val="TableNormal"/>
    <w:uiPriority w:val="65"/>
    <w:semiHidden/>
    <w:unhideWhenUsed/>
    <w:rsid w:val="00527E8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27E8F"/>
    <w:rPr>
      <w:color w:val="000000" w:themeColor="text1"/>
    </w:rPr>
    <w:tblPr>
      <w:tblStyleRowBandSize w:val="1"/>
      <w:tblStyleColBandSize w:val="1"/>
      <w:tblBorders>
        <w:top w:val="single" w:sz="8" w:space="0" w:color="231EDC" w:themeColor="accent1"/>
        <w:bottom w:val="single" w:sz="8" w:space="0" w:color="231EDC" w:themeColor="accent1"/>
      </w:tblBorders>
    </w:tblPr>
    <w:tblStylePr w:type="firstRow">
      <w:rPr>
        <w:rFonts w:asciiTheme="majorHAnsi" w:eastAsiaTheme="majorEastAsia" w:hAnsiTheme="majorHAnsi" w:cstheme="majorBidi"/>
      </w:rPr>
      <w:tblPr/>
      <w:tcPr>
        <w:tcBorders>
          <w:top w:val="nil"/>
          <w:bottom w:val="single" w:sz="8" w:space="0" w:color="231EDC" w:themeColor="accent1"/>
        </w:tcBorders>
      </w:tcPr>
    </w:tblStylePr>
    <w:tblStylePr w:type="lastRow">
      <w:rPr>
        <w:b/>
        <w:bCs/>
        <w:color w:val="333333" w:themeColor="text2"/>
      </w:rPr>
      <w:tblPr/>
      <w:tcPr>
        <w:tcBorders>
          <w:top w:val="single" w:sz="8" w:space="0" w:color="231EDC" w:themeColor="accent1"/>
          <w:bottom w:val="single" w:sz="8" w:space="0" w:color="231EDC" w:themeColor="accent1"/>
        </w:tcBorders>
      </w:tcPr>
    </w:tblStylePr>
    <w:tblStylePr w:type="firstCol">
      <w:rPr>
        <w:b/>
        <w:bCs/>
      </w:rPr>
    </w:tblStylePr>
    <w:tblStylePr w:type="lastCol">
      <w:rPr>
        <w:b/>
        <w:bCs/>
      </w:rPr>
      <w:tblPr/>
      <w:tcPr>
        <w:tcBorders>
          <w:top w:val="single" w:sz="8" w:space="0" w:color="231EDC" w:themeColor="accent1"/>
          <w:bottom w:val="single" w:sz="8" w:space="0" w:color="231EDC" w:themeColor="accent1"/>
        </w:tcBorders>
      </w:tcPr>
    </w:tblStylePr>
    <w:tblStylePr w:type="band1Vert">
      <w:tblPr/>
      <w:tcPr>
        <w:shd w:val="clear" w:color="auto" w:fill="C7C6F7" w:themeFill="accent1" w:themeFillTint="3F"/>
      </w:tcPr>
    </w:tblStylePr>
    <w:tblStylePr w:type="band1Horz">
      <w:tblPr/>
      <w:tcPr>
        <w:shd w:val="clear" w:color="auto" w:fill="C7C6F7" w:themeFill="accent1" w:themeFillTint="3F"/>
      </w:tcPr>
    </w:tblStylePr>
  </w:style>
  <w:style w:type="table" w:styleId="MediumList1-Accent2">
    <w:name w:val="Medium List 1 Accent 2"/>
    <w:basedOn w:val="TableNormal"/>
    <w:uiPriority w:val="65"/>
    <w:semiHidden/>
    <w:unhideWhenUsed/>
    <w:rsid w:val="00527E8F"/>
    <w:rPr>
      <w:color w:val="000000" w:themeColor="text1"/>
    </w:rPr>
    <w:tblPr>
      <w:tblStyleRowBandSize w:val="1"/>
      <w:tblStyleColBandSize w:val="1"/>
      <w:tblBorders>
        <w:top w:val="single" w:sz="8" w:space="0" w:color="0A7DFF" w:themeColor="accent2"/>
        <w:bottom w:val="single" w:sz="8" w:space="0" w:color="0A7DFF" w:themeColor="accent2"/>
      </w:tblBorders>
    </w:tblPr>
    <w:tblStylePr w:type="firstRow">
      <w:rPr>
        <w:rFonts w:asciiTheme="majorHAnsi" w:eastAsiaTheme="majorEastAsia" w:hAnsiTheme="majorHAnsi" w:cstheme="majorBidi"/>
      </w:rPr>
      <w:tblPr/>
      <w:tcPr>
        <w:tcBorders>
          <w:top w:val="nil"/>
          <w:bottom w:val="single" w:sz="8" w:space="0" w:color="0A7DFF" w:themeColor="accent2"/>
        </w:tcBorders>
      </w:tcPr>
    </w:tblStylePr>
    <w:tblStylePr w:type="lastRow">
      <w:rPr>
        <w:b/>
        <w:bCs/>
        <w:color w:val="333333" w:themeColor="text2"/>
      </w:rPr>
      <w:tblPr/>
      <w:tcPr>
        <w:tcBorders>
          <w:top w:val="single" w:sz="8" w:space="0" w:color="0A7DFF" w:themeColor="accent2"/>
          <w:bottom w:val="single" w:sz="8" w:space="0" w:color="0A7DFF" w:themeColor="accent2"/>
        </w:tcBorders>
      </w:tcPr>
    </w:tblStylePr>
    <w:tblStylePr w:type="firstCol">
      <w:rPr>
        <w:b/>
        <w:bCs/>
      </w:rPr>
    </w:tblStylePr>
    <w:tblStylePr w:type="lastCol">
      <w:rPr>
        <w:b/>
        <w:bCs/>
      </w:rPr>
      <w:tblPr/>
      <w:tcPr>
        <w:tcBorders>
          <w:top w:val="single" w:sz="8" w:space="0" w:color="0A7DFF" w:themeColor="accent2"/>
          <w:bottom w:val="single" w:sz="8" w:space="0" w:color="0A7DFF" w:themeColor="accent2"/>
        </w:tcBorders>
      </w:tcPr>
    </w:tblStylePr>
    <w:tblStylePr w:type="band1Vert">
      <w:tblPr/>
      <w:tcPr>
        <w:shd w:val="clear" w:color="auto" w:fill="C2DEFF" w:themeFill="accent2" w:themeFillTint="3F"/>
      </w:tcPr>
    </w:tblStylePr>
    <w:tblStylePr w:type="band1Horz">
      <w:tblPr/>
      <w:tcPr>
        <w:shd w:val="clear" w:color="auto" w:fill="C2DEFF" w:themeFill="accent2" w:themeFillTint="3F"/>
      </w:tcPr>
    </w:tblStylePr>
  </w:style>
  <w:style w:type="table" w:styleId="MediumList1-Accent3">
    <w:name w:val="Medium List 1 Accent 3"/>
    <w:basedOn w:val="TableNormal"/>
    <w:uiPriority w:val="65"/>
    <w:semiHidden/>
    <w:unhideWhenUsed/>
    <w:rsid w:val="00527E8F"/>
    <w:rPr>
      <w:color w:val="000000" w:themeColor="text1"/>
    </w:rPr>
    <w:tblPr>
      <w:tblStyleRowBandSize w:val="1"/>
      <w:tblStyleColBandSize w:val="1"/>
      <w:tblBorders>
        <w:top w:val="single" w:sz="8" w:space="0" w:color="5AE6FF" w:themeColor="accent3"/>
        <w:bottom w:val="single" w:sz="8" w:space="0" w:color="5AE6FF" w:themeColor="accent3"/>
      </w:tblBorders>
    </w:tblPr>
    <w:tblStylePr w:type="firstRow">
      <w:rPr>
        <w:rFonts w:asciiTheme="majorHAnsi" w:eastAsiaTheme="majorEastAsia" w:hAnsiTheme="majorHAnsi" w:cstheme="majorBidi"/>
      </w:rPr>
      <w:tblPr/>
      <w:tcPr>
        <w:tcBorders>
          <w:top w:val="nil"/>
          <w:bottom w:val="single" w:sz="8" w:space="0" w:color="5AE6FF" w:themeColor="accent3"/>
        </w:tcBorders>
      </w:tcPr>
    </w:tblStylePr>
    <w:tblStylePr w:type="lastRow">
      <w:rPr>
        <w:b/>
        <w:bCs/>
        <w:color w:val="333333" w:themeColor="text2"/>
      </w:rPr>
      <w:tblPr/>
      <w:tcPr>
        <w:tcBorders>
          <w:top w:val="single" w:sz="8" w:space="0" w:color="5AE6FF" w:themeColor="accent3"/>
          <w:bottom w:val="single" w:sz="8" w:space="0" w:color="5AE6FF" w:themeColor="accent3"/>
        </w:tcBorders>
      </w:tcPr>
    </w:tblStylePr>
    <w:tblStylePr w:type="firstCol">
      <w:rPr>
        <w:b/>
        <w:bCs/>
      </w:rPr>
    </w:tblStylePr>
    <w:tblStylePr w:type="lastCol">
      <w:rPr>
        <w:b/>
        <w:bCs/>
      </w:rPr>
      <w:tblPr/>
      <w:tcPr>
        <w:tcBorders>
          <w:top w:val="single" w:sz="8" w:space="0" w:color="5AE6FF" w:themeColor="accent3"/>
          <w:bottom w:val="single" w:sz="8" w:space="0" w:color="5AE6FF" w:themeColor="accent3"/>
        </w:tcBorders>
      </w:tcPr>
    </w:tblStylePr>
    <w:tblStylePr w:type="band1Vert">
      <w:tblPr/>
      <w:tcPr>
        <w:shd w:val="clear" w:color="auto" w:fill="D6F8FF" w:themeFill="accent3" w:themeFillTint="3F"/>
      </w:tcPr>
    </w:tblStylePr>
    <w:tblStylePr w:type="band1Horz">
      <w:tblPr/>
      <w:tcPr>
        <w:shd w:val="clear" w:color="auto" w:fill="D6F8FF" w:themeFill="accent3" w:themeFillTint="3F"/>
      </w:tcPr>
    </w:tblStylePr>
  </w:style>
  <w:style w:type="table" w:styleId="MediumList1-Accent4">
    <w:name w:val="Medium List 1 Accent 4"/>
    <w:basedOn w:val="TableNormal"/>
    <w:uiPriority w:val="65"/>
    <w:semiHidden/>
    <w:unhideWhenUsed/>
    <w:rsid w:val="00527E8F"/>
    <w:rPr>
      <w:color w:val="000000" w:themeColor="text1"/>
    </w:rPr>
    <w:tblPr>
      <w:tblStyleRowBandSize w:val="1"/>
      <w:tblStyleColBandSize w:val="1"/>
      <w:tblBorders>
        <w:top w:val="single" w:sz="8" w:space="0" w:color="001E55" w:themeColor="accent4"/>
        <w:bottom w:val="single" w:sz="8" w:space="0" w:color="001E55" w:themeColor="accent4"/>
      </w:tblBorders>
    </w:tblPr>
    <w:tblStylePr w:type="firstRow">
      <w:rPr>
        <w:rFonts w:asciiTheme="majorHAnsi" w:eastAsiaTheme="majorEastAsia" w:hAnsiTheme="majorHAnsi" w:cstheme="majorBidi"/>
      </w:rPr>
      <w:tblPr/>
      <w:tcPr>
        <w:tcBorders>
          <w:top w:val="nil"/>
          <w:bottom w:val="single" w:sz="8" w:space="0" w:color="001E55" w:themeColor="accent4"/>
        </w:tcBorders>
      </w:tcPr>
    </w:tblStylePr>
    <w:tblStylePr w:type="lastRow">
      <w:rPr>
        <w:b/>
        <w:bCs/>
        <w:color w:val="333333" w:themeColor="text2"/>
      </w:rPr>
      <w:tblPr/>
      <w:tcPr>
        <w:tcBorders>
          <w:top w:val="single" w:sz="8" w:space="0" w:color="001E55" w:themeColor="accent4"/>
          <w:bottom w:val="single" w:sz="8" w:space="0" w:color="001E55" w:themeColor="accent4"/>
        </w:tcBorders>
      </w:tcPr>
    </w:tblStylePr>
    <w:tblStylePr w:type="firstCol">
      <w:rPr>
        <w:b/>
        <w:bCs/>
      </w:rPr>
    </w:tblStylePr>
    <w:tblStylePr w:type="lastCol">
      <w:rPr>
        <w:b/>
        <w:bCs/>
      </w:rPr>
      <w:tblPr/>
      <w:tcPr>
        <w:tcBorders>
          <w:top w:val="single" w:sz="8" w:space="0" w:color="001E55" w:themeColor="accent4"/>
          <w:bottom w:val="single" w:sz="8" w:space="0" w:color="001E55" w:themeColor="accent4"/>
        </w:tcBorders>
      </w:tcPr>
    </w:tblStylePr>
    <w:tblStylePr w:type="band1Vert">
      <w:tblPr/>
      <w:tcPr>
        <w:shd w:val="clear" w:color="auto" w:fill="96BBFF" w:themeFill="accent4" w:themeFillTint="3F"/>
      </w:tcPr>
    </w:tblStylePr>
    <w:tblStylePr w:type="band1Horz">
      <w:tblPr/>
      <w:tcPr>
        <w:shd w:val="clear" w:color="auto" w:fill="96BBFF" w:themeFill="accent4" w:themeFillTint="3F"/>
      </w:tcPr>
    </w:tblStylePr>
  </w:style>
  <w:style w:type="table" w:styleId="MediumList1-Accent5">
    <w:name w:val="Medium List 1 Accent 5"/>
    <w:basedOn w:val="TableNormal"/>
    <w:uiPriority w:val="65"/>
    <w:semiHidden/>
    <w:unhideWhenUsed/>
    <w:rsid w:val="00527E8F"/>
    <w:rPr>
      <w:color w:val="000000" w:themeColor="text1"/>
    </w:rPr>
    <w:tblPr>
      <w:tblStyleRowBandSize w:val="1"/>
      <w:tblStyleColBandSize w:val="1"/>
      <w:tblBorders>
        <w:top w:val="single" w:sz="8" w:space="0" w:color="A5A5A5" w:themeColor="accent5"/>
        <w:bottom w:val="single" w:sz="8" w:space="0" w:color="A5A5A5" w:themeColor="accent5"/>
      </w:tblBorders>
    </w:tblPr>
    <w:tblStylePr w:type="firstRow">
      <w:rPr>
        <w:rFonts w:asciiTheme="majorHAnsi" w:eastAsiaTheme="majorEastAsia" w:hAnsiTheme="majorHAnsi" w:cstheme="majorBidi"/>
      </w:rPr>
      <w:tblPr/>
      <w:tcPr>
        <w:tcBorders>
          <w:top w:val="nil"/>
          <w:bottom w:val="single" w:sz="8" w:space="0" w:color="A5A5A5" w:themeColor="accent5"/>
        </w:tcBorders>
      </w:tcPr>
    </w:tblStylePr>
    <w:tblStylePr w:type="lastRow">
      <w:rPr>
        <w:b/>
        <w:bCs/>
        <w:color w:val="333333" w:themeColor="text2"/>
      </w:rPr>
      <w:tblPr/>
      <w:tcPr>
        <w:tcBorders>
          <w:top w:val="single" w:sz="8" w:space="0" w:color="A5A5A5" w:themeColor="accent5"/>
          <w:bottom w:val="single" w:sz="8" w:space="0" w:color="A5A5A5" w:themeColor="accent5"/>
        </w:tcBorders>
      </w:tcPr>
    </w:tblStylePr>
    <w:tblStylePr w:type="firstCol">
      <w:rPr>
        <w:b/>
        <w:bCs/>
      </w:rPr>
    </w:tblStylePr>
    <w:tblStylePr w:type="lastCol">
      <w:rPr>
        <w:b/>
        <w:bCs/>
      </w:rPr>
      <w:tblPr/>
      <w:tcPr>
        <w:tcBorders>
          <w:top w:val="single" w:sz="8" w:space="0" w:color="A5A5A5" w:themeColor="accent5"/>
          <w:bottom w:val="single" w:sz="8" w:space="0" w:color="A5A5A5" w:themeColor="accent5"/>
        </w:tcBorders>
      </w:tcPr>
    </w:tblStylePr>
    <w:tblStylePr w:type="band1Vert">
      <w:tblPr/>
      <w:tcPr>
        <w:shd w:val="clear" w:color="auto" w:fill="E8E8E8" w:themeFill="accent5" w:themeFillTint="3F"/>
      </w:tcPr>
    </w:tblStylePr>
    <w:tblStylePr w:type="band1Horz">
      <w:tblPr/>
      <w:tcPr>
        <w:shd w:val="clear" w:color="auto" w:fill="E8E8E8" w:themeFill="accent5" w:themeFillTint="3F"/>
      </w:tcPr>
    </w:tblStylePr>
  </w:style>
  <w:style w:type="table" w:styleId="MediumList1-Accent6">
    <w:name w:val="Medium List 1 Accent 6"/>
    <w:basedOn w:val="TableNormal"/>
    <w:uiPriority w:val="65"/>
    <w:semiHidden/>
    <w:unhideWhenUsed/>
    <w:rsid w:val="00527E8F"/>
    <w:rPr>
      <w:color w:val="000000" w:themeColor="text1"/>
    </w:rPr>
    <w:tblPr>
      <w:tblStyleRowBandSize w:val="1"/>
      <w:tblStyleColBandSize w:val="1"/>
      <w:tblBorders>
        <w:top w:val="single" w:sz="8" w:space="0" w:color="C8C8C8" w:themeColor="accent6"/>
        <w:bottom w:val="single" w:sz="8" w:space="0" w:color="C8C8C8" w:themeColor="accent6"/>
      </w:tblBorders>
    </w:tblPr>
    <w:tblStylePr w:type="firstRow">
      <w:rPr>
        <w:rFonts w:asciiTheme="majorHAnsi" w:eastAsiaTheme="majorEastAsia" w:hAnsiTheme="majorHAnsi" w:cstheme="majorBidi"/>
      </w:rPr>
      <w:tblPr/>
      <w:tcPr>
        <w:tcBorders>
          <w:top w:val="nil"/>
          <w:bottom w:val="single" w:sz="8" w:space="0" w:color="C8C8C8" w:themeColor="accent6"/>
        </w:tcBorders>
      </w:tcPr>
    </w:tblStylePr>
    <w:tblStylePr w:type="lastRow">
      <w:rPr>
        <w:b/>
        <w:bCs/>
        <w:color w:val="333333" w:themeColor="text2"/>
      </w:rPr>
      <w:tblPr/>
      <w:tcPr>
        <w:tcBorders>
          <w:top w:val="single" w:sz="8" w:space="0" w:color="C8C8C8" w:themeColor="accent6"/>
          <w:bottom w:val="single" w:sz="8" w:space="0" w:color="C8C8C8" w:themeColor="accent6"/>
        </w:tcBorders>
      </w:tcPr>
    </w:tblStylePr>
    <w:tblStylePr w:type="firstCol">
      <w:rPr>
        <w:b/>
        <w:bCs/>
      </w:rPr>
    </w:tblStylePr>
    <w:tblStylePr w:type="lastCol">
      <w:rPr>
        <w:b/>
        <w:bCs/>
      </w:rPr>
      <w:tblPr/>
      <w:tcPr>
        <w:tcBorders>
          <w:top w:val="single" w:sz="8" w:space="0" w:color="C8C8C8" w:themeColor="accent6"/>
          <w:bottom w:val="single" w:sz="8" w:space="0" w:color="C8C8C8" w:themeColor="accent6"/>
        </w:tcBorders>
      </w:tcPr>
    </w:tblStylePr>
    <w:tblStylePr w:type="band1Vert">
      <w:tblPr/>
      <w:tcPr>
        <w:shd w:val="clear" w:color="auto" w:fill="F1F1F1" w:themeFill="accent6" w:themeFillTint="3F"/>
      </w:tcPr>
    </w:tblStylePr>
    <w:tblStylePr w:type="band1Horz">
      <w:tblPr/>
      <w:tcPr>
        <w:shd w:val="clear" w:color="auto" w:fill="F1F1F1" w:themeFill="accent6" w:themeFillTint="3F"/>
      </w:tcPr>
    </w:tblStylePr>
  </w:style>
  <w:style w:type="table" w:styleId="MediumList2">
    <w:name w:val="Medium List 2"/>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231EDC" w:themeColor="accent1"/>
        <w:left w:val="single" w:sz="8" w:space="0" w:color="231EDC" w:themeColor="accent1"/>
        <w:bottom w:val="single" w:sz="8" w:space="0" w:color="231EDC" w:themeColor="accent1"/>
        <w:right w:val="single" w:sz="8" w:space="0" w:color="231EDC" w:themeColor="accent1"/>
      </w:tblBorders>
    </w:tblPr>
    <w:tblStylePr w:type="firstRow">
      <w:rPr>
        <w:sz w:val="24"/>
        <w:szCs w:val="24"/>
      </w:rPr>
      <w:tblPr/>
      <w:tcPr>
        <w:tcBorders>
          <w:top w:val="nil"/>
          <w:left w:val="nil"/>
          <w:bottom w:val="single" w:sz="24" w:space="0" w:color="231ED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EDC" w:themeColor="accent1"/>
          <w:insideH w:val="nil"/>
          <w:insideV w:val="nil"/>
        </w:tcBorders>
        <w:shd w:val="clear" w:color="auto" w:fill="FFFFFF" w:themeFill="background1"/>
      </w:tcPr>
    </w:tblStylePr>
    <w:tblStylePr w:type="lastCol">
      <w:tblPr/>
      <w:tcPr>
        <w:tcBorders>
          <w:top w:val="nil"/>
          <w:left w:val="single" w:sz="8" w:space="0" w:color="231ED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C6F7" w:themeFill="accent1" w:themeFillTint="3F"/>
      </w:tcPr>
    </w:tblStylePr>
    <w:tblStylePr w:type="band1Horz">
      <w:tblPr/>
      <w:tcPr>
        <w:tcBorders>
          <w:top w:val="nil"/>
          <w:bottom w:val="nil"/>
          <w:insideH w:val="nil"/>
          <w:insideV w:val="nil"/>
        </w:tcBorders>
        <w:shd w:val="clear" w:color="auto" w:fill="C7C6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0A7DFF" w:themeColor="accent2"/>
        <w:left w:val="single" w:sz="8" w:space="0" w:color="0A7DFF" w:themeColor="accent2"/>
        <w:bottom w:val="single" w:sz="8" w:space="0" w:color="0A7DFF" w:themeColor="accent2"/>
        <w:right w:val="single" w:sz="8" w:space="0" w:color="0A7DFF" w:themeColor="accent2"/>
      </w:tblBorders>
    </w:tblPr>
    <w:tblStylePr w:type="firstRow">
      <w:rPr>
        <w:sz w:val="24"/>
        <w:szCs w:val="24"/>
      </w:rPr>
      <w:tblPr/>
      <w:tcPr>
        <w:tcBorders>
          <w:top w:val="nil"/>
          <w:left w:val="nil"/>
          <w:bottom w:val="single" w:sz="24" w:space="0" w:color="0A7DF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7DFF" w:themeColor="accent2"/>
          <w:insideH w:val="nil"/>
          <w:insideV w:val="nil"/>
        </w:tcBorders>
        <w:shd w:val="clear" w:color="auto" w:fill="FFFFFF" w:themeFill="background1"/>
      </w:tcPr>
    </w:tblStylePr>
    <w:tblStylePr w:type="lastCol">
      <w:tblPr/>
      <w:tcPr>
        <w:tcBorders>
          <w:top w:val="nil"/>
          <w:left w:val="single" w:sz="8" w:space="0" w:color="0A7DF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EFF" w:themeFill="accent2" w:themeFillTint="3F"/>
      </w:tcPr>
    </w:tblStylePr>
    <w:tblStylePr w:type="band1Horz">
      <w:tblPr/>
      <w:tcPr>
        <w:tcBorders>
          <w:top w:val="nil"/>
          <w:bottom w:val="nil"/>
          <w:insideH w:val="nil"/>
          <w:insideV w:val="nil"/>
        </w:tcBorders>
        <w:shd w:val="clear" w:color="auto" w:fill="C2DE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5AE6FF" w:themeColor="accent3"/>
        <w:left w:val="single" w:sz="8" w:space="0" w:color="5AE6FF" w:themeColor="accent3"/>
        <w:bottom w:val="single" w:sz="8" w:space="0" w:color="5AE6FF" w:themeColor="accent3"/>
        <w:right w:val="single" w:sz="8" w:space="0" w:color="5AE6FF" w:themeColor="accent3"/>
      </w:tblBorders>
    </w:tblPr>
    <w:tblStylePr w:type="firstRow">
      <w:rPr>
        <w:sz w:val="24"/>
        <w:szCs w:val="24"/>
      </w:rPr>
      <w:tblPr/>
      <w:tcPr>
        <w:tcBorders>
          <w:top w:val="nil"/>
          <w:left w:val="nil"/>
          <w:bottom w:val="single" w:sz="24" w:space="0" w:color="5AE6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E6FF" w:themeColor="accent3"/>
          <w:insideH w:val="nil"/>
          <w:insideV w:val="nil"/>
        </w:tcBorders>
        <w:shd w:val="clear" w:color="auto" w:fill="FFFFFF" w:themeFill="background1"/>
      </w:tcPr>
    </w:tblStylePr>
    <w:tblStylePr w:type="lastCol">
      <w:tblPr/>
      <w:tcPr>
        <w:tcBorders>
          <w:top w:val="nil"/>
          <w:left w:val="single" w:sz="8" w:space="0" w:color="5AE6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8FF" w:themeFill="accent3" w:themeFillTint="3F"/>
      </w:tcPr>
    </w:tblStylePr>
    <w:tblStylePr w:type="band1Horz">
      <w:tblPr/>
      <w:tcPr>
        <w:tcBorders>
          <w:top w:val="nil"/>
          <w:bottom w:val="nil"/>
          <w:insideH w:val="nil"/>
          <w:insideV w:val="nil"/>
        </w:tcBorders>
        <w:shd w:val="clear" w:color="auto" w:fill="D6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001E55" w:themeColor="accent4"/>
        <w:left w:val="single" w:sz="8" w:space="0" w:color="001E55" w:themeColor="accent4"/>
        <w:bottom w:val="single" w:sz="8" w:space="0" w:color="001E55" w:themeColor="accent4"/>
        <w:right w:val="single" w:sz="8" w:space="0" w:color="001E55" w:themeColor="accent4"/>
      </w:tblBorders>
    </w:tblPr>
    <w:tblStylePr w:type="firstRow">
      <w:rPr>
        <w:sz w:val="24"/>
        <w:szCs w:val="24"/>
      </w:rPr>
      <w:tblPr/>
      <w:tcPr>
        <w:tcBorders>
          <w:top w:val="nil"/>
          <w:left w:val="nil"/>
          <w:bottom w:val="single" w:sz="24" w:space="0" w:color="001E5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E55" w:themeColor="accent4"/>
          <w:insideH w:val="nil"/>
          <w:insideV w:val="nil"/>
        </w:tcBorders>
        <w:shd w:val="clear" w:color="auto" w:fill="FFFFFF" w:themeFill="background1"/>
      </w:tcPr>
    </w:tblStylePr>
    <w:tblStylePr w:type="lastCol">
      <w:tblPr/>
      <w:tcPr>
        <w:tcBorders>
          <w:top w:val="nil"/>
          <w:left w:val="single" w:sz="8" w:space="0" w:color="001E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BBFF" w:themeFill="accent4" w:themeFillTint="3F"/>
      </w:tcPr>
    </w:tblStylePr>
    <w:tblStylePr w:type="band1Horz">
      <w:tblPr/>
      <w:tcPr>
        <w:tcBorders>
          <w:top w:val="nil"/>
          <w:bottom w:val="nil"/>
          <w:insideH w:val="nil"/>
          <w:insideV w:val="nil"/>
        </w:tcBorders>
        <w:shd w:val="clear" w:color="auto" w:fill="96BB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A5A5A5" w:themeColor="accent5"/>
        <w:left w:val="single" w:sz="8" w:space="0" w:color="A5A5A5" w:themeColor="accent5"/>
        <w:bottom w:val="single" w:sz="8" w:space="0" w:color="A5A5A5" w:themeColor="accent5"/>
        <w:right w:val="single" w:sz="8" w:space="0" w:color="A5A5A5" w:themeColor="accent5"/>
      </w:tblBorders>
    </w:tblPr>
    <w:tblStylePr w:type="firstRow">
      <w:rPr>
        <w:sz w:val="24"/>
        <w:szCs w:val="24"/>
      </w:rPr>
      <w:tblPr/>
      <w:tcPr>
        <w:tcBorders>
          <w:top w:val="nil"/>
          <w:left w:val="nil"/>
          <w:bottom w:val="single" w:sz="24" w:space="0" w:color="A5A5A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5"/>
          <w:insideH w:val="nil"/>
          <w:insideV w:val="nil"/>
        </w:tcBorders>
        <w:shd w:val="clear" w:color="auto" w:fill="FFFFFF" w:themeFill="background1"/>
      </w:tcPr>
    </w:tblStylePr>
    <w:tblStylePr w:type="lastCol">
      <w:tblPr/>
      <w:tcPr>
        <w:tcBorders>
          <w:top w:val="nil"/>
          <w:left w:val="single" w:sz="8" w:space="0" w:color="A5A5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5" w:themeFillTint="3F"/>
      </w:tcPr>
    </w:tblStylePr>
    <w:tblStylePr w:type="band1Horz">
      <w:tblPr/>
      <w:tcPr>
        <w:tcBorders>
          <w:top w:val="nil"/>
          <w:bottom w:val="nil"/>
          <w:insideH w:val="nil"/>
          <w:insideV w:val="nil"/>
        </w:tcBorders>
        <w:shd w:val="clear" w:color="auto" w:fill="E8E8E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27E8F"/>
    <w:rPr>
      <w:rFonts w:eastAsiaTheme="majorEastAsia" w:cstheme="majorBidi"/>
      <w:color w:val="000000" w:themeColor="text1"/>
    </w:rPr>
    <w:tblPr>
      <w:tblStyleRowBandSize w:val="1"/>
      <w:tblStyleColBandSize w:val="1"/>
      <w:tblBorders>
        <w:top w:val="single" w:sz="8" w:space="0" w:color="C8C8C8" w:themeColor="accent6"/>
        <w:left w:val="single" w:sz="8" w:space="0" w:color="C8C8C8" w:themeColor="accent6"/>
        <w:bottom w:val="single" w:sz="8" w:space="0" w:color="C8C8C8" w:themeColor="accent6"/>
        <w:right w:val="single" w:sz="8" w:space="0" w:color="C8C8C8" w:themeColor="accent6"/>
      </w:tblBorders>
    </w:tblPr>
    <w:tblStylePr w:type="firstRow">
      <w:rPr>
        <w:sz w:val="24"/>
        <w:szCs w:val="24"/>
      </w:rPr>
      <w:tblPr/>
      <w:tcPr>
        <w:tcBorders>
          <w:top w:val="nil"/>
          <w:left w:val="nil"/>
          <w:bottom w:val="single" w:sz="24" w:space="0" w:color="C8C8C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6"/>
          <w:insideH w:val="nil"/>
          <w:insideV w:val="nil"/>
        </w:tcBorders>
        <w:shd w:val="clear" w:color="auto" w:fill="FFFFFF" w:themeFill="background1"/>
      </w:tcPr>
    </w:tblStylePr>
    <w:tblStylePr w:type="lastCol">
      <w:tblPr/>
      <w:tcPr>
        <w:tcBorders>
          <w:top w:val="nil"/>
          <w:left w:val="single" w:sz="8" w:space="0" w:color="C8C8C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6" w:themeFillTint="3F"/>
      </w:tcPr>
    </w:tblStylePr>
    <w:tblStylePr w:type="band1Horz">
      <w:tblPr/>
      <w:tcPr>
        <w:tcBorders>
          <w:top w:val="nil"/>
          <w:bottom w:val="nil"/>
          <w:insideH w:val="nil"/>
          <w:insideV w:val="nil"/>
        </w:tcBorders>
        <w:shd w:val="clear" w:color="auto" w:fill="F1F1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27E8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27E8F"/>
    <w:tblPr>
      <w:tblStyleRowBandSize w:val="1"/>
      <w:tblStyleColBandSize w:val="1"/>
      <w:tbl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single" w:sz="8" w:space="0" w:color="5653E7" w:themeColor="accent1" w:themeTint="BF"/>
      </w:tblBorders>
    </w:tblPr>
    <w:tblStylePr w:type="firstRow">
      <w:pPr>
        <w:spacing w:before="0" w:after="0" w:line="240" w:lineRule="auto"/>
      </w:pPr>
      <w:rPr>
        <w:b/>
        <w:bCs/>
        <w:color w:val="FFFFFF" w:themeColor="background1"/>
      </w:rPr>
      <w:tblPr/>
      <w:tcPr>
        <w:tcBorders>
          <w:top w:val="single" w:sz="8"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shd w:val="clear" w:color="auto" w:fill="231EDC" w:themeFill="accent1"/>
      </w:tcPr>
    </w:tblStylePr>
    <w:tblStylePr w:type="lastRow">
      <w:pPr>
        <w:spacing w:before="0" w:after="0" w:line="240" w:lineRule="auto"/>
      </w:pPr>
      <w:rPr>
        <w:b/>
        <w:bCs/>
      </w:rPr>
      <w:tblPr/>
      <w:tcPr>
        <w:tcBorders>
          <w:top w:val="double" w:sz="6" w:space="0" w:color="5653E7" w:themeColor="accent1" w:themeTint="BF"/>
          <w:left w:val="single" w:sz="8" w:space="0" w:color="5653E7" w:themeColor="accent1" w:themeTint="BF"/>
          <w:bottom w:val="single" w:sz="8" w:space="0" w:color="5653E7" w:themeColor="accent1" w:themeTint="BF"/>
          <w:right w:val="single" w:sz="8" w:space="0" w:color="5653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C6F7" w:themeFill="accent1" w:themeFillTint="3F"/>
      </w:tcPr>
    </w:tblStylePr>
    <w:tblStylePr w:type="band1Horz">
      <w:tblPr/>
      <w:tcPr>
        <w:tcBorders>
          <w:insideH w:val="nil"/>
          <w:insideV w:val="nil"/>
        </w:tcBorders>
        <w:shd w:val="clear" w:color="auto" w:fill="C7C6F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27E8F"/>
    <w:tblPr>
      <w:tblStyleRowBandSize w:val="1"/>
      <w:tblStyleColBandSize w:val="1"/>
      <w:tbl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single" w:sz="8" w:space="0" w:color="479DFF" w:themeColor="accent2" w:themeTint="BF"/>
      </w:tblBorders>
    </w:tblPr>
    <w:tblStylePr w:type="firstRow">
      <w:pPr>
        <w:spacing w:before="0" w:after="0" w:line="240" w:lineRule="auto"/>
      </w:pPr>
      <w:rPr>
        <w:b/>
        <w:bCs/>
        <w:color w:val="FFFFFF" w:themeColor="background1"/>
      </w:rPr>
      <w:tblPr/>
      <w:tcPr>
        <w:tcBorders>
          <w:top w:val="single" w:sz="8"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shd w:val="clear" w:color="auto" w:fill="0A7DFF" w:themeFill="accent2"/>
      </w:tcPr>
    </w:tblStylePr>
    <w:tblStylePr w:type="lastRow">
      <w:pPr>
        <w:spacing w:before="0" w:after="0" w:line="240" w:lineRule="auto"/>
      </w:pPr>
      <w:rPr>
        <w:b/>
        <w:bCs/>
      </w:rPr>
      <w:tblPr/>
      <w:tcPr>
        <w:tcBorders>
          <w:top w:val="double" w:sz="6" w:space="0" w:color="479DFF" w:themeColor="accent2" w:themeTint="BF"/>
          <w:left w:val="single" w:sz="8" w:space="0" w:color="479DFF" w:themeColor="accent2" w:themeTint="BF"/>
          <w:bottom w:val="single" w:sz="8" w:space="0" w:color="479DFF" w:themeColor="accent2" w:themeTint="BF"/>
          <w:right w:val="single" w:sz="8" w:space="0" w:color="479D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C2DEFF" w:themeFill="accent2" w:themeFillTint="3F"/>
      </w:tcPr>
    </w:tblStylePr>
    <w:tblStylePr w:type="band1Horz">
      <w:tblPr/>
      <w:tcPr>
        <w:tcBorders>
          <w:insideH w:val="nil"/>
          <w:insideV w:val="nil"/>
        </w:tcBorders>
        <w:shd w:val="clear" w:color="auto" w:fill="C2DE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27E8F"/>
    <w:tblPr>
      <w:tblStyleRowBandSize w:val="1"/>
      <w:tblStyleColBandSize w:val="1"/>
      <w:tbl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single" w:sz="8" w:space="0" w:color="83ECFF" w:themeColor="accent3" w:themeTint="BF"/>
      </w:tblBorders>
    </w:tblPr>
    <w:tblStylePr w:type="firstRow">
      <w:pPr>
        <w:spacing w:before="0" w:after="0" w:line="240" w:lineRule="auto"/>
      </w:pPr>
      <w:rPr>
        <w:b/>
        <w:bCs/>
        <w:color w:val="FFFFFF" w:themeColor="background1"/>
      </w:rPr>
      <w:tblPr/>
      <w:tcPr>
        <w:tcBorders>
          <w:top w:val="single" w:sz="8"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shd w:val="clear" w:color="auto" w:fill="5AE6FF" w:themeFill="accent3"/>
      </w:tcPr>
    </w:tblStylePr>
    <w:tblStylePr w:type="lastRow">
      <w:pPr>
        <w:spacing w:before="0" w:after="0" w:line="240" w:lineRule="auto"/>
      </w:pPr>
      <w:rPr>
        <w:b/>
        <w:bCs/>
      </w:rPr>
      <w:tblPr/>
      <w:tcPr>
        <w:tcBorders>
          <w:top w:val="double" w:sz="6" w:space="0" w:color="83ECFF" w:themeColor="accent3" w:themeTint="BF"/>
          <w:left w:val="single" w:sz="8" w:space="0" w:color="83ECFF" w:themeColor="accent3" w:themeTint="BF"/>
          <w:bottom w:val="single" w:sz="8" w:space="0" w:color="83ECFF" w:themeColor="accent3" w:themeTint="BF"/>
          <w:right w:val="single" w:sz="8" w:space="0" w:color="83EC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F8FF" w:themeFill="accent3" w:themeFillTint="3F"/>
      </w:tcPr>
    </w:tblStylePr>
    <w:tblStylePr w:type="band1Horz">
      <w:tblPr/>
      <w:tcPr>
        <w:tcBorders>
          <w:insideH w:val="nil"/>
          <w:insideV w:val="nil"/>
        </w:tcBorders>
        <w:shd w:val="clear" w:color="auto" w:fill="D6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27E8F"/>
    <w:tblPr>
      <w:tblStyleRowBandSize w:val="1"/>
      <w:tblStyleColBandSize w:val="1"/>
      <w:tbl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single" w:sz="8" w:space="0" w:color="0043BF" w:themeColor="accent4" w:themeTint="BF"/>
      </w:tblBorders>
    </w:tblPr>
    <w:tblStylePr w:type="firstRow">
      <w:pPr>
        <w:spacing w:before="0" w:after="0" w:line="240" w:lineRule="auto"/>
      </w:pPr>
      <w:rPr>
        <w:b/>
        <w:bCs/>
        <w:color w:val="FFFFFF" w:themeColor="background1"/>
      </w:rPr>
      <w:tblPr/>
      <w:tcPr>
        <w:tcBorders>
          <w:top w:val="single" w:sz="8"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shd w:val="clear" w:color="auto" w:fill="001E55" w:themeFill="accent4"/>
      </w:tcPr>
    </w:tblStylePr>
    <w:tblStylePr w:type="lastRow">
      <w:pPr>
        <w:spacing w:before="0" w:after="0" w:line="240" w:lineRule="auto"/>
      </w:pPr>
      <w:rPr>
        <w:b/>
        <w:bCs/>
      </w:rPr>
      <w:tblPr/>
      <w:tcPr>
        <w:tcBorders>
          <w:top w:val="double" w:sz="6" w:space="0" w:color="0043BF" w:themeColor="accent4" w:themeTint="BF"/>
          <w:left w:val="single" w:sz="8" w:space="0" w:color="0043BF" w:themeColor="accent4" w:themeTint="BF"/>
          <w:bottom w:val="single" w:sz="8" w:space="0" w:color="0043BF" w:themeColor="accent4" w:themeTint="BF"/>
          <w:right w:val="single" w:sz="8" w:space="0" w:color="0043B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6BBFF" w:themeFill="accent4" w:themeFillTint="3F"/>
      </w:tcPr>
    </w:tblStylePr>
    <w:tblStylePr w:type="band1Horz">
      <w:tblPr/>
      <w:tcPr>
        <w:tcBorders>
          <w:insideH w:val="nil"/>
          <w:insideV w:val="nil"/>
        </w:tcBorders>
        <w:shd w:val="clear" w:color="auto" w:fill="96BB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27E8F"/>
    <w:tblPr>
      <w:tblStyleRowBandSize w:val="1"/>
      <w:tblStyleColBandSize w:val="1"/>
      <w:tbl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single" w:sz="8" w:space="0" w:color="BBBBBB" w:themeColor="accent5" w:themeTint="BF"/>
      </w:tblBorders>
    </w:tblPr>
    <w:tblStylePr w:type="firstRow">
      <w:pPr>
        <w:spacing w:before="0" w:after="0" w:line="240" w:lineRule="auto"/>
      </w:pPr>
      <w:rPr>
        <w:b/>
        <w:bCs/>
        <w:color w:val="FFFFFF" w:themeColor="background1"/>
      </w:rPr>
      <w:tblPr/>
      <w:tcPr>
        <w:tcBorders>
          <w:top w:val="single" w:sz="8"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shd w:val="clear" w:color="auto" w:fill="A5A5A5" w:themeFill="accent5"/>
      </w:tcPr>
    </w:tblStylePr>
    <w:tblStylePr w:type="lastRow">
      <w:pPr>
        <w:spacing w:before="0" w:after="0" w:line="240" w:lineRule="auto"/>
      </w:pPr>
      <w:rPr>
        <w:b/>
        <w:bCs/>
      </w:rPr>
      <w:tblPr/>
      <w:tcPr>
        <w:tcBorders>
          <w:top w:val="double" w:sz="6" w:space="0" w:color="BBBBBB" w:themeColor="accent5" w:themeTint="BF"/>
          <w:left w:val="single" w:sz="8" w:space="0" w:color="BBBBBB" w:themeColor="accent5" w:themeTint="BF"/>
          <w:bottom w:val="single" w:sz="8" w:space="0" w:color="BBBBBB" w:themeColor="accent5" w:themeTint="BF"/>
          <w:right w:val="single" w:sz="8" w:space="0" w:color="BBBBB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5" w:themeFillTint="3F"/>
      </w:tcPr>
    </w:tblStylePr>
    <w:tblStylePr w:type="band1Horz">
      <w:tblPr/>
      <w:tcPr>
        <w:tcBorders>
          <w:insideH w:val="nil"/>
          <w:insideV w:val="nil"/>
        </w:tcBorders>
        <w:shd w:val="clear" w:color="auto" w:fill="E8E8E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27E8F"/>
    <w:tblPr>
      <w:tblStyleRowBandSize w:val="1"/>
      <w:tblStyleColBandSize w:val="1"/>
      <w:tbl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single" w:sz="8" w:space="0" w:color="D5D5D5" w:themeColor="accent6" w:themeTint="BF"/>
      </w:tblBorders>
    </w:tblPr>
    <w:tblStylePr w:type="firstRow">
      <w:pPr>
        <w:spacing w:before="0" w:after="0" w:line="240" w:lineRule="auto"/>
      </w:pPr>
      <w:rPr>
        <w:b/>
        <w:bCs/>
        <w:color w:val="FFFFFF" w:themeColor="background1"/>
      </w:rPr>
      <w:tblPr/>
      <w:tcPr>
        <w:tcBorders>
          <w:top w:val="single" w:sz="8"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shd w:val="clear" w:color="auto" w:fill="C8C8C8" w:themeFill="accent6"/>
      </w:tcPr>
    </w:tblStylePr>
    <w:tblStylePr w:type="lastRow">
      <w:pPr>
        <w:spacing w:before="0" w:after="0" w:line="240" w:lineRule="auto"/>
      </w:pPr>
      <w:rPr>
        <w:b/>
        <w:bCs/>
      </w:rPr>
      <w:tblPr/>
      <w:tcPr>
        <w:tcBorders>
          <w:top w:val="double" w:sz="6" w:space="0" w:color="D5D5D5" w:themeColor="accent6" w:themeTint="BF"/>
          <w:left w:val="single" w:sz="8" w:space="0" w:color="D5D5D5" w:themeColor="accent6" w:themeTint="BF"/>
          <w:bottom w:val="single" w:sz="8" w:space="0" w:color="D5D5D5" w:themeColor="accent6" w:themeTint="BF"/>
          <w:right w:val="single" w:sz="8" w:space="0" w:color="D5D5D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6" w:themeFillTint="3F"/>
      </w:tcPr>
    </w:tblStylePr>
    <w:tblStylePr w:type="band1Horz">
      <w:tblPr/>
      <w:tcPr>
        <w:tcBorders>
          <w:insideH w:val="nil"/>
          <w:insideV w:val="nil"/>
        </w:tcBorders>
        <w:shd w:val="clear" w:color="auto" w:fill="F1F1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ED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31EDC" w:themeFill="accent1"/>
      </w:tcPr>
    </w:tblStylePr>
    <w:tblStylePr w:type="lastCol">
      <w:rPr>
        <w:b/>
        <w:bCs/>
        <w:color w:val="FFFFFF" w:themeColor="background1"/>
      </w:rPr>
      <w:tblPr/>
      <w:tcPr>
        <w:tcBorders>
          <w:left w:val="nil"/>
          <w:right w:val="nil"/>
          <w:insideH w:val="nil"/>
          <w:insideV w:val="nil"/>
        </w:tcBorders>
        <w:shd w:val="clear" w:color="auto" w:fill="231ED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7DF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A7DFF" w:themeFill="accent2"/>
      </w:tcPr>
    </w:tblStylePr>
    <w:tblStylePr w:type="lastCol">
      <w:rPr>
        <w:b/>
        <w:bCs/>
        <w:color w:val="FFFFFF" w:themeColor="background1"/>
      </w:rPr>
      <w:tblPr/>
      <w:tcPr>
        <w:tcBorders>
          <w:left w:val="nil"/>
          <w:right w:val="nil"/>
          <w:insideH w:val="nil"/>
          <w:insideV w:val="nil"/>
        </w:tcBorders>
        <w:shd w:val="clear" w:color="auto" w:fill="0A7DF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AE6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AE6FF" w:themeFill="accent3"/>
      </w:tcPr>
    </w:tblStylePr>
    <w:tblStylePr w:type="lastCol">
      <w:rPr>
        <w:b/>
        <w:bCs/>
        <w:color w:val="FFFFFF" w:themeColor="background1"/>
      </w:rPr>
      <w:tblPr/>
      <w:tcPr>
        <w:tcBorders>
          <w:left w:val="nil"/>
          <w:right w:val="nil"/>
          <w:insideH w:val="nil"/>
          <w:insideV w:val="nil"/>
        </w:tcBorders>
        <w:shd w:val="clear" w:color="auto" w:fill="5AE6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E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1E55" w:themeFill="accent4"/>
      </w:tcPr>
    </w:tblStylePr>
    <w:tblStylePr w:type="lastCol">
      <w:rPr>
        <w:b/>
        <w:bCs/>
        <w:color w:val="FFFFFF" w:themeColor="background1"/>
      </w:rPr>
      <w:tblPr/>
      <w:tcPr>
        <w:tcBorders>
          <w:left w:val="nil"/>
          <w:right w:val="nil"/>
          <w:insideH w:val="nil"/>
          <w:insideV w:val="nil"/>
        </w:tcBorders>
        <w:shd w:val="clear" w:color="auto" w:fill="001E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5"/>
      </w:tcPr>
    </w:tblStylePr>
    <w:tblStylePr w:type="lastCol">
      <w:rPr>
        <w:b/>
        <w:bCs/>
        <w:color w:val="FFFFFF" w:themeColor="background1"/>
      </w:rPr>
      <w:tblPr/>
      <w:tcPr>
        <w:tcBorders>
          <w:left w:val="nil"/>
          <w:right w:val="nil"/>
          <w:insideH w:val="nil"/>
          <w:insideV w:val="nil"/>
        </w:tcBorders>
        <w:shd w:val="clear" w:color="auto" w:fill="A5A5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27E8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8C8C8" w:themeFill="accent6"/>
      </w:tcPr>
    </w:tblStylePr>
    <w:tblStylePr w:type="lastCol">
      <w:rPr>
        <w:b/>
        <w:bCs/>
        <w:color w:val="FFFFFF" w:themeColor="background1"/>
      </w:rPr>
      <w:tblPr/>
      <w:tcPr>
        <w:tcBorders>
          <w:left w:val="nil"/>
          <w:right w:val="nil"/>
          <w:insideH w:val="nil"/>
          <w:insideV w:val="nil"/>
        </w:tcBorders>
        <w:shd w:val="clear" w:color="auto" w:fill="C8C8C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527E8F"/>
    <w:rPr>
      <w:color w:val="2B579A"/>
      <w:shd w:val="clear" w:color="auto" w:fill="E6E6E6"/>
    </w:rPr>
  </w:style>
  <w:style w:type="paragraph" w:styleId="MessageHeader">
    <w:name w:val="Message Header"/>
    <w:basedOn w:val="Normal"/>
    <w:link w:val="MessageHeaderChar"/>
    <w:uiPriority w:val="99"/>
    <w:semiHidden/>
    <w:unhideWhenUsed/>
    <w:rsid w:val="00527E8F"/>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527E8F"/>
    <w:rPr>
      <w:rFonts w:asciiTheme="minorHAnsi" w:eastAsiaTheme="majorEastAsia" w:hAnsiTheme="minorHAnsi" w:cstheme="majorBidi"/>
      <w:sz w:val="24"/>
      <w:szCs w:val="24"/>
      <w:shd w:val="pct20" w:color="auto" w:fill="auto"/>
    </w:rPr>
  </w:style>
  <w:style w:type="paragraph" w:styleId="NormalWeb">
    <w:name w:val="Normal (Web)"/>
    <w:basedOn w:val="Normal"/>
    <w:uiPriority w:val="99"/>
    <w:semiHidden/>
    <w:unhideWhenUsed/>
    <w:rsid w:val="00527E8F"/>
    <w:rPr>
      <w:rFonts w:ascii="Times New Roman" w:hAnsi="Times New Roman" w:cs="Times New Roman"/>
      <w:sz w:val="24"/>
      <w:szCs w:val="24"/>
    </w:rPr>
  </w:style>
  <w:style w:type="paragraph" w:styleId="NormalIndent">
    <w:name w:val="Normal Indent"/>
    <w:basedOn w:val="Normal"/>
    <w:uiPriority w:val="99"/>
    <w:semiHidden/>
    <w:unhideWhenUsed/>
    <w:rsid w:val="00527E8F"/>
    <w:pPr>
      <w:ind w:left="720"/>
    </w:pPr>
  </w:style>
  <w:style w:type="paragraph" w:styleId="NoteHeading">
    <w:name w:val="Note Heading"/>
    <w:basedOn w:val="Normal"/>
    <w:next w:val="Normal"/>
    <w:link w:val="NoteHeadingChar"/>
    <w:uiPriority w:val="99"/>
    <w:semiHidden/>
    <w:unhideWhenUsed/>
    <w:rsid w:val="00527E8F"/>
  </w:style>
  <w:style w:type="character" w:customStyle="1" w:styleId="NoteHeadingChar">
    <w:name w:val="Note Heading Char"/>
    <w:basedOn w:val="DefaultParagraphFont"/>
    <w:link w:val="NoteHeading"/>
    <w:uiPriority w:val="99"/>
    <w:semiHidden/>
    <w:rsid w:val="00527E8F"/>
    <w:rPr>
      <w:rFonts w:asciiTheme="minorHAnsi" w:hAnsiTheme="minorHAnsi"/>
    </w:rPr>
  </w:style>
  <w:style w:type="character" w:styleId="PageNumber">
    <w:name w:val="page number"/>
    <w:basedOn w:val="DefaultParagraphFont"/>
    <w:uiPriority w:val="99"/>
    <w:semiHidden/>
    <w:unhideWhenUsed/>
    <w:rsid w:val="00527E8F"/>
  </w:style>
  <w:style w:type="table" w:styleId="PlainTable2">
    <w:name w:val="Plain Table 2"/>
    <w:basedOn w:val="TableNormal"/>
    <w:uiPriority w:val="42"/>
    <w:rsid w:val="00527E8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527E8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27E8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27E8F"/>
    <w:rPr>
      <w:rFonts w:ascii="Consolas" w:hAnsi="Consolas"/>
      <w:sz w:val="21"/>
      <w:szCs w:val="21"/>
    </w:rPr>
  </w:style>
  <w:style w:type="character" w:customStyle="1" w:styleId="PlainTextChar">
    <w:name w:val="Plain Text Char"/>
    <w:basedOn w:val="DefaultParagraphFont"/>
    <w:link w:val="PlainText"/>
    <w:uiPriority w:val="99"/>
    <w:semiHidden/>
    <w:rsid w:val="00527E8F"/>
    <w:rPr>
      <w:rFonts w:ascii="Consolas" w:hAnsi="Consolas"/>
      <w:sz w:val="21"/>
      <w:szCs w:val="21"/>
    </w:rPr>
  </w:style>
  <w:style w:type="paragraph" w:styleId="Quote">
    <w:name w:val="Quote"/>
    <w:basedOn w:val="Normal"/>
    <w:next w:val="Normal"/>
    <w:link w:val="QuoteChar"/>
    <w:uiPriority w:val="99"/>
    <w:rsid w:val="00527E8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527E8F"/>
    <w:rPr>
      <w:rFonts w:asciiTheme="minorHAnsi" w:hAnsiTheme="minorHAnsi"/>
      <w:i/>
      <w:iCs/>
      <w:color w:val="404040" w:themeColor="text1" w:themeTint="BF"/>
    </w:rPr>
  </w:style>
  <w:style w:type="paragraph" w:styleId="Salutation">
    <w:name w:val="Salutation"/>
    <w:basedOn w:val="Normal"/>
    <w:next w:val="Normal"/>
    <w:link w:val="SalutationChar"/>
    <w:uiPriority w:val="99"/>
    <w:semiHidden/>
    <w:unhideWhenUsed/>
    <w:rsid w:val="00527E8F"/>
  </w:style>
  <w:style w:type="character" w:customStyle="1" w:styleId="SalutationChar">
    <w:name w:val="Salutation Char"/>
    <w:basedOn w:val="DefaultParagraphFont"/>
    <w:link w:val="Salutation"/>
    <w:uiPriority w:val="99"/>
    <w:semiHidden/>
    <w:rsid w:val="00527E8F"/>
    <w:rPr>
      <w:rFonts w:asciiTheme="minorHAnsi" w:hAnsiTheme="minorHAnsi"/>
    </w:rPr>
  </w:style>
  <w:style w:type="paragraph" w:styleId="Signature">
    <w:name w:val="Signature"/>
    <w:basedOn w:val="Normal"/>
    <w:link w:val="SignatureChar"/>
    <w:uiPriority w:val="99"/>
    <w:semiHidden/>
    <w:unhideWhenUsed/>
    <w:rsid w:val="00527E8F"/>
    <w:pPr>
      <w:ind w:left="4252"/>
    </w:pPr>
  </w:style>
  <w:style w:type="character" w:customStyle="1" w:styleId="SignatureChar">
    <w:name w:val="Signature Char"/>
    <w:basedOn w:val="DefaultParagraphFont"/>
    <w:link w:val="Signature"/>
    <w:uiPriority w:val="99"/>
    <w:semiHidden/>
    <w:rsid w:val="00527E8F"/>
    <w:rPr>
      <w:rFonts w:asciiTheme="minorHAnsi" w:hAnsiTheme="minorHAnsi"/>
    </w:rPr>
  </w:style>
  <w:style w:type="character" w:styleId="SmartHyperlink">
    <w:name w:val="Smart Hyperlink"/>
    <w:basedOn w:val="DefaultParagraphFont"/>
    <w:uiPriority w:val="99"/>
    <w:semiHidden/>
    <w:unhideWhenUsed/>
    <w:rsid w:val="00527E8F"/>
    <w:rPr>
      <w:u w:val="dotted"/>
    </w:rPr>
  </w:style>
  <w:style w:type="character" w:styleId="Strong">
    <w:name w:val="Strong"/>
    <w:basedOn w:val="DefaultParagraphFont"/>
    <w:uiPriority w:val="99"/>
    <w:rsid w:val="00527E8F"/>
    <w:rPr>
      <w:b/>
      <w:bCs/>
    </w:rPr>
  </w:style>
  <w:style w:type="paragraph" w:styleId="Subtitle">
    <w:name w:val="Subtitle"/>
    <w:basedOn w:val="Normal"/>
    <w:next w:val="Normal"/>
    <w:link w:val="SubtitleChar"/>
    <w:uiPriority w:val="99"/>
    <w:rsid w:val="00527E8F"/>
    <w:pPr>
      <w:numPr>
        <w:ilvl w:val="1"/>
      </w:numPr>
      <w:spacing w:after="160"/>
    </w:pPr>
    <w:rPr>
      <w:rFonts w:asciiTheme="majorHAnsi" w:hAnsiTheme="majorHAnsi"/>
      <w:color w:val="5A5A5A" w:themeColor="text1" w:themeTint="A5"/>
      <w:spacing w:val="15"/>
    </w:rPr>
  </w:style>
  <w:style w:type="character" w:customStyle="1" w:styleId="SubtitleChar">
    <w:name w:val="Subtitle Char"/>
    <w:basedOn w:val="DefaultParagraphFont"/>
    <w:link w:val="Subtitle"/>
    <w:uiPriority w:val="99"/>
    <w:rsid w:val="00527E8F"/>
    <w:rPr>
      <w:color w:val="5A5A5A" w:themeColor="text1" w:themeTint="A5"/>
      <w:spacing w:val="15"/>
    </w:rPr>
  </w:style>
  <w:style w:type="character" w:styleId="SubtleEmphasis">
    <w:name w:val="Subtle Emphasis"/>
    <w:basedOn w:val="DefaultParagraphFont"/>
    <w:uiPriority w:val="99"/>
    <w:rsid w:val="00527E8F"/>
    <w:rPr>
      <w:i/>
      <w:iCs/>
      <w:color w:val="404040" w:themeColor="text1" w:themeTint="BF"/>
    </w:rPr>
  </w:style>
  <w:style w:type="character" w:styleId="SubtleReference">
    <w:name w:val="Subtle Reference"/>
    <w:basedOn w:val="DefaultParagraphFont"/>
    <w:uiPriority w:val="99"/>
    <w:rsid w:val="00527E8F"/>
    <w:rPr>
      <w:smallCaps/>
      <w:color w:val="5A5A5A" w:themeColor="text1" w:themeTint="A5"/>
    </w:rPr>
  </w:style>
  <w:style w:type="table" w:styleId="Table3Deffects1">
    <w:name w:val="Table 3D effects 1"/>
    <w:basedOn w:val="TableNormal"/>
    <w:uiPriority w:val="99"/>
    <w:semiHidden/>
    <w:unhideWhenUsed/>
    <w:rsid w:val="00527E8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27E8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27E8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27E8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27E8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27E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27E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27E8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27E8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27E8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27E8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27E8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27E8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27E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27E8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27E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27E8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527E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27E8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27E8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27E8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27E8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27E8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27E8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27E8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27E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27E8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27E8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27E8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27E8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27E8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27E8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27E8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27E8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27E8F"/>
    <w:pPr>
      <w:ind w:left="220" w:hanging="220"/>
    </w:pPr>
  </w:style>
  <w:style w:type="paragraph" w:styleId="TableofFigures">
    <w:name w:val="table of figures"/>
    <w:basedOn w:val="Normal"/>
    <w:next w:val="Normal"/>
    <w:uiPriority w:val="99"/>
    <w:semiHidden/>
    <w:unhideWhenUsed/>
    <w:rsid w:val="00527E8F"/>
  </w:style>
  <w:style w:type="table" w:styleId="TableProfessional">
    <w:name w:val="Table Professional"/>
    <w:basedOn w:val="TableNormal"/>
    <w:uiPriority w:val="99"/>
    <w:semiHidden/>
    <w:unhideWhenUsed/>
    <w:rsid w:val="00527E8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27E8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27E8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27E8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27E8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27E8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27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27E8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27E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27E8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27E8F"/>
    <w:pPr>
      <w:spacing w:before="120"/>
    </w:pPr>
    <w:rPr>
      <w:rFonts w:eastAsiaTheme="majorEastAsia" w:cstheme="majorBidi"/>
      <w:b/>
      <w:bCs/>
      <w:sz w:val="24"/>
      <w:szCs w:val="24"/>
    </w:rPr>
  </w:style>
  <w:style w:type="paragraph" w:styleId="TOC4">
    <w:name w:val="toc 4"/>
    <w:basedOn w:val="Normal"/>
    <w:next w:val="Normal"/>
    <w:autoRedefine/>
    <w:uiPriority w:val="99"/>
    <w:semiHidden/>
    <w:rsid w:val="00527E8F"/>
    <w:pPr>
      <w:spacing w:after="100"/>
    </w:pPr>
  </w:style>
  <w:style w:type="paragraph" w:styleId="TOC5">
    <w:name w:val="toc 5"/>
    <w:basedOn w:val="Normal"/>
    <w:next w:val="Normal"/>
    <w:autoRedefine/>
    <w:uiPriority w:val="99"/>
    <w:semiHidden/>
    <w:rsid w:val="00527E8F"/>
    <w:pPr>
      <w:spacing w:after="100"/>
      <w:ind w:left="880"/>
    </w:pPr>
  </w:style>
  <w:style w:type="paragraph" w:styleId="TOC6">
    <w:name w:val="toc 6"/>
    <w:basedOn w:val="Normal"/>
    <w:next w:val="Normal"/>
    <w:autoRedefine/>
    <w:uiPriority w:val="99"/>
    <w:semiHidden/>
    <w:rsid w:val="00527E8F"/>
    <w:pPr>
      <w:spacing w:after="100"/>
      <w:ind w:left="1100"/>
    </w:pPr>
  </w:style>
  <w:style w:type="paragraph" w:styleId="TOC7">
    <w:name w:val="toc 7"/>
    <w:basedOn w:val="Normal"/>
    <w:next w:val="Normal"/>
    <w:autoRedefine/>
    <w:uiPriority w:val="99"/>
    <w:semiHidden/>
    <w:rsid w:val="00527E8F"/>
    <w:pPr>
      <w:spacing w:after="100"/>
      <w:ind w:left="1320"/>
    </w:pPr>
  </w:style>
  <w:style w:type="paragraph" w:styleId="TOC8">
    <w:name w:val="toc 8"/>
    <w:basedOn w:val="Normal"/>
    <w:next w:val="Normal"/>
    <w:autoRedefine/>
    <w:uiPriority w:val="99"/>
    <w:semiHidden/>
    <w:rsid w:val="00527E8F"/>
    <w:pPr>
      <w:spacing w:after="100"/>
      <w:ind w:left="1540"/>
    </w:pPr>
  </w:style>
  <w:style w:type="paragraph" w:styleId="TOC9">
    <w:name w:val="toc 9"/>
    <w:basedOn w:val="Normal"/>
    <w:next w:val="Normal"/>
    <w:autoRedefine/>
    <w:uiPriority w:val="99"/>
    <w:semiHidden/>
    <w:rsid w:val="00527E8F"/>
    <w:pPr>
      <w:spacing w:after="100"/>
      <w:ind w:left="1760"/>
    </w:pPr>
  </w:style>
  <w:style w:type="character" w:styleId="UnresolvedMention">
    <w:name w:val="Unresolved Mention"/>
    <w:basedOn w:val="DefaultParagraphFont"/>
    <w:uiPriority w:val="99"/>
    <w:unhideWhenUsed/>
    <w:rsid w:val="00527E8F"/>
    <w:rPr>
      <w:color w:val="808080"/>
      <w:shd w:val="clear" w:color="auto" w:fill="E6E6E6"/>
    </w:rPr>
  </w:style>
  <w:style w:type="paragraph" w:customStyle="1" w:styleId="TableNumber2">
    <w:name w:val="Table Number 2"/>
    <w:basedOn w:val="Normal"/>
    <w:uiPriority w:val="5"/>
    <w:qFormat/>
    <w:rsid w:val="00BF1BEA"/>
    <w:pPr>
      <w:numPr>
        <w:ilvl w:val="1"/>
        <w:numId w:val="18"/>
      </w:numPr>
      <w:spacing w:before="40" w:after="40"/>
    </w:pPr>
  </w:style>
  <w:style w:type="paragraph" w:customStyle="1" w:styleId="InstructionText">
    <w:name w:val="Instruction Text"/>
    <w:basedOn w:val="Normal"/>
    <w:link w:val="InstructionTextChar"/>
    <w:uiPriority w:val="99"/>
    <w:semiHidden/>
    <w:rsid w:val="00527E8F"/>
    <w:pPr>
      <w:spacing w:before="120" w:after="120"/>
    </w:pPr>
    <w:rPr>
      <w:i/>
      <w:color w:val="231EDC" w:themeColor="accent1"/>
      <w:sz w:val="18"/>
    </w:rPr>
  </w:style>
  <w:style w:type="character" w:customStyle="1" w:styleId="InstructionTextChar">
    <w:name w:val="Instruction Text Char"/>
    <w:link w:val="InstructionText"/>
    <w:uiPriority w:val="99"/>
    <w:semiHidden/>
    <w:rsid w:val="00527E8F"/>
    <w:rPr>
      <w:rFonts w:ascii="Arial" w:hAnsi="Arial"/>
      <w:i/>
      <w:color w:val="231EDC" w:themeColor="accent1"/>
      <w:sz w:val="18"/>
    </w:rPr>
  </w:style>
  <w:style w:type="character" w:customStyle="1" w:styleId="AdaButton">
    <w:name w:val="AdaButton"/>
    <w:basedOn w:val="DefaultParagraphFont"/>
    <w:uiPriority w:val="99"/>
    <w:semiHidden/>
    <w:rsid w:val="00527E8F"/>
    <w:rPr>
      <w:b w:val="0"/>
      <w:color w:val="CCFFCC"/>
      <w:sz w:val="40"/>
      <w:bdr w:val="single" w:sz="4" w:space="0" w:color="44546A"/>
      <w:shd w:val="clear" w:color="auto" w:fill="999999"/>
    </w:rPr>
  </w:style>
  <w:style w:type="paragraph" w:customStyle="1" w:styleId="FooterHeading">
    <w:name w:val="Footer Heading"/>
    <w:basedOn w:val="Footer"/>
    <w:next w:val="Footer"/>
    <w:uiPriority w:val="99"/>
    <w:semiHidden/>
    <w:rsid w:val="00527E8F"/>
    <w:rPr>
      <w:rFonts w:ascii="Jacobs Chronos Light" w:hAnsi="Jacobs Chronos Light"/>
      <w:b/>
      <w:sz w:val="21"/>
    </w:rPr>
  </w:style>
  <w:style w:type="paragraph" w:customStyle="1" w:styleId="Reference">
    <w:name w:val="Reference"/>
    <w:basedOn w:val="Footer"/>
    <w:uiPriority w:val="99"/>
    <w:semiHidden/>
    <w:rsid w:val="00527E8F"/>
    <w:rPr>
      <w:rFonts w:ascii="Jacobs Chronos Light" w:hAnsi="Jacobs Chronos Light"/>
      <w:sz w:val="13"/>
    </w:rPr>
  </w:style>
  <w:style w:type="paragraph" w:customStyle="1" w:styleId="TableNumber3">
    <w:name w:val="Table Number 3"/>
    <w:basedOn w:val="Normal"/>
    <w:uiPriority w:val="5"/>
    <w:qFormat/>
    <w:rsid w:val="001F0A93"/>
    <w:pPr>
      <w:numPr>
        <w:ilvl w:val="2"/>
        <w:numId w:val="18"/>
      </w:numPr>
      <w:spacing w:before="40" w:after="40"/>
    </w:pPr>
  </w:style>
  <w:style w:type="paragraph" w:customStyle="1" w:styleId="TableBullet2">
    <w:name w:val="Table Bullet 2"/>
    <w:basedOn w:val="Normal"/>
    <w:uiPriority w:val="6"/>
    <w:qFormat/>
    <w:rsid w:val="001F0A93"/>
    <w:pPr>
      <w:numPr>
        <w:ilvl w:val="1"/>
        <w:numId w:val="30"/>
      </w:numPr>
      <w:spacing w:before="40" w:after="40"/>
    </w:pPr>
  </w:style>
  <w:style w:type="paragraph" w:customStyle="1" w:styleId="TableBullet3">
    <w:name w:val="Table Bullet 3"/>
    <w:basedOn w:val="Normal"/>
    <w:uiPriority w:val="6"/>
    <w:qFormat/>
    <w:rsid w:val="001F0A93"/>
    <w:pPr>
      <w:numPr>
        <w:ilvl w:val="2"/>
        <w:numId w:val="30"/>
      </w:numPr>
      <w:spacing w:before="40" w:after="40"/>
    </w:pPr>
  </w:style>
  <w:style w:type="numbering" w:customStyle="1" w:styleId="TableNumbers">
    <w:name w:val="Table Numbers"/>
    <w:uiPriority w:val="99"/>
    <w:semiHidden/>
    <w:rsid w:val="00527E8F"/>
    <w:pPr>
      <w:numPr>
        <w:numId w:val="27"/>
      </w:numPr>
    </w:pPr>
  </w:style>
  <w:style w:type="numbering" w:customStyle="1" w:styleId="TableBullets">
    <w:name w:val="Table Bullets"/>
    <w:uiPriority w:val="99"/>
    <w:semiHidden/>
    <w:rsid w:val="00527E8F"/>
    <w:pPr>
      <w:numPr>
        <w:numId w:val="9"/>
      </w:numPr>
    </w:pPr>
  </w:style>
  <w:style w:type="numbering" w:customStyle="1" w:styleId="AppendixHeadings">
    <w:name w:val="Appendix Headings"/>
    <w:uiPriority w:val="99"/>
    <w:semiHidden/>
    <w:rsid w:val="00527E8F"/>
    <w:pPr>
      <w:numPr>
        <w:numId w:val="15"/>
      </w:numPr>
    </w:pPr>
  </w:style>
  <w:style w:type="numbering" w:styleId="111111">
    <w:name w:val="Outline List 2"/>
    <w:basedOn w:val="NoList"/>
    <w:uiPriority w:val="99"/>
    <w:semiHidden/>
    <w:unhideWhenUsed/>
    <w:rsid w:val="000449AA"/>
    <w:pPr>
      <w:numPr>
        <w:numId w:val="6"/>
      </w:numPr>
    </w:pPr>
  </w:style>
  <w:style w:type="numbering" w:styleId="1ai">
    <w:name w:val="Outline List 1"/>
    <w:basedOn w:val="NoList"/>
    <w:uiPriority w:val="99"/>
    <w:semiHidden/>
    <w:unhideWhenUsed/>
    <w:rsid w:val="000449AA"/>
    <w:pPr>
      <w:numPr>
        <w:numId w:val="7"/>
      </w:numPr>
    </w:pPr>
  </w:style>
  <w:style w:type="character" w:styleId="SmartLink">
    <w:name w:val="Smart Link"/>
    <w:basedOn w:val="DefaultParagraphFont"/>
    <w:uiPriority w:val="99"/>
    <w:semiHidden/>
    <w:unhideWhenUsed/>
    <w:rsid w:val="000449AA"/>
    <w:rPr>
      <w:color w:val="0000FF"/>
      <w:u w:val="single"/>
      <w:shd w:val="clear" w:color="auto" w:fill="F3F2F1"/>
    </w:rPr>
  </w:style>
  <w:style w:type="numbering" w:customStyle="1" w:styleId="BodyTextNumbering">
    <w:name w:val="Body Text Numbering"/>
    <w:uiPriority w:val="99"/>
    <w:semiHidden/>
    <w:rsid w:val="00527E8F"/>
    <w:pPr>
      <w:numPr>
        <w:numId w:val="28"/>
      </w:numPr>
    </w:pPr>
  </w:style>
  <w:style w:type="numbering" w:customStyle="1" w:styleId="Bullets">
    <w:name w:val="Bullets"/>
    <w:uiPriority w:val="99"/>
    <w:semiHidden/>
    <w:rsid w:val="00527E8F"/>
    <w:pPr>
      <w:numPr>
        <w:numId w:val="12"/>
      </w:numPr>
    </w:pPr>
  </w:style>
  <w:style w:type="paragraph" w:styleId="ListBullet">
    <w:name w:val="List Bullet"/>
    <w:basedOn w:val="Normal"/>
    <w:uiPriority w:val="99"/>
    <w:semiHidden/>
    <w:unhideWhenUsed/>
    <w:rsid w:val="00266C2E"/>
    <w:pPr>
      <w:tabs>
        <w:tab w:val="num" w:pos="360"/>
      </w:tabs>
      <w:ind w:left="360" w:hanging="360"/>
      <w:contextualSpacing/>
    </w:pPr>
  </w:style>
  <w:style w:type="paragraph" w:styleId="ListBullet2">
    <w:name w:val="List Bullet 2"/>
    <w:basedOn w:val="Normal"/>
    <w:uiPriority w:val="99"/>
    <w:semiHidden/>
    <w:unhideWhenUsed/>
    <w:rsid w:val="00266C2E"/>
    <w:pPr>
      <w:tabs>
        <w:tab w:val="num" w:pos="643"/>
      </w:tabs>
      <w:ind w:left="643" w:hanging="360"/>
      <w:contextualSpacing/>
    </w:pPr>
  </w:style>
  <w:style w:type="paragraph" w:styleId="ListBullet3">
    <w:name w:val="List Bullet 3"/>
    <w:basedOn w:val="Normal"/>
    <w:uiPriority w:val="99"/>
    <w:semiHidden/>
    <w:unhideWhenUsed/>
    <w:rsid w:val="00266C2E"/>
    <w:pPr>
      <w:tabs>
        <w:tab w:val="num" w:pos="926"/>
      </w:tabs>
      <w:ind w:left="926" w:hanging="360"/>
      <w:contextualSpacing/>
    </w:pPr>
  </w:style>
  <w:style w:type="paragraph" w:styleId="ListNumber">
    <w:name w:val="List Number"/>
    <w:basedOn w:val="Normal"/>
    <w:uiPriority w:val="99"/>
    <w:semiHidden/>
    <w:unhideWhenUsed/>
    <w:rsid w:val="00266C2E"/>
    <w:pPr>
      <w:tabs>
        <w:tab w:val="num" w:pos="360"/>
      </w:tabs>
      <w:ind w:left="360" w:hanging="360"/>
      <w:contextualSpacing/>
    </w:pPr>
  </w:style>
  <w:style w:type="paragraph" w:styleId="ListNumber2">
    <w:name w:val="List Number 2"/>
    <w:basedOn w:val="Normal"/>
    <w:uiPriority w:val="99"/>
    <w:semiHidden/>
    <w:unhideWhenUsed/>
    <w:rsid w:val="00266C2E"/>
    <w:pPr>
      <w:tabs>
        <w:tab w:val="num" w:pos="643"/>
      </w:tabs>
      <w:ind w:left="643" w:hanging="360"/>
      <w:contextualSpacing/>
    </w:pPr>
  </w:style>
  <w:style w:type="paragraph" w:styleId="ListNumber3">
    <w:name w:val="List Number 3"/>
    <w:basedOn w:val="Normal"/>
    <w:uiPriority w:val="99"/>
    <w:semiHidden/>
    <w:unhideWhenUsed/>
    <w:rsid w:val="00266C2E"/>
    <w:pPr>
      <w:tabs>
        <w:tab w:val="num" w:pos="926"/>
      </w:tabs>
      <w:ind w:left="926" w:hanging="360"/>
      <w:contextualSpacing/>
    </w:pPr>
  </w:style>
  <w:style w:type="paragraph" w:styleId="ListNumber4">
    <w:name w:val="List Number 4"/>
    <w:basedOn w:val="Normal"/>
    <w:uiPriority w:val="99"/>
    <w:semiHidden/>
    <w:unhideWhenUsed/>
    <w:rsid w:val="00266C2E"/>
    <w:pPr>
      <w:tabs>
        <w:tab w:val="num" w:pos="1209"/>
      </w:tabs>
      <w:ind w:left="1209" w:hanging="360"/>
      <w:contextualSpacing/>
    </w:pPr>
  </w:style>
  <w:style w:type="paragraph" w:customStyle="1" w:styleId="LetterSubject">
    <w:name w:val="Letter Subject"/>
    <w:next w:val="Normal"/>
    <w:uiPriority w:val="99"/>
    <w:semiHidden/>
    <w:rsid w:val="00527E8F"/>
    <w:pPr>
      <w:spacing w:after="480"/>
    </w:pPr>
    <w:rPr>
      <w:rFonts w:eastAsiaTheme="majorEastAsia" w:cstheme="majorBidi"/>
      <w:b/>
      <w:szCs w:val="32"/>
    </w:rPr>
  </w:style>
  <w:style w:type="paragraph" w:customStyle="1" w:styleId="ProjectDetails">
    <w:name w:val="Project Details"/>
    <w:basedOn w:val="Normal"/>
    <w:next w:val="Normal"/>
    <w:uiPriority w:val="99"/>
    <w:semiHidden/>
    <w:rsid w:val="00527E8F"/>
    <w:pPr>
      <w:spacing w:after="480"/>
      <w:contextualSpacing/>
    </w:pPr>
    <w:rPr>
      <w:rFonts w:eastAsiaTheme="majorEastAsia" w:cstheme="majorBidi"/>
      <w:szCs w:val="32"/>
    </w:rPr>
  </w:style>
  <w:style w:type="paragraph" w:customStyle="1" w:styleId="RecipientDetails">
    <w:name w:val="Recipient Details"/>
    <w:basedOn w:val="Normal"/>
    <w:uiPriority w:val="99"/>
    <w:semiHidden/>
    <w:rsid w:val="00527E8F"/>
    <w:pPr>
      <w:spacing w:before="240" w:after="240"/>
      <w:contextualSpacing/>
    </w:pPr>
  </w:style>
  <w:style w:type="paragraph" w:customStyle="1" w:styleId="LetterDate">
    <w:name w:val="Letter Date"/>
    <w:basedOn w:val="Normal"/>
    <w:uiPriority w:val="99"/>
    <w:semiHidden/>
    <w:rsid w:val="00527E8F"/>
    <w:pPr>
      <w:spacing w:after="240"/>
    </w:pPr>
  </w:style>
  <w:style w:type="paragraph" w:customStyle="1" w:styleId="Copies">
    <w:name w:val="Copies"/>
    <w:basedOn w:val="BodyText"/>
    <w:uiPriority w:val="99"/>
    <w:semiHidden/>
    <w:rsid w:val="00527E8F"/>
    <w:pPr>
      <w:ind w:left="1134" w:hanging="1134"/>
    </w:pPr>
  </w:style>
  <w:style w:type="paragraph" w:customStyle="1" w:styleId="SenderDetails">
    <w:name w:val="Sender Details"/>
    <w:basedOn w:val="Normal"/>
    <w:next w:val="BodyText"/>
    <w:uiPriority w:val="99"/>
    <w:semiHidden/>
    <w:rsid w:val="00527E8F"/>
    <w:pPr>
      <w:spacing w:before="180" w:after="60"/>
      <w:contextualSpacing/>
    </w:pPr>
  </w:style>
  <w:style w:type="paragraph" w:customStyle="1" w:styleId="SenderContactDetails">
    <w:name w:val="Sender Contact Details"/>
    <w:basedOn w:val="Normal"/>
    <w:next w:val="BodyText"/>
    <w:uiPriority w:val="99"/>
    <w:semiHidden/>
    <w:rsid w:val="00527E8F"/>
    <w:pPr>
      <w:spacing w:before="180" w:after="60"/>
      <w:contextualSpacing/>
    </w:pPr>
    <w:rPr>
      <w:sz w:val="16"/>
    </w:rPr>
  </w:style>
  <w:style w:type="paragraph" w:customStyle="1" w:styleId="CVResumeBullet2ndLevel">
    <w:name w:val="CV Resume Bullet 2nd Level"/>
    <w:basedOn w:val="CVResumeBullet"/>
    <w:uiPriority w:val="99"/>
    <w:semiHidden/>
    <w:rsid w:val="00527E8F"/>
    <w:pPr>
      <w:numPr>
        <w:ilvl w:val="1"/>
      </w:numPr>
    </w:pPr>
  </w:style>
  <w:style w:type="paragraph" w:customStyle="1" w:styleId="CVResumeSubcategoryHeading">
    <w:name w:val="CV Resume Subcategory Heading"/>
    <w:basedOn w:val="Normal"/>
    <w:next w:val="Normal"/>
    <w:uiPriority w:val="99"/>
    <w:semiHidden/>
    <w:rsid w:val="00527E8F"/>
    <w:pPr>
      <w:spacing w:before="120" w:after="120"/>
    </w:pPr>
    <w:rPr>
      <w:rFonts w:asciiTheme="majorHAnsi" w:hAnsiTheme="majorHAnsi"/>
      <w:color w:val="333333"/>
      <w:sz w:val="22"/>
    </w:rPr>
  </w:style>
  <w:style w:type="paragraph" w:customStyle="1" w:styleId="CVResumeTableText">
    <w:name w:val="CV Resume Table Text"/>
    <w:basedOn w:val="Normal"/>
    <w:uiPriority w:val="99"/>
    <w:semiHidden/>
    <w:rsid w:val="00527E8F"/>
    <w:pPr>
      <w:spacing w:after="60"/>
    </w:pPr>
    <w:rPr>
      <w:rFonts w:ascii="Jacobs Chronos Light" w:hAnsi="Jacobs Chronos Light"/>
    </w:rPr>
  </w:style>
  <w:style w:type="paragraph" w:customStyle="1" w:styleId="CVResumeName">
    <w:name w:val="CV Resume Name"/>
    <w:uiPriority w:val="99"/>
    <w:semiHidden/>
    <w:rsid w:val="00527E8F"/>
    <w:pPr>
      <w:spacing w:after="120"/>
      <w:outlineLvl w:val="0"/>
    </w:pPr>
    <w:rPr>
      <w:rFonts w:cs="Jacobs Chronos"/>
      <w:b/>
      <w:color w:val="231EDC" w:themeColor="accent1"/>
      <w:sz w:val="32"/>
      <w:szCs w:val="24"/>
    </w:rPr>
  </w:style>
  <w:style w:type="paragraph" w:customStyle="1" w:styleId="CVResumeTitleRole">
    <w:name w:val="CV Resume Title Role"/>
    <w:next w:val="CVResumeHeading"/>
    <w:uiPriority w:val="99"/>
    <w:semiHidden/>
    <w:rsid w:val="00527E8F"/>
    <w:rPr>
      <w:rFonts w:cs="Jacobs Chronos"/>
      <w:sz w:val="28"/>
      <w:szCs w:val="24"/>
    </w:rPr>
  </w:style>
  <w:style w:type="paragraph" w:customStyle="1" w:styleId="CVResumeBullet">
    <w:name w:val="CV Resume Bullet"/>
    <w:basedOn w:val="CVResumeTableText"/>
    <w:uiPriority w:val="99"/>
    <w:semiHidden/>
    <w:rsid w:val="00527E8F"/>
    <w:pPr>
      <w:numPr>
        <w:numId w:val="24"/>
      </w:numPr>
    </w:pPr>
  </w:style>
  <w:style w:type="paragraph" w:customStyle="1" w:styleId="CVResumeTableHeading">
    <w:name w:val="CV Resume Table Heading"/>
    <w:basedOn w:val="CVResumeTableText"/>
    <w:next w:val="CVResumeTableText"/>
    <w:uiPriority w:val="99"/>
    <w:semiHidden/>
    <w:rsid w:val="00527E8F"/>
    <w:rPr>
      <w:rFonts w:cs="Jacobs Chronos Light"/>
      <w:b/>
      <w:color w:val="333333" w:themeColor="text2"/>
    </w:rPr>
  </w:style>
  <w:style w:type="paragraph" w:customStyle="1" w:styleId="CVResumeHeading">
    <w:name w:val="CV Resume Heading"/>
    <w:next w:val="BodyText"/>
    <w:uiPriority w:val="99"/>
    <w:semiHidden/>
    <w:rsid w:val="00527E8F"/>
    <w:pPr>
      <w:spacing w:before="120" w:after="120"/>
    </w:pPr>
    <w:rPr>
      <w:rFonts w:ascii="Jacobs Chronos Light" w:hAnsi="Jacobs Chronos Light" w:cs="Jacobs Chronos Light"/>
      <w:color w:val="231EDC" w:themeColor="accent1"/>
      <w:sz w:val="24"/>
      <w:szCs w:val="24"/>
    </w:rPr>
  </w:style>
  <w:style w:type="paragraph" w:customStyle="1" w:styleId="CVResumeProjectHeading">
    <w:name w:val="CV Resume Project Heading"/>
    <w:next w:val="BodyText"/>
    <w:uiPriority w:val="99"/>
    <w:semiHidden/>
    <w:rsid w:val="00527E8F"/>
    <w:pPr>
      <w:spacing w:before="180" w:after="120"/>
    </w:pPr>
    <w:rPr>
      <w:rFonts w:ascii="Jacobs Chronos Light" w:hAnsi="Jacobs Chronos Light" w:cs="Jacobs Chronos"/>
      <w:b/>
      <w:color w:val="231EDC" w:themeColor="accent1"/>
      <w:sz w:val="22"/>
      <w:szCs w:val="24"/>
    </w:rPr>
  </w:style>
  <w:style w:type="paragraph" w:customStyle="1" w:styleId="AddressText">
    <w:name w:val="Address Text"/>
    <w:basedOn w:val="TableText"/>
    <w:uiPriority w:val="99"/>
    <w:semiHidden/>
    <w:rsid w:val="00527E8F"/>
    <w:pPr>
      <w:spacing w:before="60" w:after="60"/>
    </w:pPr>
    <w:rPr>
      <w:rFonts w:asciiTheme="minorHAnsi" w:hAnsiTheme="minorHAnsi"/>
      <w:sz w:val="18"/>
    </w:rPr>
  </w:style>
  <w:style w:type="paragraph" w:customStyle="1" w:styleId="PhotologNumber">
    <w:name w:val="Photolog Number"/>
    <w:basedOn w:val="BodyText"/>
    <w:uiPriority w:val="7"/>
    <w:qFormat/>
    <w:rsid w:val="00527E8F"/>
    <w:pPr>
      <w:numPr>
        <w:numId w:val="20"/>
      </w:numPr>
    </w:pPr>
    <w:rPr>
      <w:rFonts w:eastAsiaTheme="minorHAnsi"/>
      <w:b/>
    </w:rPr>
  </w:style>
  <w:style w:type="numbering" w:customStyle="1" w:styleId="PhotologNumberList">
    <w:name w:val="Photolog Number List"/>
    <w:uiPriority w:val="99"/>
    <w:semiHidden/>
    <w:rsid w:val="00527E8F"/>
    <w:pPr>
      <w:numPr>
        <w:numId w:val="10"/>
      </w:numPr>
    </w:pPr>
  </w:style>
  <w:style w:type="paragraph" w:customStyle="1" w:styleId="CapabilityBullet">
    <w:name w:val="Capability Bullet"/>
    <w:uiPriority w:val="99"/>
    <w:semiHidden/>
    <w:rsid w:val="00527E8F"/>
    <w:pPr>
      <w:numPr>
        <w:numId w:val="22"/>
      </w:numPr>
      <w:spacing w:before="40" w:after="40"/>
    </w:pPr>
    <w:rPr>
      <w:rFonts w:asciiTheme="minorHAnsi" w:hAnsiTheme="minorHAnsi" w:cs="Jacobs Chronos"/>
      <w:szCs w:val="24"/>
    </w:rPr>
  </w:style>
  <w:style w:type="paragraph" w:customStyle="1" w:styleId="CapabilityBullet2ndLevel">
    <w:name w:val="Capability Bullet 2nd Level"/>
    <w:basedOn w:val="CapabilityBullet"/>
    <w:uiPriority w:val="99"/>
    <w:semiHidden/>
    <w:rsid w:val="00527E8F"/>
    <w:pPr>
      <w:numPr>
        <w:ilvl w:val="1"/>
      </w:numPr>
    </w:pPr>
  </w:style>
  <w:style w:type="numbering" w:customStyle="1" w:styleId="CapabilityBullets">
    <w:name w:val="Capability Bullets"/>
    <w:uiPriority w:val="99"/>
    <w:semiHidden/>
    <w:rsid w:val="00527E8F"/>
    <w:pPr>
      <w:numPr>
        <w:numId w:val="13"/>
      </w:numPr>
    </w:pPr>
  </w:style>
  <w:style w:type="paragraph" w:customStyle="1" w:styleId="ProjectBullet">
    <w:name w:val="Project Bullet"/>
    <w:uiPriority w:val="99"/>
    <w:semiHidden/>
    <w:rsid w:val="00527E8F"/>
    <w:pPr>
      <w:numPr>
        <w:numId w:val="23"/>
      </w:numPr>
      <w:spacing w:after="60"/>
    </w:pPr>
    <w:rPr>
      <w:rFonts w:asciiTheme="minorHAnsi" w:hAnsiTheme="minorHAnsi" w:cs="Jacobs Chronos"/>
      <w:szCs w:val="24"/>
    </w:rPr>
  </w:style>
  <w:style w:type="paragraph" w:customStyle="1" w:styleId="ProjectBullet2ndLevel">
    <w:name w:val="Project Bullet 2nd Level"/>
    <w:basedOn w:val="ProjectBullet"/>
    <w:uiPriority w:val="99"/>
    <w:semiHidden/>
    <w:rsid w:val="00527E8F"/>
    <w:pPr>
      <w:numPr>
        <w:ilvl w:val="1"/>
      </w:numPr>
    </w:pPr>
  </w:style>
  <w:style w:type="numbering" w:customStyle="1" w:styleId="ProjectBullets">
    <w:name w:val="Project Bullets"/>
    <w:uiPriority w:val="99"/>
    <w:semiHidden/>
    <w:rsid w:val="00527E8F"/>
    <w:pPr>
      <w:numPr>
        <w:numId w:val="11"/>
      </w:numPr>
    </w:pPr>
  </w:style>
  <w:style w:type="paragraph" w:customStyle="1" w:styleId="SourceCitation0">
    <w:name w:val="Source/Citation"/>
    <w:basedOn w:val="Normal"/>
    <w:next w:val="BodyText"/>
    <w:uiPriority w:val="8"/>
    <w:qFormat/>
    <w:rsid w:val="00527E8F"/>
    <w:pPr>
      <w:spacing w:before="40" w:after="40"/>
    </w:pPr>
    <w:rPr>
      <w:rFonts w:ascii="Jacobs Chronos Light" w:hAnsi="Jacobs Chronos Light"/>
      <w:i/>
      <w:sz w:val="18"/>
    </w:rPr>
  </w:style>
  <w:style w:type="paragraph" w:customStyle="1" w:styleId="CoverDate">
    <w:name w:val="Cover Date"/>
    <w:basedOn w:val="CoverInformation"/>
    <w:uiPriority w:val="99"/>
    <w:semiHidden/>
    <w:rsid w:val="00527E8F"/>
    <w:pPr>
      <w:spacing w:before="1080"/>
      <w:contextualSpacing w:val="0"/>
      <w:jc w:val="right"/>
    </w:pPr>
  </w:style>
  <w:style w:type="paragraph" w:customStyle="1" w:styleId="CaptionNote">
    <w:name w:val="Caption Note"/>
    <w:basedOn w:val="Normal"/>
    <w:next w:val="BodyText"/>
    <w:uiPriority w:val="99"/>
    <w:semiHidden/>
    <w:rsid w:val="00527E8F"/>
    <w:pPr>
      <w:spacing w:before="40" w:after="40"/>
    </w:pPr>
    <w:rPr>
      <w:rFonts w:ascii="Jacobs Chronos Light" w:hAnsi="Jacobs Chronos Light"/>
      <w:i/>
    </w:rPr>
  </w:style>
  <w:style w:type="paragraph" w:customStyle="1" w:styleId="PictureCaption">
    <w:name w:val="Picture Caption"/>
    <w:basedOn w:val="FigureCaption"/>
    <w:next w:val="BodyText"/>
    <w:uiPriority w:val="99"/>
    <w:semiHidden/>
    <w:rsid w:val="00527E8F"/>
    <w:pPr>
      <w:keepNext/>
    </w:pPr>
  </w:style>
  <w:style w:type="paragraph" w:customStyle="1" w:styleId="Classification">
    <w:name w:val="Classification"/>
    <w:basedOn w:val="HeaderSpacer"/>
    <w:uiPriority w:val="99"/>
    <w:semiHidden/>
    <w:rsid w:val="00527E8F"/>
    <w:pPr>
      <w:jc w:val="center"/>
    </w:pPr>
    <w:rPr>
      <w:rFonts w:ascii="Calibri" w:hAnsi="Calibri"/>
      <w:sz w:val="20"/>
    </w:rPr>
  </w:style>
  <w:style w:type="paragraph" w:customStyle="1" w:styleId="ProjectHeading">
    <w:name w:val="Project Heading"/>
    <w:next w:val="Normal"/>
    <w:uiPriority w:val="99"/>
    <w:semiHidden/>
    <w:rsid w:val="00527E8F"/>
    <w:pPr>
      <w:spacing w:before="120" w:after="120"/>
      <w:outlineLvl w:val="1"/>
    </w:pPr>
    <w:rPr>
      <w:rFonts w:ascii="Jacobs Chronos Light" w:hAnsi="Jacobs Chronos Light" w:cs="Jacobs Chronos Light"/>
      <w:color w:val="231EDC" w:themeColor="accent1"/>
      <w:sz w:val="24"/>
    </w:rPr>
  </w:style>
  <w:style w:type="paragraph" w:customStyle="1" w:styleId="EgressHeaderStyleInternalOnlyIdOffice">
    <w:name w:val="EgressHeaderStyleInternalOnlyIdOffice"/>
    <w:basedOn w:val="Normal"/>
    <w:uiPriority w:val="99"/>
    <w:semiHidden/>
    <w:rsid w:val="00365E37"/>
    <w:pPr>
      <w:jc w:val="center"/>
    </w:pPr>
    <w:rPr>
      <w:rFonts w:cs="Arial"/>
      <w:b/>
      <w:color w:val="000000"/>
      <w:sz w:val="24"/>
    </w:rPr>
  </w:style>
  <w:style w:type="paragraph" w:customStyle="1" w:styleId="EgressFooterStyleInternalOnlyIdOffice">
    <w:name w:val="EgressFooterStyleInternalOnlyIdOffice"/>
    <w:basedOn w:val="Normal"/>
    <w:uiPriority w:val="99"/>
    <w:semiHidden/>
    <w:rsid w:val="00365E37"/>
    <w:pPr>
      <w:jc w:val="center"/>
    </w:pPr>
    <w:rPr>
      <w:rFonts w:cs="Arial"/>
      <w:b/>
      <w:color w:val="000000"/>
      <w:sz w:val="24"/>
    </w:rPr>
  </w:style>
  <w:style w:type="table" w:customStyle="1" w:styleId="JacobsTable1accentprimarythemes">
    <w:name w:val="Jacobs Table 1 (accent &amp; primary themes)"/>
    <w:basedOn w:val="TableNormal"/>
    <w:uiPriority w:val="99"/>
    <w:rsid w:val="00527E8F"/>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cBorders>
        <w:shd w:val="clear" w:color="auto" w:fill="000000" w:themeFill="tex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accentthemes">
    <w:name w:val="Jacobs Table 2 (accent themes)"/>
    <w:basedOn w:val="TableNormal"/>
    <w:uiPriority w:val="99"/>
    <w:rsid w:val="00527E8F"/>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lastRow">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accentthemes">
    <w:name w:val="Jacobs Table 3 (accent themes)"/>
    <w:basedOn w:val="TableNormal"/>
    <w:uiPriority w:val="99"/>
    <w:rsid w:val="00527E8F"/>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A7DFF" w:themeFill="accen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firstCol">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nil"/>
          <w:tl2br w:val="nil"/>
          <w:tr2bl w:val="nil"/>
        </w:tcBorders>
        <w:shd w:val="clear" w:color="auto" w:fill="001E55" w:themeFill="accent4"/>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1E55" w:themeFill="accent4"/>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2primarythemes">
    <w:name w:val="Jacobs Table 2 (primary themes)"/>
    <w:basedOn w:val="TableNormal"/>
    <w:uiPriority w:val="99"/>
    <w:rsid w:val="00527E8F"/>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b/>
        <w:color w:val="FFFFFF" w:themeColor="background1"/>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231EDC" w:themeFill="accent1"/>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2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table" w:customStyle="1" w:styleId="JacobsTable3primarythemes">
    <w:name w:val="Jacobs Table 3 (primary themes)"/>
    <w:basedOn w:val="TableNormal"/>
    <w:uiPriority w:val="99"/>
    <w:rsid w:val="00527E8F"/>
    <w:pPr>
      <w:spacing w:before="40" w:after="40"/>
    </w:pPr>
    <w:rPr>
      <w:rFonts w:ascii="Jacobs Chronos Cd" w:hAnsi="Jacobs Chronos Cd"/>
    </w:rPr>
    <w:tblPr>
      <w:tblStyleRowBandSize w:val="1"/>
      <w:tblStyleColBandSize w:val="1"/>
      <w:tblBorders>
        <w:top w:val="single" w:sz="4" w:space="0" w:color="E6E6E6" w:themeColor="background2"/>
        <w:bottom w:val="single" w:sz="4" w:space="0" w:color="E6E6E6" w:themeColor="background2"/>
        <w:insideH w:val="single" w:sz="4" w:space="0" w:color="E6E6E6" w:themeColor="background2"/>
        <w:insideV w:val="single" w:sz="4" w:space="0" w:color="E6E6E6" w:themeColor="background2"/>
      </w:tblBorders>
    </w:tblPr>
    <w:tcPr>
      <w:shd w:val="clear" w:color="auto" w:fill="FFFFFF" w:themeFill="background1"/>
    </w:tcPr>
    <w:tblStylePr w:type="firstRow">
      <w:pPr>
        <w:wordWrap/>
        <w:spacing w:beforeLines="0" w:before="60" w:beforeAutospacing="0" w:afterLines="0" w:after="60" w:afterAutospacing="0"/>
      </w:pPr>
      <w:rPr>
        <w:rFonts w:asciiTheme="minorHAnsi" w:hAnsiTheme="minorHAnsi"/>
        <w:b w:val="0"/>
        <w:color w:val="FFFFFF" w:themeColor="background1"/>
        <w:sz w:val="22"/>
      </w:rPr>
      <w:tblPr/>
      <w:tcPr>
        <w:tcBorders>
          <w:top w:val="single" w:sz="4" w:space="0" w:color="FFFFFF" w:themeColor="background1"/>
          <w:left w:val="nil"/>
          <w:bottom w:val="single" w:sz="4" w:space="0" w:color="FFFFFF" w:themeColor="background1"/>
          <w:right w:val="nil"/>
          <w:insideH w:val="single" w:sz="4" w:space="0" w:color="FFFFFF" w:themeColor="background1"/>
          <w:insideV w:val="single" w:sz="4" w:space="0" w:color="FFFFFF" w:themeColor="background1"/>
          <w:tl2br w:val="nil"/>
          <w:tr2bl w:val="nil"/>
        </w:tcBorders>
        <w:shd w:val="clear" w:color="auto" w:fill="333333" w:themeFill="text2"/>
      </w:tcPr>
    </w:tblStylePr>
    <w:tblStylePr w:type="lastRow">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000000" w:themeFill="text1"/>
      </w:tcPr>
    </w:tblStylePr>
    <w:tblStylePr w:type="firstCol">
      <w:rPr>
        <w:color w:val="auto"/>
      </w:rPr>
      <w:tblPr/>
      <w:tcPr>
        <w:tcBorders>
          <w:top w:val="single" w:sz="4" w:space="0" w:color="FFFFFF" w:themeColor="background1"/>
          <w:left w:val="nil"/>
          <w:bottom w:val="single" w:sz="4" w:space="0" w:color="E6E6E6" w:themeColor="background2"/>
          <w:right w:val="single" w:sz="4" w:space="0" w:color="FFFFFF" w:themeColor="background1"/>
          <w:insideH w:val="single" w:sz="4" w:space="0" w:color="FFFFFF" w:themeColor="background1"/>
          <w:insideV w:val="single" w:sz="4" w:space="0" w:color="FFFFFF" w:themeColor="background1"/>
          <w:tl2br w:val="nil"/>
          <w:tr2bl w:val="nil"/>
        </w:tcBorders>
        <w:shd w:val="clear" w:color="auto" w:fill="A5A5A5" w:themeFill="accent5"/>
      </w:tcPr>
    </w:tblStylePr>
    <w:tblStylePr w:type="lastCol">
      <w:tblPr/>
      <w:tcPr>
        <w:tcBorders>
          <w:top w:val="single" w:sz="4" w:space="0" w:color="FFFFFF" w:themeColor="background1"/>
          <w:left w:val="single" w:sz="4" w:space="0" w:color="FFFFFF" w:themeColor="background1"/>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231EDC" w:themeFill="accent1"/>
      </w:tcPr>
    </w:tblStylePr>
    <w:tblStylePr w:type="band1Vert">
      <w:tblPr/>
      <w:tcPr>
        <w:tcBorders>
          <w:top w:val="single" w:sz="4" w:space="0" w:color="E6E6E6" w:themeColor="background2"/>
          <w:left w:val="nil"/>
          <w:bottom w:val="single" w:sz="4" w:space="0" w:color="E6E6E6" w:themeColor="background2"/>
          <w:right w:val="nil"/>
          <w:insideH w:val="single" w:sz="4" w:space="0" w:color="FFFFFF" w:themeColor="background1"/>
          <w:insideV w:val="single" w:sz="4" w:space="0" w:color="FFFFFF" w:themeColor="background1"/>
        </w:tcBorders>
        <w:shd w:val="clear" w:color="auto" w:fill="E6E6E6" w:themeFill="background2"/>
      </w:tcPr>
    </w:tblStylePr>
    <w:tblStylePr w:type="band1Horz">
      <w:tblPr/>
      <w:tcPr>
        <w:tcBorders>
          <w:top w:val="single" w:sz="4" w:space="0" w:color="FFFFFF" w:themeColor="background1"/>
          <w:left w:val="nil"/>
          <w:bottom w:val="single" w:sz="4" w:space="0" w:color="E6E6E6" w:themeColor="background2"/>
          <w:right w:val="nil"/>
          <w:insideH w:val="single" w:sz="4" w:space="0" w:color="FFFFFF" w:themeColor="background1"/>
          <w:insideV w:val="single" w:sz="4" w:space="0" w:color="FFFFFF" w:themeColor="background1"/>
          <w:tl2br w:val="nil"/>
          <w:tr2bl w:val="nil"/>
        </w:tcBorders>
        <w:shd w:val="clear" w:color="auto" w:fill="E6E6E6" w:themeFill="background2"/>
      </w:tcPr>
    </w:tblStylePr>
  </w:style>
  <w:style w:type="paragraph" w:customStyle="1" w:styleId="InstructionNumber">
    <w:name w:val="Instruction Number"/>
    <w:basedOn w:val="InstructionText"/>
    <w:uiPriority w:val="99"/>
    <w:semiHidden/>
    <w:rsid w:val="00527E8F"/>
    <w:pPr>
      <w:numPr>
        <w:numId w:val="21"/>
      </w:numPr>
    </w:pPr>
  </w:style>
  <w:style w:type="paragraph" w:customStyle="1" w:styleId="InstructionBullet">
    <w:name w:val="Instruction Bullet"/>
    <w:basedOn w:val="InstructionText"/>
    <w:uiPriority w:val="99"/>
    <w:semiHidden/>
    <w:rsid w:val="00527E8F"/>
    <w:pPr>
      <w:numPr>
        <w:ilvl w:val="1"/>
        <w:numId w:val="21"/>
      </w:numPr>
    </w:pPr>
  </w:style>
  <w:style w:type="numbering" w:customStyle="1" w:styleId="InstructionNumbering">
    <w:name w:val="Instruction Numbering"/>
    <w:uiPriority w:val="99"/>
    <w:semiHidden/>
    <w:rsid w:val="00527E8F"/>
    <w:pPr>
      <w:numPr>
        <w:numId w:val="14"/>
      </w:numPr>
    </w:pPr>
  </w:style>
  <w:style w:type="paragraph" w:customStyle="1" w:styleId="ProjectTableText">
    <w:name w:val="Project Table Text"/>
    <w:uiPriority w:val="99"/>
    <w:semiHidden/>
    <w:rsid w:val="00527E8F"/>
    <w:rPr>
      <w:rFonts w:ascii="Jacobs Chronos Light" w:hAnsi="Jacobs Chronos Light"/>
    </w:rPr>
  </w:style>
  <w:style w:type="paragraph" w:customStyle="1" w:styleId="ProjectName">
    <w:name w:val="Project Name"/>
    <w:uiPriority w:val="99"/>
    <w:semiHidden/>
    <w:rsid w:val="00527E8F"/>
    <w:pPr>
      <w:spacing w:after="120"/>
      <w:outlineLvl w:val="0"/>
    </w:pPr>
    <w:rPr>
      <w:rFonts w:cs="Jacobs Chronos"/>
      <w:b/>
      <w:color w:val="231EDC" w:themeColor="accent1"/>
      <w:sz w:val="32"/>
    </w:rPr>
  </w:style>
  <w:style w:type="paragraph" w:customStyle="1" w:styleId="ProjectLocation">
    <w:name w:val="Project Location"/>
    <w:next w:val="BodyText"/>
    <w:uiPriority w:val="99"/>
    <w:semiHidden/>
    <w:rsid w:val="00527E8F"/>
    <w:rPr>
      <w:rFonts w:cs="Jacobs Chronos"/>
      <w:sz w:val="28"/>
    </w:rPr>
  </w:style>
  <w:style w:type="paragraph" w:customStyle="1" w:styleId="ProjectSubcategoryHeading">
    <w:name w:val="Project Subcategory Heading"/>
    <w:next w:val="BodyText"/>
    <w:uiPriority w:val="99"/>
    <w:semiHidden/>
    <w:rsid w:val="00527E8F"/>
    <w:pPr>
      <w:spacing w:before="120" w:after="120"/>
    </w:pPr>
    <w:rPr>
      <w:rFonts w:cs="Jacobs Chronos"/>
      <w:b/>
      <w:color w:val="333333"/>
      <w:sz w:val="22"/>
    </w:rPr>
  </w:style>
  <w:style w:type="paragraph" w:customStyle="1" w:styleId="ProjectTableHeading">
    <w:name w:val="Project Table Heading"/>
    <w:basedOn w:val="Normal"/>
    <w:next w:val="Normal"/>
    <w:uiPriority w:val="99"/>
    <w:semiHidden/>
    <w:rsid w:val="00527E8F"/>
    <w:pPr>
      <w:spacing w:after="60"/>
    </w:pPr>
    <w:rPr>
      <w:rFonts w:ascii="Jacobs Chronos Light" w:hAnsi="Jacobs Chronos Light" w:cs="Jacobs Chronos Light"/>
      <w:b/>
      <w:color w:val="333333" w:themeColor="text2"/>
    </w:rPr>
  </w:style>
  <w:style w:type="paragraph" w:customStyle="1" w:styleId="CapabilityWhitePaperTitle">
    <w:name w:val="Capability White Paper Title"/>
    <w:uiPriority w:val="99"/>
    <w:semiHidden/>
    <w:rsid w:val="00527E8F"/>
    <w:pPr>
      <w:spacing w:after="120"/>
      <w:outlineLvl w:val="0"/>
    </w:pPr>
    <w:rPr>
      <w:rFonts w:cs="Jacobs Chronos"/>
      <w:b/>
      <w:color w:val="231EDC" w:themeColor="accent1"/>
      <w:sz w:val="32"/>
      <w:szCs w:val="22"/>
    </w:rPr>
  </w:style>
  <w:style w:type="paragraph" w:customStyle="1" w:styleId="MarketSectorHeading">
    <w:name w:val="Market Sector Heading"/>
    <w:basedOn w:val="Normal"/>
    <w:next w:val="BodyText"/>
    <w:uiPriority w:val="99"/>
    <w:semiHidden/>
    <w:rsid w:val="00527E8F"/>
    <w:pPr>
      <w:spacing w:before="120" w:after="240"/>
    </w:pPr>
    <w:rPr>
      <w:rFonts w:asciiTheme="majorHAnsi" w:hAnsiTheme="majorHAnsi"/>
      <w:sz w:val="28"/>
      <w:szCs w:val="22"/>
    </w:rPr>
  </w:style>
  <w:style w:type="paragraph" w:customStyle="1" w:styleId="SubHeading2">
    <w:name w:val="Sub Heading 2"/>
    <w:next w:val="BodyText"/>
    <w:uiPriority w:val="99"/>
    <w:semiHidden/>
    <w:rsid w:val="00527E8F"/>
    <w:pPr>
      <w:spacing w:before="240" w:after="120"/>
      <w:outlineLvl w:val="1"/>
    </w:pPr>
    <w:rPr>
      <w:rFonts w:cs="Jacobs Chronos Light"/>
      <w:color w:val="333333"/>
      <w:sz w:val="22"/>
      <w:szCs w:val="22"/>
    </w:rPr>
  </w:style>
  <w:style w:type="paragraph" w:customStyle="1" w:styleId="SubHeading">
    <w:name w:val="Sub Heading"/>
    <w:next w:val="Normal"/>
    <w:uiPriority w:val="99"/>
    <w:semiHidden/>
    <w:rsid w:val="00527E8F"/>
    <w:pPr>
      <w:spacing w:before="120" w:after="120"/>
      <w:outlineLvl w:val="0"/>
    </w:pPr>
    <w:rPr>
      <w:rFonts w:ascii="Jacobs Chronos Light" w:hAnsi="Jacobs Chronos Light" w:cs="Jacobs Chronos Light"/>
      <w:color w:val="231EDC" w:themeColor="accent1"/>
      <w:sz w:val="24"/>
      <w:szCs w:val="22"/>
    </w:rPr>
  </w:style>
  <w:style w:type="paragraph" w:customStyle="1" w:styleId="CapabilityTableHeading">
    <w:name w:val="Capability Table Heading"/>
    <w:basedOn w:val="Normal"/>
    <w:uiPriority w:val="99"/>
    <w:semiHidden/>
    <w:rsid w:val="00527E8F"/>
    <w:pPr>
      <w:framePr w:hSpace="180" w:wrap="around" w:vAnchor="text" w:hAnchor="text" w:y="-49"/>
      <w:spacing w:before="60" w:after="60"/>
    </w:pPr>
    <w:rPr>
      <w:rFonts w:ascii="Jacobs Chronos Light" w:hAnsi="Jacobs Chronos Light"/>
      <w:b/>
      <w:szCs w:val="22"/>
    </w:rPr>
  </w:style>
  <w:style w:type="paragraph" w:customStyle="1" w:styleId="CapabilityTableText">
    <w:name w:val="Capability Table Text"/>
    <w:basedOn w:val="BodyText"/>
    <w:uiPriority w:val="99"/>
    <w:semiHidden/>
    <w:rsid w:val="00527E8F"/>
    <w:pPr>
      <w:spacing w:before="60"/>
    </w:pPr>
    <w:rPr>
      <w:rFonts w:ascii="Jacobs Chronos Light" w:hAnsi="Jacobs Chronos Light"/>
      <w:szCs w:val="22"/>
    </w:rPr>
  </w:style>
  <w:style w:type="paragraph" w:customStyle="1" w:styleId="AppendixHeading5">
    <w:name w:val="Appendix Heading 5"/>
    <w:basedOn w:val="BodyText"/>
    <w:next w:val="BodyText"/>
    <w:uiPriority w:val="19"/>
    <w:qFormat/>
    <w:rsid w:val="00527E8F"/>
    <w:pPr>
      <w:keepNext/>
      <w:numPr>
        <w:ilvl w:val="4"/>
        <w:numId w:val="19"/>
      </w:numPr>
      <w:spacing w:before="240" w:after="120"/>
      <w:outlineLvl w:val="4"/>
    </w:pPr>
    <w:rPr>
      <w:rFonts w:asciiTheme="majorHAnsi" w:hAnsiTheme="majorHAnsi"/>
      <w:b/>
    </w:rPr>
  </w:style>
  <w:style w:type="paragraph" w:customStyle="1" w:styleId="AppendixHeading6">
    <w:name w:val="Appendix Heading 6"/>
    <w:basedOn w:val="BodyText"/>
    <w:next w:val="BodyText"/>
    <w:uiPriority w:val="19"/>
    <w:qFormat/>
    <w:rsid w:val="00527E8F"/>
    <w:pPr>
      <w:keepNext/>
      <w:numPr>
        <w:ilvl w:val="5"/>
        <w:numId w:val="19"/>
      </w:numPr>
      <w:spacing w:before="240" w:after="120"/>
      <w:outlineLvl w:val="5"/>
    </w:pPr>
    <w:rPr>
      <w:rFonts w:asciiTheme="majorHAnsi" w:hAnsiTheme="majorHAnsi"/>
      <w:b/>
    </w:rPr>
  </w:style>
  <w:style w:type="paragraph" w:customStyle="1" w:styleId="BodyText5Number">
    <w:name w:val="Body Text 5 Number"/>
    <w:basedOn w:val="Normal"/>
    <w:uiPriority w:val="99"/>
    <w:semiHidden/>
    <w:rsid w:val="00527E8F"/>
    <w:pPr>
      <w:numPr>
        <w:ilvl w:val="4"/>
        <w:numId w:val="16"/>
      </w:numPr>
      <w:spacing w:before="180" w:after="120"/>
      <w:ind w:left="1797" w:hanging="357"/>
    </w:pPr>
  </w:style>
  <w:style w:type="paragraph" w:customStyle="1" w:styleId="BodyText6Number">
    <w:name w:val="Body Text 6 Number"/>
    <w:basedOn w:val="Normal"/>
    <w:uiPriority w:val="99"/>
    <w:semiHidden/>
    <w:rsid w:val="00527E8F"/>
    <w:pPr>
      <w:numPr>
        <w:ilvl w:val="5"/>
        <w:numId w:val="16"/>
      </w:numPr>
      <w:spacing w:before="180" w:after="120"/>
      <w:ind w:left="2154" w:hanging="357"/>
    </w:pPr>
  </w:style>
  <w:style w:type="paragraph" w:customStyle="1" w:styleId="BodyText7Number">
    <w:name w:val="Body Text 7 Number"/>
    <w:basedOn w:val="Normal"/>
    <w:uiPriority w:val="99"/>
    <w:semiHidden/>
    <w:rsid w:val="00527E8F"/>
    <w:pPr>
      <w:numPr>
        <w:ilvl w:val="6"/>
        <w:numId w:val="16"/>
      </w:numPr>
      <w:spacing w:before="180" w:after="120"/>
      <w:ind w:left="2517" w:hanging="357"/>
    </w:pPr>
  </w:style>
  <w:style w:type="paragraph" w:customStyle="1" w:styleId="BodyText8Number">
    <w:name w:val="Body Text 8 Number"/>
    <w:basedOn w:val="Normal"/>
    <w:uiPriority w:val="99"/>
    <w:semiHidden/>
    <w:rsid w:val="00527E8F"/>
    <w:pPr>
      <w:numPr>
        <w:ilvl w:val="7"/>
        <w:numId w:val="16"/>
      </w:numPr>
      <w:spacing w:before="180" w:after="120"/>
      <w:ind w:left="2874" w:hanging="357"/>
    </w:pPr>
  </w:style>
  <w:style w:type="paragraph" w:customStyle="1" w:styleId="BodyText9Number">
    <w:name w:val="Body Text 9 Number"/>
    <w:basedOn w:val="Normal"/>
    <w:uiPriority w:val="99"/>
    <w:semiHidden/>
    <w:rsid w:val="00527E8F"/>
    <w:pPr>
      <w:numPr>
        <w:ilvl w:val="8"/>
        <w:numId w:val="16"/>
      </w:numPr>
      <w:spacing w:before="180" w:after="120"/>
      <w:ind w:left="3237" w:hanging="357"/>
    </w:pPr>
  </w:style>
  <w:style w:type="paragraph" w:customStyle="1" w:styleId="11SingleSequential">
    <w:name w:val="1.1 Single Sequential"/>
    <w:basedOn w:val="Normal"/>
    <w:uiPriority w:val="99"/>
    <w:semiHidden/>
    <w:rsid w:val="00C704B6"/>
    <w:pPr>
      <w:spacing w:before="180" w:after="60"/>
    </w:pPr>
    <w:rPr>
      <w:rFonts w:cstheme="minorHAnsi"/>
    </w:rPr>
  </w:style>
  <w:style w:type="paragraph" w:customStyle="1" w:styleId="111SingleSequential">
    <w:name w:val="1.1.1 Single Sequential"/>
    <w:basedOn w:val="Normal"/>
    <w:uiPriority w:val="99"/>
    <w:semiHidden/>
    <w:rsid w:val="00C704B6"/>
    <w:pPr>
      <w:spacing w:before="180" w:after="60"/>
    </w:pPr>
    <w:rPr>
      <w:rFonts w:cstheme="minorHAnsi"/>
    </w:rPr>
  </w:style>
  <w:style w:type="paragraph" w:customStyle="1" w:styleId="1111SingleSequential">
    <w:name w:val="1.1.1.1 Single Sequential"/>
    <w:basedOn w:val="Normal"/>
    <w:uiPriority w:val="99"/>
    <w:semiHidden/>
    <w:rsid w:val="00C704B6"/>
    <w:pPr>
      <w:spacing w:before="180" w:after="60"/>
    </w:pPr>
    <w:rPr>
      <w:rFonts w:cstheme="minorHAnsi"/>
    </w:rPr>
  </w:style>
  <w:style w:type="paragraph" w:customStyle="1" w:styleId="11111SingleSequential">
    <w:name w:val="1.1.1.1.1 Single Sequential"/>
    <w:basedOn w:val="Normal"/>
    <w:uiPriority w:val="99"/>
    <w:semiHidden/>
    <w:rsid w:val="00C704B6"/>
    <w:pPr>
      <w:spacing w:before="180" w:after="60"/>
    </w:pPr>
    <w:rPr>
      <w:rFonts w:cstheme="minorHAnsi"/>
    </w:rPr>
  </w:style>
  <w:style w:type="paragraph" w:customStyle="1" w:styleId="111111SingleSequential">
    <w:name w:val="1.1.1.1.1.1 Single Sequential"/>
    <w:basedOn w:val="Normal"/>
    <w:uiPriority w:val="99"/>
    <w:semiHidden/>
    <w:rsid w:val="00C704B6"/>
    <w:pPr>
      <w:spacing w:before="180" w:after="60"/>
    </w:pPr>
    <w:rPr>
      <w:rFonts w:cstheme="minorHAnsi"/>
    </w:rPr>
  </w:style>
  <w:style w:type="paragraph" w:customStyle="1" w:styleId="1111111SingleSequential">
    <w:name w:val="1.1.1.1.1.1.1 Single Sequential"/>
    <w:basedOn w:val="Normal"/>
    <w:uiPriority w:val="99"/>
    <w:semiHidden/>
    <w:rsid w:val="00C704B6"/>
    <w:pPr>
      <w:spacing w:before="180" w:after="60"/>
    </w:pPr>
    <w:rPr>
      <w:rFonts w:cstheme="minorHAnsi"/>
    </w:rPr>
  </w:style>
  <w:style w:type="paragraph" w:customStyle="1" w:styleId="11111111SingleSequential">
    <w:name w:val="1.1.1.1.1.1.1.1 Single Sequential"/>
    <w:basedOn w:val="Normal"/>
    <w:uiPriority w:val="99"/>
    <w:semiHidden/>
    <w:rsid w:val="00C704B6"/>
    <w:pPr>
      <w:spacing w:before="180" w:after="60"/>
    </w:pPr>
    <w:rPr>
      <w:rFonts w:cstheme="minorHAnsi"/>
    </w:rPr>
  </w:style>
  <w:style w:type="paragraph" w:customStyle="1" w:styleId="111111111SingleSequential">
    <w:name w:val="1.1.1.1.1.1.1.1.1 Single Sequential"/>
    <w:basedOn w:val="Normal"/>
    <w:uiPriority w:val="99"/>
    <w:semiHidden/>
    <w:rsid w:val="00C704B6"/>
    <w:pPr>
      <w:spacing w:before="180" w:after="60"/>
    </w:pPr>
    <w:rPr>
      <w:rFonts w:cstheme="minorHAnsi"/>
    </w:rPr>
  </w:style>
  <w:style w:type="paragraph" w:customStyle="1" w:styleId="BulletLevel4">
    <w:name w:val="Bullet Level 4"/>
    <w:basedOn w:val="Normal"/>
    <w:uiPriority w:val="99"/>
    <w:qFormat/>
    <w:rsid w:val="00527E8F"/>
    <w:pPr>
      <w:numPr>
        <w:ilvl w:val="3"/>
        <w:numId w:val="163"/>
      </w:numPr>
      <w:spacing w:before="120" w:after="60"/>
    </w:pPr>
  </w:style>
  <w:style w:type="paragraph" w:customStyle="1" w:styleId="BulletLevel5">
    <w:name w:val="Bullet Level 5"/>
    <w:basedOn w:val="Normal"/>
    <w:uiPriority w:val="99"/>
    <w:qFormat/>
    <w:rsid w:val="00527E8F"/>
    <w:pPr>
      <w:numPr>
        <w:ilvl w:val="4"/>
        <w:numId w:val="163"/>
      </w:numPr>
      <w:spacing w:before="120" w:after="60"/>
    </w:pPr>
  </w:style>
  <w:style w:type="paragraph" w:customStyle="1" w:styleId="BulletLevel6">
    <w:name w:val="Bullet Level 6"/>
    <w:basedOn w:val="Normal"/>
    <w:uiPriority w:val="99"/>
    <w:qFormat/>
    <w:rsid w:val="00527E8F"/>
    <w:pPr>
      <w:numPr>
        <w:ilvl w:val="5"/>
        <w:numId w:val="163"/>
      </w:numPr>
      <w:spacing w:before="120" w:after="60"/>
    </w:pPr>
  </w:style>
  <w:style w:type="paragraph" w:customStyle="1" w:styleId="BulletLevel7">
    <w:name w:val="Bullet Level 7"/>
    <w:basedOn w:val="Normal"/>
    <w:uiPriority w:val="99"/>
    <w:semiHidden/>
    <w:rsid w:val="00527E8F"/>
    <w:pPr>
      <w:numPr>
        <w:ilvl w:val="6"/>
        <w:numId w:val="163"/>
      </w:numPr>
      <w:spacing w:before="120" w:after="60"/>
      <w:ind w:left="5397"/>
    </w:pPr>
  </w:style>
  <w:style w:type="paragraph" w:customStyle="1" w:styleId="BulletLevel8">
    <w:name w:val="Bullet Level 8"/>
    <w:basedOn w:val="Normal"/>
    <w:uiPriority w:val="99"/>
    <w:semiHidden/>
    <w:rsid w:val="00527E8F"/>
    <w:pPr>
      <w:numPr>
        <w:ilvl w:val="7"/>
        <w:numId w:val="163"/>
      </w:numPr>
      <w:spacing w:before="120" w:after="60"/>
      <w:ind w:left="6117"/>
    </w:pPr>
  </w:style>
  <w:style w:type="paragraph" w:customStyle="1" w:styleId="BulletLevel9">
    <w:name w:val="Bullet Level 9"/>
    <w:basedOn w:val="Normal"/>
    <w:uiPriority w:val="99"/>
    <w:semiHidden/>
    <w:rsid w:val="00527E8F"/>
    <w:pPr>
      <w:numPr>
        <w:ilvl w:val="8"/>
        <w:numId w:val="163"/>
      </w:numPr>
      <w:spacing w:before="120" w:after="60"/>
      <w:ind w:left="6837"/>
    </w:pPr>
  </w:style>
  <w:style w:type="paragraph" w:customStyle="1" w:styleId="Heading9Fill-In">
    <w:name w:val="Heading 9 Fill-In"/>
    <w:basedOn w:val="Normal"/>
    <w:uiPriority w:val="99"/>
    <w:semiHidden/>
    <w:rsid w:val="00527E8F"/>
    <w:pPr>
      <w:keepNext/>
      <w:numPr>
        <w:ilvl w:val="8"/>
        <w:numId w:val="17"/>
      </w:numPr>
      <w:spacing w:before="240" w:after="120"/>
      <w:ind w:left="3240" w:hanging="360"/>
    </w:pPr>
    <w:rPr>
      <w:rFonts w:asciiTheme="majorHAnsi" w:hAnsiTheme="majorHAnsi"/>
      <w:b/>
    </w:rPr>
  </w:style>
  <w:style w:type="paragraph" w:customStyle="1" w:styleId="TableNumber4">
    <w:name w:val="Table Number 4"/>
    <w:basedOn w:val="Normal"/>
    <w:uiPriority w:val="99"/>
    <w:semiHidden/>
    <w:rsid w:val="00527E8F"/>
    <w:pPr>
      <w:numPr>
        <w:ilvl w:val="3"/>
        <w:numId w:val="18"/>
      </w:numPr>
      <w:spacing w:before="40" w:after="40"/>
      <w:ind w:left="1134" w:hanging="1134"/>
    </w:pPr>
    <w:rPr>
      <w:rFonts w:ascii="Jacobs Chronos Cd" w:hAnsi="Jacobs Chronos Cd" w:cstheme="minorHAnsi"/>
      <w:sz w:val="22"/>
      <w:szCs w:val="18"/>
    </w:rPr>
  </w:style>
  <w:style w:type="paragraph" w:customStyle="1" w:styleId="TableNumber5">
    <w:name w:val="Table Number 5"/>
    <w:basedOn w:val="Normal"/>
    <w:uiPriority w:val="99"/>
    <w:semiHidden/>
    <w:rsid w:val="00527E8F"/>
    <w:pPr>
      <w:numPr>
        <w:ilvl w:val="4"/>
        <w:numId w:val="18"/>
      </w:numPr>
      <w:spacing w:before="40" w:after="40"/>
      <w:ind w:left="1134" w:hanging="1134"/>
    </w:pPr>
    <w:rPr>
      <w:rFonts w:ascii="Jacobs Chronos Cd" w:hAnsi="Jacobs Chronos Cd" w:cstheme="minorHAnsi"/>
      <w:sz w:val="22"/>
      <w:szCs w:val="18"/>
    </w:rPr>
  </w:style>
  <w:style w:type="paragraph" w:customStyle="1" w:styleId="TableNumber6">
    <w:name w:val="Table Number 6"/>
    <w:basedOn w:val="Normal"/>
    <w:uiPriority w:val="99"/>
    <w:semiHidden/>
    <w:rsid w:val="00527E8F"/>
    <w:pPr>
      <w:numPr>
        <w:ilvl w:val="5"/>
        <w:numId w:val="18"/>
      </w:numPr>
      <w:spacing w:before="40" w:after="40"/>
      <w:ind w:left="1134" w:hanging="1134"/>
    </w:pPr>
    <w:rPr>
      <w:rFonts w:ascii="Jacobs Chronos Cd" w:hAnsi="Jacobs Chronos Cd" w:cstheme="minorHAnsi"/>
      <w:sz w:val="22"/>
      <w:szCs w:val="18"/>
    </w:rPr>
  </w:style>
  <w:style w:type="paragraph" w:customStyle="1" w:styleId="TableNumber7">
    <w:name w:val="Table Number 7"/>
    <w:basedOn w:val="Normal"/>
    <w:uiPriority w:val="99"/>
    <w:semiHidden/>
    <w:rsid w:val="00527E8F"/>
    <w:pPr>
      <w:numPr>
        <w:ilvl w:val="6"/>
        <w:numId w:val="18"/>
      </w:numPr>
      <w:spacing w:before="40" w:after="40"/>
      <w:ind w:left="1134" w:hanging="1134"/>
    </w:pPr>
    <w:rPr>
      <w:rFonts w:ascii="Jacobs Chronos Cd" w:hAnsi="Jacobs Chronos Cd" w:cstheme="minorHAnsi"/>
      <w:sz w:val="22"/>
      <w:szCs w:val="18"/>
    </w:rPr>
  </w:style>
  <w:style w:type="paragraph" w:customStyle="1" w:styleId="TableNumber8">
    <w:name w:val="Table Number 8"/>
    <w:basedOn w:val="Normal"/>
    <w:uiPriority w:val="99"/>
    <w:semiHidden/>
    <w:rsid w:val="00527E8F"/>
    <w:pPr>
      <w:numPr>
        <w:ilvl w:val="7"/>
        <w:numId w:val="18"/>
      </w:numPr>
      <w:spacing w:before="40" w:after="40"/>
      <w:ind w:left="1134" w:hanging="1134"/>
    </w:pPr>
    <w:rPr>
      <w:rFonts w:ascii="Jacobs Chronos Cd" w:hAnsi="Jacobs Chronos Cd" w:cstheme="minorHAnsi"/>
      <w:sz w:val="22"/>
      <w:szCs w:val="18"/>
    </w:rPr>
  </w:style>
  <w:style w:type="paragraph" w:customStyle="1" w:styleId="TableNumber9">
    <w:name w:val="Table Number 9"/>
    <w:basedOn w:val="Normal"/>
    <w:uiPriority w:val="99"/>
    <w:semiHidden/>
    <w:rsid w:val="00527E8F"/>
    <w:pPr>
      <w:numPr>
        <w:ilvl w:val="8"/>
        <w:numId w:val="18"/>
      </w:numPr>
      <w:spacing w:before="40" w:after="40"/>
      <w:ind w:left="1134" w:hanging="1134"/>
    </w:pPr>
    <w:rPr>
      <w:rFonts w:ascii="Jacobs Chronos Cd" w:hAnsi="Jacobs Chronos Cd" w:cstheme="minorHAnsi"/>
      <w:sz w:val="22"/>
      <w:szCs w:val="18"/>
    </w:rPr>
  </w:style>
  <w:style w:type="paragraph" w:customStyle="1" w:styleId="TableBullet4">
    <w:name w:val="Table Bullet 4"/>
    <w:basedOn w:val="Normal"/>
    <w:uiPriority w:val="99"/>
    <w:semiHidden/>
    <w:rsid w:val="00527E8F"/>
    <w:pPr>
      <w:numPr>
        <w:ilvl w:val="3"/>
        <w:numId w:val="30"/>
      </w:numPr>
      <w:spacing w:before="40" w:after="40"/>
      <w:ind w:left="680" w:hanging="170"/>
    </w:pPr>
    <w:rPr>
      <w:rFonts w:ascii="Jacobs Chronos Cd" w:hAnsi="Jacobs Chronos Cd" w:cstheme="minorHAnsi"/>
      <w:sz w:val="22"/>
      <w:szCs w:val="18"/>
    </w:rPr>
  </w:style>
  <w:style w:type="paragraph" w:customStyle="1" w:styleId="TableBullet5">
    <w:name w:val="Table Bullet 5"/>
    <w:basedOn w:val="Normal"/>
    <w:uiPriority w:val="99"/>
    <w:semiHidden/>
    <w:rsid w:val="00527E8F"/>
    <w:pPr>
      <w:numPr>
        <w:ilvl w:val="4"/>
        <w:numId w:val="30"/>
      </w:numPr>
      <w:spacing w:before="40" w:after="40"/>
      <w:ind w:left="851" w:hanging="171"/>
    </w:pPr>
    <w:rPr>
      <w:rFonts w:ascii="Jacobs Chronos Cd" w:hAnsi="Jacobs Chronos Cd" w:cstheme="minorHAnsi"/>
      <w:sz w:val="22"/>
      <w:szCs w:val="18"/>
    </w:rPr>
  </w:style>
  <w:style w:type="paragraph" w:customStyle="1" w:styleId="TableBullet6">
    <w:name w:val="Table Bullet 6"/>
    <w:basedOn w:val="Normal"/>
    <w:uiPriority w:val="99"/>
    <w:semiHidden/>
    <w:rsid w:val="00527E8F"/>
    <w:pPr>
      <w:numPr>
        <w:ilvl w:val="5"/>
        <w:numId w:val="30"/>
      </w:numPr>
      <w:spacing w:before="40" w:after="40"/>
      <w:ind w:left="1021" w:hanging="170"/>
    </w:pPr>
    <w:rPr>
      <w:rFonts w:ascii="Jacobs Chronos Cd" w:hAnsi="Jacobs Chronos Cd" w:cstheme="minorHAnsi"/>
      <w:sz w:val="22"/>
      <w:szCs w:val="18"/>
    </w:rPr>
  </w:style>
  <w:style w:type="paragraph" w:customStyle="1" w:styleId="TableBullet7">
    <w:name w:val="Table Bullet 7"/>
    <w:basedOn w:val="Normal"/>
    <w:uiPriority w:val="99"/>
    <w:semiHidden/>
    <w:rsid w:val="00527E8F"/>
    <w:pPr>
      <w:numPr>
        <w:ilvl w:val="6"/>
        <w:numId w:val="30"/>
      </w:numPr>
      <w:spacing w:before="40" w:after="40"/>
      <w:ind w:left="1191" w:hanging="170"/>
    </w:pPr>
    <w:rPr>
      <w:rFonts w:ascii="Jacobs Chronos Cd" w:hAnsi="Jacobs Chronos Cd" w:cstheme="minorHAnsi"/>
      <w:sz w:val="22"/>
      <w:szCs w:val="18"/>
    </w:rPr>
  </w:style>
  <w:style w:type="paragraph" w:customStyle="1" w:styleId="TableBullet8">
    <w:name w:val="Table Bullet 8"/>
    <w:basedOn w:val="Normal"/>
    <w:uiPriority w:val="99"/>
    <w:semiHidden/>
    <w:rsid w:val="00527E8F"/>
    <w:pPr>
      <w:numPr>
        <w:ilvl w:val="7"/>
        <w:numId w:val="30"/>
      </w:numPr>
      <w:spacing w:before="40" w:after="40"/>
      <w:ind w:left="1361" w:hanging="170"/>
    </w:pPr>
    <w:rPr>
      <w:rFonts w:ascii="Jacobs Chronos Cd" w:hAnsi="Jacobs Chronos Cd" w:cstheme="minorHAnsi"/>
      <w:sz w:val="22"/>
      <w:szCs w:val="18"/>
    </w:rPr>
  </w:style>
  <w:style w:type="paragraph" w:customStyle="1" w:styleId="TableBullet9">
    <w:name w:val="Table Bullet 9"/>
    <w:basedOn w:val="Normal"/>
    <w:uiPriority w:val="99"/>
    <w:semiHidden/>
    <w:rsid w:val="00527E8F"/>
    <w:pPr>
      <w:numPr>
        <w:ilvl w:val="8"/>
        <w:numId w:val="30"/>
      </w:numPr>
      <w:spacing w:before="40" w:after="40"/>
      <w:ind w:left="1531" w:hanging="170"/>
    </w:pPr>
    <w:rPr>
      <w:rFonts w:ascii="Jacobs Chronos Cd" w:hAnsi="Jacobs Chronos Cd" w:cstheme="minorHAnsi"/>
      <w:sz w:val="22"/>
      <w:szCs w:val="18"/>
    </w:rPr>
  </w:style>
  <w:style w:type="paragraph" w:customStyle="1" w:styleId="PhotologNumber2">
    <w:name w:val="Photolog Number 2"/>
    <w:basedOn w:val="Normal"/>
    <w:uiPriority w:val="99"/>
    <w:semiHidden/>
    <w:rsid w:val="00527E8F"/>
    <w:pPr>
      <w:numPr>
        <w:ilvl w:val="1"/>
        <w:numId w:val="20"/>
      </w:numPr>
      <w:spacing w:before="180" w:after="60"/>
      <w:ind w:left="1134" w:hanging="1134"/>
    </w:pPr>
    <w:rPr>
      <w:b/>
      <w:bCs/>
    </w:rPr>
  </w:style>
  <w:style w:type="paragraph" w:customStyle="1" w:styleId="AppendixHeading7">
    <w:name w:val="Appendix Heading 7"/>
    <w:basedOn w:val="Normal"/>
    <w:next w:val="BodyText"/>
    <w:uiPriority w:val="99"/>
    <w:semiHidden/>
    <w:rsid w:val="00527E8F"/>
    <w:pPr>
      <w:numPr>
        <w:ilvl w:val="6"/>
        <w:numId w:val="19"/>
      </w:numPr>
      <w:spacing w:before="240" w:after="120"/>
      <w:ind w:left="2520" w:hanging="360"/>
    </w:pPr>
    <w:rPr>
      <w:rFonts w:asciiTheme="majorHAnsi" w:hAnsiTheme="majorHAnsi"/>
      <w:b/>
    </w:rPr>
  </w:style>
  <w:style w:type="paragraph" w:customStyle="1" w:styleId="AppendixHeading8">
    <w:name w:val="Appendix Heading 8"/>
    <w:basedOn w:val="Normal"/>
    <w:next w:val="BodyText"/>
    <w:uiPriority w:val="99"/>
    <w:semiHidden/>
    <w:rsid w:val="00527E8F"/>
    <w:pPr>
      <w:numPr>
        <w:ilvl w:val="7"/>
        <w:numId w:val="19"/>
      </w:numPr>
      <w:spacing w:before="240" w:after="120"/>
      <w:ind w:left="2880" w:hanging="360"/>
    </w:pPr>
    <w:rPr>
      <w:rFonts w:asciiTheme="majorHAnsi" w:hAnsiTheme="majorHAnsi"/>
      <w:b/>
      <w:bCs/>
    </w:rPr>
  </w:style>
  <w:style w:type="paragraph" w:customStyle="1" w:styleId="AppendixHeading9">
    <w:name w:val="Appendix Heading 9"/>
    <w:basedOn w:val="Normal"/>
    <w:next w:val="BodyText"/>
    <w:uiPriority w:val="99"/>
    <w:semiHidden/>
    <w:rsid w:val="00527E8F"/>
    <w:pPr>
      <w:numPr>
        <w:ilvl w:val="8"/>
        <w:numId w:val="19"/>
      </w:numPr>
      <w:spacing w:before="240" w:after="120"/>
      <w:ind w:left="3240" w:hanging="360"/>
    </w:pPr>
    <w:rPr>
      <w:rFonts w:asciiTheme="majorHAnsi" w:hAnsiTheme="majorHAnsi"/>
      <w:b/>
      <w:bCs/>
    </w:rPr>
  </w:style>
  <w:style w:type="paragraph" w:customStyle="1" w:styleId="PhotologNumber3">
    <w:name w:val="Photolog Number 3"/>
    <w:basedOn w:val="Normal"/>
    <w:uiPriority w:val="99"/>
    <w:semiHidden/>
    <w:rsid w:val="00527E8F"/>
    <w:pPr>
      <w:numPr>
        <w:ilvl w:val="2"/>
        <w:numId w:val="20"/>
      </w:numPr>
      <w:spacing w:before="180" w:after="60"/>
      <w:ind w:left="1134" w:hanging="1134"/>
    </w:pPr>
    <w:rPr>
      <w:b/>
      <w:bCs/>
    </w:rPr>
  </w:style>
  <w:style w:type="paragraph" w:customStyle="1" w:styleId="PhotologNumber4">
    <w:name w:val="Photolog Number 4"/>
    <w:basedOn w:val="Normal"/>
    <w:uiPriority w:val="99"/>
    <w:semiHidden/>
    <w:rsid w:val="00527E8F"/>
    <w:pPr>
      <w:numPr>
        <w:ilvl w:val="3"/>
        <w:numId w:val="20"/>
      </w:numPr>
      <w:spacing w:before="180" w:after="60"/>
      <w:ind w:left="1134" w:hanging="1134"/>
    </w:pPr>
    <w:rPr>
      <w:b/>
      <w:bCs/>
    </w:rPr>
  </w:style>
  <w:style w:type="paragraph" w:customStyle="1" w:styleId="PhotologNumber5">
    <w:name w:val="Photolog Number 5"/>
    <w:basedOn w:val="Normal"/>
    <w:uiPriority w:val="99"/>
    <w:semiHidden/>
    <w:rsid w:val="00527E8F"/>
    <w:pPr>
      <w:numPr>
        <w:ilvl w:val="4"/>
        <w:numId w:val="20"/>
      </w:numPr>
      <w:spacing w:before="180" w:after="60"/>
      <w:ind w:left="1134" w:hanging="1134"/>
    </w:pPr>
    <w:rPr>
      <w:b/>
      <w:bCs/>
    </w:rPr>
  </w:style>
  <w:style w:type="paragraph" w:customStyle="1" w:styleId="PhotologNumber6">
    <w:name w:val="Photolog Number 6"/>
    <w:basedOn w:val="Normal"/>
    <w:uiPriority w:val="99"/>
    <w:semiHidden/>
    <w:rsid w:val="00527E8F"/>
    <w:pPr>
      <w:numPr>
        <w:ilvl w:val="5"/>
        <w:numId w:val="20"/>
      </w:numPr>
      <w:spacing w:before="180" w:after="60"/>
      <w:ind w:left="1134" w:hanging="1134"/>
    </w:pPr>
    <w:rPr>
      <w:b/>
      <w:bCs/>
    </w:rPr>
  </w:style>
  <w:style w:type="paragraph" w:customStyle="1" w:styleId="PhotologNumber7">
    <w:name w:val="Photolog Number 7"/>
    <w:basedOn w:val="Normal"/>
    <w:uiPriority w:val="99"/>
    <w:semiHidden/>
    <w:rsid w:val="00527E8F"/>
    <w:pPr>
      <w:numPr>
        <w:ilvl w:val="6"/>
        <w:numId w:val="20"/>
      </w:numPr>
      <w:spacing w:before="180" w:after="60"/>
      <w:ind w:left="1134" w:hanging="1134"/>
    </w:pPr>
    <w:rPr>
      <w:b/>
      <w:bCs/>
    </w:rPr>
  </w:style>
  <w:style w:type="paragraph" w:customStyle="1" w:styleId="PhotologNumber8">
    <w:name w:val="Photolog Number 8"/>
    <w:basedOn w:val="Normal"/>
    <w:uiPriority w:val="99"/>
    <w:semiHidden/>
    <w:rsid w:val="00527E8F"/>
    <w:pPr>
      <w:numPr>
        <w:ilvl w:val="7"/>
        <w:numId w:val="20"/>
      </w:numPr>
      <w:spacing w:before="180" w:after="60"/>
      <w:ind w:left="1134" w:hanging="1134"/>
    </w:pPr>
    <w:rPr>
      <w:b/>
      <w:bCs/>
    </w:rPr>
  </w:style>
  <w:style w:type="paragraph" w:customStyle="1" w:styleId="PhotologNumber9">
    <w:name w:val="Photolog Number 9"/>
    <w:basedOn w:val="Normal"/>
    <w:uiPriority w:val="99"/>
    <w:semiHidden/>
    <w:rsid w:val="00527E8F"/>
    <w:pPr>
      <w:numPr>
        <w:ilvl w:val="8"/>
        <w:numId w:val="20"/>
      </w:numPr>
      <w:spacing w:before="180" w:after="60"/>
      <w:ind w:left="1134" w:hanging="1134"/>
    </w:pPr>
    <w:rPr>
      <w:b/>
      <w:bCs/>
    </w:rPr>
  </w:style>
  <w:style w:type="paragraph" w:customStyle="1" w:styleId="InstructionBullet2">
    <w:name w:val="Instruction Bullet 2"/>
    <w:basedOn w:val="Normal"/>
    <w:uiPriority w:val="99"/>
    <w:semiHidden/>
    <w:rsid w:val="00527E8F"/>
    <w:pPr>
      <w:numPr>
        <w:ilvl w:val="2"/>
        <w:numId w:val="21"/>
      </w:numPr>
      <w:spacing w:before="120" w:after="120"/>
    </w:pPr>
    <w:rPr>
      <w:rFonts w:cs="Arial"/>
      <w:color w:val="231EDC" w:themeColor="accent1"/>
      <w:sz w:val="18"/>
      <w:szCs w:val="18"/>
    </w:rPr>
  </w:style>
  <w:style w:type="paragraph" w:customStyle="1" w:styleId="InstructionBullet3">
    <w:name w:val="Instruction Bullet 3"/>
    <w:basedOn w:val="Normal"/>
    <w:uiPriority w:val="99"/>
    <w:semiHidden/>
    <w:rsid w:val="00527E8F"/>
    <w:pPr>
      <w:numPr>
        <w:ilvl w:val="3"/>
        <w:numId w:val="21"/>
      </w:numPr>
      <w:spacing w:before="120" w:after="120"/>
    </w:pPr>
    <w:rPr>
      <w:rFonts w:cs="Arial"/>
      <w:color w:val="231EDC" w:themeColor="accent1"/>
      <w:sz w:val="18"/>
      <w:szCs w:val="18"/>
    </w:rPr>
  </w:style>
  <w:style w:type="paragraph" w:customStyle="1" w:styleId="InstructionBullet4">
    <w:name w:val="Instruction Bullet 4"/>
    <w:basedOn w:val="Normal"/>
    <w:uiPriority w:val="99"/>
    <w:semiHidden/>
    <w:rsid w:val="00527E8F"/>
    <w:pPr>
      <w:numPr>
        <w:ilvl w:val="4"/>
        <w:numId w:val="21"/>
      </w:numPr>
      <w:spacing w:before="120" w:after="120"/>
    </w:pPr>
    <w:rPr>
      <w:rFonts w:cs="Arial"/>
      <w:color w:val="231EDC" w:themeColor="accent1"/>
      <w:sz w:val="18"/>
      <w:szCs w:val="18"/>
    </w:rPr>
  </w:style>
  <w:style w:type="paragraph" w:customStyle="1" w:styleId="InstructionBullet5">
    <w:name w:val="Instruction Bullet 5"/>
    <w:basedOn w:val="Normal"/>
    <w:uiPriority w:val="99"/>
    <w:semiHidden/>
    <w:rsid w:val="00527E8F"/>
    <w:pPr>
      <w:numPr>
        <w:ilvl w:val="5"/>
        <w:numId w:val="21"/>
      </w:numPr>
      <w:spacing w:before="120" w:after="120"/>
    </w:pPr>
    <w:rPr>
      <w:rFonts w:cs="Arial"/>
      <w:color w:val="231EDC" w:themeColor="accent1"/>
      <w:sz w:val="18"/>
      <w:szCs w:val="18"/>
    </w:rPr>
  </w:style>
  <w:style w:type="paragraph" w:customStyle="1" w:styleId="InstructionBullet6">
    <w:name w:val="Instruction Bullet 6"/>
    <w:basedOn w:val="Normal"/>
    <w:uiPriority w:val="99"/>
    <w:semiHidden/>
    <w:rsid w:val="00527E8F"/>
    <w:pPr>
      <w:numPr>
        <w:ilvl w:val="6"/>
        <w:numId w:val="21"/>
      </w:numPr>
      <w:spacing w:before="120" w:after="120"/>
    </w:pPr>
    <w:rPr>
      <w:rFonts w:cs="Arial"/>
      <w:color w:val="231EDC" w:themeColor="accent1"/>
      <w:sz w:val="18"/>
      <w:szCs w:val="18"/>
    </w:rPr>
  </w:style>
  <w:style w:type="paragraph" w:customStyle="1" w:styleId="InstructionBullet7">
    <w:name w:val="Instruction Bullet 7"/>
    <w:basedOn w:val="Normal"/>
    <w:uiPriority w:val="99"/>
    <w:semiHidden/>
    <w:rsid w:val="00527E8F"/>
    <w:pPr>
      <w:numPr>
        <w:ilvl w:val="7"/>
        <w:numId w:val="21"/>
      </w:numPr>
      <w:spacing w:before="120" w:after="120"/>
    </w:pPr>
    <w:rPr>
      <w:rFonts w:cs="Arial"/>
      <w:color w:val="231EDC" w:themeColor="accent1"/>
      <w:sz w:val="18"/>
      <w:szCs w:val="18"/>
    </w:rPr>
  </w:style>
  <w:style w:type="paragraph" w:customStyle="1" w:styleId="InstructionBullet8">
    <w:name w:val="Instruction Bullet 8"/>
    <w:basedOn w:val="Normal"/>
    <w:uiPriority w:val="99"/>
    <w:semiHidden/>
    <w:rsid w:val="00527E8F"/>
    <w:pPr>
      <w:numPr>
        <w:ilvl w:val="8"/>
        <w:numId w:val="21"/>
      </w:numPr>
      <w:spacing w:before="120" w:after="120"/>
    </w:pPr>
    <w:rPr>
      <w:rFonts w:cs="Arial"/>
      <w:color w:val="231EDC" w:themeColor="accent1"/>
      <w:sz w:val="18"/>
      <w:szCs w:val="18"/>
    </w:rPr>
  </w:style>
  <w:style w:type="paragraph" w:customStyle="1" w:styleId="CVResumeBullet3">
    <w:name w:val="CV Resume Bullet 3"/>
    <w:basedOn w:val="Normal"/>
    <w:uiPriority w:val="99"/>
    <w:semiHidden/>
    <w:rsid w:val="00527E8F"/>
    <w:pPr>
      <w:numPr>
        <w:ilvl w:val="2"/>
        <w:numId w:val="24"/>
      </w:numPr>
      <w:spacing w:after="60"/>
    </w:pPr>
    <w:rPr>
      <w:rFonts w:ascii="Jacobs Chronos Light" w:hAnsi="Jacobs Chronos Light" w:cstheme="minorHAnsi"/>
    </w:rPr>
  </w:style>
  <w:style w:type="paragraph" w:customStyle="1" w:styleId="CVResumeBullet4">
    <w:name w:val="CV Resume Bullet 4"/>
    <w:basedOn w:val="Normal"/>
    <w:uiPriority w:val="99"/>
    <w:semiHidden/>
    <w:rsid w:val="00527E8F"/>
    <w:pPr>
      <w:numPr>
        <w:ilvl w:val="3"/>
        <w:numId w:val="24"/>
      </w:numPr>
      <w:spacing w:after="60"/>
    </w:pPr>
    <w:rPr>
      <w:rFonts w:ascii="Jacobs Chronos Light" w:hAnsi="Jacobs Chronos Light" w:cstheme="minorHAnsi"/>
    </w:rPr>
  </w:style>
  <w:style w:type="paragraph" w:customStyle="1" w:styleId="CVResumeBullet5">
    <w:name w:val="CV Resume Bullet 5"/>
    <w:basedOn w:val="Normal"/>
    <w:uiPriority w:val="99"/>
    <w:semiHidden/>
    <w:rsid w:val="00527E8F"/>
    <w:pPr>
      <w:numPr>
        <w:ilvl w:val="4"/>
        <w:numId w:val="24"/>
      </w:numPr>
      <w:spacing w:after="60"/>
    </w:pPr>
    <w:rPr>
      <w:rFonts w:ascii="Jacobs Chronos Light" w:hAnsi="Jacobs Chronos Light" w:cstheme="minorHAnsi"/>
    </w:rPr>
  </w:style>
  <w:style w:type="paragraph" w:customStyle="1" w:styleId="CVResumeBullet6">
    <w:name w:val="CV Resume Bullet 6"/>
    <w:basedOn w:val="Normal"/>
    <w:uiPriority w:val="99"/>
    <w:semiHidden/>
    <w:rsid w:val="00527E8F"/>
    <w:pPr>
      <w:numPr>
        <w:ilvl w:val="5"/>
        <w:numId w:val="24"/>
      </w:numPr>
      <w:spacing w:after="60"/>
    </w:pPr>
    <w:rPr>
      <w:rFonts w:ascii="Jacobs Chronos Light" w:hAnsi="Jacobs Chronos Light" w:cstheme="minorHAnsi"/>
    </w:rPr>
  </w:style>
  <w:style w:type="paragraph" w:customStyle="1" w:styleId="CVResumeBullet7">
    <w:name w:val="CV Resume Bullet 7"/>
    <w:basedOn w:val="Normal"/>
    <w:uiPriority w:val="99"/>
    <w:semiHidden/>
    <w:rsid w:val="00527E8F"/>
    <w:pPr>
      <w:numPr>
        <w:ilvl w:val="6"/>
        <w:numId w:val="24"/>
      </w:numPr>
      <w:spacing w:after="60"/>
    </w:pPr>
    <w:rPr>
      <w:rFonts w:ascii="Jacobs Chronos Light" w:hAnsi="Jacobs Chronos Light" w:cstheme="minorHAnsi"/>
    </w:rPr>
  </w:style>
  <w:style w:type="paragraph" w:customStyle="1" w:styleId="CVResumeBullet8">
    <w:name w:val="CV Resume Bullet 8"/>
    <w:basedOn w:val="Normal"/>
    <w:uiPriority w:val="99"/>
    <w:semiHidden/>
    <w:rsid w:val="00527E8F"/>
    <w:pPr>
      <w:numPr>
        <w:ilvl w:val="7"/>
        <w:numId w:val="24"/>
      </w:numPr>
      <w:spacing w:after="60"/>
    </w:pPr>
    <w:rPr>
      <w:rFonts w:ascii="Jacobs Chronos Light" w:hAnsi="Jacobs Chronos Light" w:cstheme="minorHAnsi"/>
    </w:rPr>
  </w:style>
  <w:style w:type="paragraph" w:customStyle="1" w:styleId="CVResumeBullet9">
    <w:name w:val="CV Resume Bullet 9"/>
    <w:basedOn w:val="Normal"/>
    <w:uiPriority w:val="99"/>
    <w:semiHidden/>
    <w:rsid w:val="00527E8F"/>
    <w:pPr>
      <w:numPr>
        <w:ilvl w:val="8"/>
        <w:numId w:val="24"/>
      </w:numPr>
      <w:spacing w:after="60"/>
    </w:pPr>
    <w:rPr>
      <w:rFonts w:ascii="Jacobs Chronos Light" w:hAnsi="Jacobs Chronos Light" w:cstheme="minorHAnsi"/>
    </w:rPr>
  </w:style>
  <w:style w:type="paragraph" w:customStyle="1" w:styleId="CapabilityBullet3">
    <w:name w:val="Capability Bullet 3"/>
    <w:basedOn w:val="Normal"/>
    <w:uiPriority w:val="99"/>
    <w:semiHidden/>
    <w:rsid w:val="00527E8F"/>
    <w:pPr>
      <w:numPr>
        <w:ilvl w:val="2"/>
        <w:numId w:val="22"/>
      </w:numPr>
      <w:spacing w:before="60" w:after="60"/>
    </w:pPr>
  </w:style>
  <w:style w:type="paragraph" w:customStyle="1" w:styleId="CapabilityBullet4">
    <w:name w:val="Capability Bullet 4"/>
    <w:basedOn w:val="Normal"/>
    <w:uiPriority w:val="99"/>
    <w:semiHidden/>
    <w:rsid w:val="00527E8F"/>
    <w:pPr>
      <w:numPr>
        <w:ilvl w:val="3"/>
        <w:numId w:val="22"/>
      </w:numPr>
      <w:spacing w:before="60" w:after="60"/>
    </w:pPr>
  </w:style>
  <w:style w:type="paragraph" w:customStyle="1" w:styleId="CapabilityBullet5">
    <w:name w:val="Capability Bullet 5"/>
    <w:basedOn w:val="Normal"/>
    <w:uiPriority w:val="99"/>
    <w:semiHidden/>
    <w:rsid w:val="00527E8F"/>
    <w:pPr>
      <w:numPr>
        <w:ilvl w:val="4"/>
        <w:numId w:val="22"/>
      </w:numPr>
      <w:spacing w:before="60" w:after="60"/>
    </w:pPr>
  </w:style>
  <w:style w:type="paragraph" w:customStyle="1" w:styleId="CapabilityBullet6">
    <w:name w:val="Capability Bullet 6"/>
    <w:basedOn w:val="Normal"/>
    <w:uiPriority w:val="99"/>
    <w:semiHidden/>
    <w:rsid w:val="00527E8F"/>
    <w:pPr>
      <w:numPr>
        <w:ilvl w:val="5"/>
        <w:numId w:val="22"/>
      </w:numPr>
      <w:spacing w:before="60" w:after="60"/>
    </w:pPr>
  </w:style>
  <w:style w:type="paragraph" w:customStyle="1" w:styleId="CapabilityBullet7">
    <w:name w:val="Capability Bullet 7"/>
    <w:basedOn w:val="Normal"/>
    <w:uiPriority w:val="99"/>
    <w:semiHidden/>
    <w:rsid w:val="00527E8F"/>
    <w:pPr>
      <w:numPr>
        <w:ilvl w:val="6"/>
        <w:numId w:val="22"/>
      </w:numPr>
      <w:spacing w:before="60" w:after="60"/>
    </w:pPr>
  </w:style>
  <w:style w:type="paragraph" w:customStyle="1" w:styleId="CapabilityBullet8">
    <w:name w:val="Capability Bullet 8"/>
    <w:basedOn w:val="Normal"/>
    <w:uiPriority w:val="99"/>
    <w:semiHidden/>
    <w:rsid w:val="00527E8F"/>
    <w:pPr>
      <w:numPr>
        <w:ilvl w:val="7"/>
        <w:numId w:val="22"/>
      </w:numPr>
      <w:spacing w:before="60" w:after="60"/>
    </w:pPr>
  </w:style>
  <w:style w:type="paragraph" w:customStyle="1" w:styleId="CapabilityBullet9">
    <w:name w:val="Capability Bullet 9"/>
    <w:basedOn w:val="Normal"/>
    <w:uiPriority w:val="99"/>
    <w:semiHidden/>
    <w:rsid w:val="00527E8F"/>
    <w:pPr>
      <w:numPr>
        <w:ilvl w:val="8"/>
        <w:numId w:val="22"/>
      </w:numPr>
      <w:spacing w:before="60" w:after="60"/>
    </w:pPr>
  </w:style>
  <w:style w:type="paragraph" w:customStyle="1" w:styleId="ProjectBullet3">
    <w:name w:val="Project Bullet 3"/>
    <w:basedOn w:val="Normal"/>
    <w:uiPriority w:val="99"/>
    <w:semiHidden/>
    <w:rsid w:val="00527E8F"/>
    <w:pPr>
      <w:numPr>
        <w:ilvl w:val="2"/>
        <w:numId w:val="23"/>
      </w:numPr>
      <w:spacing w:after="60"/>
    </w:pPr>
  </w:style>
  <w:style w:type="paragraph" w:customStyle="1" w:styleId="ProjectBullet4">
    <w:name w:val="Project Bullet 4"/>
    <w:basedOn w:val="Normal"/>
    <w:uiPriority w:val="99"/>
    <w:semiHidden/>
    <w:rsid w:val="00527E8F"/>
    <w:pPr>
      <w:numPr>
        <w:ilvl w:val="3"/>
        <w:numId w:val="23"/>
      </w:numPr>
      <w:spacing w:after="60"/>
    </w:pPr>
  </w:style>
  <w:style w:type="paragraph" w:customStyle="1" w:styleId="ProjectBullet5">
    <w:name w:val="Project Bullet 5"/>
    <w:basedOn w:val="Normal"/>
    <w:uiPriority w:val="99"/>
    <w:semiHidden/>
    <w:rsid w:val="00527E8F"/>
    <w:pPr>
      <w:numPr>
        <w:ilvl w:val="4"/>
        <w:numId w:val="23"/>
      </w:numPr>
      <w:spacing w:after="60"/>
    </w:pPr>
  </w:style>
  <w:style w:type="paragraph" w:customStyle="1" w:styleId="ProjectBullet6">
    <w:name w:val="Project Bullet 6"/>
    <w:basedOn w:val="Normal"/>
    <w:uiPriority w:val="99"/>
    <w:semiHidden/>
    <w:rsid w:val="00527E8F"/>
    <w:pPr>
      <w:numPr>
        <w:ilvl w:val="5"/>
        <w:numId w:val="23"/>
      </w:numPr>
      <w:spacing w:after="60"/>
    </w:pPr>
  </w:style>
  <w:style w:type="paragraph" w:customStyle="1" w:styleId="ProjectBullet7">
    <w:name w:val="Project Bullet 7"/>
    <w:basedOn w:val="Normal"/>
    <w:uiPriority w:val="99"/>
    <w:semiHidden/>
    <w:rsid w:val="00527E8F"/>
    <w:pPr>
      <w:numPr>
        <w:ilvl w:val="6"/>
        <w:numId w:val="23"/>
      </w:numPr>
      <w:spacing w:after="60"/>
    </w:pPr>
  </w:style>
  <w:style w:type="paragraph" w:customStyle="1" w:styleId="ProjectBullet8">
    <w:name w:val="Project Bullet 8"/>
    <w:basedOn w:val="Normal"/>
    <w:uiPriority w:val="99"/>
    <w:semiHidden/>
    <w:rsid w:val="00527E8F"/>
    <w:pPr>
      <w:numPr>
        <w:ilvl w:val="7"/>
        <w:numId w:val="23"/>
      </w:numPr>
      <w:spacing w:after="60"/>
    </w:pPr>
  </w:style>
  <w:style w:type="paragraph" w:customStyle="1" w:styleId="ProjectBullet9">
    <w:name w:val="Project Bullet 9"/>
    <w:basedOn w:val="Normal"/>
    <w:uiPriority w:val="99"/>
    <w:semiHidden/>
    <w:rsid w:val="00527E8F"/>
    <w:pPr>
      <w:numPr>
        <w:ilvl w:val="8"/>
        <w:numId w:val="23"/>
      </w:numPr>
      <w:spacing w:after="60"/>
    </w:pPr>
  </w:style>
  <w:style w:type="numbering" w:customStyle="1" w:styleId="CVResumeBullets">
    <w:name w:val="CV Resume Bullets"/>
    <w:uiPriority w:val="99"/>
    <w:semiHidden/>
    <w:rsid w:val="00527E8F"/>
    <w:pPr>
      <w:numPr>
        <w:numId w:val="29"/>
      </w:numPr>
    </w:pPr>
  </w:style>
  <w:style w:type="paragraph" w:customStyle="1" w:styleId="PlateCaption">
    <w:name w:val="Plate Caption"/>
    <w:basedOn w:val="Caption"/>
    <w:next w:val="BodyText"/>
    <w:uiPriority w:val="99"/>
    <w:semiHidden/>
    <w:rsid w:val="00527E8F"/>
  </w:style>
  <w:style w:type="paragraph" w:customStyle="1" w:styleId="Details">
    <w:name w:val="Details"/>
    <w:basedOn w:val="TableText"/>
    <w:uiPriority w:val="99"/>
    <w:semiHidden/>
    <w:rsid w:val="00527E8F"/>
    <w:rPr>
      <w:rFonts w:asciiTheme="majorHAnsi" w:hAnsiTheme="majorHAnsi"/>
      <w:sz w:val="18"/>
    </w:rPr>
  </w:style>
  <w:style w:type="paragraph" w:customStyle="1" w:styleId="TOCHeading2">
    <w:name w:val="TOC Heading 2"/>
    <w:basedOn w:val="TOCHeading"/>
    <w:uiPriority w:val="99"/>
    <w:semiHidden/>
    <w:rsid w:val="00527E8F"/>
    <w:rPr>
      <w:sz w:val="20"/>
    </w:rPr>
  </w:style>
  <w:style w:type="paragraph" w:customStyle="1" w:styleId="Sequential">
    <w:name w:val="Sequential"/>
    <w:basedOn w:val="Normal"/>
    <w:uiPriority w:val="2"/>
    <w:qFormat/>
    <w:rsid w:val="00527E8F"/>
    <w:pPr>
      <w:numPr>
        <w:numId w:val="26"/>
      </w:numPr>
      <w:spacing w:before="180" w:after="60"/>
    </w:pPr>
  </w:style>
  <w:style w:type="numbering" w:customStyle="1" w:styleId="SequentialNumbering">
    <w:name w:val="Sequential Numbering"/>
    <w:uiPriority w:val="99"/>
    <w:semiHidden/>
    <w:rsid w:val="00527E8F"/>
    <w:pPr>
      <w:numPr>
        <w:numId w:val="25"/>
      </w:numPr>
    </w:pPr>
  </w:style>
  <w:style w:type="paragraph" w:customStyle="1" w:styleId="Sequential2">
    <w:name w:val="Sequential 2"/>
    <w:basedOn w:val="Normal"/>
    <w:uiPriority w:val="3"/>
    <w:qFormat/>
    <w:rsid w:val="00527E8F"/>
    <w:pPr>
      <w:numPr>
        <w:ilvl w:val="1"/>
        <w:numId w:val="26"/>
      </w:numPr>
      <w:spacing w:before="180" w:after="60"/>
    </w:pPr>
    <w:rPr>
      <w:rFonts w:cstheme="minorHAnsi"/>
    </w:rPr>
  </w:style>
  <w:style w:type="paragraph" w:customStyle="1" w:styleId="Sequential3">
    <w:name w:val="Sequential 3"/>
    <w:basedOn w:val="Normal"/>
    <w:uiPriority w:val="3"/>
    <w:qFormat/>
    <w:rsid w:val="00527E8F"/>
    <w:pPr>
      <w:numPr>
        <w:ilvl w:val="2"/>
        <w:numId w:val="26"/>
      </w:numPr>
      <w:spacing w:before="180" w:after="60"/>
    </w:pPr>
    <w:rPr>
      <w:rFonts w:cstheme="minorHAnsi"/>
    </w:rPr>
  </w:style>
  <w:style w:type="paragraph" w:customStyle="1" w:styleId="Sequential4">
    <w:name w:val="Sequential 4"/>
    <w:basedOn w:val="Normal"/>
    <w:uiPriority w:val="99"/>
    <w:semiHidden/>
    <w:rsid w:val="00527E8F"/>
    <w:pPr>
      <w:numPr>
        <w:ilvl w:val="3"/>
        <w:numId w:val="26"/>
      </w:numPr>
      <w:spacing w:before="180" w:after="60"/>
    </w:pPr>
    <w:rPr>
      <w:rFonts w:cstheme="minorHAnsi"/>
    </w:rPr>
  </w:style>
  <w:style w:type="paragraph" w:customStyle="1" w:styleId="Sequential5">
    <w:name w:val="Sequential 5"/>
    <w:basedOn w:val="Normal"/>
    <w:uiPriority w:val="99"/>
    <w:semiHidden/>
    <w:rsid w:val="00527E8F"/>
    <w:pPr>
      <w:numPr>
        <w:ilvl w:val="4"/>
        <w:numId w:val="26"/>
      </w:numPr>
      <w:spacing w:before="180" w:after="60"/>
    </w:pPr>
    <w:rPr>
      <w:rFonts w:cstheme="minorHAnsi"/>
    </w:rPr>
  </w:style>
  <w:style w:type="paragraph" w:customStyle="1" w:styleId="Sequential6">
    <w:name w:val="Sequential 6"/>
    <w:basedOn w:val="Normal"/>
    <w:uiPriority w:val="99"/>
    <w:semiHidden/>
    <w:rsid w:val="00527E8F"/>
    <w:pPr>
      <w:numPr>
        <w:ilvl w:val="5"/>
        <w:numId w:val="26"/>
      </w:numPr>
      <w:spacing w:before="180" w:after="60"/>
    </w:pPr>
    <w:rPr>
      <w:rFonts w:cstheme="minorHAnsi"/>
    </w:rPr>
  </w:style>
  <w:style w:type="paragraph" w:customStyle="1" w:styleId="Sequential7">
    <w:name w:val="Sequential 7"/>
    <w:basedOn w:val="Normal"/>
    <w:uiPriority w:val="99"/>
    <w:semiHidden/>
    <w:rsid w:val="00527E8F"/>
    <w:pPr>
      <w:numPr>
        <w:ilvl w:val="6"/>
        <w:numId w:val="26"/>
      </w:numPr>
      <w:spacing w:before="180" w:after="60"/>
    </w:pPr>
    <w:rPr>
      <w:rFonts w:cstheme="minorHAnsi"/>
    </w:rPr>
  </w:style>
  <w:style w:type="paragraph" w:customStyle="1" w:styleId="Sequential8">
    <w:name w:val="Sequential 8"/>
    <w:basedOn w:val="Normal"/>
    <w:uiPriority w:val="99"/>
    <w:semiHidden/>
    <w:rsid w:val="00527E8F"/>
    <w:pPr>
      <w:numPr>
        <w:ilvl w:val="7"/>
        <w:numId w:val="26"/>
      </w:numPr>
      <w:spacing w:before="180" w:after="60"/>
    </w:pPr>
    <w:rPr>
      <w:rFonts w:cstheme="minorHAnsi"/>
    </w:rPr>
  </w:style>
  <w:style w:type="paragraph" w:customStyle="1" w:styleId="Sequential9">
    <w:name w:val="Sequential 9"/>
    <w:basedOn w:val="Normal"/>
    <w:uiPriority w:val="99"/>
    <w:semiHidden/>
    <w:rsid w:val="00527E8F"/>
    <w:pPr>
      <w:numPr>
        <w:ilvl w:val="8"/>
        <w:numId w:val="26"/>
      </w:numPr>
      <w:spacing w:before="180" w:after="60"/>
    </w:pPr>
    <w:rPr>
      <w:rFonts w:cstheme="minorHAnsi"/>
    </w:rPr>
  </w:style>
  <w:style w:type="numbering" w:customStyle="1" w:styleId="SingleSequentialNumbering">
    <w:name w:val="SingleSequentialNumbering"/>
    <w:uiPriority w:val="99"/>
    <w:semiHidden/>
  </w:style>
  <w:style w:type="paragraph" w:customStyle="1" w:styleId="AppendixDivider">
    <w:name w:val="Appendix Divider"/>
    <w:basedOn w:val="Normal"/>
    <w:uiPriority w:val="99"/>
    <w:semiHidden/>
    <w:rsid w:val="00527E8F"/>
    <w:pPr>
      <w:outlineLvl w:val="0"/>
    </w:pPr>
    <w:rPr>
      <w:rFonts w:asciiTheme="majorHAnsi" w:eastAsia="MS Gothic" w:hAnsiTheme="majorHAnsi" w:cs="Jacobs Chronos Light"/>
      <w:b/>
      <w:color w:val="231EDC"/>
      <w:sz w:val="52"/>
      <w:szCs w:val="56"/>
    </w:rPr>
  </w:style>
  <w:style w:type="paragraph" w:customStyle="1" w:styleId="TableSubHeading">
    <w:name w:val="Table Sub Heading"/>
    <w:basedOn w:val="TableHeading"/>
    <w:uiPriority w:val="99"/>
    <w:semiHidden/>
    <w:rsid w:val="00B242C3"/>
    <w:rPr>
      <w:rFonts w:ascii="Jacobs Chronos" w:hAnsi="Jacobs Chronos"/>
      <w:lang w:val="en-US"/>
    </w:rPr>
  </w:style>
  <w:style w:type="table" w:customStyle="1" w:styleId="Notes">
    <w:name w:val="Notes"/>
    <w:basedOn w:val="TableNormal"/>
    <w:uiPriority w:val="99"/>
    <w:semiHidden/>
    <w:rsid w:val="00B242C3"/>
    <w:tblPr>
      <w:tblStyleRowBandSize w:val="1"/>
    </w:tblPr>
    <w:tcPr>
      <w:shd w:val="clear" w:color="auto" w:fill="auto"/>
    </w:tcPr>
    <w:tblStylePr w:type="firstRow">
      <w:rPr>
        <w:b/>
      </w:rPr>
    </w:tblStylePr>
    <w:tblStylePr w:type="band1Horz">
      <w:tblPr/>
      <w:tcPr>
        <w:shd w:val="clear" w:color="auto" w:fill="F0F0F0"/>
      </w:tcPr>
    </w:tblStylePr>
  </w:style>
  <w:style w:type="paragraph" w:customStyle="1" w:styleId="TabletBullet">
    <w:name w:val="Tablet Bullet"/>
    <w:basedOn w:val="TableText1Number"/>
    <w:uiPriority w:val="99"/>
    <w:semiHidden/>
    <w:rsid w:val="00B242C3"/>
    <w:pPr>
      <w:numPr>
        <w:numId w:val="33"/>
      </w:numPr>
      <w:ind w:left="170" w:hanging="170"/>
      <w:contextualSpacing/>
    </w:pPr>
    <w:rPr>
      <w:lang w:val="en-US"/>
    </w:rPr>
  </w:style>
  <w:style w:type="paragraph" w:customStyle="1" w:styleId="Heading1unnumbered">
    <w:name w:val="Heading 1 (unnumbered)"/>
    <w:basedOn w:val="Normal"/>
    <w:next w:val="Normal"/>
    <w:uiPriority w:val="99"/>
    <w:semiHidden/>
    <w:rsid w:val="00B242C3"/>
    <w:pPr>
      <w:spacing w:before="120" w:after="120"/>
    </w:pPr>
    <w:rPr>
      <w:b/>
      <w:color w:val="231EDC" w:themeColor="accent1"/>
      <w:sz w:val="28"/>
      <w:lang w:val="en-US"/>
    </w:rPr>
  </w:style>
  <w:style w:type="paragraph" w:customStyle="1" w:styleId="TableDash2ndLevel">
    <w:name w:val="Table Dash 2nd Level"/>
    <w:basedOn w:val="TabletBullet"/>
    <w:uiPriority w:val="99"/>
    <w:semiHidden/>
    <w:rsid w:val="00B242C3"/>
    <w:pPr>
      <w:numPr>
        <w:numId w:val="34"/>
      </w:numPr>
      <w:ind w:left="340" w:hanging="170"/>
    </w:pPr>
  </w:style>
  <w:style w:type="paragraph" w:customStyle="1" w:styleId="TableTextItlaic">
    <w:name w:val="Table Text Itlaic"/>
    <w:basedOn w:val="TableText"/>
    <w:uiPriority w:val="99"/>
    <w:semiHidden/>
    <w:rsid w:val="00B242C3"/>
    <w:rPr>
      <w:i/>
      <w:lang w:val="en-US"/>
    </w:rPr>
  </w:style>
  <w:style w:type="character" w:customStyle="1" w:styleId="Style3">
    <w:name w:val="Style3"/>
    <w:basedOn w:val="DefaultParagraphFont"/>
    <w:uiPriority w:val="99"/>
    <w:semiHidden/>
    <w:rsid w:val="00B242C3"/>
    <w:rPr>
      <w:color w:val="007D55"/>
    </w:rPr>
  </w:style>
  <w:style w:type="paragraph" w:customStyle="1" w:styleId="Footnotes">
    <w:name w:val="Footnotes"/>
    <w:basedOn w:val="Normal"/>
    <w:uiPriority w:val="99"/>
    <w:semiHidden/>
    <w:rsid w:val="00B242C3"/>
    <w:pPr>
      <w:keepLines/>
      <w:numPr>
        <w:numId w:val="35"/>
      </w:numPr>
      <w:spacing w:before="60" w:after="100" w:afterAutospacing="1" w:line="180" w:lineRule="exact"/>
      <w:ind w:left="720" w:hanging="360"/>
    </w:pPr>
    <w:rPr>
      <w:rFonts w:eastAsia="Times New Roman" w:cs="Arial"/>
      <w:color w:val="000000" w:themeColor="text1"/>
      <w:sz w:val="14"/>
      <w:lang w:eastAsia="en-AU"/>
    </w:rPr>
  </w:style>
  <w:style w:type="paragraph" w:customStyle="1" w:styleId="Footnotes2">
    <w:name w:val="Footnotes 2"/>
    <w:basedOn w:val="Normal"/>
    <w:uiPriority w:val="99"/>
    <w:semiHidden/>
    <w:rsid w:val="00B242C3"/>
    <w:pPr>
      <w:numPr>
        <w:ilvl w:val="1"/>
        <w:numId w:val="35"/>
      </w:numPr>
      <w:tabs>
        <w:tab w:val="clear" w:pos="567"/>
      </w:tabs>
      <w:spacing w:after="100" w:afterAutospacing="1" w:line="180" w:lineRule="atLeast"/>
      <w:ind w:left="568" w:hanging="284"/>
      <w:contextualSpacing/>
    </w:pPr>
    <w:rPr>
      <w:rFonts w:eastAsia="Times New Roman" w:cs="Arial"/>
      <w:color w:val="000000" w:themeColor="text1"/>
      <w:sz w:val="14"/>
      <w:lang w:eastAsia="en-AU"/>
    </w:rPr>
  </w:style>
  <w:style w:type="character" w:customStyle="1" w:styleId="ListParagraphChar">
    <w:name w:val="List Paragraph Char"/>
    <w:aliases w:val="Bullet List Char,NFP GP Bulleted List Char,Recommendation Char,List Paragraph1 Char,L Char,List Paragraph11 Char,List Paragraph Number Char,Bullet point Char,Content descriptions Char,Bullet Point Char,bullet point list Char"/>
    <w:link w:val="ListParagraph"/>
    <w:uiPriority w:val="99"/>
    <w:locked/>
    <w:rsid w:val="00B242C3"/>
    <w:rPr>
      <w:rFonts w:asciiTheme="minorHAnsi" w:hAnsiTheme="minorHAnsi"/>
      <w:lang w:val="en-AU"/>
    </w:rPr>
  </w:style>
  <w:style w:type="paragraph" w:customStyle="1" w:styleId="PullOutBoxNumbered">
    <w:name w:val="Pull Out Box Numbered"/>
    <w:basedOn w:val="Normal"/>
    <w:qFormat/>
    <w:rsid w:val="00B242C3"/>
    <w:pPr>
      <w:spacing w:before="120" w:after="120" w:line="240" w:lineRule="atLeast"/>
      <w:ind w:right="142"/>
    </w:pPr>
    <w:rPr>
      <w:rFonts w:eastAsia="Times New Roman" w:cs="Arial"/>
      <w:color w:val="000000" w:themeColor="text1"/>
      <w:lang w:eastAsia="en-AU"/>
    </w:rPr>
  </w:style>
  <w:style w:type="paragraph" w:customStyle="1" w:styleId="PullOutBoxNumbered2">
    <w:name w:val="Pull Out Box Numbered 2"/>
    <w:basedOn w:val="Normal"/>
    <w:qFormat/>
    <w:rsid w:val="00B242C3"/>
    <w:pPr>
      <w:spacing w:before="120" w:after="120" w:line="240" w:lineRule="atLeast"/>
      <w:ind w:right="142"/>
    </w:pPr>
    <w:rPr>
      <w:rFonts w:eastAsia="Times New Roman" w:cs="Arial"/>
      <w:color w:val="000000" w:themeColor="text1"/>
      <w:lang w:eastAsia="en-AU"/>
    </w:rPr>
  </w:style>
  <w:style w:type="paragraph" w:customStyle="1" w:styleId="PullOutBoxNumbered3">
    <w:name w:val="Pull Out Box Numbered 3"/>
    <w:basedOn w:val="Normal"/>
    <w:qFormat/>
    <w:rsid w:val="00B242C3"/>
    <w:pPr>
      <w:spacing w:before="120" w:after="120" w:line="240" w:lineRule="atLeast"/>
      <w:ind w:right="142"/>
    </w:pPr>
    <w:rPr>
      <w:rFonts w:eastAsia="Times New Roman" w:cs="Arial"/>
      <w:color w:val="000000" w:themeColor="text1"/>
      <w:lang w:eastAsia="en-AU"/>
    </w:rPr>
  </w:style>
  <w:style w:type="character" w:customStyle="1" w:styleId="normaltextrun">
    <w:name w:val="normaltextrun"/>
    <w:basedOn w:val="DefaultParagraphFont"/>
    <w:rsid w:val="00B242C3"/>
  </w:style>
  <w:style w:type="paragraph" w:customStyle="1" w:styleId="paragraph">
    <w:name w:val="paragraph"/>
    <w:basedOn w:val="Normal"/>
    <w:rsid w:val="00B242C3"/>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GuidanceBullet1">
    <w:name w:val="Guidance Bullet 1"/>
    <w:basedOn w:val="Normal"/>
    <w:uiPriority w:val="99"/>
    <w:semiHidden/>
    <w:rsid w:val="00B242C3"/>
    <w:pPr>
      <w:numPr>
        <w:numId w:val="37"/>
      </w:numPr>
      <w:spacing w:before="40" w:after="40" w:line="264" w:lineRule="auto"/>
    </w:pPr>
    <w:rPr>
      <w:color w:val="000000" w:themeColor="text1"/>
      <w:lang w:eastAsia="en-AU"/>
    </w:rPr>
  </w:style>
  <w:style w:type="paragraph" w:customStyle="1" w:styleId="Bulletlist">
    <w:name w:val="Bullet list"/>
    <w:basedOn w:val="Normal"/>
    <w:link w:val="BulletlistChar"/>
    <w:uiPriority w:val="99"/>
    <w:semiHidden/>
    <w:rsid w:val="00B242C3"/>
    <w:pPr>
      <w:tabs>
        <w:tab w:val="num" w:pos="720"/>
      </w:tabs>
      <w:spacing w:after="160" w:line="259" w:lineRule="auto"/>
      <w:ind w:left="360" w:right="95" w:hanging="360"/>
      <w:contextualSpacing/>
    </w:pPr>
    <w:rPr>
      <w:rFonts w:eastAsia="Times New Roman" w:cs="Arial"/>
      <w:color w:val="000000" w:themeColor="text1"/>
      <w:lang w:eastAsia="en-AU"/>
    </w:rPr>
  </w:style>
  <w:style w:type="character" w:customStyle="1" w:styleId="BulletlistChar">
    <w:name w:val="Bullet list Char"/>
    <w:basedOn w:val="DefaultParagraphFont"/>
    <w:link w:val="Bulletlist"/>
    <w:uiPriority w:val="99"/>
    <w:semiHidden/>
    <w:rsid w:val="00B242C3"/>
    <w:rPr>
      <w:rFonts w:asciiTheme="minorHAnsi" w:eastAsia="Times New Roman" w:hAnsiTheme="minorHAnsi" w:cs="Arial"/>
      <w:color w:val="000000" w:themeColor="text1"/>
      <w:lang w:val="en-AU" w:eastAsia="en-AU"/>
    </w:rPr>
  </w:style>
  <w:style w:type="character" w:customStyle="1" w:styleId="eop">
    <w:name w:val="eop"/>
    <w:basedOn w:val="DefaultParagraphFont"/>
    <w:rsid w:val="00B242C3"/>
  </w:style>
  <w:style w:type="character" w:customStyle="1" w:styleId="ui-provider">
    <w:name w:val="ui-provider"/>
    <w:basedOn w:val="DefaultParagraphFont"/>
    <w:uiPriority w:val="99"/>
    <w:semiHidden/>
    <w:rsid w:val="00B242C3"/>
  </w:style>
  <w:style w:type="paragraph" w:customStyle="1" w:styleId="Default">
    <w:name w:val="Default"/>
    <w:uiPriority w:val="99"/>
    <w:semiHidden/>
    <w:rsid w:val="00B242C3"/>
    <w:pPr>
      <w:autoSpaceDE w:val="0"/>
      <w:autoSpaceDN w:val="0"/>
      <w:adjustRightInd w:val="0"/>
    </w:pPr>
    <w:rPr>
      <w:rFonts w:ascii="Arial" w:eastAsia="Times New Roman" w:hAnsi="Arial" w:cs="Arial"/>
      <w:color w:val="000000"/>
      <w:sz w:val="24"/>
      <w:szCs w:val="24"/>
      <w:lang w:val="en-AU" w:eastAsia="en-AU"/>
    </w:rPr>
  </w:style>
  <w:style w:type="paragraph" w:styleId="Revision">
    <w:name w:val="Revision"/>
    <w:hidden/>
    <w:uiPriority w:val="99"/>
    <w:semiHidden/>
    <w:rsid w:val="00B242C3"/>
    <w:rPr>
      <w:rFonts w:asciiTheme="minorHAnsi" w:hAnsiTheme="minorHAnsi"/>
    </w:rPr>
  </w:style>
  <w:style w:type="character" w:customStyle="1" w:styleId="cf01">
    <w:name w:val="cf01"/>
    <w:basedOn w:val="DefaultParagraphFont"/>
    <w:rsid w:val="00B242C3"/>
    <w:rPr>
      <w:rFonts w:ascii="Segoe UI" w:hAnsi="Segoe UI" w:cs="Segoe UI" w:hint="default"/>
      <w:sz w:val="18"/>
      <w:szCs w:val="18"/>
    </w:rPr>
  </w:style>
  <w:style w:type="paragraph" w:customStyle="1" w:styleId="TableTextBullet2">
    <w:name w:val="Table Text Bullet 2"/>
    <w:basedOn w:val="TableTextBullet"/>
    <w:uiPriority w:val="1"/>
    <w:qFormat/>
    <w:rsid w:val="00717CDF"/>
    <w:pPr>
      <w:numPr>
        <w:ilvl w:val="1"/>
      </w:numPr>
    </w:pPr>
  </w:style>
  <w:style w:type="paragraph" w:customStyle="1" w:styleId="TableTextBullet">
    <w:name w:val="Table Text Bullet"/>
    <w:basedOn w:val="Normal"/>
    <w:uiPriority w:val="1"/>
    <w:qFormat/>
    <w:rsid w:val="00717CDF"/>
    <w:pPr>
      <w:numPr>
        <w:numId w:val="48"/>
      </w:numPr>
      <w:spacing w:before="70" w:after="70" w:line="240" w:lineRule="atLeast"/>
    </w:pPr>
    <w:rPr>
      <w:rFonts w:eastAsia="Times New Roman" w:cs="Times New Roman"/>
      <w:lang w:eastAsia="en-AU"/>
    </w:rPr>
  </w:style>
  <w:style w:type="paragraph" w:customStyle="1" w:styleId="TableTextBullet3">
    <w:name w:val="Table Text Bullet 3"/>
    <w:basedOn w:val="TableTextBullet2"/>
    <w:uiPriority w:val="1"/>
    <w:qFormat/>
    <w:rsid w:val="00717CDF"/>
    <w:pPr>
      <w:numPr>
        <w:ilvl w:val="2"/>
      </w:numPr>
    </w:pPr>
  </w:style>
  <w:style w:type="numbering" w:customStyle="1" w:styleId="MyListNumbering">
    <w:name w:val="MyListNumbering"/>
    <w:uiPriority w:val="99"/>
    <w:rsid w:val="001D07B2"/>
    <w:pPr>
      <w:numPr>
        <w:numId w:val="53"/>
      </w:numPr>
    </w:pPr>
  </w:style>
  <w:style w:type="character" w:customStyle="1" w:styleId="superscript">
    <w:name w:val="superscript"/>
    <w:basedOn w:val="DefaultParagraphFont"/>
    <w:rsid w:val="002A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4197">
      <w:bodyDiv w:val="1"/>
      <w:marLeft w:val="0"/>
      <w:marRight w:val="0"/>
      <w:marTop w:val="0"/>
      <w:marBottom w:val="0"/>
      <w:divBdr>
        <w:top w:val="none" w:sz="0" w:space="0" w:color="auto"/>
        <w:left w:val="none" w:sz="0" w:space="0" w:color="auto"/>
        <w:bottom w:val="none" w:sz="0" w:space="0" w:color="auto"/>
        <w:right w:val="none" w:sz="0" w:space="0" w:color="auto"/>
      </w:divBdr>
      <w:divsChild>
        <w:div w:id="84692139">
          <w:marLeft w:val="0"/>
          <w:marRight w:val="0"/>
          <w:marTop w:val="0"/>
          <w:marBottom w:val="0"/>
          <w:divBdr>
            <w:top w:val="none" w:sz="0" w:space="0" w:color="auto"/>
            <w:left w:val="none" w:sz="0" w:space="0" w:color="auto"/>
            <w:bottom w:val="none" w:sz="0" w:space="0" w:color="auto"/>
            <w:right w:val="none" w:sz="0" w:space="0" w:color="auto"/>
          </w:divBdr>
        </w:div>
        <w:div w:id="1564752012">
          <w:marLeft w:val="0"/>
          <w:marRight w:val="0"/>
          <w:marTop w:val="0"/>
          <w:marBottom w:val="0"/>
          <w:divBdr>
            <w:top w:val="none" w:sz="0" w:space="0" w:color="auto"/>
            <w:left w:val="none" w:sz="0" w:space="0" w:color="auto"/>
            <w:bottom w:val="none" w:sz="0" w:space="0" w:color="auto"/>
            <w:right w:val="none" w:sz="0" w:space="0" w:color="auto"/>
          </w:divBdr>
        </w:div>
        <w:div w:id="1983919705">
          <w:marLeft w:val="0"/>
          <w:marRight w:val="0"/>
          <w:marTop w:val="0"/>
          <w:marBottom w:val="0"/>
          <w:divBdr>
            <w:top w:val="none" w:sz="0" w:space="0" w:color="auto"/>
            <w:left w:val="none" w:sz="0" w:space="0" w:color="auto"/>
            <w:bottom w:val="none" w:sz="0" w:space="0" w:color="auto"/>
            <w:right w:val="none" w:sz="0" w:space="0" w:color="auto"/>
          </w:divBdr>
        </w:div>
      </w:divsChild>
    </w:div>
    <w:div w:id="14965543">
      <w:bodyDiv w:val="1"/>
      <w:marLeft w:val="0"/>
      <w:marRight w:val="0"/>
      <w:marTop w:val="0"/>
      <w:marBottom w:val="0"/>
      <w:divBdr>
        <w:top w:val="none" w:sz="0" w:space="0" w:color="auto"/>
        <w:left w:val="none" w:sz="0" w:space="0" w:color="auto"/>
        <w:bottom w:val="none" w:sz="0" w:space="0" w:color="auto"/>
        <w:right w:val="none" w:sz="0" w:space="0" w:color="auto"/>
      </w:divBdr>
    </w:div>
    <w:div w:id="22444511">
      <w:bodyDiv w:val="1"/>
      <w:marLeft w:val="0"/>
      <w:marRight w:val="0"/>
      <w:marTop w:val="0"/>
      <w:marBottom w:val="0"/>
      <w:divBdr>
        <w:top w:val="none" w:sz="0" w:space="0" w:color="auto"/>
        <w:left w:val="none" w:sz="0" w:space="0" w:color="auto"/>
        <w:bottom w:val="none" w:sz="0" w:space="0" w:color="auto"/>
        <w:right w:val="none" w:sz="0" w:space="0" w:color="auto"/>
      </w:divBdr>
      <w:divsChild>
        <w:div w:id="124350086">
          <w:marLeft w:val="0"/>
          <w:marRight w:val="0"/>
          <w:marTop w:val="0"/>
          <w:marBottom w:val="0"/>
          <w:divBdr>
            <w:top w:val="none" w:sz="0" w:space="0" w:color="auto"/>
            <w:left w:val="none" w:sz="0" w:space="0" w:color="auto"/>
            <w:bottom w:val="none" w:sz="0" w:space="0" w:color="auto"/>
            <w:right w:val="none" w:sz="0" w:space="0" w:color="auto"/>
          </w:divBdr>
        </w:div>
        <w:div w:id="1105005145">
          <w:marLeft w:val="0"/>
          <w:marRight w:val="0"/>
          <w:marTop w:val="0"/>
          <w:marBottom w:val="0"/>
          <w:divBdr>
            <w:top w:val="none" w:sz="0" w:space="0" w:color="auto"/>
            <w:left w:val="none" w:sz="0" w:space="0" w:color="auto"/>
            <w:bottom w:val="none" w:sz="0" w:space="0" w:color="auto"/>
            <w:right w:val="none" w:sz="0" w:space="0" w:color="auto"/>
          </w:divBdr>
        </w:div>
      </w:divsChild>
    </w:div>
    <w:div w:id="101262657">
      <w:bodyDiv w:val="1"/>
      <w:marLeft w:val="0"/>
      <w:marRight w:val="0"/>
      <w:marTop w:val="0"/>
      <w:marBottom w:val="0"/>
      <w:divBdr>
        <w:top w:val="none" w:sz="0" w:space="0" w:color="auto"/>
        <w:left w:val="none" w:sz="0" w:space="0" w:color="auto"/>
        <w:bottom w:val="none" w:sz="0" w:space="0" w:color="auto"/>
        <w:right w:val="none" w:sz="0" w:space="0" w:color="auto"/>
      </w:divBdr>
      <w:divsChild>
        <w:div w:id="384061699">
          <w:marLeft w:val="0"/>
          <w:marRight w:val="0"/>
          <w:marTop w:val="0"/>
          <w:marBottom w:val="0"/>
          <w:divBdr>
            <w:top w:val="none" w:sz="0" w:space="0" w:color="auto"/>
            <w:left w:val="none" w:sz="0" w:space="0" w:color="auto"/>
            <w:bottom w:val="none" w:sz="0" w:space="0" w:color="auto"/>
            <w:right w:val="none" w:sz="0" w:space="0" w:color="auto"/>
          </w:divBdr>
        </w:div>
        <w:div w:id="1161390191">
          <w:marLeft w:val="0"/>
          <w:marRight w:val="0"/>
          <w:marTop w:val="0"/>
          <w:marBottom w:val="0"/>
          <w:divBdr>
            <w:top w:val="none" w:sz="0" w:space="0" w:color="auto"/>
            <w:left w:val="none" w:sz="0" w:space="0" w:color="auto"/>
            <w:bottom w:val="none" w:sz="0" w:space="0" w:color="auto"/>
            <w:right w:val="none" w:sz="0" w:space="0" w:color="auto"/>
          </w:divBdr>
        </w:div>
      </w:divsChild>
    </w:div>
    <w:div w:id="139426634">
      <w:bodyDiv w:val="1"/>
      <w:marLeft w:val="0"/>
      <w:marRight w:val="0"/>
      <w:marTop w:val="0"/>
      <w:marBottom w:val="0"/>
      <w:divBdr>
        <w:top w:val="none" w:sz="0" w:space="0" w:color="auto"/>
        <w:left w:val="none" w:sz="0" w:space="0" w:color="auto"/>
        <w:bottom w:val="none" w:sz="0" w:space="0" w:color="auto"/>
        <w:right w:val="none" w:sz="0" w:space="0" w:color="auto"/>
      </w:divBdr>
      <w:divsChild>
        <w:div w:id="669991073">
          <w:marLeft w:val="0"/>
          <w:marRight w:val="0"/>
          <w:marTop w:val="0"/>
          <w:marBottom w:val="0"/>
          <w:divBdr>
            <w:top w:val="none" w:sz="0" w:space="0" w:color="auto"/>
            <w:left w:val="none" w:sz="0" w:space="0" w:color="auto"/>
            <w:bottom w:val="none" w:sz="0" w:space="0" w:color="auto"/>
            <w:right w:val="none" w:sz="0" w:space="0" w:color="auto"/>
          </w:divBdr>
        </w:div>
        <w:div w:id="1090810412">
          <w:marLeft w:val="0"/>
          <w:marRight w:val="0"/>
          <w:marTop w:val="0"/>
          <w:marBottom w:val="0"/>
          <w:divBdr>
            <w:top w:val="none" w:sz="0" w:space="0" w:color="auto"/>
            <w:left w:val="none" w:sz="0" w:space="0" w:color="auto"/>
            <w:bottom w:val="none" w:sz="0" w:space="0" w:color="auto"/>
            <w:right w:val="none" w:sz="0" w:space="0" w:color="auto"/>
          </w:divBdr>
        </w:div>
      </w:divsChild>
    </w:div>
    <w:div w:id="168568752">
      <w:bodyDiv w:val="1"/>
      <w:marLeft w:val="0"/>
      <w:marRight w:val="0"/>
      <w:marTop w:val="0"/>
      <w:marBottom w:val="0"/>
      <w:divBdr>
        <w:top w:val="none" w:sz="0" w:space="0" w:color="auto"/>
        <w:left w:val="none" w:sz="0" w:space="0" w:color="auto"/>
        <w:bottom w:val="none" w:sz="0" w:space="0" w:color="auto"/>
        <w:right w:val="none" w:sz="0" w:space="0" w:color="auto"/>
      </w:divBdr>
      <w:divsChild>
        <w:div w:id="179321475">
          <w:marLeft w:val="0"/>
          <w:marRight w:val="0"/>
          <w:marTop w:val="0"/>
          <w:marBottom w:val="0"/>
          <w:divBdr>
            <w:top w:val="none" w:sz="0" w:space="0" w:color="auto"/>
            <w:left w:val="none" w:sz="0" w:space="0" w:color="auto"/>
            <w:bottom w:val="none" w:sz="0" w:space="0" w:color="auto"/>
            <w:right w:val="none" w:sz="0" w:space="0" w:color="auto"/>
          </w:divBdr>
        </w:div>
        <w:div w:id="1529488306">
          <w:marLeft w:val="0"/>
          <w:marRight w:val="0"/>
          <w:marTop w:val="0"/>
          <w:marBottom w:val="0"/>
          <w:divBdr>
            <w:top w:val="none" w:sz="0" w:space="0" w:color="auto"/>
            <w:left w:val="none" w:sz="0" w:space="0" w:color="auto"/>
            <w:bottom w:val="none" w:sz="0" w:space="0" w:color="auto"/>
            <w:right w:val="none" w:sz="0" w:space="0" w:color="auto"/>
          </w:divBdr>
        </w:div>
        <w:div w:id="1713993009">
          <w:marLeft w:val="0"/>
          <w:marRight w:val="0"/>
          <w:marTop w:val="0"/>
          <w:marBottom w:val="0"/>
          <w:divBdr>
            <w:top w:val="none" w:sz="0" w:space="0" w:color="auto"/>
            <w:left w:val="none" w:sz="0" w:space="0" w:color="auto"/>
            <w:bottom w:val="none" w:sz="0" w:space="0" w:color="auto"/>
            <w:right w:val="none" w:sz="0" w:space="0" w:color="auto"/>
          </w:divBdr>
        </w:div>
      </w:divsChild>
    </w:div>
    <w:div w:id="175386074">
      <w:bodyDiv w:val="1"/>
      <w:marLeft w:val="0"/>
      <w:marRight w:val="0"/>
      <w:marTop w:val="0"/>
      <w:marBottom w:val="0"/>
      <w:divBdr>
        <w:top w:val="none" w:sz="0" w:space="0" w:color="auto"/>
        <w:left w:val="none" w:sz="0" w:space="0" w:color="auto"/>
        <w:bottom w:val="none" w:sz="0" w:space="0" w:color="auto"/>
        <w:right w:val="none" w:sz="0" w:space="0" w:color="auto"/>
      </w:divBdr>
      <w:divsChild>
        <w:div w:id="918557481">
          <w:marLeft w:val="0"/>
          <w:marRight w:val="0"/>
          <w:marTop w:val="0"/>
          <w:marBottom w:val="0"/>
          <w:divBdr>
            <w:top w:val="none" w:sz="0" w:space="0" w:color="auto"/>
            <w:left w:val="none" w:sz="0" w:space="0" w:color="auto"/>
            <w:bottom w:val="none" w:sz="0" w:space="0" w:color="auto"/>
            <w:right w:val="none" w:sz="0" w:space="0" w:color="auto"/>
          </w:divBdr>
        </w:div>
        <w:div w:id="1909341900">
          <w:marLeft w:val="0"/>
          <w:marRight w:val="0"/>
          <w:marTop w:val="0"/>
          <w:marBottom w:val="0"/>
          <w:divBdr>
            <w:top w:val="none" w:sz="0" w:space="0" w:color="auto"/>
            <w:left w:val="none" w:sz="0" w:space="0" w:color="auto"/>
            <w:bottom w:val="none" w:sz="0" w:space="0" w:color="auto"/>
            <w:right w:val="none" w:sz="0" w:space="0" w:color="auto"/>
          </w:divBdr>
        </w:div>
      </w:divsChild>
    </w:div>
    <w:div w:id="198322269">
      <w:bodyDiv w:val="1"/>
      <w:marLeft w:val="0"/>
      <w:marRight w:val="0"/>
      <w:marTop w:val="0"/>
      <w:marBottom w:val="0"/>
      <w:divBdr>
        <w:top w:val="none" w:sz="0" w:space="0" w:color="auto"/>
        <w:left w:val="none" w:sz="0" w:space="0" w:color="auto"/>
        <w:bottom w:val="none" w:sz="0" w:space="0" w:color="auto"/>
        <w:right w:val="none" w:sz="0" w:space="0" w:color="auto"/>
      </w:divBdr>
      <w:divsChild>
        <w:div w:id="431901539">
          <w:marLeft w:val="0"/>
          <w:marRight w:val="0"/>
          <w:marTop w:val="0"/>
          <w:marBottom w:val="0"/>
          <w:divBdr>
            <w:top w:val="none" w:sz="0" w:space="0" w:color="auto"/>
            <w:left w:val="none" w:sz="0" w:space="0" w:color="auto"/>
            <w:bottom w:val="none" w:sz="0" w:space="0" w:color="auto"/>
            <w:right w:val="none" w:sz="0" w:space="0" w:color="auto"/>
          </w:divBdr>
        </w:div>
        <w:div w:id="565072211">
          <w:marLeft w:val="0"/>
          <w:marRight w:val="0"/>
          <w:marTop w:val="0"/>
          <w:marBottom w:val="0"/>
          <w:divBdr>
            <w:top w:val="none" w:sz="0" w:space="0" w:color="auto"/>
            <w:left w:val="none" w:sz="0" w:space="0" w:color="auto"/>
            <w:bottom w:val="none" w:sz="0" w:space="0" w:color="auto"/>
            <w:right w:val="none" w:sz="0" w:space="0" w:color="auto"/>
          </w:divBdr>
        </w:div>
        <w:div w:id="928855618">
          <w:marLeft w:val="0"/>
          <w:marRight w:val="0"/>
          <w:marTop w:val="0"/>
          <w:marBottom w:val="0"/>
          <w:divBdr>
            <w:top w:val="none" w:sz="0" w:space="0" w:color="auto"/>
            <w:left w:val="none" w:sz="0" w:space="0" w:color="auto"/>
            <w:bottom w:val="none" w:sz="0" w:space="0" w:color="auto"/>
            <w:right w:val="none" w:sz="0" w:space="0" w:color="auto"/>
          </w:divBdr>
        </w:div>
        <w:div w:id="1041321494">
          <w:marLeft w:val="0"/>
          <w:marRight w:val="0"/>
          <w:marTop w:val="0"/>
          <w:marBottom w:val="0"/>
          <w:divBdr>
            <w:top w:val="none" w:sz="0" w:space="0" w:color="auto"/>
            <w:left w:val="none" w:sz="0" w:space="0" w:color="auto"/>
            <w:bottom w:val="none" w:sz="0" w:space="0" w:color="auto"/>
            <w:right w:val="none" w:sz="0" w:space="0" w:color="auto"/>
          </w:divBdr>
        </w:div>
        <w:div w:id="1556624091">
          <w:marLeft w:val="0"/>
          <w:marRight w:val="0"/>
          <w:marTop w:val="0"/>
          <w:marBottom w:val="0"/>
          <w:divBdr>
            <w:top w:val="none" w:sz="0" w:space="0" w:color="auto"/>
            <w:left w:val="none" w:sz="0" w:space="0" w:color="auto"/>
            <w:bottom w:val="none" w:sz="0" w:space="0" w:color="auto"/>
            <w:right w:val="none" w:sz="0" w:space="0" w:color="auto"/>
          </w:divBdr>
        </w:div>
        <w:div w:id="1759476275">
          <w:marLeft w:val="0"/>
          <w:marRight w:val="0"/>
          <w:marTop w:val="0"/>
          <w:marBottom w:val="0"/>
          <w:divBdr>
            <w:top w:val="none" w:sz="0" w:space="0" w:color="auto"/>
            <w:left w:val="none" w:sz="0" w:space="0" w:color="auto"/>
            <w:bottom w:val="none" w:sz="0" w:space="0" w:color="auto"/>
            <w:right w:val="none" w:sz="0" w:space="0" w:color="auto"/>
          </w:divBdr>
        </w:div>
        <w:div w:id="1992251732">
          <w:marLeft w:val="0"/>
          <w:marRight w:val="0"/>
          <w:marTop w:val="0"/>
          <w:marBottom w:val="0"/>
          <w:divBdr>
            <w:top w:val="none" w:sz="0" w:space="0" w:color="auto"/>
            <w:left w:val="none" w:sz="0" w:space="0" w:color="auto"/>
            <w:bottom w:val="none" w:sz="0" w:space="0" w:color="auto"/>
            <w:right w:val="none" w:sz="0" w:space="0" w:color="auto"/>
          </w:divBdr>
        </w:div>
      </w:divsChild>
    </w:div>
    <w:div w:id="221791287">
      <w:bodyDiv w:val="1"/>
      <w:marLeft w:val="0"/>
      <w:marRight w:val="0"/>
      <w:marTop w:val="0"/>
      <w:marBottom w:val="0"/>
      <w:divBdr>
        <w:top w:val="none" w:sz="0" w:space="0" w:color="auto"/>
        <w:left w:val="none" w:sz="0" w:space="0" w:color="auto"/>
        <w:bottom w:val="none" w:sz="0" w:space="0" w:color="auto"/>
        <w:right w:val="none" w:sz="0" w:space="0" w:color="auto"/>
      </w:divBdr>
      <w:divsChild>
        <w:div w:id="1083330495">
          <w:marLeft w:val="0"/>
          <w:marRight w:val="0"/>
          <w:marTop w:val="0"/>
          <w:marBottom w:val="0"/>
          <w:divBdr>
            <w:top w:val="none" w:sz="0" w:space="0" w:color="auto"/>
            <w:left w:val="none" w:sz="0" w:space="0" w:color="auto"/>
            <w:bottom w:val="none" w:sz="0" w:space="0" w:color="auto"/>
            <w:right w:val="none" w:sz="0" w:space="0" w:color="auto"/>
          </w:divBdr>
        </w:div>
        <w:div w:id="1678969136">
          <w:marLeft w:val="0"/>
          <w:marRight w:val="0"/>
          <w:marTop w:val="0"/>
          <w:marBottom w:val="0"/>
          <w:divBdr>
            <w:top w:val="none" w:sz="0" w:space="0" w:color="auto"/>
            <w:left w:val="none" w:sz="0" w:space="0" w:color="auto"/>
            <w:bottom w:val="none" w:sz="0" w:space="0" w:color="auto"/>
            <w:right w:val="none" w:sz="0" w:space="0" w:color="auto"/>
          </w:divBdr>
        </w:div>
      </w:divsChild>
    </w:div>
    <w:div w:id="230624666">
      <w:bodyDiv w:val="1"/>
      <w:marLeft w:val="0"/>
      <w:marRight w:val="0"/>
      <w:marTop w:val="0"/>
      <w:marBottom w:val="0"/>
      <w:divBdr>
        <w:top w:val="none" w:sz="0" w:space="0" w:color="auto"/>
        <w:left w:val="none" w:sz="0" w:space="0" w:color="auto"/>
        <w:bottom w:val="none" w:sz="0" w:space="0" w:color="auto"/>
        <w:right w:val="none" w:sz="0" w:space="0" w:color="auto"/>
      </w:divBdr>
    </w:div>
    <w:div w:id="313026108">
      <w:bodyDiv w:val="1"/>
      <w:marLeft w:val="0"/>
      <w:marRight w:val="0"/>
      <w:marTop w:val="0"/>
      <w:marBottom w:val="0"/>
      <w:divBdr>
        <w:top w:val="none" w:sz="0" w:space="0" w:color="auto"/>
        <w:left w:val="none" w:sz="0" w:space="0" w:color="auto"/>
        <w:bottom w:val="none" w:sz="0" w:space="0" w:color="auto"/>
        <w:right w:val="none" w:sz="0" w:space="0" w:color="auto"/>
      </w:divBdr>
      <w:divsChild>
        <w:div w:id="62069165">
          <w:marLeft w:val="0"/>
          <w:marRight w:val="0"/>
          <w:marTop w:val="0"/>
          <w:marBottom w:val="0"/>
          <w:divBdr>
            <w:top w:val="none" w:sz="0" w:space="0" w:color="auto"/>
            <w:left w:val="none" w:sz="0" w:space="0" w:color="auto"/>
            <w:bottom w:val="none" w:sz="0" w:space="0" w:color="auto"/>
            <w:right w:val="none" w:sz="0" w:space="0" w:color="auto"/>
          </w:divBdr>
        </w:div>
        <w:div w:id="908688434">
          <w:marLeft w:val="0"/>
          <w:marRight w:val="0"/>
          <w:marTop w:val="0"/>
          <w:marBottom w:val="0"/>
          <w:divBdr>
            <w:top w:val="none" w:sz="0" w:space="0" w:color="auto"/>
            <w:left w:val="none" w:sz="0" w:space="0" w:color="auto"/>
            <w:bottom w:val="none" w:sz="0" w:space="0" w:color="auto"/>
            <w:right w:val="none" w:sz="0" w:space="0" w:color="auto"/>
          </w:divBdr>
        </w:div>
        <w:div w:id="1172798269">
          <w:marLeft w:val="0"/>
          <w:marRight w:val="0"/>
          <w:marTop w:val="0"/>
          <w:marBottom w:val="0"/>
          <w:divBdr>
            <w:top w:val="none" w:sz="0" w:space="0" w:color="auto"/>
            <w:left w:val="none" w:sz="0" w:space="0" w:color="auto"/>
            <w:bottom w:val="none" w:sz="0" w:space="0" w:color="auto"/>
            <w:right w:val="none" w:sz="0" w:space="0" w:color="auto"/>
          </w:divBdr>
        </w:div>
        <w:div w:id="1940600686">
          <w:marLeft w:val="0"/>
          <w:marRight w:val="0"/>
          <w:marTop w:val="0"/>
          <w:marBottom w:val="0"/>
          <w:divBdr>
            <w:top w:val="none" w:sz="0" w:space="0" w:color="auto"/>
            <w:left w:val="none" w:sz="0" w:space="0" w:color="auto"/>
            <w:bottom w:val="none" w:sz="0" w:space="0" w:color="auto"/>
            <w:right w:val="none" w:sz="0" w:space="0" w:color="auto"/>
          </w:divBdr>
        </w:div>
      </w:divsChild>
    </w:div>
    <w:div w:id="314920858">
      <w:bodyDiv w:val="1"/>
      <w:marLeft w:val="0"/>
      <w:marRight w:val="0"/>
      <w:marTop w:val="0"/>
      <w:marBottom w:val="0"/>
      <w:divBdr>
        <w:top w:val="none" w:sz="0" w:space="0" w:color="auto"/>
        <w:left w:val="none" w:sz="0" w:space="0" w:color="auto"/>
        <w:bottom w:val="none" w:sz="0" w:space="0" w:color="auto"/>
        <w:right w:val="none" w:sz="0" w:space="0" w:color="auto"/>
      </w:divBdr>
      <w:divsChild>
        <w:div w:id="473646300">
          <w:marLeft w:val="0"/>
          <w:marRight w:val="0"/>
          <w:marTop w:val="0"/>
          <w:marBottom w:val="0"/>
          <w:divBdr>
            <w:top w:val="none" w:sz="0" w:space="0" w:color="auto"/>
            <w:left w:val="none" w:sz="0" w:space="0" w:color="auto"/>
            <w:bottom w:val="none" w:sz="0" w:space="0" w:color="auto"/>
            <w:right w:val="none" w:sz="0" w:space="0" w:color="auto"/>
          </w:divBdr>
        </w:div>
        <w:div w:id="994340357">
          <w:marLeft w:val="0"/>
          <w:marRight w:val="0"/>
          <w:marTop w:val="0"/>
          <w:marBottom w:val="0"/>
          <w:divBdr>
            <w:top w:val="none" w:sz="0" w:space="0" w:color="auto"/>
            <w:left w:val="none" w:sz="0" w:space="0" w:color="auto"/>
            <w:bottom w:val="none" w:sz="0" w:space="0" w:color="auto"/>
            <w:right w:val="none" w:sz="0" w:space="0" w:color="auto"/>
          </w:divBdr>
        </w:div>
        <w:div w:id="1752005234">
          <w:marLeft w:val="0"/>
          <w:marRight w:val="0"/>
          <w:marTop w:val="0"/>
          <w:marBottom w:val="0"/>
          <w:divBdr>
            <w:top w:val="none" w:sz="0" w:space="0" w:color="auto"/>
            <w:left w:val="none" w:sz="0" w:space="0" w:color="auto"/>
            <w:bottom w:val="none" w:sz="0" w:space="0" w:color="auto"/>
            <w:right w:val="none" w:sz="0" w:space="0" w:color="auto"/>
          </w:divBdr>
        </w:div>
      </w:divsChild>
    </w:div>
    <w:div w:id="315426913">
      <w:bodyDiv w:val="1"/>
      <w:marLeft w:val="0"/>
      <w:marRight w:val="0"/>
      <w:marTop w:val="0"/>
      <w:marBottom w:val="0"/>
      <w:divBdr>
        <w:top w:val="none" w:sz="0" w:space="0" w:color="auto"/>
        <w:left w:val="none" w:sz="0" w:space="0" w:color="auto"/>
        <w:bottom w:val="none" w:sz="0" w:space="0" w:color="auto"/>
        <w:right w:val="none" w:sz="0" w:space="0" w:color="auto"/>
      </w:divBdr>
    </w:div>
    <w:div w:id="357510901">
      <w:bodyDiv w:val="1"/>
      <w:marLeft w:val="0"/>
      <w:marRight w:val="0"/>
      <w:marTop w:val="0"/>
      <w:marBottom w:val="0"/>
      <w:divBdr>
        <w:top w:val="none" w:sz="0" w:space="0" w:color="auto"/>
        <w:left w:val="none" w:sz="0" w:space="0" w:color="auto"/>
        <w:bottom w:val="none" w:sz="0" w:space="0" w:color="auto"/>
        <w:right w:val="none" w:sz="0" w:space="0" w:color="auto"/>
      </w:divBdr>
      <w:divsChild>
        <w:div w:id="74479577">
          <w:marLeft w:val="0"/>
          <w:marRight w:val="0"/>
          <w:marTop w:val="0"/>
          <w:marBottom w:val="0"/>
          <w:divBdr>
            <w:top w:val="none" w:sz="0" w:space="0" w:color="auto"/>
            <w:left w:val="none" w:sz="0" w:space="0" w:color="auto"/>
            <w:bottom w:val="none" w:sz="0" w:space="0" w:color="auto"/>
            <w:right w:val="none" w:sz="0" w:space="0" w:color="auto"/>
          </w:divBdr>
        </w:div>
        <w:div w:id="253056363">
          <w:marLeft w:val="0"/>
          <w:marRight w:val="0"/>
          <w:marTop w:val="0"/>
          <w:marBottom w:val="0"/>
          <w:divBdr>
            <w:top w:val="none" w:sz="0" w:space="0" w:color="auto"/>
            <w:left w:val="none" w:sz="0" w:space="0" w:color="auto"/>
            <w:bottom w:val="none" w:sz="0" w:space="0" w:color="auto"/>
            <w:right w:val="none" w:sz="0" w:space="0" w:color="auto"/>
          </w:divBdr>
        </w:div>
        <w:div w:id="580455339">
          <w:marLeft w:val="0"/>
          <w:marRight w:val="0"/>
          <w:marTop w:val="0"/>
          <w:marBottom w:val="0"/>
          <w:divBdr>
            <w:top w:val="none" w:sz="0" w:space="0" w:color="auto"/>
            <w:left w:val="none" w:sz="0" w:space="0" w:color="auto"/>
            <w:bottom w:val="none" w:sz="0" w:space="0" w:color="auto"/>
            <w:right w:val="none" w:sz="0" w:space="0" w:color="auto"/>
          </w:divBdr>
        </w:div>
        <w:div w:id="607662741">
          <w:marLeft w:val="0"/>
          <w:marRight w:val="0"/>
          <w:marTop w:val="0"/>
          <w:marBottom w:val="0"/>
          <w:divBdr>
            <w:top w:val="none" w:sz="0" w:space="0" w:color="auto"/>
            <w:left w:val="none" w:sz="0" w:space="0" w:color="auto"/>
            <w:bottom w:val="none" w:sz="0" w:space="0" w:color="auto"/>
            <w:right w:val="none" w:sz="0" w:space="0" w:color="auto"/>
          </w:divBdr>
        </w:div>
        <w:div w:id="1019969310">
          <w:marLeft w:val="0"/>
          <w:marRight w:val="0"/>
          <w:marTop w:val="0"/>
          <w:marBottom w:val="0"/>
          <w:divBdr>
            <w:top w:val="none" w:sz="0" w:space="0" w:color="auto"/>
            <w:left w:val="none" w:sz="0" w:space="0" w:color="auto"/>
            <w:bottom w:val="none" w:sz="0" w:space="0" w:color="auto"/>
            <w:right w:val="none" w:sz="0" w:space="0" w:color="auto"/>
          </w:divBdr>
        </w:div>
        <w:div w:id="1543514329">
          <w:marLeft w:val="0"/>
          <w:marRight w:val="0"/>
          <w:marTop w:val="0"/>
          <w:marBottom w:val="0"/>
          <w:divBdr>
            <w:top w:val="none" w:sz="0" w:space="0" w:color="auto"/>
            <w:left w:val="none" w:sz="0" w:space="0" w:color="auto"/>
            <w:bottom w:val="none" w:sz="0" w:space="0" w:color="auto"/>
            <w:right w:val="none" w:sz="0" w:space="0" w:color="auto"/>
          </w:divBdr>
        </w:div>
        <w:div w:id="2114473528">
          <w:marLeft w:val="0"/>
          <w:marRight w:val="0"/>
          <w:marTop w:val="0"/>
          <w:marBottom w:val="0"/>
          <w:divBdr>
            <w:top w:val="none" w:sz="0" w:space="0" w:color="auto"/>
            <w:left w:val="none" w:sz="0" w:space="0" w:color="auto"/>
            <w:bottom w:val="none" w:sz="0" w:space="0" w:color="auto"/>
            <w:right w:val="none" w:sz="0" w:space="0" w:color="auto"/>
          </w:divBdr>
        </w:div>
      </w:divsChild>
    </w:div>
    <w:div w:id="363141592">
      <w:bodyDiv w:val="1"/>
      <w:marLeft w:val="0"/>
      <w:marRight w:val="0"/>
      <w:marTop w:val="0"/>
      <w:marBottom w:val="0"/>
      <w:divBdr>
        <w:top w:val="none" w:sz="0" w:space="0" w:color="auto"/>
        <w:left w:val="none" w:sz="0" w:space="0" w:color="auto"/>
        <w:bottom w:val="none" w:sz="0" w:space="0" w:color="auto"/>
        <w:right w:val="none" w:sz="0" w:space="0" w:color="auto"/>
      </w:divBdr>
      <w:divsChild>
        <w:div w:id="3174268">
          <w:marLeft w:val="0"/>
          <w:marRight w:val="0"/>
          <w:marTop w:val="0"/>
          <w:marBottom w:val="0"/>
          <w:divBdr>
            <w:top w:val="none" w:sz="0" w:space="0" w:color="auto"/>
            <w:left w:val="none" w:sz="0" w:space="0" w:color="auto"/>
            <w:bottom w:val="none" w:sz="0" w:space="0" w:color="auto"/>
            <w:right w:val="none" w:sz="0" w:space="0" w:color="auto"/>
          </w:divBdr>
        </w:div>
        <w:div w:id="1692535672">
          <w:marLeft w:val="0"/>
          <w:marRight w:val="0"/>
          <w:marTop w:val="0"/>
          <w:marBottom w:val="0"/>
          <w:divBdr>
            <w:top w:val="none" w:sz="0" w:space="0" w:color="auto"/>
            <w:left w:val="none" w:sz="0" w:space="0" w:color="auto"/>
            <w:bottom w:val="none" w:sz="0" w:space="0" w:color="auto"/>
            <w:right w:val="none" w:sz="0" w:space="0" w:color="auto"/>
          </w:divBdr>
        </w:div>
        <w:div w:id="2106723722">
          <w:marLeft w:val="0"/>
          <w:marRight w:val="0"/>
          <w:marTop w:val="0"/>
          <w:marBottom w:val="0"/>
          <w:divBdr>
            <w:top w:val="none" w:sz="0" w:space="0" w:color="auto"/>
            <w:left w:val="none" w:sz="0" w:space="0" w:color="auto"/>
            <w:bottom w:val="none" w:sz="0" w:space="0" w:color="auto"/>
            <w:right w:val="none" w:sz="0" w:space="0" w:color="auto"/>
          </w:divBdr>
        </w:div>
      </w:divsChild>
    </w:div>
    <w:div w:id="374431915">
      <w:bodyDiv w:val="1"/>
      <w:marLeft w:val="0"/>
      <w:marRight w:val="0"/>
      <w:marTop w:val="0"/>
      <w:marBottom w:val="0"/>
      <w:divBdr>
        <w:top w:val="none" w:sz="0" w:space="0" w:color="auto"/>
        <w:left w:val="none" w:sz="0" w:space="0" w:color="auto"/>
        <w:bottom w:val="none" w:sz="0" w:space="0" w:color="auto"/>
        <w:right w:val="none" w:sz="0" w:space="0" w:color="auto"/>
      </w:divBdr>
      <w:divsChild>
        <w:div w:id="31271873">
          <w:marLeft w:val="0"/>
          <w:marRight w:val="0"/>
          <w:marTop w:val="0"/>
          <w:marBottom w:val="0"/>
          <w:divBdr>
            <w:top w:val="none" w:sz="0" w:space="0" w:color="auto"/>
            <w:left w:val="none" w:sz="0" w:space="0" w:color="auto"/>
            <w:bottom w:val="none" w:sz="0" w:space="0" w:color="auto"/>
            <w:right w:val="none" w:sz="0" w:space="0" w:color="auto"/>
          </w:divBdr>
        </w:div>
        <w:div w:id="480584313">
          <w:marLeft w:val="0"/>
          <w:marRight w:val="0"/>
          <w:marTop w:val="0"/>
          <w:marBottom w:val="0"/>
          <w:divBdr>
            <w:top w:val="none" w:sz="0" w:space="0" w:color="auto"/>
            <w:left w:val="none" w:sz="0" w:space="0" w:color="auto"/>
            <w:bottom w:val="none" w:sz="0" w:space="0" w:color="auto"/>
            <w:right w:val="none" w:sz="0" w:space="0" w:color="auto"/>
          </w:divBdr>
        </w:div>
      </w:divsChild>
    </w:div>
    <w:div w:id="390537751">
      <w:bodyDiv w:val="1"/>
      <w:marLeft w:val="0"/>
      <w:marRight w:val="0"/>
      <w:marTop w:val="0"/>
      <w:marBottom w:val="0"/>
      <w:divBdr>
        <w:top w:val="none" w:sz="0" w:space="0" w:color="auto"/>
        <w:left w:val="none" w:sz="0" w:space="0" w:color="auto"/>
        <w:bottom w:val="none" w:sz="0" w:space="0" w:color="auto"/>
        <w:right w:val="none" w:sz="0" w:space="0" w:color="auto"/>
      </w:divBdr>
    </w:div>
    <w:div w:id="391389665">
      <w:bodyDiv w:val="1"/>
      <w:marLeft w:val="0"/>
      <w:marRight w:val="0"/>
      <w:marTop w:val="0"/>
      <w:marBottom w:val="0"/>
      <w:divBdr>
        <w:top w:val="none" w:sz="0" w:space="0" w:color="auto"/>
        <w:left w:val="none" w:sz="0" w:space="0" w:color="auto"/>
        <w:bottom w:val="none" w:sz="0" w:space="0" w:color="auto"/>
        <w:right w:val="none" w:sz="0" w:space="0" w:color="auto"/>
      </w:divBdr>
    </w:div>
    <w:div w:id="419327943">
      <w:bodyDiv w:val="1"/>
      <w:marLeft w:val="0"/>
      <w:marRight w:val="0"/>
      <w:marTop w:val="0"/>
      <w:marBottom w:val="0"/>
      <w:divBdr>
        <w:top w:val="none" w:sz="0" w:space="0" w:color="auto"/>
        <w:left w:val="none" w:sz="0" w:space="0" w:color="auto"/>
        <w:bottom w:val="none" w:sz="0" w:space="0" w:color="auto"/>
        <w:right w:val="none" w:sz="0" w:space="0" w:color="auto"/>
      </w:divBdr>
    </w:div>
    <w:div w:id="424378191">
      <w:bodyDiv w:val="1"/>
      <w:marLeft w:val="0"/>
      <w:marRight w:val="0"/>
      <w:marTop w:val="0"/>
      <w:marBottom w:val="0"/>
      <w:divBdr>
        <w:top w:val="none" w:sz="0" w:space="0" w:color="auto"/>
        <w:left w:val="none" w:sz="0" w:space="0" w:color="auto"/>
        <w:bottom w:val="none" w:sz="0" w:space="0" w:color="auto"/>
        <w:right w:val="none" w:sz="0" w:space="0" w:color="auto"/>
      </w:divBdr>
    </w:div>
    <w:div w:id="448208633">
      <w:bodyDiv w:val="1"/>
      <w:marLeft w:val="0"/>
      <w:marRight w:val="0"/>
      <w:marTop w:val="0"/>
      <w:marBottom w:val="0"/>
      <w:divBdr>
        <w:top w:val="none" w:sz="0" w:space="0" w:color="auto"/>
        <w:left w:val="none" w:sz="0" w:space="0" w:color="auto"/>
        <w:bottom w:val="none" w:sz="0" w:space="0" w:color="auto"/>
        <w:right w:val="none" w:sz="0" w:space="0" w:color="auto"/>
      </w:divBdr>
    </w:div>
    <w:div w:id="472986506">
      <w:bodyDiv w:val="1"/>
      <w:marLeft w:val="0"/>
      <w:marRight w:val="0"/>
      <w:marTop w:val="0"/>
      <w:marBottom w:val="0"/>
      <w:divBdr>
        <w:top w:val="none" w:sz="0" w:space="0" w:color="auto"/>
        <w:left w:val="none" w:sz="0" w:space="0" w:color="auto"/>
        <w:bottom w:val="none" w:sz="0" w:space="0" w:color="auto"/>
        <w:right w:val="none" w:sz="0" w:space="0" w:color="auto"/>
      </w:divBdr>
    </w:div>
    <w:div w:id="522978881">
      <w:bodyDiv w:val="1"/>
      <w:marLeft w:val="0"/>
      <w:marRight w:val="0"/>
      <w:marTop w:val="0"/>
      <w:marBottom w:val="0"/>
      <w:divBdr>
        <w:top w:val="none" w:sz="0" w:space="0" w:color="auto"/>
        <w:left w:val="none" w:sz="0" w:space="0" w:color="auto"/>
        <w:bottom w:val="none" w:sz="0" w:space="0" w:color="auto"/>
        <w:right w:val="none" w:sz="0" w:space="0" w:color="auto"/>
      </w:divBdr>
    </w:div>
    <w:div w:id="526724945">
      <w:bodyDiv w:val="1"/>
      <w:marLeft w:val="0"/>
      <w:marRight w:val="0"/>
      <w:marTop w:val="0"/>
      <w:marBottom w:val="0"/>
      <w:divBdr>
        <w:top w:val="none" w:sz="0" w:space="0" w:color="auto"/>
        <w:left w:val="none" w:sz="0" w:space="0" w:color="auto"/>
        <w:bottom w:val="none" w:sz="0" w:space="0" w:color="auto"/>
        <w:right w:val="none" w:sz="0" w:space="0" w:color="auto"/>
      </w:divBdr>
      <w:divsChild>
        <w:div w:id="1551502351">
          <w:marLeft w:val="0"/>
          <w:marRight w:val="0"/>
          <w:marTop w:val="0"/>
          <w:marBottom w:val="0"/>
          <w:divBdr>
            <w:top w:val="none" w:sz="0" w:space="0" w:color="auto"/>
            <w:left w:val="none" w:sz="0" w:space="0" w:color="auto"/>
            <w:bottom w:val="none" w:sz="0" w:space="0" w:color="auto"/>
            <w:right w:val="none" w:sz="0" w:space="0" w:color="auto"/>
          </w:divBdr>
        </w:div>
        <w:div w:id="1632242925">
          <w:marLeft w:val="0"/>
          <w:marRight w:val="0"/>
          <w:marTop w:val="0"/>
          <w:marBottom w:val="0"/>
          <w:divBdr>
            <w:top w:val="none" w:sz="0" w:space="0" w:color="auto"/>
            <w:left w:val="none" w:sz="0" w:space="0" w:color="auto"/>
            <w:bottom w:val="none" w:sz="0" w:space="0" w:color="auto"/>
            <w:right w:val="none" w:sz="0" w:space="0" w:color="auto"/>
          </w:divBdr>
        </w:div>
      </w:divsChild>
    </w:div>
    <w:div w:id="576093319">
      <w:bodyDiv w:val="1"/>
      <w:marLeft w:val="0"/>
      <w:marRight w:val="0"/>
      <w:marTop w:val="0"/>
      <w:marBottom w:val="0"/>
      <w:divBdr>
        <w:top w:val="none" w:sz="0" w:space="0" w:color="auto"/>
        <w:left w:val="none" w:sz="0" w:space="0" w:color="auto"/>
        <w:bottom w:val="none" w:sz="0" w:space="0" w:color="auto"/>
        <w:right w:val="none" w:sz="0" w:space="0" w:color="auto"/>
      </w:divBdr>
    </w:div>
    <w:div w:id="613564387">
      <w:bodyDiv w:val="1"/>
      <w:marLeft w:val="0"/>
      <w:marRight w:val="0"/>
      <w:marTop w:val="0"/>
      <w:marBottom w:val="0"/>
      <w:divBdr>
        <w:top w:val="none" w:sz="0" w:space="0" w:color="auto"/>
        <w:left w:val="none" w:sz="0" w:space="0" w:color="auto"/>
        <w:bottom w:val="none" w:sz="0" w:space="0" w:color="auto"/>
        <w:right w:val="none" w:sz="0" w:space="0" w:color="auto"/>
      </w:divBdr>
    </w:div>
    <w:div w:id="615017951">
      <w:bodyDiv w:val="1"/>
      <w:marLeft w:val="0"/>
      <w:marRight w:val="0"/>
      <w:marTop w:val="0"/>
      <w:marBottom w:val="0"/>
      <w:divBdr>
        <w:top w:val="none" w:sz="0" w:space="0" w:color="auto"/>
        <w:left w:val="none" w:sz="0" w:space="0" w:color="auto"/>
        <w:bottom w:val="none" w:sz="0" w:space="0" w:color="auto"/>
        <w:right w:val="none" w:sz="0" w:space="0" w:color="auto"/>
      </w:divBdr>
    </w:div>
    <w:div w:id="649287302">
      <w:bodyDiv w:val="1"/>
      <w:marLeft w:val="0"/>
      <w:marRight w:val="0"/>
      <w:marTop w:val="0"/>
      <w:marBottom w:val="0"/>
      <w:divBdr>
        <w:top w:val="none" w:sz="0" w:space="0" w:color="auto"/>
        <w:left w:val="none" w:sz="0" w:space="0" w:color="auto"/>
        <w:bottom w:val="none" w:sz="0" w:space="0" w:color="auto"/>
        <w:right w:val="none" w:sz="0" w:space="0" w:color="auto"/>
      </w:divBdr>
    </w:div>
    <w:div w:id="685908053">
      <w:bodyDiv w:val="1"/>
      <w:marLeft w:val="0"/>
      <w:marRight w:val="0"/>
      <w:marTop w:val="0"/>
      <w:marBottom w:val="0"/>
      <w:divBdr>
        <w:top w:val="none" w:sz="0" w:space="0" w:color="auto"/>
        <w:left w:val="none" w:sz="0" w:space="0" w:color="auto"/>
        <w:bottom w:val="none" w:sz="0" w:space="0" w:color="auto"/>
        <w:right w:val="none" w:sz="0" w:space="0" w:color="auto"/>
      </w:divBdr>
    </w:div>
    <w:div w:id="686949433">
      <w:bodyDiv w:val="1"/>
      <w:marLeft w:val="0"/>
      <w:marRight w:val="0"/>
      <w:marTop w:val="0"/>
      <w:marBottom w:val="0"/>
      <w:divBdr>
        <w:top w:val="none" w:sz="0" w:space="0" w:color="auto"/>
        <w:left w:val="none" w:sz="0" w:space="0" w:color="auto"/>
        <w:bottom w:val="none" w:sz="0" w:space="0" w:color="auto"/>
        <w:right w:val="none" w:sz="0" w:space="0" w:color="auto"/>
      </w:divBdr>
    </w:div>
    <w:div w:id="720904958">
      <w:bodyDiv w:val="1"/>
      <w:marLeft w:val="0"/>
      <w:marRight w:val="0"/>
      <w:marTop w:val="0"/>
      <w:marBottom w:val="0"/>
      <w:divBdr>
        <w:top w:val="none" w:sz="0" w:space="0" w:color="auto"/>
        <w:left w:val="none" w:sz="0" w:space="0" w:color="auto"/>
        <w:bottom w:val="none" w:sz="0" w:space="0" w:color="auto"/>
        <w:right w:val="none" w:sz="0" w:space="0" w:color="auto"/>
      </w:divBdr>
    </w:div>
    <w:div w:id="725572739">
      <w:bodyDiv w:val="1"/>
      <w:marLeft w:val="0"/>
      <w:marRight w:val="0"/>
      <w:marTop w:val="0"/>
      <w:marBottom w:val="0"/>
      <w:divBdr>
        <w:top w:val="none" w:sz="0" w:space="0" w:color="auto"/>
        <w:left w:val="none" w:sz="0" w:space="0" w:color="auto"/>
        <w:bottom w:val="none" w:sz="0" w:space="0" w:color="auto"/>
        <w:right w:val="none" w:sz="0" w:space="0" w:color="auto"/>
      </w:divBdr>
    </w:div>
    <w:div w:id="747730748">
      <w:bodyDiv w:val="1"/>
      <w:marLeft w:val="0"/>
      <w:marRight w:val="0"/>
      <w:marTop w:val="0"/>
      <w:marBottom w:val="0"/>
      <w:divBdr>
        <w:top w:val="none" w:sz="0" w:space="0" w:color="auto"/>
        <w:left w:val="none" w:sz="0" w:space="0" w:color="auto"/>
        <w:bottom w:val="none" w:sz="0" w:space="0" w:color="auto"/>
        <w:right w:val="none" w:sz="0" w:space="0" w:color="auto"/>
      </w:divBdr>
    </w:div>
    <w:div w:id="753626520">
      <w:bodyDiv w:val="1"/>
      <w:marLeft w:val="0"/>
      <w:marRight w:val="0"/>
      <w:marTop w:val="0"/>
      <w:marBottom w:val="0"/>
      <w:divBdr>
        <w:top w:val="none" w:sz="0" w:space="0" w:color="auto"/>
        <w:left w:val="none" w:sz="0" w:space="0" w:color="auto"/>
        <w:bottom w:val="none" w:sz="0" w:space="0" w:color="auto"/>
        <w:right w:val="none" w:sz="0" w:space="0" w:color="auto"/>
      </w:divBdr>
      <w:divsChild>
        <w:div w:id="1470591453">
          <w:marLeft w:val="0"/>
          <w:marRight w:val="0"/>
          <w:marTop w:val="0"/>
          <w:marBottom w:val="0"/>
          <w:divBdr>
            <w:top w:val="none" w:sz="0" w:space="0" w:color="auto"/>
            <w:left w:val="none" w:sz="0" w:space="0" w:color="auto"/>
            <w:bottom w:val="none" w:sz="0" w:space="0" w:color="auto"/>
            <w:right w:val="none" w:sz="0" w:space="0" w:color="auto"/>
          </w:divBdr>
        </w:div>
        <w:div w:id="1502886116">
          <w:marLeft w:val="0"/>
          <w:marRight w:val="0"/>
          <w:marTop w:val="0"/>
          <w:marBottom w:val="0"/>
          <w:divBdr>
            <w:top w:val="none" w:sz="0" w:space="0" w:color="auto"/>
            <w:left w:val="none" w:sz="0" w:space="0" w:color="auto"/>
            <w:bottom w:val="none" w:sz="0" w:space="0" w:color="auto"/>
            <w:right w:val="none" w:sz="0" w:space="0" w:color="auto"/>
          </w:divBdr>
        </w:div>
      </w:divsChild>
    </w:div>
    <w:div w:id="755907213">
      <w:bodyDiv w:val="1"/>
      <w:marLeft w:val="0"/>
      <w:marRight w:val="0"/>
      <w:marTop w:val="0"/>
      <w:marBottom w:val="0"/>
      <w:divBdr>
        <w:top w:val="none" w:sz="0" w:space="0" w:color="auto"/>
        <w:left w:val="none" w:sz="0" w:space="0" w:color="auto"/>
        <w:bottom w:val="none" w:sz="0" w:space="0" w:color="auto"/>
        <w:right w:val="none" w:sz="0" w:space="0" w:color="auto"/>
      </w:divBdr>
      <w:divsChild>
        <w:div w:id="190804053">
          <w:marLeft w:val="0"/>
          <w:marRight w:val="0"/>
          <w:marTop w:val="0"/>
          <w:marBottom w:val="0"/>
          <w:divBdr>
            <w:top w:val="none" w:sz="0" w:space="0" w:color="auto"/>
            <w:left w:val="none" w:sz="0" w:space="0" w:color="auto"/>
            <w:bottom w:val="none" w:sz="0" w:space="0" w:color="auto"/>
            <w:right w:val="none" w:sz="0" w:space="0" w:color="auto"/>
          </w:divBdr>
        </w:div>
        <w:div w:id="515270321">
          <w:marLeft w:val="0"/>
          <w:marRight w:val="0"/>
          <w:marTop w:val="0"/>
          <w:marBottom w:val="0"/>
          <w:divBdr>
            <w:top w:val="none" w:sz="0" w:space="0" w:color="auto"/>
            <w:left w:val="none" w:sz="0" w:space="0" w:color="auto"/>
            <w:bottom w:val="none" w:sz="0" w:space="0" w:color="auto"/>
            <w:right w:val="none" w:sz="0" w:space="0" w:color="auto"/>
          </w:divBdr>
        </w:div>
      </w:divsChild>
    </w:div>
    <w:div w:id="811023705">
      <w:bodyDiv w:val="1"/>
      <w:marLeft w:val="0"/>
      <w:marRight w:val="0"/>
      <w:marTop w:val="0"/>
      <w:marBottom w:val="0"/>
      <w:divBdr>
        <w:top w:val="none" w:sz="0" w:space="0" w:color="auto"/>
        <w:left w:val="none" w:sz="0" w:space="0" w:color="auto"/>
        <w:bottom w:val="none" w:sz="0" w:space="0" w:color="auto"/>
        <w:right w:val="none" w:sz="0" w:space="0" w:color="auto"/>
      </w:divBdr>
    </w:div>
    <w:div w:id="821627025">
      <w:bodyDiv w:val="1"/>
      <w:marLeft w:val="0"/>
      <w:marRight w:val="0"/>
      <w:marTop w:val="0"/>
      <w:marBottom w:val="0"/>
      <w:divBdr>
        <w:top w:val="none" w:sz="0" w:space="0" w:color="auto"/>
        <w:left w:val="none" w:sz="0" w:space="0" w:color="auto"/>
        <w:bottom w:val="none" w:sz="0" w:space="0" w:color="auto"/>
        <w:right w:val="none" w:sz="0" w:space="0" w:color="auto"/>
      </w:divBdr>
    </w:div>
    <w:div w:id="856701967">
      <w:bodyDiv w:val="1"/>
      <w:marLeft w:val="0"/>
      <w:marRight w:val="0"/>
      <w:marTop w:val="0"/>
      <w:marBottom w:val="0"/>
      <w:divBdr>
        <w:top w:val="none" w:sz="0" w:space="0" w:color="auto"/>
        <w:left w:val="none" w:sz="0" w:space="0" w:color="auto"/>
        <w:bottom w:val="none" w:sz="0" w:space="0" w:color="auto"/>
        <w:right w:val="none" w:sz="0" w:space="0" w:color="auto"/>
      </w:divBdr>
      <w:divsChild>
        <w:div w:id="1032146941">
          <w:marLeft w:val="0"/>
          <w:marRight w:val="0"/>
          <w:marTop w:val="0"/>
          <w:marBottom w:val="0"/>
          <w:divBdr>
            <w:top w:val="none" w:sz="0" w:space="0" w:color="auto"/>
            <w:left w:val="none" w:sz="0" w:space="0" w:color="auto"/>
            <w:bottom w:val="none" w:sz="0" w:space="0" w:color="auto"/>
            <w:right w:val="none" w:sz="0" w:space="0" w:color="auto"/>
          </w:divBdr>
        </w:div>
        <w:div w:id="1451124485">
          <w:marLeft w:val="0"/>
          <w:marRight w:val="0"/>
          <w:marTop w:val="0"/>
          <w:marBottom w:val="0"/>
          <w:divBdr>
            <w:top w:val="none" w:sz="0" w:space="0" w:color="auto"/>
            <w:left w:val="none" w:sz="0" w:space="0" w:color="auto"/>
            <w:bottom w:val="none" w:sz="0" w:space="0" w:color="auto"/>
            <w:right w:val="none" w:sz="0" w:space="0" w:color="auto"/>
          </w:divBdr>
        </w:div>
      </w:divsChild>
    </w:div>
    <w:div w:id="911543345">
      <w:bodyDiv w:val="1"/>
      <w:marLeft w:val="0"/>
      <w:marRight w:val="0"/>
      <w:marTop w:val="0"/>
      <w:marBottom w:val="0"/>
      <w:divBdr>
        <w:top w:val="none" w:sz="0" w:space="0" w:color="auto"/>
        <w:left w:val="none" w:sz="0" w:space="0" w:color="auto"/>
        <w:bottom w:val="none" w:sz="0" w:space="0" w:color="auto"/>
        <w:right w:val="none" w:sz="0" w:space="0" w:color="auto"/>
      </w:divBdr>
    </w:div>
    <w:div w:id="914364487">
      <w:bodyDiv w:val="1"/>
      <w:marLeft w:val="0"/>
      <w:marRight w:val="0"/>
      <w:marTop w:val="0"/>
      <w:marBottom w:val="0"/>
      <w:divBdr>
        <w:top w:val="none" w:sz="0" w:space="0" w:color="auto"/>
        <w:left w:val="none" w:sz="0" w:space="0" w:color="auto"/>
        <w:bottom w:val="none" w:sz="0" w:space="0" w:color="auto"/>
        <w:right w:val="none" w:sz="0" w:space="0" w:color="auto"/>
      </w:divBdr>
    </w:div>
    <w:div w:id="927497016">
      <w:bodyDiv w:val="1"/>
      <w:marLeft w:val="0"/>
      <w:marRight w:val="0"/>
      <w:marTop w:val="0"/>
      <w:marBottom w:val="0"/>
      <w:divBdr>
        <w:top w:val="none" w:sz="0" w:space="0" w:color="auto"/>
        <w:left w:val="none" w:sz="0" w:space="0" w:color="auto"/>
        <w:bottom w:val="none" w:sz="0" w:space="0" w:color="auto"/>
        <w:right w:val="none" w:sz="0" w:space="0" w:color="auto"/>
      </w:divBdr>
      <w:divsChild>
        <w:div w:id="1901092463">
          <w:marLeft w:val="0"/>
          <w:marRight w:val="0"/>
          <w:marTop w:val="0"/>
          <w:marBottom w:val="0"/>
          <w:divBdr>
            <w:top w:val="none" w:sz="0" w:space="0" w:color="auto"/>
            <w:left w:val="none" w:sz="0" w:space="0" w:color="auto"/>
            <w:bottom w:val="none" w:sz="0" w:space="0" w:color="auto"/>
            <w:right w:val="none" w:sz="0" w:space="0" w:color="auto"/>
          </w:divBdr>
        </w:div>
        <w:div w:id="1942764506">
          <w:marLeft w:val="0"/>
          <w:marRight w:val="0"/>
          <w:marTop w:val="0"/>
          <w:marBottom w:val="0"/>
          <w:divBdr>
            <w:top w:val="none" w:sz="0" w:space="0" w:color="auto"/>
            <w:left w:val="none" w:sz="0" w:space="0" w:color="auto"/>
            <w:bottom w:val="none" w:sz="0" w:space="0" w:color="auto"/>
            <w:right w:val="none" w:sz="0" w:space="0" w:color="auto"/>
          </w:divBdr>
        </w:div>
      </w:divsChild>
    </w:div>
    <w:div w:id="936599853">
      <w:bodyDiv w:val="1"/>
      <w:marLeft w:val="0"/>
      <w:marRight w:val="0"/>
      <w:marTop w:val="0"/>
      <w:marBottom w:val="0"/>
      <w:divBdr>
        <w:top w:val="none" w:sz="0" w:space="0" w:color="auto"/>
        <w:left w:val="none" w:sz="0" w:space="0" w:color="auto"/>
        <w:bottom w:val="none" w:sz="0" w:space="0" w:color="auto"/>
        <w:right w:val="none" w:sz="0" w:space="0" w:color="auto"/>
      </w:divBdr>
    </w:div>
    <w:div w:id="968121798">
      <w:bodyDiv w:val="1"/>
      <w:marLeft w:val="0"/>
      <w:marRight w:val="0"/>
      <w:marTop w:val="0"/>
      <w:marBottom w:val="0"/>
      <w:divBdr>
        <w:top w:val="none" w:sz="0" w:space="0" w:color="auto"/>
        <w:left w:val="none" w:sz="0" w:space="0" w:color="auto"/>
        <w:bottom w:val="none" w:sz="0" w:space="0" w:color="auto"/>
        <w:right w:val="none" w:sz="0" w:space="0" w:color="auto"/>
      </w:divBdr>
      <w:divsChild>
        <w:div w:id="459342612">
          <w:marLeft w:val="0"/>
          <w:marRight w:val="0"/>
          <w:marTop w:val="0"/>
          <w:marBottom w:val="0"/>
          <w:divBdr>
            <w:top w:val="none" w:sz="0" w:space="0" w:color="auto"/>
            <w:left w:val="none" w:sz="0" w:space="0" w:color="auto"/>
            <w:bottom w:val="none" w:sz="0" w:space="0" w:color="auto"/>
            <w:right w:val="none" w:sz="0" w:space="0" w:color="auto"/>
          </w:divBdr>
        </w:div>
        <w:div w:id="631252099">
          <w:marLeft w:val="0"/>
          <w:marRight w:val="0"/>
          <w:marTop w:val="0"/>
          <w:marBottom w:val="0"/>
          <w:divBdr>
            <w:top w:val="none" w:sz="0" w:space="0" w:color="auto"/>
            <w:left w:val="none" w:sz="0" w:space="0" w:color="auto"/>
            <w:bottom w:val="none" w:sz="0" w:space="0" w:color="auto"/>
            <w:right w:val="none" w:sz="0" w:space="0" w:color="auto"/>
          </w:divBdr>
        </w:div>
        <w:div w:id="867374512">
          <w:marLeft w:val="0"/>
          <w:marRight w:val="0"/>
          <w:marTop w:val="0"/>
          <w:marBottom w:val="0"/>
          <w:divBdr>
            <w:top w:val="none" w:sz="0" w:space="0" w:color="auto"/>
            <w:left w:val="none" w:sz="0" w:space="0" w:color="auto"/>
            <w:bottom w:val="none" w:sz="0" w:space="0" w:color="auto"/>
            <w:right w:val="none" w:sz="0" w:space="0" w:color="auto"/>
          </w:divBdr>
        </w:div>
        <w:div w:id="1953971729">
          <w:marLeft w:val="0"/>
          <w:marRight w:val="0"/>
          <w:marTop w:val="0"/>
          <w:marBottom w:val="0"/>
          <w:divBdr>
            <w:top w:val="none" w:sz="0" w:space="0" w:color="auto"/>
            <w:left w:val="none" w:sz="0" w:space="0" w:color="auto"/>
            <w:bottom w:val="none" w:sz="0" w:space="0" w:color="auto"/>
            <w:right w:val="none" w:sz="0" w:space="0" w:color="auto"/>
          </w:divBdr>
        </w:div>
        <w:div w:id="2083864811">
          <w:marLeft w:val="0"/>
          <w:marRight w:val="0"/>
          <w:marTop w:val="0"/>
          <w:marBottom w:val="0"/>
          <w:divBdr>
            <w:top w:val="none" w:sz="0" w:space="0" w:color="auto"/>
            <w:left w:val="none" w:sz="0" w:space="0" w:color="auto"/>
            <w:bottom w:val="none" w:sz="0" w:space="0" w:color="auto"/>
            <w:right w:val="none" w:sz="0" w:space="0" w:color="auto"/>
          </w:divBdr>
        </w:div>
      </w:divsChild>
    </w:div>
    <w:div w:id="971596412">
      <w:bodyDiv w:val="1"/>
      <w:marLeft w:val="0"/>
      <w:marRight w:val="0"/>
      <w:marTop w:val="0"/>
      <w:marBottom w:val="0"/>
      <w:divBdr>
        <w:top w:val="none" w:sz="0" w:space="0" w:color="auto"/>
        <w:left w:val="none" w:sz="0" w:space="0" w:color="auto"/>
        <w:bottom w:val="none" w:sz="0" w:space="0" w:color="auto"/>
        <w:right w:val="none" w:sz="0" w:space="0" w:color="auto"/>
      </w:divBdr>
    </w:div>
    <w:div w:id="973631855">
      <w:bodyDiv w:val="1"/>
      <w:marLeft w:val="0"/>
      <w:marRight w:val="0"/>
      <w:marTop w:val="0"/>
      <w:marBottom w:val="0"/>
      <w:divBdr>
        <w:top w:val="none" w:sz="0" w:space="0" w:color="auto"/>
        <w:left w:val="none" w:sz="0" w:space="0" w:color="auto"/>
        <w:bottom w:val="none" w:sz="0" w:space="0" w:color="auto"/>
        <w:right w:val="none" w:sz="0" w:space="0" w:color="auto"/>
      </w:divBdr>
      <w:divsChild>
        <w:div w:id="1012222839">
          <w:marLeft w:val="0"/>
          <w:marRight w:val="0"/>
          <w:marTop w:val="0"/>
          <w:marBottom w:val="0"/>
          <w:divBdr>
            <w:top w:val="none" w:sz="0" w:space="0" w:color="auto"/>
            <w:left w:val="none" w:sz="0" w:space="0" w:color="auto"/>
            <w:bottom w:val="none" w:sz="0" w:space="0" w:color="auto"/>
            <w:right w:val="none" w:sz="0" w:space="0" w:color="auto"/>
          </w:divBdr>
        </w:div>
        <w:div w:id="2000768512">
          <w:marLeft w:val="0"/>
          <w:marRight w:val="0"/>
          <w:marTop w:val="0"/>
          <w:marBottom w:val="0"/>
          <w:divBdr>
            <w:top w:val="none" w:sz="0" w:space="0" w:color="auto"/>
            <w:left w:val="none" w:sz="0" w:space="0" w:color="auto"/>
            <w:bottom w:val="none" w:sz="0" w:space="0" w:color="auto"/>
            <w:right w:val="none" w:sz="0" w:space="0" w:color="auto"/>
          </w:divBdr>
        </w:div>
        <w:div w:id="2054111572">
          <w:marLeft w:val="0"/>
          <w:marRight w:val="0"/>
          <w:marTop w:val="0"/>
          <w:marBottom w:val="0"/>
          <w:divBdr>
            <w:top w:val="none" w:sz="0" w:space="0" w:color="auto"/>
            <w:left w:val="none" w:sz="0" w:space="0" w:color="auto"/>
            <w:bottom w:val="none" w:sz="0" w:space="0" w:color="auto"/>
            <w:right w:val="none" w:sz="0" w:space="0" w:color="auto"/>
          </w:divBdr>
        </w:div>
      </w:divsChild>
    </w:div>
    <w:div w:id="1006371051">
      <w:bodyDiv w:val="1"/>
      <w:marLeft w:val="0"/>
      <w:marRight w:val="0"/>
      <w:marTop w:val="0"/>
      <w:marBottom w:val="0"/>
      <w:divBdr>
        <w:top w:val="none" w:sz="0" w:space="0" w:color="auto"/>
        <w:left w:val="none" w:sz="0" w:space="0" w:color="auto"/>
        <w:bottom w:val="none" w:sz="0" w:space="0" w:color="auto"/>
        <w:right w:val="none" w:sz="0" w:space="0" w:color="auto"/>
      </w:divBdr>
    </w:div>
    <w:div w:id="1007560568">
      <w:bodyDiv w:val="1"/>
      <w:marLeft w:val="0"/>
      <w:marRight w:val="0"/>
      <w:marTop w:val="0"/>
      <w:marBottom w:val="0"/>
      <w:divBdr>
        <w:top w:val="none" w:sz="0" w:space="0" w:color="auto"/>
        <w:left w:val="none" w:sz="0" w:space="0" w:color="auto"/>
        <w:bottom w:val="none" w:sz="0" w:space="0" w:color="auto"/>
        <w:right w:val="none" w:sz="0" w:space="0" w:color="auto"/>
      </w:divBdr>
    </w:div>
    <w:div w:id="1009991183">
      <w:bodyDiv w:val="1"/>
      <w:marLeft w:val="0"/>
      <w:marRight w:val="0"/>
      <w:marTop w:val="0"/>
      <w:marBottom w:val="0"/>
      <w:divBdr>
        <w:top w:val="none" w:sz="0" w:space="0" w:color="auto"/>
        <w:left w:val="none" w:sz="0" w:space="0" w:color="auto"/>
        <w:bottom w:val="none" w:sz="0" w:space="0" w:color="auto"/>
        <w:right w:val="none" w:sz="0" w:space="0" w:color="auto"/>
      </w:divBdr>
    </w:div>
    <w:div w:id="1015309176">
      <w:bodyDiv w:val="1"/>
      <w:marLeft w:val="0"/>
      <w:marRight w:val="0"/>
      <w:marTop w:val="0"/>
      <w:marBottom w:val="0"/>
      <w:divBdr>
        <w:top w:val="none" w:sz="0" w:space="0" w:color="auto"/>
        <w:left w:val="none" w:sz="0" w:space="0" w:color="auto"/>
        <w:bottom w:val="none" w:sz="0" w:space="0" w:color="auto"/>
        <w:right w:val="none" w:sz="0" w:space="0" w:color="auto"/>
      </w:divBdr>
      <w:divsChild>
        <w:div w:id="199169200">
          <w:marLeft w:val="0"/>
          <w:marRight w:val="0"/>
          <w:marTop w:val="0"/>
          <w:marBottom w:val="0"/>
          <w:divBdr>
            <w:top w:val="none" w:sz="0" w:space="0" w:color="auto"/>
            <w:left w:val="none" w:sz="0" w:space="0" w:color="auto"/>
            <w:bottom w:val="none" w:sz="0" w:space="0" w:color="auto"/>
            <w:right w:val="none" w:sz="0" w:space="0" w:color="auto"/>
          </w:divBdr>
        </w:div>
        <w:div w:id="877552774">
          <w:marLeft w:val="0"/>
          <w:marRight w:val="0"/>
          <w:marTop w:val="0"/>
          <w:marBottom w:val="0"/>
          <w:divBdr>
            <w:top w:val="none" w:sz="0" w:space="0" w:color="auto"/>
            <w:left w:val="none" w:sz="0" w:space="0" w:color="auto"/>
            <w:bottom w:val="none" w:sz="0" w:space="0" w:color="auto"/>
            <w:right w:val="none" w:sz="0" w:space="0" w:color="auto"/>
          </w:divBdr>
        </w:div>
      </w:divsChild>
    </w:div>
    <w:div w:id="1017973790">
      <w:bodyDiv w:val="1"/>
      <w:marLeft w:val="0"/>
      <w:marRight w:val="0"/>
      <w:marTop w:val="0"/>
      <w:marBottom w:val="0"/>
      <w:divBdr>
        <w:top w:val="none" w:sz="0" w:space="0" w:color="auto"/>
        <w:left w:val="none" w:sz="0" w:space="0" w:color="auto"/>
        <w:bottom w:val="none" w:sz="0" w:space="0" w:color="auto"/>
        <w:right w:val="none" w:sz="0" w:space="0" w:color="auto"/>
      </w:divBdr>
    </w:div>
    <w:div w:id="1034578978">
      <w:bodyDiv w:val="1"/>
      <w:marLeft w:val="0"/>
      <w:marRight w:val="0"/>
      <w:marTop w:val="0"/>
      <w:marBottom w:val="0"/>
      <w:divBdr>
        <w:top w:val="none" w:sz="0" w:space="0" w:color="auto"/>
        <w:left w:val="none" w:sz="0" w:space="0" w:color="auto"/>
        <w:bottom w:val="none" w:sz="0" w:space="0" w:color="auto"/>
        <w:right w:val="none" w:sz="0" w:space="0" w:color="auto"/>
      </w:divBdr>
    </w:div>
    <w:div w:id="1035738006">
      <w:bodyDiv w:val="1"/>
      <w:marLeft w:val="0"/>
      <w:marRight w:val="0"/>
      <w:marTop w:val="0"/>
      <w:marBottom w:val="0"/>
      <w:divBdr>
        <w:top w:val="none" w:sz="0" w:space="0" w:color="auto"/>
        <w:left w:val="none" w:sz="0" w:space="0" w:color="auto"/>
        <w:bottom w:val="none" w:sz="0" w:space="0" w:color="auto"/>
        <w:right w:val="none" w:sz="0" w:space="0" w:color="auto"/>
      </w:divBdr>
    </w:div>
    <w:div w:id="1039207418">
      <w:bodyDiv w:val="1"/>
      <w:marLeft w:val="0"/>
      <w:marRight w:val="0"/>
      <w:marTop w:val="0"/>
      <w:marBottom w:val="0"/>
      <w:divBdr>
        <w:top w:val="none" w:sz="0" w:space="0" w:color="auto"/>
        <w:left w:val="none" w:sz="0" w:space="0" w:color="auto"/>
        <w:bottom w:val="none" w:sz="0" w:space="0" w:color="auto"/>
        <w:right w:val="none" w:sz="0" w:space="0" w:color="auto"/>
      </w:divBdr>
      <w:divsChild>
        <w:div w:id="467018380">
          <w:marLeft w:val="0"/>
          <w:marRight w:val="0"/>
          <w:marTop w:val="0"/>
          <w:marBottom w:val="0"/>
          <w:divBdr>
            <w:top w:val="none" w:sz="0" w:space="0" w:color="auto"/>
            <w:left w:val="none" w:sz="0" w:space="0" w:color="auto"/>
            <w:bottom w:val="none" w:sz="0" w:space="0" w:color="auto"/>
            <w:right w:val="none" w:sz="0" w:space="0" w:color="auto"/>
          </w:divBdr>
        </w:div>
        <w:div w:id="1317413691">
          <w:marLeft w:val="0"/>
          <w:marRight w:val="0"/>
          <w:marTop w:val="0"/>
          <w:marBottom w:val="0"/>
          <w:divBdr>
            <w:top w:val="none" w:sz="0" w:space="0" w:color="auto"/>
            <w:left w:val="none" w:sz="0" w:space="0" w:color="auto"/>
            <w:bottom w:val="none" w:sz="0" w:space="0" w:color="auto"/>
            <w:right w:val="none" w:sz="0" w:space="0" w:color="auto"/>
          </w:divBdr>
        </w:div>
        <w:div w:id="1554728666">
          <w:marLeft w:val="0"/>
          <w:marRight w:val="0"/>
          <w:marTop w:val="0"/>
          <w:marBottom w:val="0"/>
          <w:divBdr>
            <w:top w:val="none" w:sz="0" w:space="0" w:color="auto"/>
            <w:left w:val="none" w:sz="0" w:space="0" w:color="auto"/>
            <w:bottom w:val="none" w:sz="0" w:space="0" w:color="auto"/>
            <w:right w:val="none" w:sz="0" w:space="0" w:color="auto"/>
          </w:divBdr>
        </w:div>
        <w:div w:id="1634210039">
          <w:marLeft w:val="0"/>
          <w:marRight w:val="0"/>
          <w:marTop w:val="0"/>
          <w:marBottom w:val="0"/>
          <w:divBdr>
            <w:top w:val="none" w:sz="0" w:space="0" w:color="auto"/>
            <w:left w:val="none" w:sz="0" w:space="0" w:color="auto"/>
            <w:bottom w:val="none" w:sz="0" w:space="0" w:color="auto"/>
            <w:right w:val="none" w:sz="0" w:space="0" w:color="auto"/>
          </w:divBdr>
        </w:div>
      </w:divsChild>
    </w:div>
    <w:div w:id="1068504837">
      <w:bodyDiv w:val="1"/>
      <w:marLeft w:val="0"/>
      <w:marRight w:val="0"/>
      <w:marTop w:val="0"/>
      <w:marBottom w:val="0"/>
      <w:divBdr>
        <w:top w:val="none" w:sz="0" w:space="0" w:color="auto"/>
        <w:left w:val="none" w:sz="0" w:space="0" w:color="auto"/>
        <w:bottom w:val="none" w:sz="0" w:space="0" w:color="auto"/>
        <w:right w:val="none" w:sz="0" w:space="0" w:color="auto"/>
      </w:divBdr>
    </w:div>
    <w:div w:id="1149709001">
      <w:bodyDiv w:val="1"/>
      <w:marLeft w:val="0"/>
      <w:marRight w:val="0"/>
      <w:marTop w:val="0"/>
      <w:marBottom w:val="0"/>
      <w:divBdr>
        <w:top w:val="none" w:sz="0" w:space="0" w:color="auto"/>
        <w:left w:val="none" w:sz="0" w:space="0" w:color="auto"/>
        <w:bottom w:val="none" w:sz="0" w:space="0" w:color="auto"/>
        <w:right w:val="none" w:sz="0" w:space="0" w:color="auto"/>
      </w:divBdr>
      <w:divsChild>
        <w:div w:id="481653586">
          <w:marLeft w:val="0"/>
          <w:marRight w:val="0"/>
          <w:marTop w:val="0"/>
          <w:marBottom w:val="0"/>
          <w:divBdr>
            <w:top w:val="none" w:sz="0" w:space="0" w:color="auto"/>
            <w:left w:val="none" w:sz="0" w:space="0" w:color="auto"/>
            <w:bottom w:val="none" w:sz="0" w:space="0" w:color="auto"/>
            <w:right w:val="none" w:sz="0" w:space="0" w:color="auto"/>
          </w:divBdr>
        </w:div>
        <w:div w:id="681051128">
          <w:marLeft w:val="0"/>
          <w:marRight w:val="0"/>
          <w:marTop w:val="0"/>
          <w:marBottom w:val="0"/>
          <w:divBdr>
            <w:top w:val="none" w:sz="0" w:space="0" w:color="auto"/>
            <w:left w:val="none" w:sz="0" w:space="0" w:color="auto"/>
            <w:bottom w:val="none" w:sz="0" w:space="0" w:color="auto"/>
            <w:right w:val="none" w:sz="0" w:space="0" w:color="auto"/>
          </w:divBdr>
        </w:div>
      </w:divsChild>
    </w:div>
    <w:div w:id="1167284220">
      <w:bodyDiv w:val="1"/>
      <w:marLeft w:val="0"/>
      <w:marRight w:val="0"/>
      <w:marTop w:val="0"/>
      <w:marBottom w:val="0"/>
      <w:divBdr>
        <w:top w:val="none" w:sz="0" w:space="0" w:color="auto"/>
        <w:left w:val="none" w:sz="0" w:space="0" w:color="auto"/>
        <w:bottom w:val="none" w:sz="0" w:space="0" w:color="auto"/>
        <w:right w:val="none" w:sz="0" w:space="0" w:color="auto"/>
      </w:divBdr>
    </w:div>
    <w:div w:id="1194270623">
      <w:bodyDiv w:val="1"/>
      <w:marLeft w:val="0"/>
      <w:marRight w:val="0"/>
      <w:marTop w:val="0"/>
      <w:marBottom w:val="0"/>
      <w:divBdr>
        <w:top w:val="none" w:sz="0" w:space="0" w:color="auto"/>
        <w:left w:val="none" w:sz="0" w:space="0" w:color="auto"/>
        <w:bottom w:val="none" w:sz="0" w:space="0" w:color="auto"/>
        <w:right w:val="none" w:sz="0" w:space="0" w:color="auto"/>
      </w:divBdr>
    </w:div>
    <w:div w:id="1210069579">
      <w:bodyDiv w:val="1"/>
      <w:marLeft w:val="0"/>
      <w:marRight w:val="0"/>
      <w:marTop w:val="0"/>
      <w:marBottom w:val="0"/>
      <w:divBdr>
        <w:top w:val="none" w:sz="0" w:space="0" w:color="auto"/>
        <w:left w:val="none" w:sz="0" w:space="0" w:color="auto"/>
        <w:bottom w:val="none" w:sz="0" w:space="0" w:color="auto"/>
        <w:right w:val="none" w:sz="0" w:space="0" w:color="auto"/>
      </w:divBdr>
    </w:div>
    <w:div w:id="1227642069">
      <w:bodyDiv w:val="1"/>
      <w:marLeft w:val="0"/>
      <w:marRight w:val="0"/>
      <w:marTop w:val="0"/>
      <w:marBottom w:val="0"/>
      <w:divBdr>
        <w:top w:val="none" w:sz="0" w:space="0" w:color="auto"/>
        <w:left w:val="none" w:sz="0" w:space="0" w:color="auto"/>
        <w:bottom w:val="none" w:sz="0" w:space="0" w:color="auto"/>
        <w:right w:val="none" w:sz="0" w:space="0" w:color="auto"/>
      </w:divBdr>
      <w:divsChild>
        <w:div w:id="511070315">
          <w:marLeft w:val="0"/>
          <w:marRight w:val="0"/>
          <w:marTop w:val="0"/>
          <w:marBottom w:val="0"/>
          <w:divBdr>
            <w:top w:val="none" w:sz="0" w:space="0" w:color="auto"/>
            <w:left w:val="none" w:sz="0" w:space="0" w:color="auto"/>
            <w:bottom w:val="none" w:sz="0" w:space="0" w:color="auto"/>
            <w:right w:val="none" w:sz="0" w:space="0" w:color="auto"/>
          </w:divBdr>
        </w:div>
        <w:div w:id="1505323021">
          <w:marLeft w:val="0"/>
          <w:marRight w:val="0"/>
          <w:marTop w:val="0"/>
          <w:marBottom w:val="0"/>
          <w:divBdr>
            <w:top w:val="none" w:sz="0" w:space="0" w:color="auto"/>
            <w:left w:val="none" w:sz="0" w:space="0" w:color="auto"/>
            <w:bottom w:val="none" w:sz="0" w:space="0" w:color="auto"/>
            <w:right w:val="none" w:sz="0" w:space="0" w:color="auto"/>
          </w:divBdr>
        </w:div>
        <w:div w:id="1552225389">
          <w:marLeft w:val="0"/>
          <w:marRight w:val="0"/>
          <w:marTop w:val="0"/>
          <w:marBottom w:val="0"/>
          <w:divBdr>
            <w:top w:val="none" w:sz="0" w:space="0" w:color="auto"/>
            <w:left w:val="none" w:sz="0" w:space="0" w:color="auto"/>
            <w:bottom w:val="none" w:sz="0" w:space="0" w:color="auto"/>
            <w:right w:val="none" w:sz="0" w:space="0" w:color="auto"/>
          </w:divBdr>
        </w:div>
      </w:divsChild>
    </w:div>
    <w:div w:id="1359238113">
      <w:bodyDiv w:val="1"/>
      <w:marLeft w:val="0"/>
      <w:marRight w:val="0"/>
      <w:marTop w:val="0"/>
      <w:marBottom w:val="0"/>
      <w:divBdr>
        <w:top w:val="none" w:sz="0" w:space="0" w:color="auto"/>
        <w:left w:val="none" w:sz="0" w:space="0" w:color="auto"/>
        <w:bottom w:val="none" w:sz="0" w:space="0" w:color="auto"/>
        <w:right w:val="none" w:sz="0" w:space="0" w:color="auto"/>
      </w:divBdr>
      <w:divsChild>
        <w:div w:id="77800429">
          <w:marLeft w:val="0"/>
          <w:marRight w:val="0"/>
          <w:marTop w:val="0"/>
          <w:marBottom w:val="0"/>
          <w:divBdr>
            <w:top w:val="none" w:sz="0" w:space="0" w:color="auto"/>
            <w:left w:val="none" w:sz="0" w:space="0" w:color="auto"/>
            <w:bottom w:val="none" w:sz="0" w:space="0" w:color="auto"/>
            <w:right w:val="none" w:sz="0" w:space="0" w:color="auto"/>
          </w:divBdr>
        </w:div>
        <w:div w:id="1672904226">
          <w:marLeft w:val="0"/>
          <w:marRight w:val="0"/>
          <w:marTop w:val="0"/>
          <w:marBottom w:val="0"/>
          <w:divBdr>
            <w:top w:val="none" w:sz="0" w:space="0" w:color="auto"/>
            <w:left w:val="none" w:sz="0" w:space="0" w:color="auto"/>
            <w:bottom w:val="none" w:sz="0" w:space="0" w:color="auto"/>
            <w:right w:val="none" w:sz="0" w:space="0" w:color="auto"/>
          </w:divBdr>
        </w:div>
      </w:divsChild>
    </w:div>
    <w:div w:id="1362516783">
      <w:bodyDiv w:val="1"/>
      <w:marLeft w:val="0"/>
      <w:marRight w:val="0"/>
      <w:marTop w:val="0"/>
      <w:marBottom w:val="0"/>
      <w:divBdr>
        <w:top w:val="none" w:sz="0" w:space="0" w:color="auto"/>
        <w:left w:val="none" w:sz="0" w:space="0" w:color="auto"/>
        <w:bottom w:val="none" w:sz="0" w:space="0" w:color="auto"/>
        <w:right w:val="none" w:sz="0" w:space="0" w:color="auto"/>
      </w:divBdr>
    </w:div>
    <w:div w:id="1409960749">
      <w:bodyDiv w:val="1"/>
      <w:marLeft w:val="0"/>
      <w:marRight w:val="0"/>
      <w:marTop w:val="0"/>
      <w:marBottom w:val="0"/>
      <w:divBdr>
        <w:top w:val="none" w:sz="0" w:space="0" w:color="auto"/>
        <w:left w:val="none" w:sz="0" w:space="0" w:color="auto"/>
        <w:bottom w:val="none" w:sz="0" w:space="0" w:color="auto"/>
        <w:right w:val="none" w:sz="0" w:space="0" w:color="auto"/>
      </w:divBdr>
      <w:divsChild>
        <w:div w:id="10380652">
          <w:marLeft w:val="0"/>
          <w:marRight w:val="0"/>
          <w:marTop w:val="0"/>
          <w:marBottom w:val="0"/>
          <w:divBdr>
            <w:top w:val="none" w:sz="0" w:space="0" w:color="auto"/>
            <w:left w:val="none" w:sz="0" w:space="0" w:color="auto"/>
            <w:bottom w:val="none" w:sz="0" w:space="0" w:color="auto"/>
            <w:right w:val="none" w:sz="0" w:space="0" w:color="auto"/>
          </w:divBdr>
        </w:div>
        <w:div w:id="60954402">
          <w:marLeft w:val="0"/>
          <w:marRight w:val="0"/>
          <w:marTop w:val="0"/>
          <w:marBottom w:val="0"/>
          <w:divBdr>
            <w:top w:val="none" w:sz="0" w:space="0" w:color="auto"/>
            <w:left w:val="none" w:sz="0" w:space="0" w:color="auto"/>
            <w:bottom w:val="none" w:sz="0" w:space="0" w:color="auto"/>
            <w:right w:val="none" w:sz="0" w:space="0" w:color="auto"/>
          </w:divBdr>
        </w:div>
        <w:div w:id="230191903">
          <w:marLeft w:val="0"/>
          <w:marRight w:val="0"/>
          <w:marTop w:val="0"/>
          <w:marBottom w:val="0"/>
          <w:divBdr>
            <w:top w:val="none" w:sz="0" w:space="0" w:color="auto"/>
            <w:left w:val="none" w:sz="0" w:space="0" w:color="auto"/>
            <w:bottom w:val="none" w:sz="0" w:space="0" w:color="auto"/>
            <w:right w:val="none" w:sz="0" w:space="0" w:color="auto"/>
          </w:divBdr>
        </w:div>
        <w:div w:id="359743363">
          <w:marLeft w:val="0"/>
          <w:marRight w:val="0"/>
          <w:marTop w:val="0"/>
          <w:marBottom w:val="0"/>
          <w:divBdr>
            <w:top w:val="none" w:sz="0" w:space="0" w:color="auto"/>
            <w:left w:val="none" w:sz="0" w:space="0" w:color="auto"/>
            <w:bottom w:val="none" w:sz="0" w:space="0" w:color="auto"/>
            <w:right w:val="none" w:sz="0" w:space="0" w:color="auto"/>
          </w:divBdr>
        </w:div>
        <w:div w:id="417799406">
          <w:marLeft w:val="0"/>
          <w:marRight w:val="0"/>
          <w:marTop w:val="0"/>
          <w:marBottom w:val="0"/>
          <w:divBdr>
            <w:top w:val="none" w:sz="0" w:space="0" w:color="auto"/>
            <w:left w:val="none" w:sz="0" w:space="0" w:color="auto"/>
            <w:bottom w:val="none" w:sz="0" w:space="0" w:color="auto"/>
            <w:right w:val="none" w:sz="0" w:space="0" w:color="auto"/>
          </w:divBdr>
        </w:div>
        <w:div w:id="578176506">
          <w:marLeft w:val="0"/>
          <w:marRight w:val="0"/>
          <w:marTop w:val="0"/>
          <w:marBottom w:val="0"/>
          <w:divBdr>
            <w:top w:val="none" w:sz="0" w:space="0" w:color="auto"/>
            <w:left w:val="none" w:sz="0" w:space="0" w:color="auto"/>
            <w:bottom w:val="none" w:sz="0" w:space="0" w:color="auto"/>
            <w:right w:val="none" w:sz="0" w:space="0" w:color="auto"/>
          </w:divBdr>
        </w:div>
        <w:div w:id="770206142">
          <w:marLeft w:val="0"/>
          <w:marRight w:val="0"/>
          <w:marTop w:val="0"/>
          <w:marBottom w:val="0"/>
          <w:divBdr>
            <w:top w:val="none" w:sz="0" w:space="0" w:color="auto"/>
            <w:left w:val="none" w:sz="0" w:space="0" w:color="auto"/>
            <w:bottom w:val="none" w:sz="0" w:space="0" w:color="auto"/>
            <w:right w:val="none" w:sz="0" w:space="0" w:color="auto"/>
          </w:divBdr>
        </w:div>
        <w:div w:id="2005357464">
          <w:marLeft w:val="0"/>
          <w:marRight w:val="0"/>
          <w:marTop w:val="0"/>
          <w:marBottom w:val="0"/>
          <w:divBdr>
            <w:top w:val="none" w:sz="0" w:space="0" w:color="auto"/>
            <w:left w:val="none" w:sz="0" w:space="0" w:color="auto"/>
            <w:bottom w:val="none" w:sz="0" w:space="0" w:color="auto"/>
            <w:right w:val="none" w:sz="0" w:space="0" w:color="auto"/>
          </w:divBdr>
        </w:div>
        <w:div w:id="2050183925">
          <w:marLeft w:val="0"/>
          <w:marRight w:val="0"/>
          <w:marTop w:val="0"/>
          <w:marBottom w:val="0"/>
          <w:divBdr>
            <w:top w:val="none" w:sz="0" w:space="0" w:color="auto"/>
            <w:left w:val="none" w:sz="0" w:space="0" w:color="auto"/>
            <w:bottom w:val="none" w:sz="0" w:space="0" w:color="auto"/>
            <w:right w:val="none" w:sz="0" w:space="0" w:color="auto"/>
          </w:divBdr>
        </w:div>
      </w:divsChild>
    </w:div>
    <w:div w:id="1443764169">
      <w:bodyDiv w:val="1"/>
      <w:marLeft w:val="0"/>
      <w:marRight w:val="0"/>
      <w:marTop w:val="0"/>
      <w:marBottom w:val="0"/>
      <w:divBdr>
        <w:top w:val="none" w:sz="0" w:space="0" w:color="auto"/>
        <w:left w:val="none" w:sz="0" w:space="0" w:color="auto"/>
        <w:bottom w:val="none" w:sz="0" w:space="0" w:color="auto"/>
        <w:right w:val="none" w:sz="0" w:space="0" w:color="auto"/>
      </w:divBdr>
    </w:div>
    <w:div w:id="1485665484">
      <w:bodyDiv w:val="1"/>
      <w:marLeft w:val="0"/>
      <w:marRight w:val="0"/>
      <w:marTop w:val="0"/>
      <w:marBottom w:val="0"/>
      <w:divBdr>
        <w:top w:val="none" w:sz="0" w:space="0" w:color="auto"/>
        <w:left w:val="none" w:sz="0" w:space="0" w:color="auto"/>
        <w:bottom w:val="none" w:sz="0" w:space="0" w:color="auto"/>
        <w:right w:val="none" w:sz="0" w:space="0" w:color="auto"/>
      </w:divBdr>
    </w:div>
    <w:div w:id="1492939958">
      <w:bodyDiv w:val="1"/>
      <w:marLeft w:val="0"/>
      <w:marRight w:val="0"/>
      <w:marTop w:val="0"/>
      <w:marBottom w:val="0"/>
      <w:divBdr>
        <w:top w:val="none" w:sz="0" w:space="0" w:color="auto"/>
        <w:left w:val="none" w:sz="0" w:space="0" w:color="auto"/>
        <w:bottom w:val="none" w:sz="0" w:space="0" w:color="auto"/>
        <w:right w:val="none" w:sz="0" w:space="0" w:color="auto"/>
      </w:divBdr>
      <w:divsChild>
        <w:div w:id="1170177358">
          <w:marLeft w:val="0"/>
          <w:marRight w:val="0"/>
          <w:marTop w:val="0"/>
          <w:marBottom w:val="0"/>
          <w:divBdr>
            <w:top w:val="none" w:sz="0" w:space="0" w:color="auto"/>
            <w:left w:val="none" w:sz="0" w:space="0" w:color="auto"/>
            <w:bottom w:val="none" w:sz="0" w:space="0" w:color="auto"/>
            <w:right w:val="none" w:sz="0" w:space="0" w:color="auto"/>
          </w:divBdr>
        </w:div>
        <w:div w:id="1666324757">
          <w:marLeft w:val="0"/>
          <w:marRight w:val="0"/>
          <w:marTop w:val="0"/>
          <w:marBottom w:val="0"/>
          <w:divBdr>
            <w:top w:val="none" w:sz="0" w:space="0" w:color="auto"/>
            <w:left w:val="none" w:sz="0" w:space="0" w:color="auto"/>
            <w:bottom w:val="none" w:sz="0" w:space="0" w:color="auto"/>
            <w:right w:val="none" w:sz="0" w:space="0" w:color="auto"/>
          </w:divBdr>
        </w:div>
      </w:divsChild>
    </w:div>
    <w:div w:id="1496994215">
      <w:bodyDiv w:val="1"/>
      <w:marLeft w:val="0"/>
      <w:marRight w:val="0"/>
      <w:marTop w:val="0"/>
      <w:marBottom w:val="0"/>
      <w:divBdr>
        <w:top w:val="none" w:sz="0" w:space="0" w:color="auto"/>
        <w:left w:val="none" w:sz="0" w:space="0" w:color="auto"/>
        <w:bottom w:val="none" w:sz="0" w:space="0" w:color="auto"/>
        <w:right w:val="none" w:sz="0" w:space="0" w:color="auto"/>
      </w:divBdr>
    </w:div>
    <w:div w:id="1500315843">
      <w:bodyDiv w:val="1"/>
      <w:marLeft w:val="0"/>
      <w:marRight w:val="0"/>
      <w:marTop w:val="0"/>
      <w:marBottom w:val="0"/>
      <w:divBdr>
        <w:top w:val="none" w:sz="0" w:space="0" w:color="auto"/>
        <w:left w:val="none" w:sz="0" w:space="0" w:color="auto"/>
        <w:bottom w:val="none" w:sz="0" w:space="0" w:color="auto"/>
        <w:right w:val="none" w:sz="0" w:space="0" w:color="auto"/>
      </w:divBdr>
    </w:div>
    <w:div w:id="1515193002">
      <w:bodyDiv w:val="1"/>
      <w:marLeft w:val="0"/>
      <w:marRight w:val="0"/>
      <w:marTop w:val="0"/>
      <w:marBottom w:val="0"/>
      <w:divBdr>
        <w:top w:val="none" w:sz="0" w:space="0" w:color="auto"/>
        <w:left w:val="none" w:sz="0" w:space="0" w:color="auto"/>
        <w:bottom w:val="none" w:sz="0" w:space="0" w:color="auto"/>
        <w:right w:val="none" w:sz="0" w:space="0" w:color="auto"/>
      </w:divBdr>
      <w:divsChild>
        <w:div w:id="1041055537">
          <w:marLeft w:val="0"/>
          <w:marRight w:val="0"/>
          <w:marTop w:val="0"/>
          <w:marBottom w:val="0"/>
          <w:divBdr>
            <w:top w:val="none" w:sz="0" w:space="0" w:color="auto"/>
            <w:left w:val="none" w:sz="0" w:space="0" w:color="auto"/>
            <w:bottom w:val="none" w:sz="0" w:space="0" w:color="auto"/>
            <w:right w:val="none" w:sz="0" w:space="0" w:color="auto"/>
          </w:divBdr>
        </w:div>
        <w:div w:id="1076980158">
          <w:marLeft w:val="0"/>
          <w:marRight w:val="0"/>
          <w:marTop w:val="0"/>
          <w:marBottom w:val="0"/>
          <w:divBdr>
            <w:top w:val="none" w:sz="0" w:space="0" w:color="auto"/>
            <w:left w:val="none" w:sz="0" w:space="0" w:color="auto"/>
            <w:bottom w:val="none" w:sz="0" w:space="0" w:color="auto"/>
            <w:right w:val="none" w:sz="0" w:space="0" w:color="auto"/>
          </w:divBdr>
        </w:div>
      </w:divsChild>
    </w:div>
    <w:div w:id="1532840661">
      <w:bodyDiv w:val="1"/>
      <w:marLeft w:val="0"/>
      <w:marRight w:val="0"/>
      <w:marTop w:val="0"/>
      <w:marBottom w:val="0"/>
      <w:divBdr>
        <w:top w:val="none" w:sz="0" w:space="0" w:color="auto"/>
        <w:left w:val="none" w:sz="0" w:space="0" w:color="auto"/>
        <w:bottom w:val="none" w:sz="0" w:space="0" w:color="auto"/>
        <w:right w:val="none" w:sz="0" w:space="0" w:color="auto"/>
      </w:divBdr>
    </w:div>
    <w:div w:id="1554653494">
      <w:bodyDiv w:val="1"/>
      <w:marLeft w:val="0"/>
      <w:marRight w:val="0"/>
      <w:marTop w:val="0"/>
      <w:marBottom w:val="0"/>
      <w:divBdr>
        <w:top w:val="none" w:sz="0" w:space="0" w:color="auto"/>
        <w:left w:val="none" w:sz="0" w:space="0" w:color="auto"/>
        <w:bottom w:val="none" w:sz="0" w:space="0" w:color="auto"/>
        <w:right w:val="none" w:sz="0" w:space="0" w:color="auto"/>
      </w:divBdr>
      <w:divsChild>
        <w:div w:id="862208264">
          <w:marLeft w:val="0"/>
          <w:marRight w:val="0"/>
          <w:marTop w:val="0"/>
          <w:marBottom w:val="0"/>
          <w:divBdr>
            <w:top w:val="none" w:sz="0" w:space="0" w:color="auto"/>
            <w:left w:val="none" w:sz="0" w:space="0" w:color="auto"/>
            <w:bottom w:val="none" w:sz="0" w:space="0" w:color="auto"/>
            <w:right w:val="none" w:sz="0" w:space="0" w:color="auto"/>
          </w:divBdr>
        </w:div>
        <w:div w:id="1795516199">
          <w:marLeft w:val="0"/>
          <w:marRight w:val="0"/>
          <w:marTop w:val="0"/>
          <w:marBottom w:val="0"/>
          <w:divBdr>
            <w:top w:val="none" w:sz="0" w:space="0" w:color="auto"/>
            <w:left w:val="none" w:sz="0" w:space="0" w:color="auto"/>
            <w:bottom w:val="none" w:sz="0" w:space="0" w:color="auto"/>
            <w:right w:val="none" w:sz="0" w:space="0" w:color="auto"/>
          </w:divBdr>
        </w:div>
      </w:divsChild>
    </w:div>
    <w:div w:id="1561286297">
      <w:bodyDiv w:val="1"/>
      <w:marLeft w:val="0"/>
      <w:marRight w:val="0"/>
      <w:marTop w:val="0"/>
      <w:marBottom w:val="0"/>
      <w:divBdr>
        <w:top w:val="none" w:sz="0" w:space="0" w:color="auto"/>
        <w:left w:val="none" w:sz="0" w:space="0" w:color="auto"/>
        <w:bottom w:val="none" w:sz="0" w:space="0" w:color="auto"/>
        <w:right w:val="none" w:sz="0" w:space="0" w:color="auto"/>
      </w:divBdr>
    </w:div>
    <w:div w:id="1574662099">
      <w:bodyDiv w:val="1"/>
      <w:marLeft w:val="0"/>
      <w:marRight w:val="0"/>
      <w:marTop w:val="0"/>
      <w:marBottom w:val="0"/>
      <w:divBdr>
        <w:top w:val="none" w:sz="0" w:space="0" w:color="auto"/>
        <w:left w:val="none" w:sz="0" w:space="0" w:color="auto"/>
        <w:bottom w:val="none" w:sz="0" w:space="0" w:color="auto"/>
        <w:right w:val="none" w:sz="0" w:space="0" w:color="auto"/>
      </w:divBdr>
    </w:div>
    <w:div w:id="1598363094">
      <w:bodyDiv w:val="1"/>
      <w:marLeft w:val="0"/>
      <w:marRight w:val="0"/>
      <w:marTop w:val="0"/>
      <w:marBottom w:val="0"/>
      <w:divBdr>
        <w:top w:val="none" w:sz="0" w:space="0" w:color="auto"/>
        <w:left w:val="none" w:sz="0" w:space="0" w:color="auto"/>
        <w:bottom w:val="none" w:sz="0" w:space="0" w:color="auto"/>
        <w:right w:val="none" w:sz="0" w:space="0" w:color="auto"/>
      </w:divBdr>
      <w:divsChild>
        <w:div w:id="1468915">
          <w:marLeft w:val="0"/>
          <w:marRight w:val="0"/>
          <w:marTop w:val="0"/>
          <w:marBottom w:val="0"/>
          <w:divBdr>
            <w:top w:val="none" w:sz="0" w:space="0" w:color="auto"/>
            <w:left w:val="none" w:sz="0" w:space="0" w:color="auto"/>
            <w:bottom w:val="none" w:sz="0" w:space="0" w:color="auto"/>
            <w:right w:val="none" w:sz="0" w:space="0" w:color="auto"/>
          </w:divBdr>
        </w:div>
        <w:div w:id="1088767837">
          <w:marLeft w:val="0"/>
          <w:marRight w:val="0"/>
          <w:marTop w:val="0"/>
          <w:marBottom w:val="0"/>
          <w:divBdr>
            <w:top w:val="none" w:sz="0" w:space="0" w:color="auto"/>
            <w:left w:val="none" w:sz="0" w:space="0" w:color="auto"/>
            <w:bottom w:val="none" w:sz="0" w:space="0" w:color="auto"/>
            <w:right w:val="none" w:sz="0" w:space="0" w:color="auto"/>
          </w:divBdr>
        </w:div>
      </w:divsChild>
    </w:div>
    <w:div w:id="1601059824">
      <w:bodyDiv w:val="1"/>
      <w:marLeft w:val="0"/>
      <w:marRight w:val="0"/>
      <w:marTop w:val="0"/>
      <w:marBottom w:val="0"/>
      <w:divBdr>
        <w:top w:val="none" w:sz="0" w:space="0" w:color="auto"/>
        <w:left w:val="none" w:sz="0" w:space="0" w:color="auto"/>
        <w:bottom w:val="none" w:sz="0" w:space="0" w:color="auto"/>
        <w:right w:val="none" w:sz="0" w:space="0" w:color="auto"/>
      </w:divBdr>
      <w:divsChild>
        <w:div w:id="1155488520">
          <w:marLeft w:val="0"/>
          <w:marRight w:val="0"/>
          <w:marTop w:val="0"/>
          <w:marBottom w:val="0"/>
          <w:divBdr>
            <w:top w:val="none" w:sz="0" w:space="0" w:color="auto"/>
            <w:left w:val="none" w:sz="0" w:space="0" w:color="auto"/>
            <w:bottom w:val="none" w:sz="0" w:space="0" w:color="auto"/>
            <w:right w:val="none" w:sz="0" w:space="0" w:color="auto"/>
          </w:divBdr>
        </w:div>
        <w:div w:id="1816023672">
          <w:marLeft w:val="0"/>
          <w:marRight w:val="0"/>
          <w:marTop w:val="0"/>
          <w:marBottom w:val="0"/>
          <w:divBdr>
            <w:top w:val="none" w:sz="0" w:space="0" w:color="auto"/>
            <w:left w:val="none" w:sz="0" w:space="0" w:color="auto"/>
            <w:bottom w:val="none" w:sz="0" w:space="0" w:color="auto"/>
            <w:right w:val="none" w:sz="0" w:space="0" w:color="auto"/>
          </w:divBdr>
        </w:div>
      </w:divsChild>
    </w:div>
    <w:div w:id="1672171684">
      <w:bodyDiv w:val="1"/>
      <w:marLeft w:val="0"/>
      <w:marRight w:val="0"/>
      <w:marTop w:val="0"/>
      <w:marBottom w:val="0"/>
      <w:divBdr>
        <w:top w:val="none" w:sz="0" w:space="0" w:color="auto"/>
        <w:left w:val="none" w:sz="0" w:space="0" w:color="auto"/>
        <w:bottom w:val="none" w:sz="0" w:space="0" w:color="auto"/>
        <w:right w:val="none" w:sz="0" w:space="0" w:color="auto"/>
      </w:divBdr>
    </w:div>
    <w:div w:id="1707213555">
      <w:bodyDiv w:val="1"/>
      <w:marLeft w:val="0"/>
      <w:marRight w:val="0"/>
      <w:marTop w:val="0"/>
      <w:marBottom w:val="0"/>
      <w:divBdr>
        <w:top w:val="none" w:sz="0" w:space="0" w:color="auto"/>
        <w:left w:val="none" w:sz="0" w:space="0" w:color="auto"/>
        <w:bottom w:val="none" w:sz="0" w:space="0" w:color="auto"/>
        <w:right w:val="none" w:sz="0" w:space="0" w:color="auto"/>
      </w:divBdr>
    </w:div>
    <w:div w:id="1844860268">
      <w:bodyDiv w:val="1"/>
      <w:marLeft w:val="0"/>
      <w:marRight w:val="0"/>
      <w:marTop w:val="0"/>
      <w:marBottom w:val="0"/>
      <w:divBdr>
        <w:top w:val="none" w:sz="0" w:space="0" w:color="auto"/>
        <w:left w:val="none" w:sz="0" w:space="0" w:color="auto"/>
        <w:bottom w:val="none" w:sz="0" w:space="0" w:color="auto"/>
        <w:right w:val="none" w:sz="0" w:space="0" w:color="auto"/>
      </w:divBdr>
      <w:divsChild>
        <w:div w:id="476847759">
          <w:marLeft w:val="0"/>
          <w:marRight w:val="0"/>
          <w:marTop w:val="0"/>
          <w:marBottom w:val="0"/>
          <w:divBdr>
            <w:top w:val="none" w:sz="0" w:space="0" w:color="auto"/>
            <w:left w:val="none" w:sz="0" w:space="0" w:color="auto"/>
            <w:bottom w:val="none" w:sz="0" w:space="0" w:color="auto"/>
            <w:right w:val="none" w:sz="0" w:space="0" w:color="auto"/>
          </w:divBdr>
        </w:div>
        <w:div w:id="807868225">
          <w:marLeft w:val="0"/>
          <w:marRight w:val="0"/>
          <w:marTop w:val="0"/>
          <w:marBottom w:val="0"/>
          <w:divBdr>
            <w:top w:val="none" w:sz="0" w:space="0" w:color="auto"/>
            <w:left w:val="none" w:sz="0" w:space="0" w:color="auto"/>
            <w:bottom w:val="none" w:sz="0" w:space="0" w:color="auto"/>
            <w:right w:val="none" w:sz="0" w:space="0" w:color="auto"/>
          </w:divBdr>
        </w:div>
      </w:divsChild>
    </w:div>
    <w:div w:id="1847012562">
      <w:bodyDiv w:val="1"/>
      <w:marLeft w:val="0"/>
      <w:marRight w:val="0"/>
      <w:marTop w:val="0"/>
      <w:marBottom w:val="0"/>
      <w:divBdr>
        <w:top w:val="none" w:sz="0" w:space="0" w:color="auto"/>
        <w:left w:val="none" w:sz="0" w:space="0" w:color="auto"/>
        <w:bottom w:val="none" w:sz="0" w:space="0" w:color="auto"/>
        <w:right w:val="none" w:sz="0" w:space="0" w:color="auto"/>
      </w:divBdr>
      <w:divsChild>
        <w:div w:id="599796311">
          <w:marLeft w:val="0"/>
          <w:marRight w:val="0"/>
          <w:marTop w:val="0"/>
          <w:marBottom w:val="0"/>
          <w:divBdr>
            <w:top w:val="none" w:sz="0" w:space="0" w:color="auto"/>
            <w:left w:val="none" w:sz="0" w:space="0" w:color="auto"/>
            <w:bottom w:val="none" w:sz="0" w:space="0" w:color="auto"/>
            <w:right w:val="none" w:sz="0" w:space="0" w:color="auto"/>
          </w:divBdr>
        </w:div>
        <w:div w:id="2014992454">
          <w:marLeft w:val="0"/>
          <w:marRight w:val="0"/>
          <w:marTop w:val="0"/>
          <w:marBottom w:val="0"/>
          <w:divBdr>
            <w:top w:val="none" w:sz="0" w:space="0" w:color="auto"/>
            <w:left w:val="none" w:sz="0" w:space="0" w:color="auto"/>
            <w:bottom w:val="none" w:sz="0" w:space="0" w:color="auto"/>
            <w:right w:val="none" w:sz="0" w:space="0" w:color="auto"/>
          </w:divBdr>
        </w:div>
      </w:divsChild>
    </w:div>
    <w:div w:id="1891190491">
      <w:bodyDiv w:val="1"/>
      <w:marLeft w:val="0"/>
      <w:marRight w:val="0"/>
      <w:marTop w:val="0"/>
      <w:marBottom w:val="0"/>
      <w:divBdr>
        <w:top w:val="none" w:sz="0" w:space="0" w:color="auto"/>
        <w:left w:val="none" w:sz="0" w:space="0" w:color="auto"/>
        <w:bottom w:val="none" w:sz="0" w:space="0" w:color="auto"/>
        <w:right w:val="none" w:sz="0" w:space="0" w:color="auto"/>
      </w:divBdr>
    </w:div>
    <w:div w:id="1895583125">
      <w:bodyDiv w:val="1"/>
      <w:marLeft w:val="0"/>
      <w:marRight w:val="0"/>
      <w:marTop w:val="0"/>
      <w:marBottom w:val="0"/>
      <w:divBdr>
        <w:top w:val="none" w:sz="0" w:space="0" w:color="auto"/>
        <w:left w:val="none" w:sz="0" w:space="0" w:color="auto"/>
        <w:bottom w:val="none" w:sz="0" w:space="0" w:color="auto"/>
        <w:right w:val="none" w:sz="0" w:space="0" w:color="auto"/>
      </w:divBdr>
    </w:div>
    <w:div w:id="1901135930">
      <w:bodyDiv w:val="1"/>
      <w:marLeft w:val="0"/>
      <w:marRight w:val="0"/>
      <w:marTop w:val="0"/>
      <w:marBottom w:val="0"/>
      <w:divBdr>
        <w:top w:val="none" w:sz="0" w:space="0" w:color="auto"/>
        <w:left w:val="none" w:sz="0" w:space="0" w:color="auto"/>
        <w:bottom w:val="none" w:sz="0" w:space="0" w:color="auto"/>
        <w:right w:val="none" w:sz="0" w:space="0" w:color="auto"/>
      </w:divBdr>
    </w:div>
    <w:div w:id="1903055839">
      <w:bodyDiv w:val="1"/>
      <w:marLeft w:val="0"/>
      <w:marRight w:val="0"/>
      <w:marTop w:val="0"/>
      <w:marBottom w:val="0"/>
      <w:divBdr>
        <w:top w:val="none" w:sz="0" w:space="0" w:color="auto"/>
        <w:left w:val="none" w:sz="0" w:space="0" w:color="auto"/>
        <w:bottom w:val="none" w:sz="0" w:space="0" w:color="auto"/>
        <w:right w:val="none" w:sz="0" w:space="0" w:color="auto"/>
      </w:divBdr>
    </w:div>
    <w:div w:id="1952470584">
      <w:bodyDiv w:val="1"/>
      <w:marLeft w:val="0"/>
      <w:marRight w:val="0"/>
      <w:marTop w:val="0"/>
      <w:marBottom w:val="0"/>
      <w:divBdr>
        <w:top w:val="none" w:sz="0" w:space="0" w:color="auto"/>
        <w:left w:val="none" w:sz="0" w:space="0" w:color="auto"/>
        <w:bottom w:val="none" w:sz="0" w:space="0" w:color="auto"/>
        <w:right w:val="none" w:sz="0" w:space="0" w:color="auto"/>
      </w:divBdr>
    </w:div>
    <w:div w:id="1974750832">
      <w:bodyDiv w:val="1"/>
      <w:marLeft w:val="0"/>
      <w:marRight w:val="0"/>
      <w:marTop w:val="0"/>
      <w:marBottom w:val="0"/>
      <w:divBdr>
        <w:top w:val="none" w:sz="0" w:space="0" w:color="auto"/>
        <w:left w:val="none" w:sz="0" w:space="0" w:color="auto"/>
        <w:bottom w:val="none" w:sz="0" w:space="0" w:color="auto"/>
        <w:right w:val="none" w:sz="0" w:space="0" w:color="auto"/>
      </w:divBdr>
    </w:div>
    <w:div w:id="2009476753">
      <w:bodyDiv w:val="1"/>
      <w:marLeft w:val="0"/>
      <w:marRight w:val="0"/>
      <w:marTop w:val="0"/>
      <w:marBottom w:val="0"/>
      <w:divBdr>
        <w:top w:val="none" w:sz="0" w:space="0" w:color="auto"/>
        <w:left w:val="none" w:sz="0" w:space="0" w:color="auto"/>
        <w:bottom w:val="none" w:sz="0" w:space="0" w:color="auto"/>
        <w:right w:val="none" w:sz="0" w:space="0" w:color="auto"/>
      </w:divBdr>
    </w:div>
    <w:div w:id="2034723209">
      <w:bodyDiv w:val="1"/>
      <w:marLeft w:val="0"/>
      <w:marRight w:val="0"/>
      <w:marTop w:val="0"/>
      <w:marBottom w:val="0"/>
      <w:divBdr>
        <w:top w:val="none" w:sz="0" w:space="0" w:color="auto"/>
        <w:left w:val="none" w:sz="0" w:space="0" w:color="auto"/>
        <w:bottom w:val="none" w:sz="0" w:space="0" w:color="auto"/>
        <w:right w:val="none" w:sz="0" w:space="0" w:color="auto"/>
      </w:divBdr>
    </w:div>
    <w:div w:id="2047752624">
      <w:bodyDiv w:val="1"/>
      <w:marLeft w:val="0"/>
      <w:marRight w:val="0"/>
      <w:marTop w:val="0"/>
      <w:marBottom w:val="0"/>
      <w:divBdr>
        <w:top w:val="none" w:sz="0" w:space="0" w:color="auto"/>
        <w:left w:val="none" w:sz="0" w:space="0" w:color="auto"/>
        <w:bottom w:val="none" w:sz="0" w:space="0" w:color="auto"/>
        <w:right w:val="none" w:sz="0" w:space="0" w:color="auto"/>
      </w:divBdr>
    </w:div>
    <w:div w:id="2078699249">
      <w:bodyDiv w:val="1"/>
      <w:marLeft w:val="0"/>
      <w:marRight w:val="0"/>
      <w:marTop w:val="0"/>
      <w:marBottom w:val="0"/>
      <w:divBdr>
        <w:top w:val="none" w:sz="0" w:space="0" w:color="auto"/>
        <w:left w:val="none" w:sz="0" w:space="0" w:color="auto"/>
        <w:bottom w:val="none" w:sz="0" w:space="0" w:color="auto"/>
        <w:right w:val="none" w:sz="0" w:space="0" w:color="auto"/>
      </w:divBdr>
    </w:div>
    <w:div w:id="2096631065">
      <w:bodyDiv w:val="1"/>
      <w:marLeft w:val="0"/>
      <w:marRight w:val="0"/>
      <w:marTop w:val="0"/>
      <w:marBottom w:val="0"/>
      <w:divBdr>
        <w:top w:val="none" w:sz="0" w:space="0" w:color="auto"/>
        <w:left w:val="none" w:sz="0" w:space="0" w:color="auto"/>
        <w:bottom w:val="none" w:sz="0" w:space="0" w:color="auto"/>
        <w:right w:val="none" w:sz="0" w:space="0" w:color="auto"/>
      </w:divBdr>
      <w:divsChild>
        <w:div w:id="353773480">
          <w:marLeft w:val="0"/>
          <w:marRight w:val="0"/>
          <w:marTop w:val="0"/>
          <w:marBottom w:val="0"/>
          <w:divBdr>
            <w:top w:val="none" w:sz="0" w:space="0" w:color="auto"/>
            <w:left w:val="none" w:sz="0" w:space="0" w:color="auto"/>
            <w:bottom w:val="none" w:sz="0" w:space="0" w:color="auto"/>
            <w:right w:val="none" w:sz="0" w:space="0" w:color="auto"/>
          </w:divBdr>
        </w:div>
        <w:div w:id="408116223">
          <w:marLeft w:val="0"/>
          <w:marRight w:val="0"/>
          <w:marTop w:val="0"/>
          <w:marBottom w:val="0"/>
          <w:divBdr>
            <w:top w:val="none" w:sz="0" w:space="0" w:color="auto"/>
            <w:left w:val="none" w:sz="0" w:space="0" w:color="auto"/>
            <w:bottom w:val="none" w:sz="0" w:space="0" w:color="auto"/>
            <w:right w:val="none" w:sz="0" w:space="0" w:color="auto"/>
          </w:divBdr>
        </w:div>
        <w:div w:id="1039815688">
          <w:marLeft w:val="0"/>
          <w:marRight w:val="0"/>
          <w:marTop w:val="0"/>
          <w:marBottom w:val="0"/>
          <w:divBdr>
            <w:top w:val="none" w:sz="0" w:space="0" w:color="auto"/>
            <w:left w:val="none" w:sz="0" w:space="0" w:color="auto"/>
            <w:bottom w:val="none" w:sz="0" w:space="0" w:color="auto"/>
            <w:right w:val="none" w:sz="0" w:space="0" w:color="auto"/>
          </w:divBdr>
        </w:div>
        <w:div w:id="1674719853">
          <w:marLeft w:val="0"/>
          <w:marRight w:val="0"/>
          <w:marTop w:val="0"/>
          <w:marBottom w:val="0"/>
          <w:divBdr>
            <w:top w:val="none" w:sz="0" w:space="0" w:color="auto"/>
            <w:left w:val="none" w:sz="0" w:space="0" w:color="auto"/>
            <w:bottom w:val="none" w:sz="0" w:space="0" w:color="auto"/>
            <w:right w:val="none" w:sz="0" w:space="0" w:color="auto"/>
          </w:divBdr>
        </w:div>
      </w:divsChild>
    </w:div>
    <w:div w:id="2124378113">
      <w:bodyDiv w:val="1"/>
      <w:marLeft w:val="0"/>
      <w:marRight w:val="0"/>
      <w:marTop w:val="0"/>
      <w:marBottom w:val="0"/>
      <w:divBdr>
        <w:top w:val="none" w:sz="0" w:space="0" w:color="auto"/>
        <w:left w:val="none" w:sz="0" w:space="0" w:color="auto"/>
        <w:bottom w:val="none" w:sz="0" w:space="0" w:color="auto"/>
        <w:right w:val="none" w:sz="0" w:space="0" w:color="auto"/>
      </w:divBdr>
    </w:div>
    <w:div w:id="2126803233">
      <w:bodyDiv w:val="1"/>
      <w:marLeft w:val="0"/>
      <w:marRight w:val="0"/>
      <w:marTop w:val="0"/>
      <w:marBottom w:val="0"/>
      <w:divBdr>
        <w:top w:val="none" w:sz="0" w:space="0" w:color="auto"/>
        <w:left w:val="none" w:sz="0" w:space="0" w:color="auto"/>
        <w:bottom w:val="none" w:sz="0" w:space="0" w:color="auto"/>
        <w:right w:val="none" w:sz="0" w:space="0" w:color="auto"/>
      </w:divBdr>
    </w:div>
    <w:div w:id="212922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18" Type="http://schemas.openxmlformats.org/officeDocument/2006/relationships/image" Target="media/image1.jpeg"/><Relationship Id="rId26" Type="http://schemas.openxmlformats.org/officeDocument/2006/relationships/hyperlink" Target="https://www.thegreataustralianplatypussearch.org/results-2021" TargetMode="External"/><Relationship Id="rId39" Type="http://schemas.openxmlformats.org/officeDocument/2006/relationships/customXml" Target="../customXml/item13.xml"/><Relationship Id="rId21" Type="http://schemas.openxmlformats.org/officeDocument/2006/relationships/footer" Target="footer2.xml"/><Relationship Id="rId34" Type="http://schemas.openxmlformats.org/officeDocument/2006/relationships/footer" Target="footer6.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yperlink" Target="https://www.water.vic.gov.au/__data/assets/pdf_file/0041/687848/water-sector-carbon-co-benefit-and-co-investment-guide-1-process-guide.pdf" TargetMode="External"/><Relationship Id="rId33" Type="http://schemas.openxmlformats.org/officeDocument/2006/relationships/footer" Target="footer5.xml"/><Relationship Id="rId38" Type="http://schemas.openxmlformats.org/officeDocument/2006/relationships/customXml" Target="../customXml/item12.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29" Type="http://schemas.openxmlformats.org/officeDocument/2006/relationships/hyperlink" Target="https://www.waterregister.vic.gov.au/images/documents/Victorian_River_Murray_Shortfall_Response_Plan_2022.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s://www.waterregister.vic.gov.au/about/news/454-2022-23-scientific-advisory-panel-reports-for-the-lower-goulburn-river-and-lower-broken-creek" TargetMode="External"/><Relationship Id="rId32" Type="http://schemas.openxmlformats.org/officeDocument/2006/relationships/footer" Target="footer4.xml"/><Relationship Id="rId37" Type="http://schemas.openxmlformats.org/officeDocument/2006/relationships/theme" Target="theme/theme1.xml"/><Relationship Id="rId40" Type="http://schemas.openxmlformats.org/officeDocument/2006/relationships/customXml" Target="../customXml/item14.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hyperlink" Target="https://waterregister.vic.gov.au/water-trading/broker-compliance" TargetMode="External"/><Relationship Id="rId28" Type="http://schemas.openxmlformats.org/officeDocument/2006/relationships/hyperlink" Target="https://www.water.vic.gov.au/__data/assets/pdf_file/0032/714299/Technical-Guidelines-for-Waterway-Management_v5.pdf" TargetMode="External"/><Relationship Id="rId36" Type="http://schemas.openxmlformats.org/officeDocument/2006/relationships/glossaryDocument" Target="glossary/document.xml"/><Relationship Id="rId10" Type="http://schemas.openxmlformats.org/officeDocument/2006/relationships/customXml" Target="../customXml/item10.xml"/><Relationship Id="rId19" Type="http://schemas.openxmlformats.org/officeDocument/2006/relationships/header" Target="header1.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oter" Target="footer3.xml"/><Relationship Id="rId27" Type="http://schemas.openxmlformats.org/officeDocument/2006/relationships/hyperlink" Target="https://www.water.vic.gov.au/waterways-and-catchments/our-waterways/estuaries" TargetMode="External"/><Relationship Id="rId30" Type="http://schemas.openxmlformats.org/officeDocument/2006/relationships/hyperlink" Target="https://www.waterregister.vic.gov.au/about/news/454-2022-23-scientific-advisory-panel-reports-for-the-lower-goulburn-river-and-lower-broken-creek" TargetMode="External"/><Relationship Id="rId35"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www.melbournewater.com.au/water-and-environment/water-management/water-storage-levels%22%20/l%20%22/ws/freq/weekly/type/storage" TargetMode="External"/><Relationship Id="rId2" Type="http://schemas.openxmlformats.org/officeDocument/2006/relationships/hyperlink" Target="https://www.gww.com.au/sites/default/files/2022-12/GWW0053_Melbournes_Water_Outlook_Report_V10_Accessible_alt-text.pdf" TargetMode="External"/><Relationship Id="rId1" Type="http://schemas.openxmlformats.org/officeDocument/2006/relationships/hyperlink" Target="https://www.waterrating.gov.au/about/review-evaluation/strategic-plan-2022-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ITHE6\AppData\Roaming\MacroView.Office\Files\Templates\Reports\Branding%20group%203\en\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C35E5488BF4862BCFA14EC85C96408"/>
        <w:category>
          <w:name w:val="General"/>
          <w:gallery w:val="placeholder"/>
        </w:category>
        <w:types>
          <w:type w:val="bbPlcHdr"/>
        </w:types>
        <w:behaviors>
          <w:behavior w:val="content"/>
        </w:behaviors>
        <w:guid w:val="{78A11D83-2389-4D16-9CB4-87B7707AE7C7}"/>
      </w:docPartPr>
      <w:docPartBody>
        <w:p w:rsidR="00D42C22" w:rsidRDefault="002268D5">
          <w:pPr>
            <w:pStyle w:val="2BC35E5488BF4862BCFA14EC85C96408"/>
          </w:pPr>
          <w:r w:rsidRPr="00DC7723">
            <w:rPr>
              <w:rStyle w:val="PlaceholderText"/>
            </w:rPr>
            <w:t>Choose a building block.</w:t>
          </w:r>
        </w:p>
      </w:docPartBody>
    </w:docPart>
    <w:docPart>
      <w:docPartPr>
        <w:name w:val="AE9715A2551A4CCE900C951EC35EB273"/>
        <w:category>
          <w:name w:val="General"/>
          <w:gallery w:val="placeholder"/>
        </w:category>
        <w:types>
          <w:type w:val="bbPlcHdr"/>
        </w:types>
        <w:behaviors>
          <w:behavior w:val="content"/>
        </w:behaviors>
        <w:guid w:val="{FFACAB96-0163-4805-97EC-54BA59BE4A5F}"/>
      </w:docPartPr>
      <w:docPartBody>
        <w:p w:rsidR="00D42C22" w:rsidRDefault="002268D5">
          <w:pPr>
            <w:pStyle w:val="AE9715A2551A4CCE900C951EC35EB273"/>
          </w:pPr>
          <w:r w:rsidRPr="000A48CC">
            <w:rPr>
              <w:rStyle w:val="PlaceholderText"/>
            </w:rPr>
            <w:t>[Document n</w:t>
          </w:r>
          <w:r>
            <w:rPr>
              <w:rStyle w:val="PlaceholderText"/>
            </w:rPr>
            <w:t>umber</w:t>
          </w:r>
          <w:r w:rsidRPr="000A48CC">
            <w:rPr>
              <w:rStyle w:val="PlaceholderText"/>
            </w:rPr>
            <w:t>]</w:t>
          </w:r>
        </w:p>
      </w:docPartBody>
    </w:docPart>
    <w:docPart>
      <w:docPartPr>
        <w:name w:val="A4ACAC65D9EB4863BBCC018A6F044609"/>
        <w:category>
          <w:name w:val="General"/>
          <w:gallery w:val="placeholder"/>
        </w:category>
        <w:types>
          <w:type w:val="bbPlcHdr"/>
        </w:types>
        <w:behaviors>
          <w:behavior w:val="content"/>
        </w:behaviors>
        <w:guid w:val="{8C8D2823-A5E2-4EFB-99A5-191226582E43}"/>
      </w:docPartPr>
      <w:docPartBody>
        <w:p w:rsidR="00D42C22" w:rsidRDefault="002268D5">
          <w:pPr>
            <w:pStyle w:val="A4ACAC65D9EB4863BBCC018A6F044609"/>
          </w:pPr>
          <w:r w:rsidRPr="000A48CC">
            <w:rPr>
              <w:rStyle w:val="PlaceholderText"/>
            </w:rPr>
            <w:t>[Document n</w:t>
          </w:r>
          <w:r>
            <w:rPr>
              <w:rStyle w:val="PlaceholderText"/>
            </w:rPr>
            <w:t>umber</w:t>
          </w:r>
          <w:r w:rsidRPr="000A48C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Jacobs Chronos">
    <w:panose1 w:val="020B0603030503030204"/>
    <w:charset w:val="00"/>
    <w:family w:val="swiss"/>
    <w:pitch w:val="variable"/>
    <w:sig w:usb0="A00000EF" w:usb1="0000E0EB" w:usb2="00000008" w:usb3="00000000" w:csb0="00000001" w:csb1="00000000"/>
  </w:font>
  <w:font w:name="Calibri">
    <w:panose1 w:val="020F0502020204030204"/>
    <w:charset w:val="00"/>
    <w:family w:val="swiss"/>
    <w:pitch w:val="variable"/>
    <w:sig w:usb0="E4002EFF" w:usb1="C200247B" w:usb2="00000009" w:usb3="00000000" w:csb0="000001FF" w:csb1="00000000"/>
  </w:font>
  <w:font w:name="Jacobs Chronos Light">
    <w:panose1 w:val="020B0403030503030204"/>
    <w:charset w:val="00"/>
    <w:family w:val="swiss"/>
    <w:pitch w:val="variable"/>
    <w:sig w:usb0="A00000EF" w:usb1="0000E0EB" w:usb2="00000008"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Jacobs Chronos Cd">
    <w:panose1 w:val="020B0506030503030204"/>
    <w:charset w:val="00"/>
    <w:family w:val="swiss"/>
    <w:pitch w:val="variable"/>
    <w:sig w:usb0="A00000EF" w:usb1="0000E0EB" w:usb2="00000008" w:usb3="00000000" w:csb0="00000001"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210"/>
    <w:rsid w:val="000D0BE6"/>
    <w:rsid w:val="001A5FB1"/>
    <w:rsid w:val="001C62ED"/>
    <w:rsid w:val="002268D5"/>
    <w:rsid w:val="00244876"/>
    <w:rsid w:val="00311C8A"/>
    <w:rsid w:val="003B4147"/>
    <w:rsid w:val="00422CA1"/>
    <w:rsid w:val="00454B06"/>
    <w:rsid w:val="004A4D8D"/>
    <w:rsid w:val="004C06A2"/>
    <w:rsid w:val="005F140A"/>
    <w:rsid w:val="00614B17"/>
    <w:rsid w:val="00635BF6"/>
    <w:rsid w:val="006745B2"/>
    <w:rsid w:val="00702CC0"/>
    <w:rsid w:val="00784C39"/>
    <w:rsid w:val="007B278D"/>
    <w:rsid w:val="00875828"/>
    <w:rsid w:val="008F1FAC"/>
    <w:rsid w:val="00902D35"/>
    <w:rsid w:val="00A64390"/>
    <w:rsid w:val="00A70172"/>
    <w:rsid w:val="00AD38F9"/>
    <w:rsid w:val="00B2062F"/>
    <w:rsid w:val="00B71D53"/>
    <w:rsid w:val="00B91210"/>
    <w:rsid w:val="00BA5A8B"/>
    <w:rsid w:val="00C2073F"/>
    <w:rsid w:val="00CC67BA"/>
    <w:rsid w:val="00CE5D14"/>
    <w:rsid w:val="00CF56A2"/>
    <w:rsid w:val="00D0079A"/>
    <w:rsid w:val="00D42C22"/>
    <w:rsid w:val="00DE320D"/>
    <w:rsid w:val="00EB3EE9"/>
    <w:rsid w:val="00EF7B75"/>
    <w:rsid w:val="00F01C9E"/>
    <w:rsid w:val="00FE14A7"/>
    <w:rsid w:val="00FF7A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i/>
      <w:color w:val="auto"/>
      <w:bdr w:val="none" w:sz="0" w:space="0" w:color="auto"/>
      <w:shd w:val="clear" w:color="auto" w:fill="auto"/>
    </w:rPr>
  </w:style>
  <w:style w:type="paragraph" w:customStyle="1" w:styleId="2BC35E5488BF4862BCFA14EC85C96408">
    <w:name w:val="2BC35E5488BF4862BCFA14EC85C96408"/>
  </w:style>
  <w:style w:type="paragraph" w:customStyle="1" w:styleId="AE9715A2551A4CCE900C951EC35EB273">
    <w:name w:val="AE9715A2551A4CCE900C951EC35EB273"/>
  </w:style>
  <w:style w:type="paragraph" w:customStyle="1" w:styleId="A4ACAC65D9EB4863BBCC018A6F044609">
    <w:name w:val="A4ACAC65D9EB4863BBCC018A6F0446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JacobsBlue">
  <a:themeElements>
    <a:clrScheme name="Jacobs Accents Blue">
      <a:dk1>
        <a:srgbClr val="000000"/>
      </a:dk1>
      <a:lt1>
        <a:srgbClr val="FFFFFF"/>
      </a:lt1>
      <a:dk2>
        <a:srgbClr val="333333"/>
      </a:dk2>
      <a:lt2>
        <a:srgbClr val="E6E6E6"/>
      </a:lt2>
      <a:accent1>
        <a:srgbClr val="231EDC"/>
      </a:accent1>
      <a:accent2>
        <a:srgbClr val="0A7DFF"/>
      </a:accent2>
      <a:accent3>
        <a:srgbClr val="5AE6FF"/>
      </a:accent3>
      <a:accent4>
        <a:srgbClr val="001E55"/>
      </a:accent4>
      <a:accent5>
        <a:srgbClr val="A5A5A5"/>
      </a:accent5>
      <a:accent6>
        <a:srgbClr val="C8C8C8"/>
      </a:accent6>
      <a:hlink>
        <a:srgbClr val="231EDC"/>
      </a:hlink>
      <a:folHlink>
        <a:srgbClr val="E5E5E5"/>
      </a:folHlink>
    </a:clrScheme>
    <a:fontScheme name="JacobsChronos">
      <a:majorFont>
        <a:latin typeface="Jacobs Chronos"/>
        <a:ea typeface=""/>
        <a:cs typeface=""/>
      </a:majorFont>
      <a:minorFont>
        <a:latin typeface="Jacobs Chron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lue 1">
      <a:srgbClr val="231EDC"/>
    </a:custClr>
    <a:custClr name="Blue 2">
      <a:srgbClr val="0A7DFF"/>
    </a:custClr>
    <a:custClr name="Blue 3">
      <a:srgbClr val="5AE6FF"/>
    </a:custClr>
    <a:custClr name="Blue 4">
      <a:srgbClr val="001E55"/>
    </a:custClr>
    <a:custClr name="Blue 5">
      <a:srgbClr val="6CB1FF"/>
    </a:custClr>
    <a:custClr name="Blue 6">
      <a:srgbClr val="C2DEFF"/>
    </a:custClr>
    <a:custClr name="Spacer">
      <a:srgbClr val="FFFFFF"/>
    </a:custClr>
    <a:custClr name="Spacer">
      <a:srgbClr val="FFFFFF"/>
    </a:custClr>
    <a:custClr name="Spacer">
      <a:srgbClr val="FFFFFF"/>
    </a:custClr>
    <a:custClr name="Spacer">
      <a:srgbClr val="FFFFFF"/>
    </a:custClr>
    <a:custClr name="Purple 1">
      <a:srgbClr val="6F006E"/>
    </a:custClr>
    <a:custClr name="Purple 2">
      <a:srgbClr val="A800A8"/>
    </a:custClr>
    <a:custClr name="Purple 3">
      <a:srgbClr val="D7A5F5"/>
    </a:custClr>
    <a:custClr name="Purple 4">
      <a:srgbClr val="460F32"/>
    </a:custClr>
    <a:custClr name="Purple 5">
      <a:srgbClr val="CB66CB"/>
    </a:custClr>
    <a:custClr name="Purple 6">
      <a:srgbClr val="E9BFE9"/>
    </a:custClr>
    <a:custClr name="Spacer">
      <a:srgbClr val="FFFFFF"/>
    </a:custClr>
    <a:custClr name="Spacer">
      <a:srgbClr val="FFFFFF"/>
    </a:custClr>
    <a:custClr name="Spacer">
      <a:srgbClr val="FFFFFF"/>
    </a:custClr>
    <a:custClr name="Spacer">
      <a:srgbClr val="FFFFFF"/>
    </a:custClr>
    <a:custClr name="Red 1">
      <a:srgbClr val="D72850"/>
    </a:custClr>
    <a:custClr name="Red 2">
      <a:srgbClr val="FF465F"/>
    </a:custClr>
    <a:custClr name="Red 3">
      <a:srgbClr val="FF9191"/>
    </a:custClr>
    <a:custClr name="Red 4">
      <a:srgbClr val="690A28"/>
    </a:custClr>
    <a:custClr name="Red 5">
      <a:srgbClr val="FF909F"/>
    </a:custClr>
    <a:custClr name="Red 6">
      <a:srgbClr val="FFD1D7"/>
    </a:custClr>
    <a:custClr name="Spacer">
      <a:srgbClr val="FFFFFF"/>
    </a:custClr>
    <a:custClr name="Spacer">
      <a:srgbClr val="FFFFFF"/>
    </a:custClr>
    <a:custClr name="Spacer">
      <a:srgbClr val="FFFFFF"/>
    </a:custClr>
    <a:custClr name="Spacer">
      <a:srgbClr val="FFFFFF"/>
    </a:custClr>
    <a:custClr name="Yellow 1">
      <a:srgbClr val="FFA014"/>
    </a:custClr>
    <a:custClr name="Yellow 2">
      <a:srgbClr val="FFB41E"/>
    </a:custClr>
    <a:custClr name="Yellow 3">
      <a:srgbClr val="FFDC78"/>
    </a:custClr>
    <a:custClr name="Yellow 4">
      <a:srgbClr val="C05C27"/>
    </a:custClr>
    <a:custClr name="Yellow 5">
      <a:srgbClr val="FFD278"/>
    </a:custClr>
    <a:custClr name="Yellow 6">
      <a:srgbClr val="FFECC7"/>
    </a:custClr>
    <a:custClr name="Spacer">
      <a:srgbClr val="FFFFFF"/>
    </a:custClr>
    <a:custClr name="Spacer">
      <a:srgbClr val="FFFFFF"/>
    </a:custClr>
    <a:custClr name="Spacer">
      <a:srgbClr val="FFFFFF"/>
    </a:custClr>
    <a:custClr name="Spacer">
      <a:srgbClr val="FFFFFF"/>
    </a:custClr>
    <a:custClr name="Green 1">
      <a:srgbClr val="007D55"/>
    </a:custClr>
    <a:custClr name="Green 2">
      <a:srgbClr val="0AD287"/>
    </a:custClr>
    <a:custClr name="Green 3">
      <a:srgbClr val="78FAC8"/>
    </a:custClr>
    <a:custClr name="Green 4">
      <a:srgbClr val="003C2D"/>
    </a:custClr>
    <a:custClr name="Green 5">
      <a:srgbClr val="6CE4B7"/>
    </a:custClr>
    <a:custClr name="Green 6">
      <a:srgbClr val="C2F4E1"/>
    </a:custClr>
    <a:custClr name="Spacer">
      <a:srgbClr val="FFFFFF"/>
    </a:custClr>
    <a:custClr name="Spacer">
      <a:srgbClr val="FFFFFF"/>
    </a:custClr>
    <a:custClr name="Spacer">
      <a:srgbClr val="FFFFFF"/>
    </a:custClr>
    <a:custClr name="Spacer">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1 6 " ? > < q 1 : B r a n d   x m l n s : q 1 = " h t t p : / / s c h e m a s . m a c r o v i e w . c o m . a u / b r a n d " >  
     < q 1 : G r o u p i n g / >  
     < q 1 : L o g o P a t h > C : \ U s e r s \ C o f f B \ A p p D a t a \ R o a m i n g \ M a c r o V i e w . O f f i c e \ F i l e s \ A p p S e t t i n g s \ B r a n d s \ J a c o b s . s v g < / q 1 : L o g o P a t h >  
     < q 1 : N a m e > J a c o b s < / q 1 : N a m e >  
 < / q 1 : B r a n d > 
</file>

<file path=customXml/item10.xml><?xml version="1.0" encoding="utf-8"?>
<?mso-contentType ?>
<SharedContentType xmlns="Microsoft.SharePoint.Taxonomy.ContentTypeSync" SourceId="3452d580-73c1-4b2b-acb3-3600a17877a9" ContentTypeId="0x0101002517F445A0F35E449C98AAD631F2B0380F" PreviousValue="false"/>
</file>

<file path=customXml/item11.xml><?xml version="1.0" encoding="utf-8"?>
<q1:Entity xmlns:q1="http://schemas.macroview.com.au/entity">
  <q1:Countries>
    <q1:string/>
    <q1:string/>
  </q1:Countries>
  <q1:Name/>
  <q1:Description/>
  <q1:Web/>
</q1:Entity>
</file>

<file path=customXml/item12.xml><?xml version="1.0" encoding="utf-8"?>
<?mso-contentType ?>
<customXsn xmlns="http://schemas.microsoft.com/office/2006/metadata/customXsn">
  <xsnLocation/>
  <cached>True</cached>
  <openByDefault>True</openByDefault>
  <xsnScope>/sites/ecm_133/EC Policy</xsnScope>
</customXsn>
</file>

<file path=customXml/item13.xml><?xml version="1.0" encoding="utf-8"?>
<ct:contentTypeSchema xmlns:ct="http://schemas.microsoft.com/office/2006/metadata/contentType" xmlns:ma="http://schemas.microsoft.com/office/2006/metadata/properties/metaAttributes" ct:_="" ma:_="" ma:contentTypeName="Memo" ma:contentTypeID="0x0101002517F445A0F35E449C98AAD631F2B0380F00DA6BABBD5E205441ACDFC001CFFBDBFB" ma:contentTypeVersion="101" ma:contentTypeDescription="A note describing something to be remembered or acted upon in the future – AGLS " ma:contentTypeScope="" ma:versionID="7ad5e9250ff2c493f4257e772faea790">
  <xsd:schema xmlns:xsd="http://www.w3.org/2001/XMLSchema" xmlns:xs="http://www.w3.org/2001/XMLSchema" xmlns:p="http://schemas.microsoft.com/office/2006/metadata/properties" xmlns:ns1="http://schemas.microsoft.com/sharepoint/v3" xmlns:ns2="a5f32de4-e402-4188-b034-e71ca7d22e54" xmlns:ns3="9fd47c19-1c4a-4d7d-b342-c10cef269344" xmlns:ns4="3867f357-3a1c-4ca9-a93f-4854236dd214" targetNamespace="http://schemas.microsoft.com/office/2006/metadata/properties" ma:root="true" ma:fieldsID="417c5ab9a1368c47ec71db7da21a2712" ns1:_="" ns2:_="" ns3:_="" ns4:_="">
    <xsd:import namespace="http://schemas.microsoft.com/sharepoint/v3"/>
    <xsd:import namespace="a5f32de4-e402-4188-b034-e71ca7d22e54"/>
    <xsd:import namespace="9fd47c19-1c4a-4d7d-b342-c10cef269344"/>
    <xsd:import namespace="3867f357-3a1c-4ca9-a93f-4854236dd214"/>
    <xsd:element name="properties">
      <xsd:complexType>
        <xsd:sequence>
          <xsd:element name="documentManagement">
            <xsd:complexType>
              <xsd:all>
                <xsd:element ref="ns1:RoutingRuleDescription" minOccurs="0"/>
                <xsd:element ref="ns1:Language"/>
                <xsd:element ref="ns2:_dlc_DocIdUrl" minOccurs="0"/>
                <xsd:element ref="ns2:_dlc_DocId" minOccurs="0"/>
                <xsd:element ref="ns3:k1bd994a94c2413797db3bab8f123f6f" minOccurs="0"/>
                <xsd:element ref="ns3:a25c4e3633654d669cbaa09ae6b70789" minOccurs="0"/>
                <xsd:element ref="ns3:mfe9accc5a0b4653a7b513b67ffd122d" minOccurs="0"/>
                <xsd:element ref="ns2:_dlc_DocIdPersistId" minOccurs="0"/>
                <xsd:element ref="ns3:pd01c257034b4e86b1f58279a3bd54c6" minOccurs="0"/>
                <xsd:element ref="ns3:fb3179c379644f499d7166d0c985669b" minOccurs="0"/>
                <xsd:element ref="ns3:TaxCatchAll" minOccurs="0"/>
                <xsd:element ref="ns3:TaxCatchAllLabel" minOccurs="0"/>
                <xsd:element ref="ns3:ece32f50ba964e1fbf627a9d83fe6c01" minOccurs="0"/>
                <xsd:element ref="ns3:ic50d0a05a8e4d9791dac67f8a1e716c" minOccurs="0"/>
                <xsd:element ref="ns3:n771d69a070c4babbf278c67c8a2b859" minOccurs="0"/>
                <xsd:element ref="ns4:ed010498260346b187858c33c3113343" minOccurs="0"/>
                <xsd:element ref="ns2:Reference_x0020_Number" minOccurs="0"/>
                <xsd:element ref="ns2:Location_x0020_Value" minOccurs="0"/>
                <xsd:element ref="ns4:e04541968e3a4a22a099fbbbfc7e41fe" minOccurs="0"/>
                <xsd:element ref="ns3:o2e611f6ba3e4c8f9a895dfb7980639e" minOccurs="0"/>
                <xsd:element ref="ns3:ld508a88e6264ce89693af80a72862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Further keywords or terms that best describe the document content that DO NOT appear in the Title or File Name." ma:internalName="RoutingRuleDescription" ma:readOnly="false">
      <xsd:simpleType>
        <xsd:restriction base="dms:Text">
          <xsd:maxLength value="255"/>
        </xsd:restriction>
      </xsd:simpleType>
    </xsd:element>
    <xsd:element name="Language" ma:index="11" ma:displayName="Language" ma:default="English"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PersistId" ma:index="19" nillable="true" ma:displayName="Persist ID" ma:description="Keep ID on add." ma:hidden="true" ma:internalName="_dlc_DocIdPersistId" ma:readOnly="true">
      <xsd:simpleType>
        <xsd:restriction base="dms:Boolean"/>
      </xsd:simpleType>
    </xsd:element>
    <xsd:element name="Reference_x0020_Number" ma:index="34" nillable="true" ma:displayName="Reference Number" ma:internalName="Reference_x0020_Number">
      <xsd:simpleType>
        <xsd:restriction base="dms:Text">
          <xsd:maxLength value="255"/>
        </xsd:restriction>
      </xsd:simpleType>
    </xsd:element>
    <xsd:element name="Location_x0020_Value" ma:index="36" nillable="true" ma:displayName="Location Value" ma:internalName="Location_x0020_Val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k1bd994a94c2413797db3bab8f123f6f" ma:index="14" nillable="true" ma:taxonomy="true" ma:internalName="k1bd994a94c2413797db3bab8f123f6f" ma:taxonomyFieldName="Section" ma:displayName="Section" ma:default="" ma:fieldId="{41bd994a-94c2-4137-97db-3bab8f123f6f}" ma:sspId="797aeec6-0273-40f2-ab3e-beee73212332"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16" nillable="true" ma:taxonomy="true" ma:internalName="a25c4e3633654d669cbaa09ae6b70789" ma:taxonomyFieldName="Sub_x002d_Section" ma:displayName="Sub-Section" ma:readOnly="false" ma:default="" ma:fieldId="{a25c4e36-3365-4d66-9cba-a09ae6b70789}" ma:sspId="797aeec6-0273-40f2-ab3e-beee73212332"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18" ma:taxonomy="true" ma:internalName="mfe9accc5a0b4653a7b513b67ffd122d" ma:taxonomyFieldName="Branch" ma:displayName="Branch" ma:default="6;#Executive Services|e5dac3b6-3758-40a7-8921-77a6f8094098" ma:fieldId="{6fe9accc-5a0b-4653-a7b5-13b67ffd122d}" ma:sspId="797aeec6-0273-40f2-ab3e-beee73212332"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20" ma:taxonomy="true" ma:internalName="pd01c257034b4e86b1f58279a3bd54c6" ma:taxonomyFieldName="Security_x0020_Classification" ma:displayName="Security Classification" ma:readOnly="false" ma:default="3;#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21"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TaxCatchAll" ma:index="22" nillable="true" ma:displayName="Taxonomy Catch All Column" ma:description="" ma:hidden="true" ma:list="{fcdc2a19-2d00-44cf-b7bd-7f9c2f622aa0}" ma:internalName="TaxCatchAll" ma:showField="CatchAllData"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description="" ma:hidden="true" ma:list="{fcdc2a19-2d00-44cf-b7bd-7f9c2f622aa0}" ma:internalName="TaxCatchAllLabel" ma:readOnly="true" ma:showField="CatchAllDataLabel" ma:web="153f2783-1c70-4464-955e-85040a58200f">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25" ma:taxonomy="true" ma:internalName="ece32f50ba964e1fbf627a9d83fe6c01" ma:taxonomyFieldName="Agency" ma:displayName="Agency" ma:readOnly="false" ma:default="147;#Department of Energy, Environment and Climate Action|6ec2007c-62f7-4367-85b3-4db3e85c504f" ma:fieldId="{ece32f50-ba96-4e1f-bf62-7a9d83fe6c01}" ma:sspId="797aeec6-0273-40f2-ab3e-beee73212332"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27" ma:taxonomy="true" ma:internalName="ic50d0a05a8e4d9791dac67f8a1e716c" ma:taxonomyFieldName="Group1" ma:displayName="Group" ma:default="4;#Water and Catchments|04babe5f-fe90-4982-9f33-c4fc8f4bb63f" ma:fieldId="{2c50d0a0-5a8e-4d97-91da-c67f8a1e716c}" ma:sspId="797aeec6-0273-40f2-ab3e-beee73212332"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29" ma:taxonomy="true" ma:internalName="n771d69a070c4babbf278c67c8a2b859" ma:taxonomyFieldName="Division" ma:displayName="Division" ma:default="5;#Office of the Deputy Secretary Water and Catchments|3c1e8dec-6a81-4ef2-b151-e0b49bc0f761" ma:fieldId="{7771d69a-070c-4bab-bf27-8c67c8a2b859}" ma:sspId="797aeec6-0273-40f2-ab3e-beee73212332" ma:termSetId="0b563327-3fd1-4e33-bf14-c9e227ef5a35" ma:anchorId="00000000-0000-0000-0000-000000000000" ma:open="false" ma:isKeyword="false">
      <xsd:complexType>
        <xsd:sequence>
          <xsd:element ref="pc:Terms" minOccurs="0" maxOccurs="1"/>
        </xsd:sequence>
      </xsd:complexType>
    </xsd:element>
    <xsd:element name="o2e611f6ba3e4c8f9a895dfb7980639e" ma:index="39" nillable="true" ma:taxonomy="true" ma:internalName="o2e611f6ba3e4c8f9a895dfb7980639e" ma:taxonomyFieldName="Location_x0020_Type" ma:displayName="Location Type" ma:default="" ma:fieldId="{82e611f6-ba3e-4c8f-9a89-5dfb7980639e}" ma:sspId="797aeec6-0273-40f2-ab3e-beee73212332" ma:termSetId="648a561f-e369-4e31-b869-87da18c5c4f1" ma:anchorId="00000000-0000-0000-0000-000000000000" ma:open="false" ma:isKeyword="false">
      <xsd:complexType>
        <xsd:sequence>
          <xsd:element ref="pc:Terms" minOccurs="0" maxOccurs="1"/>
        </xsd:sequence>
      </xsd:complexType>
    </xsd:element>
    <xsd:element name="ld508a88e6264ce89693af80a72862cb" ma:index="40" nillable="true" ma:taxonomy="true" ma:internalName="ld508a88e6264ce89693af80a72862cb" ma:taxonomyFieldName="Reference_x0020_Type" ma:displayName="Reference Type" ma:default="" ma:fieldId="{5d508a88-e626-4ce8-9693-af80a72862cb}" ma:sspId="797aeec6-0273-40f2-ab3e-beee73212332" ma:termSetId="11043c92-3a71-4a36-852c-b5b476b049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67f357-3a1c-4ca9-a93f-4854236dd214" elementFormDefault="qualified">
    <xsd:import namespace="http://schemas.microsoft.com/office/2006/documentManagement/types"/>
    <xsd:import namespace="http://schemas.microsoft.com/office/infopath/2007/PartnerControls"/>
    <xsd:element name="ed010498260346b187858c33c3113343" ma:index="32" nillable="true" ma:taxonomy="true" ma:internalName="ed010498260346b187858c33c3113343" ma:taxonomyFieldName="Stage" ma:displayName="Stage" ma:default="" ma:fieldId="{ed010498-2603-46b1-8785-8c33c3113343}" ma:sspId="797aeec6-0273-40f2-ab3e-beee73212332" ma:termSetId="c3075b03-0b45-4031-9d8c-7b90de58cdbd" ma:anchorId="00000000-0000-0000-0000-000000000000" ma:open="true" ma:isKeyword="false">
      <xsd:complexType>
        <xsd:sequence>
          <xsd:element ref="pc:Terms" minOccurs="0" maxOccurs="1"/>
        </xsd:sequence>
      </xsd:complexType>
    </xsd:element>
    <xsd:element name="e04541968e3a4a22a099fbbbfc7e41fe" ma:index="38" nillable="true" ma:taxonomy="true" ma:internalName="e04541968e3a4a22a099fbbbfc7e41fe" ma:taxonomyFieldName="Tranche" ma:displayName="Tranche" ma:default="" ma:fieldId="{e0454196-8e3a-4a22-a099-fbbbfc7e41fe}" ma:sspId="797aeec6-0273-40f2-ab3e-beee73212332" ma:termSetId="3cae8447-8a68-47bc-9910-03a6fe485345"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root xmlns="http://schemas.macroview.com.au/answerfile">
  <Apologies xmlns="http://schemas.macroview.com.au/answerfile"/>
  <Approv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ApprovedBy>
  <ClientName xmlns="http://schemas.macroview.com.au/answerfile"/>
  <ClientReference xmlns="http://schemas.macroview.com.au/answerfile"/>
  <CopiesTo xmlns="http://schemas.macroview.com.au/answerfile"/>
  <CvFirstNameSurname xmlns="http://schemas.macroview.com.au/answerfile"/>
  <Date xmlns="http://schemas.macroview.com.au/answerfile">2023-11-02T00:00:00+13:00</Date>
  <DocumentNumber xmlns="http://schemas.macroview.com.au/answerfile">Final</DocumentNumber>
  <DocumentTitle xmlns="http://schemas.macroview.com.au/answerfile">Appendix A: Project summaries </DocumentTitle>
  <Location xmlns="http://schemas.macroview.com.au/answerfile"/>
  <NumberOfPages xmlns="http://schemas.macroview.com.au/answerfile"/>
  <Participants xmlns="http://schemas.macroview.com.au/answerfile"/>
  <ProjectManag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ProjectManager>
  <ProjectName xmlns="http://schemas.macroview.com.au/answerfile"/>
  <ProjectNumber xmlns="http://schemas.macroview.com.au/answerfile"/>
  <Recipient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cipient>
  <ReviewedBy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ReviewedBy>
  <RevisionNumber xmlns="http://schemas.macroview.com.au/answerfile"/>
  <Sender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
  <Sender2 xmlns="http://schemas.macroview.com.au/answerfile">
    <Address/>
    <Addresses/>
    <Assistant/>
    <CompanyName/>
    <Country/>
    <Delivery/>
    <Department/>
    <EmailAddress/>
    <ExtensionAttribute3/>
    <ExtensionAttribute4/>
    <ExternalId/>
    <FaxNumber/>
    <FirstName/>
    <FullName/>
    <HasSecondOffice>false</HasSecondOffice>
    <Initials/>
    <LastName/>
    <PhoneNumber/>
    <Position/>
    <PostalAddress1/>
    <PostalAddress2/>
    <PostalCity/>
    <PostalCountry/>
    <PostalPostalCode/>
    <PostalState/>
    <Qualifications/>
    <Salutation/>
    <StreetAddress1/>
    <StreetAddress2/>
    <StreetCity/>
    <StreetCountry/>
    <StreetPostalCode/>
    <StreetState/>
    <Title/>
  </Sender2>
  <SubHeading xmlns="http://schemas.macroview.com.au/answerfile"/>
  <Subject xmlns="http://schemas.macroview.com.au/answerfile"/>
</root>
</file>

<file path=customXml/item5.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49</Value>
      <Value>64</Value>
      <Value>147</Value>
      <Value>6</Value>
      <Value>5</Value>
      <Value>4</Value>
      <Value>3</Value>
      <Value>2</Value>
    </TaxCatchAll>
    <Language xmlns="http://schemas.microsoft.com/sharepoint/v3">English</Language>
    <ece32f50ba964e1fbf627a9d83fe6c01 xmlns="9fd47c19-1c4a-4d7d-b342-c10cef269344">
      <Terms xmlns="http://schemas.microsoft.com/office/infopath/2007/PartnerControls">
        <TermInfo xmlns="http://schemas.microsoft.com/office/infopath/2007/PartnerControls">
          <TermName xmlns="http://schemas.microsoft.com/office/infopath/2007/PartnerControls">Department of Energy, Environment and Climate Action</TermName>
          <TermId xmlns="http://schemas.microsoft.com/office/infopath/2007/PartnerControls">6ec2007c-62f7-4367-85b3-4db3e85c504f</TermId>
        </TermInfo>
      </Terms>
    </ece32f50ba964e1fbf627a9d83fe6c01>
    <k1bd994a94c2413797db3bab8f123f6f xmlns="9fd47c19-1c4a-4d7d-b342-c10cef269344">
      <Terms xmlns="http://schemas.microsoft.com/office/infopath/2007/PartnerControls"/>
    </k1bd994a94c2413797db3bab8f123f6f>
    <o2e611f6ba3e4c8f9a895dfb7980639e xmlns="9fd47c19-1c4a-4d7d-b342-c10cef269344">
      <Terms xmlns="http://schemas.microsoft.com/office/infopath/2007/PartnerControls"/>
    </o2e611f6ba3e4c8f9a895dfb7980639e>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n771d69a070c4babbf278c67c8a2b859 xmlns="9fd47c19-1c4a-4d7d-b342-c10cef269344">
      <Terms xmlns="http://schemas.microsoft.com/office/infopath/2007/PartnerControls">
        <TermInfo xmlns="http://schemas.microsoft.com/office/infopath/2007/PartnerControls">
          <TermName xmlns="http://schemas.microsoft.com/office/infopath/2007/PartnerControls">Office of the Deputy Secretary Water and Catchments</TermName>
          <TermId xmlns="http://schemas.microsoft.com/office/infopath/2007/PartnerControls">3c1e8dec-6a81-4ef2-b151-e0b49bc0f761</TermId>
        </TermInfo>
      </Terms>
    </n771d69a070c4babbf278c67c8a2b859>
    <Reference_x0020_Number xmlns="a5f32de4-e402-4188-b034-e71ca7d22e54" xsi:nil="true"/>
    <Location_x0020_Value xmlns="a5f32de4-e402-4188-b034-e71ca7d22e54" xsi:nil="true"/>
    <mfe9accc5a0b4653a7b513b67ffd122d xmlns="9fd47c19-1c4a-4d7d-b342-c10cef269344">
      <Terms xmlns="http://schemas.microsoft.com/office/infopath/2007/PartnerControls">
        <TermInfo xmlns="http://schemas.microsoft.com/office/infopath/2007/PartnerControls">
          <TermName xmlns="http://schemas.microsoft.com/office/infopath/2007/PartnerControls">Executive Services</TermName>
          <TermId xmlns="http://schemas.microsoft.com/office/infopath/2007/PartnerControls">e5dac3b6-3758-40a7-8921-77a6f8094098</TermId>
        </TermInfo>
      </Terms>
    </mfe9accc5a0b4653a7b513b67ffd122d>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e04541968e3a4a22a099fbbbfc7e41fe xmlns="3867f357-3a1c-4ca9-a93f-4854236dd214">
      <Terms xmlns="http://schemas.microsoft.com/office/infopath/2007/PartnerControls">
        <TermInfo xmlns="http://schemas.microsoft.com/office/infopath/2007/PartnerControls">
          <TermName xmlns="http://schemas.microsoft.com/office/infopath/2007/PartnerControls">Tranche 5</TermName>
          <TermId xmlns="http://schemas.microsoft.com/office/infopath/2007/PartnerControls">2090fe92-5791-4cda-abeb-4e09ed9a536d</TermId>
        </TermInfo>
      </Terms>
    </e04541968e3a4a22a099fbbbfc7e41fe>
    <RoutingRuleDescription xmlns="http://schemas.microsoft.com/sharepoint/v3" xsi:nil="true"/>
    <a25c4e3633654d669cbaa09ae6b70789 xmlns="9fd47c19-1c4a-4d7d-b342-c10cef269344">
      <Terms xmlns="http://schemas.microsoft.com/office/infopath/2007/PartnerControls"/>
    </a25c4e3633654d669cbaa09ae6b70789>
    <ic50d0a05a8e4d9791dac67f8a1e716c xmlns="9fd47c19-1c4a-4d7d-b342-c10cef269344">
      <Terms xmlns="http://schemas.microsoft.com/office/infopath/2007/PartnerControls">
        <TermInfo xmlns="http://schemas.microsoft.com/office/infopath/2007/PartnerControls">
          <TermName xmlns="http://schemas.microsoft.com/office/infopath/2007/PartnerControls">Water and Catchments</TermName>
          <TermId xmlns="http://schemas.microsoft.com/office/infopath/2007/PartnerControls">04babe5f-fe90-4982-9f33-c4fc8f4bb63f</TermId>
        </TermInfo>
      </Terms>
    </ic50d0a05a8e4d9791dac67f8a1e716c>
    <ld508a88e6264ce89693af80a72862cb xmlns="9fd47c19-1c4a-4d7d-b342-c10cef269344">
      <Terms xmlns="http://schemas.microsoft.com/office/infopath/2007/PartnerControls"/>
    </ld508a88e6264ce89693af80a72862cb>
    <ed010498260346b187858c33c3113343 xmlns="3867f357-3a1c-4ca9-a93f-4854236dd214">
      <Terms xmlns="http://schemas.microsoft.com/office/infopath/2007/PartnerControls">
        <TermInfo xmlns="http://schemas.microsoft.com/office/infopath/2007/PartnerControls">
          <TermName xmlns="http://schemas.microsoft.com/office/infopath/2007/PartnerControls">Evaluation</TermName>
          <TermId xmlns="http://schemas.microsoft.com/office/infopath/2007/PartnerControls">6a013860-974b-40ab-9b48-64780cc3662c</TermId>
        </TermInfo>
      </Terms>
    </ed010498260346b187858c33c3113343>
    <_dlc_DocIdUrl xmlns="a5f32de4-e402-4188-b034-e71ca7d22e54">
      <Url>https://delwpvicgovau.sharepoint.com/sites/ecm_133/_layouts/15/DocIdRedir.aspx?ID=DOCID133-1652722956-2598</Url>
      <Description>DOCID133-1652722956-2598</Description>
    </_dlc_DocIdUrl>
    <_dlc_DocId xmlns="a5f32de4-e402-4188-b034-e71ca7d22e54">DOCID133-1652722956-2598</_dlc_DocId>
  </documentManagement>
</p:properties>
</file>

<file path=customXml/item6.xml><?xml version="1.0" encoding="utf-8"?>
<q1:RibbonSettings xmlns:q1="http://schemas.macroview.com.au/ribbonsettings">
  <q1:IsChangeOfficeVisible>true</q1:IsChangeOfficeVisible>
  <q1:IsCoverPagesVisible>true</q1:IsCoverPagesVisible>
  <q1:IsRefreshTocVisible>true</q1:IsRefreshTocVisible>
  <q1:IsTogglePaperSizeVisible>true</q1:IsTogglePaperSizeVisible>
  <q1:IsToggleMirrorMarginsVisible>true</q1:IsToggleMirrorMarginsVisible>
</q1:RibbonSettings>
</file>

<file path=customXml/item7.xml><?xml version="1.0" encoding="utf-8"?>
<q1:DocumentSettings xmlns:q1="http://schemas.macroview.com.au/documentsettings">
  <q1:NewDocumentMethodName>Report_NewDocument</q1:NewDocumentMethodName>
  <q1:ChangeOfficeMethodName>ChangeOffice_Report</q1:ChangeOfficeMethodName>
  <q1:ConversionSettings>
    <q1:AttachTemplateActionsMethodName>ReportConversionAttachTemplateActions</q1:AttachTemplateActionsMethodName>
    <q1:ParagraphStyleMappingsFileName>Report Proposal Paragraph Style Mappings.xml</q1:ParagraphStyleMappingsFileName>
  </q1:ConversionSettings>
</q1:DocumentSettings>
</file>

<file path=customXml/item8.xml>��< ? x m l   v e r s i o n = " 1 . 0 "   e n c o d i n g = " u t f - 1 6 " ? > < q 1 : O f f i c e   x m l n s : q 1 = " h t t p : / / s c h e m a s . m a c r o v i e w . c o m . a u / o f f i c e " >  
     < q 1 : C C D e l i v e r y I t e m s / >  
     < q 1 : C o u n t r y > A u s t r a l i a < / q 1 : C o u n t r y >  
     < q 1 : C r e a t e d T i m e > 0 0 0 1 - 0 1 - 0 1 T 0 0 : 0 0 : 0 0 < / q 1 : C r e a t e d T i m e >  
     < q 1 : C u l t u r e C o d e > e n - A U < / q 1 : C u l t u r e C o d e >  
     < q 1 : C u l t u r e S t r i n g s >  
         < q 1 : A t t e n t i o n > A t t e n t i o n < / q 1 : A t t e n t i o n >  
         < q 1 : B e g i n T y p i n g H e r e > B e g i n   t y p i n g   h e r e < / q 1 : B e g i n T y p i n g H e r e >  
         < q 1 : C C > C C < / q 1 : C C >  
         < q 1 : D e a r > D e a r < / q 1 : D e a r >  
         < q 1 : E n c l o s u r e > E n c l < / q 1 : E n c l o s u r e >  
         < q 1 : O t h e r C o n t a c t > O t h e r   c o n t a c t < / q 1 : O t h e r C o n t a c t >  
         < q 1 : O u r R e f > O u r   r e f < / q 1 : O u r R e f >  
         < q 1 : Y o u r R e f > Y o u r   r e f < / q 1 : Y o u r R e f >  
         < q 1 : E x e c u t i v e S u m m a r y > E x e c u t i v e   S u m m a r y < / q 1 : E x e c u t i v e S u m m a r y >  
         < q 1 : P r e p a r e d F o r > P r e p a r e d   f o r < / q 1 : P r e p a r e d F o r >  
         < q 1 : T a b l e O f C o n t e n t s > T a b l e   o f   c o n t e n t s < / q 1 : T a b l e O f C o n t e n t s >  
         < q 1 : T y p e > T y p e < / q 1 : T y p e >  
         < q 1 : T i t l e > T i t l e < / q 1 : T i t l e >  
         < q 1 : D a t e > D a t e < / q 1 : D a t e >  
         < q 1 : P a r t i e s > P a r t i e s < / q 1 : P a r t i e s >  
         < q 1 : R e c i t a l s > R e c i t a l s < / q 1 : R e c i t a l s >  
         < q 1 : O p e r a t i v e P r o v i s i o n s > O p e r a t i v e   p r o v i s i o n s < / q 1 : O p e r a t i v e P r o v i s i o n s >  
         < q 1 : E x e c u t i o n > E x e c u t i o n < / q 1 : E x e c u t i o n >  
         < q 1 : E x e c u t e d > E x e c u t e d < / q 1 : E x e c u t e d >  
         < q 1 : I n s e r t A p p r o p r i a t e E x e c u t i o n C l a u s e F o r E a c h P a r t y H e r e > I n s e r t   a p p r o p r i a t e   e x e c u t i o n   c l a u s e   f o r   e a c h   p a r t y   h e r e < / q 1 : I n s e r t A p p r o p r i a t e E x e c u t i o n C l a u s e F o r E a c h P a r t y H e r e >  
         < q 1 : S i g n o f f N a m e > N a m e < / q 1 : S i g n o f f N a m e >  
         < q 1 : S i g n o f f T i t l e > T i t l e < / q 1 : S i g n o f f T i t l e >  
         < q 1 : S i g n o f f B y > B y < / q 1 : S i g n o f f B y >  
     < / q 1 : C u l t u r e S t r i n g s >  
     < q 1 : D i s p l a y B r a n d _ C H 2 M > f a l s e < / q 1 : D i s p l a y B r a n d _ C H 2 M >  
     < q 1 : D i s p l a y E n t i t y N a m e I n S t a t i o n e r y T e m p l a t e > f a l s e < / q 1 : D i s p l a y E n t i t y N a m e I n S t a t i o n e r y T e m p l a t e >  
     < q 1 : D i s p l a y I n E x c e l > t r u e < / q 1 : D i s p l a y I n E x c e l >  
     < q 1 : D i s p l a y I n O u t l o o k > t r u e < / q 1 : D i s p l a y I n O u t l o o k >  
     < q 1 : D i s p l a y I n P o w e r P o i n t > t r u e < / q 1 : D i s p l a y I n P o w e r P o i n t >  
     < q 1 : D i s p l a y I n W o r d > t r u e < / q 1 : D i s p l a y I n W o r d >  
     < q 1 : E m a i l S i g n a t u r e s / >  
     < q 1 : E x c l u d e d T e m p l a t e s / >  
     < q 1 : F a c s i m i l e N u m b e r > + 6 1   3   8 6 6 8   3 0 0 1 < / q 1 : F a c s i m i l e N u m b e r >  
     < q 1 : I d > 7 3 5 c b 2 7 1 - 9 e 2 5 - 4 2 7 3 - 9 5 9 5 - 0 e 6 7 0 e b d e 2 2 1 < / q 1 : I d >  
     < q 1 : I s C u s t o m G a l l e r y 2 V i s i b l e > f a l s e < / q 1 : I s C u s t o m G a l l e r y 2 V i s i b l e >  
     < q 1 : L e g a l N o t i c e I t e m s / >  
     < q 1 : L e t t e r h e a d >  
         < q 1 : F o o t e r P a r a g r a p h S p a c e B e f o r e > 0 < / q 1 : F o o t e r P a r a g r a p h S p a c e B e f o r e >  
         < q 1 : H e a d e r P a r a g r a p h S p a c e A f t e r > 0 < / q 1 : H e a d e r P a r a g r a p h S p a c e A f t e r >  
     < / q 1 : L e t t e r h e a d >  
     < q 1 : L o g o >  
         < q 1 : H e i g h t   d 3 p 1 : n i l = " t r u e "   x m l n s : d 3 p 1 = " h t t p : / / w w w . w 3 . o r g / 2 0 0 1 / X M L S c h e m a - i n s t a n c e " / >  
     < / q 1 : L o g o >  
     < q 1 : L o n g D a t e F o r m a t > d   M M M M   y y y y < / q 1 : L o n g D a t e F o r m a t >  
     < q 1 : M o d i f i e d T i m e > 0 0 0 1 - 0 1 - 0 1 T 0 0 : 0 0 : 0 0 < / q 1 : M o d i f i e d T i m e >  
     < q 1 : M u l t i l i n e A d d r e s s > F l o o r   1 3 ,   4 5 2   F l i n d e r s   S t r e e t  
 M e l b o u r n e ,   V I C   3 0 0 0  
 P O   B o x   3 1 2 ,   F l i n d e r s   L a n e  
 M e l b o u r n e ,   V I C   8 0 0 9  
 A u s t r a l i a < / q 1 : M u l t i l i n e A d d r e s s >  
     < q 1 : N a m e > M e l b o u r n e < / q 1 : N a m e >  
     < q 1 : P a p e r S i z e   d 2 p 1 : n i l = " t r u e "   x m l n s : d 2 p 1 = " h t t p : / / w w w . w 3 . o r g / 2 0 0 1 / X M L S c h e m a - i n s t a n c e " / >  
     < q 1 : P h o n e N u m b e r > + 6 1   3   8 6 6 8   3 0 0 0 < / q 1 : P h o n e N u m b e r >  
     < q 1 : P o s t a l A d d r e s s >  
         < q 1 : T y p e > M a i l i n g A d d r e s s < / q 1 : T y p e >  
     < / q 1 : P o s t a l A d d r e s s >  
     < q 1 : P r i v a c y I t e m s / >  
     < q 1 : R e c i p i e n t D e l i v e r y I t e m s / >  
     < q 1 : S a l u t a t i o n I t e m s / >  
     < q 1 : S i g n o f f I t e m s / >  
     < q 1 : S t r e e t A d d r e s s >  
         < q 1 : T y p e > M a i l i n g A d d r e s s < / q 1 : T y p e >  
     < / q 1 : S t r e e t A d d r e s s >  
     < q 1 : T e m p l a t e G r o u p i n g s >  
         < q 1 : s t r i n g > A U S   N Z < / q 1 : s t r i n g >  
         < q 1 : s t r i n g > e n < / q 1 : s t r i n g >  
         < q 1 : s t r i n g > M e l b o u r n e < / q 1 : s t r i n g >  
     < / q 1 : T e m p l a t e G r o u p i n g s >  
     < q 1 : W e b s i t e > w w w . j a c o b s . c o m < / q 1 : W e b s i t e >  
 < / q 1 : O f f i c e > 
</file>

<file path=customXml/item9.xml><?xml version="1.0" encoding="utf-8"?>
<q1:StyleVisibilitySettingsLink xmlns:q1="http://schemas.macroview.com.au/StyleVisibilitySettingsLink">
  <q1:RelativePath>Elements\Style Sets\Template Settings\Proposal - Report.xml</q1:RelativePath>
</q1:StyleVisibilitySettingsLink>
</file>

<file path=customXml/itemProps1.xml><?xml version="1.0" encoding="utf-8"?>
<ds:datastoreItem xmlns:ds="http://schemas.openxmlformats.org/officeDocument/2006/customXml" ds:itemID="{24EB9C5A-A199-40E7-828C-6273C3FA58CF}">
  <ds:schemaRefs>
    <ds:schemaRef ds:uri="http://schemas.macroview.com.au/brand"/>
  </ds:schemaRefs>
</ds:datastoreItem>
</file>

<file path=customXml/itemProps10.xml><?xml version="1.0" encoding="utf-8"?>
<ds:datastoreItem xmlns:ds="http://schemas.openxmlformats.org/officeDocument/2006/customXml" ds:itemID="{A4325AE9-46F8-497E-B97F-E99BB6B1104B}"/>
</file>

<file path=customXml/itemProps11.xml><?xml version="1.0" encoding="utf-8"?>
<ds:datastoreItem xmlns:ds="http://schemas.openxmlformats.org/officeDocument/2006/customXml" ds:itemID="{EE3ABECF-B324-4CC2-ABE2-C2EE62CAA5EE}">
  <ds:schemaRefs>
    <ds:schemaRef ds:uri="http://schemas.macroview.com.au/entity"/>
  </ds:schemaRefs>
</ds:datastoreItem>
</file>

<file path=customXml/itemProps12.xml><?xml version="1.0" encoding="utf-8"?>
<ds:datastoreItem xmlns:ds="http://schemas.openxmlformats.org/officeDocument/2006/customXml" ds:itemID="{C29F00E0-19B5-402C-8D8A-D05B6EDA525E}"/>
</file>

<file path=customXml/itemProps13.xml><?xml version="1.0" encoding="utf-8"?>
<ds:datastoreItem xmlns:ds="http://schemas.openxmlformats.org/officeDocument/2006/customXml" ds:itemID="{E0C123B9-6C7B-4F07-B93A-8BDE03761705}"/>
</file>

<file path=customXml/itemProps14.xml><?xml version="1.0" encoding="utf-8"?>
<ds:datastoreItem xmlns:ds="http://schemas.openxmlformats.org/officeDocument/2006/customXml" ds:itemID="{ECC56021-3AA5-4BEE-BF1B-918240434FA2}"/>
</file>

<file path=customXml/itemProps2.xml><?xml version="1.0" encoding="utf-8"?>
<ds:datastoreItem xmlns:ds="http://schemas.openxmlformats.org/officeDocument/2006/customXml" ds:itemID="{004CAA3D-8756-452F-BCEC-36A9A4AA1CA9}">
  <ds:schemaRefs>
    <ds:schemaRef ds:uri="http://schemas.openxmlformats.org/officeDocument/2006/bibliography"/>
  </ds:schemaRefs>
</ds:datastoreItem>
</file>

<file path=customXml/itemProps3.xml><?xml version="1.0" encoding="utf-8"?>
<ds:datastoreItem xmlns:ds="http://schemas.openxmlformats.org/officeDocument/2006/customXml" ds:itemID="{177C84D0-13EE-469D-A04E-73E6507798E1}">
  <ds:schemaRefs>
    <ds:schemaRef ds:uri="http://schemas.microsoft.com/sharepoint/v3/contenttype/forms"/>
  </ds:schemaRefs>
</ds:datastoreItem>
</file>

<file path=customXml/itemProps4.xml><?xml version="1.0" encoding="utf-8"?>
<ds:datastoreItem xmlns:ds="http://schemas.openxmlformats.org/officeDocument/2006/customXml" ds:itemID="{8F33FB8F-8118-4915-86A8-F93B7C2B254E}">
  <ds:schemaRefs>
    <ds:schemaRef ds:uri="http://schemas.macroview.com.au/answerfile"/>
  </ds:schemaRefs>
</ds:datastoreItem>
</file>

<file path=customXml/itemProps5.xml><?xml version="1.0" encoding="utf-8"?>
<ds:datastoreItem xmlns:ds="http://schemas.openxmlformats.org/officeDocument/2006/customXml" ds:itemID="{087FB988-308A-4918-8D65-13EFE8F21FE1}">
  <ds:schemaRefs>
    <ds:schemaRef ds:uri="http://schemas.microsoft.com/office/2006/metadata/properties"/>
    <ds:schemaRef ds:uri="http://schemas.microsoft.com/office/infopath/2007/PartnerControls"/>
    <ds:schemaRef ds:uri="6e8ea091-1799-40da-aecb-4f094dc2ee8e"/>
    <ds:schemaRef ds:uri="4d568cad-55f7-42b2-9a4e-c44e98154819"/>
  </ds:schemaRefs>
</ds:datastoreItem>
</file>

<file path=customXml/itemProps6.xml><?xml version="1.0" encoding="utf-8"?>
<ds:datastoreItem xmlns:ds="http://schemas.openxmlformats.org/officeDocument/2006/customXml" ds:itemID="{EBA198BC-CC5A-4C5B-B12C-7FF201E06B09}">
  <ds:schemaRefs>
    <ds:schemaRef ds:uri="http://schemas.macroview.com.au/ribbonsettings"/>
  </ds:schemaRefs>
</ds:datastoreItem>
</file>

<file path=customXml/itemProps7.xml><?xml version="1.0" encoding="utf-8"?>
<ds:datastoreItem xmlns:ds="http://schemas.openxmlformats.org/officeDocument/2006/customXml" ds:itemID="{F745B0E8-9C7D-47CD-9756-F12F6E6FD4A6}">
  <ds:schemaRefs>
    <ds:schemaRef ds:uri="http://schemas.macroview.com.au/documentsettings"/>
  </ds:schemaRefs>
</ds:datastoreItem>
</file>

<file path=customXml/itemProps8.xml><?xml version="1.0" encoding="utf-8"?>
<ds:datastoreItem xmlns:ds="http://schemas.openxmlformats.org/officeDocument/2006/customXml" ds:itemID="{9D2B5EA9-BAFF-4B8C-A278-29C14D190F11}">
  <ds:schemaRefs>
    <ds:schemaRef ds:uri="http://schemas.macroview.com.au/office"/>
  </ds:schemaRefs>
</ds:datastoreItem>
</file>

<file path=customXml/itemProps9.xml><?xml version="1.0" encoding="utf-8"?>
<ds:datastoreItem xmlns:ds="http://schemas.openxmlformats.org/officeDocument/2006/customXml" ds:itemID="{F7B65E15-43CC-419D-9AD7-B7B24F660A3E}">
  <ds:schemaRefs>
    <ds:schemaRef ds:uri="http://schemas.macroview.com.au/StyleVisibilitySettingsLink"/>
  </ds:schemaRefs>
</ds:datastoreItem>
</file>

<file path=docProps/app.xml><?xml version="1.0" encoding="utf-8"?>
<Properties xmlns="http://schemas.openxmlformats.org/officeDocument/2006/extended-properties" xmlns:vt="http://schemas.openxmlformats.org/officeDocument/2006/docPropsVTypes">
  <Template>Report</Template>
  <TotalTime>785</TotalTime>
  <Pages>107</Pages>
  <Words>57104</Words>
  <Characters>325493</Characters>
  <Application>Microsoft Office Word</Application>
  <DocSecurity>2</DocSecurity>
  <Lines>2712</Lines>
  <Paragraphs>763</Paragraphs>
  <ScaleCrop>false</ScaleCrop>
  <HeadingPairs>
    <vt:vector size="2" baseType="variant">
      <vt:variant>
        <vt:lpstr>Title</vt:lpstr>
      </vt:variant>
      <vt:variant>
        <vt:i4>1</vt:i4>
      </vt:variant>
    </vt:vector>
  </HeadingPairs>
  <TitlesOfParts>
    <vt:vector size="1" baseType="lpstr">
      <vt:lpstr>draft 2024 EC5 Eval Report - 03_Appendix A - Project Evaluation Summaries</vt:lpstr>
    </vt:vector>
  </TitlesOfParts>
  <Company/>
  <LinksUpToDate>false</LinksUpToDate>
  <CharactersWithSpaces>381834</CharactersWithSpaces>
  <SharedDoc>false</SharedDoc>
  <HLinks>
    <vt:vector size="318" baseType="variant">
      <vt:variant>
        <vt:i4>1900549</vt:i4>
      </vt:variant>
      <vt:variant>
        <vt:i4>252</vt:i4>
      </vt:variant>
      <vt:variant>
        <vt:i4>0</vt:i4>
      </vt:variant>
      <vt:variant>
        <vt:i4>5</vt:i4>
      </vt:variant>
      <vt:variant>
        <vt:lpwstr>https://www.waterregister.vic.gov.au/about/news/454-2022-23-scientific-advisory-panel-reports-for-the-lower-goulburn-river-and-lower-broken-creek</vt:lpwstr>
      </vt:variant>
      <vt:variant>
        <vt:lpwstr/>
      </vt:variant>
      <vt:variant>
        <vt:i4>6750264</vt:i4>
      </vt:variant>
      <vt:variant>
        <vt:i4>249</vt:i4>
      </vt:variant>
      <vt:variant>
        <vt:i4>0</vt:i4>
      </vt:variant>
      <vt:variant>
        <vt:i4>5</vt:i4>
      </vt:variant>
      <vt:variant>
        <vt:lpwstr>https://www.waterregister.vic.gov.au/images/documents/Victorian_River_Murray_Shortfall_Response_Plan_2022.pdf</vt:lpwstr>
      </vt:variant>
      <vt:variant>
        <vt:lpwstr/>
      </vt:variant>
      <vt:variant>
        <vt:i4>1638469</vt:i4>
      </vt:variant>
      <vt:variant>
        <vt:i4>246</vt:i4>
      </vt:variant>
      <vt:variant>
        <vt:i4>0</vt:i4>
      </vt:variant>
      <vt:variant>
        <vt:i4>5</vt:i4>
      </vt:variant>
      <vt:variant>
        <vt:lpwstr>https://www.water.vic.gov.au/__data/assets/pdf_file/0032/714299/Technical-Guidelines-for-Waterway-Management_v5.pdf</vt:lpwstr>
      </vt:variant>
      <vt:variant>
        <vt:lpwstr/>
      </vt:variant>
      <vt:variant>
        <vt:i4>5898250</vt:i4>
      </vt:variant>
      <vt:variant>
        <vt:i4>243</vt:i4>
      </vt:variant>
      <vt:variant>
        <vt:i4>0</vt:i4>
      </vt:variant>
      <vt:variant>
        <vt:i4>5</vt:i4>
      </vt:variant>
      <vt:variant>
        <vt:lpwstr>https://www.water.vic.gov.au/waterways-and-catchments/our-waterways/estuaries</vt:lpwstr>
      </vt:variant>
      <vt:variant>
        <vt:lpwstr/>
      </vt:variant>
      <vt:variant>
        <vt:i4>4390985</vt:i4>
      </vt:variant>
      <vt:variant>
        <vt:i4>240</vt:i4>
      </vt:variant>
      <vt:variant>
        <vt:i4>0</vt:i4>
      </vt:variant>
      <vt:variant>
        <vt:i4>5</vt:i4>
      </vt:variant>
      <vt:variant>
        <vt:lpwstr>https://www.thegreataustralianplatypussearch.org/results-2021</vt:lpwstr>
      </vt:variant>
      <vt:variant>
        <vt:lpwstr/>
      </vt:variant>
      <vt:variant>
        <vt:i4>6226022</vt:i4>
      </vt:variant>
      <vt:variant>
        <vt:i4>237</vt:i4>
      </vt:variant>
      <vt:variant>
        <vt:i4>0</vt:i4>
      </vt:variant>
      <vt:variant>
        <vt:i4>5</vt:i4>
      </vt:variant>
      <vt:variant>
        <vt:lpwstr>https://www.water.vic.gov.au/__data/assets/pdf_file/0041/687848/water-sector-carbon-co-benefit-and-co-investment-guide-1-process-guide.pdf</vt:lpwstr>
      </vt:variant>
      <vt:variant>
        <vt:lpwstr/>
      </vt:variant>
      <vt:variant>
        <vt:i4>1900549</vt:i4>
      </vt:variant>
      <vt:variant>
        <vt:i4>234</vt:i4>
      </vt:variant>
      <vt:variant>
        <vt:i4>0</vt:i4>
      </vt:variant>
      <vt:variant>
        <vt:i4>5</vt:i4>
      </vt:variant>
      <vt:variant>
        <vt:lpwstr>https://www.waterregister.vic.gov.au/about/news/454-2022-23-scientific-advisory-panel-reports-for-the-lower-goulburn-river-and-lower-broken-creek</vt:lpwstr>
      </vt:variant>
      <vt:variant>
        <vt:lpwstr/>
      </vt:variant>
      <vt:variant>
        <vt:i4>1638404</vt:i4>
      </vt:variant>
      <vt:variant>
        <vt:i4>231</vt:i4>
      </vt:variant>
      <vt:variant>
        <vt:i4>0</vt:i4>
      </vt:variant>
      <vt:variant>
        <vt:i4>5</vt:i4>
      </vt:variant>
      <vt:variant>
        <vt:lpwstr>https://waterregister.vic.gov.au/water-trading/broker-compliance</vt:lpwstr>
      </vt:variant>
      <vt:variant>
        <vt:lpwstr/>
      </vt:variant>
      <vt:variant>
        <vt:i4>1441849</vt:i4>
      </vt:variant>
      <vt:variant>
        <vt:i4>224</vt:i4>
      </vt:variant>
      <vt:variant>
        <vt:i4>0</vt:i4>
      </vt:variant>
      <vt:variant>
        <vt:i4>5</vt:i4>
      </vt:variant>
      <vt:variant>
        <vt:lpwstr/>
      </vt:variant>
      <vt:variant>
        <vt:lpwstr>_Toc179531228</vt:lpwstr>
      </vt:variant>
      <vt:variant>
        <vt:i4>1441849</vt:i4>
      </vt:variant>
      <vt:variant>
        <vt:i4>218</vt:i4>
      </vt:variant>
      <vt:variant>
        <vt:i4>0</vt:i4>
      </vt:variant>
      <vt:variant>
        <vt:i4>5</vt:i4>
      </vt:variant>
      <vt:variant>
        <vt:lpwstr/>
      </vt:variant>
      <vt:variant>
        <vt:lpwstr>_Toc179531227</vt:lpwstr>
      </vt:variant>
      <vt:variant>
        <vt:i4>1441849</vt:i4>
      </vt:variant>
      <vt:variant>
        <vt:i4>212</vt:i4>
      </vt:variant>
      <vt:variant>
        <vt:i4>0</vt:i4>
      </vt:variant>
      <vt:variant>
        <vt:i4>5</vt:i4>
      </vt:variant>
      <vt:variant>
        <vt:lpwstr/>
      </vt:variant>
      <vt:variant>
        <vt:lpwstr>_Toc179531226</vt:lpwstr>
      </vt:variant>
      <vt:variant>
        <vt:i4>1441849</vt:i4>
      </vt:variant>
      <vt:variant>
        <vt:i4>206</vt:i4>
      </vt:variant>
      <vt:variant>
        <vt:i4>0</vt:i4>
      </vt:variant>
      <vt:variant>
        <vt:i4>5</vt:i4>
      </vt:variant>
      <vt:variant>
        <vt:lpwstr/>
      </vt:variant>
      <vt:variant>
        <vt:lpwstr>_Toc179531225</vt:lpwstr>
      </vt:variant>
      <vt:variant>
        <vt:i4>1441849</vt:i4>
      </vt:variant>
      <vt:variant>
        <vt:i4>200</vt:i4>
      </vt:variant>
      <vt:variant>
        <vt:i4>0</vt:i4>
      </vt:variant>
      <vt:variant>
        <vt:i4>5</vt:i4>
      </vt:variant>
      <vt:variant>
        <vt:lpwstr/>
      </vt:variant>
      <vt:variant>
        <vt:lpwstr>_Toc179531224</vt:lpwstr>
      </vt:variant>
      <vt:variant>
        <vt:i4>1441849</vt:i4>
      </vt:variant>
      <vt:variant>
        <vt:i4>194</vt:i4>
      </vt:variant>
      <vt:variant>
        <vt:i4>0</vt:i4>
      </vt:variant>
      <vt:variant>
        <vt:i4>5</vt:i4>
      </vt:variant>
      <vt:variant>
        <vt:lpwstr/>
      </vt:variant>
      <vt:variant>
        <vt:lpwstr>_Toc179531223</vt:lpwstr>
      </vt:variant>
      <vt:variant>
        <vt:i4>1441849</vt:i4>
      </vt:variant>
      <vt:variant>
        <vt:i4>188</vt:i4>
      </vt:variant>
      <vt:variant>
        <vt:i4>0</vt:i4>
      </vt:variant>
      <vt:variant>
        <vt:i4>5</vt:i4>
      </vt:variant>
      <vt:variant>
        <vt:lpwstr/>
      </vt:variant>
      <vt:variant>
        <vt:lpwstr>_Toc179531222</vt:lpwstr>
      </vt:variant>
      <vt:variant>
        <vt:i4>1441849</vt:i4>
      </vt:variant>
      <vt:variant>
        <vt:i4>182</vt:i4>
      </vt:variant>
      <vt:variant>
        <vt:i4>0</vt:i4>
      </vt:variant>
      <vt:variant>
        <vt:i4>5</vt:i4>
      </vt:variant>
      <vt:variant>
        <vt:lpwstr/>
      </vt:variant>
      <vt:variant>
        <vt:lpwstr>_Toc179531221</vt:lpwstr>
      </vt:variant>
      <vt:variant>
        <vt:i4>1441849</vt:i4>
      </vt:variant>
      <vt:variant>
        <vt:i4>176</vt:i4>
      </vt:variant>
      <vt:variant>
        <vt:i4>0</vt:i4>
      </vt:variant>
      <vt:variant>
        <vt:i4>5</vt:i4>
      </vt:variant>
      <vt:variant>
        <vt:lpwstr/>
      </vt:variant>
      <vt:variant>
        <vt:lpwstr>_Toc179531220</vt:lpwstr>
      </vt:variant>
      <vt:variant>
        <vt:i4>1376313</vt:i4>
      </vt:variant>
      <vt:variant>
        <vt:i4>170</vt:i4>
      </vt:variant>
      <vt:variant>
        <vt:i4>0</vt:i4>
      </vt:variant>
      <vt:variant>
        <vt:i4>5</vt:i4>
      </vt:variant>
      <vt:variant>
        <vt:lpwstr/>
      </vt:variant>
      <vt:variant>
        <vt:lpwstr>_Toc179531219</vt:lpwstr>
      </vt:variant>
      <vt:variant>
        <vt:i4>1376313</vt:i4>
      </vt:variant>
      <vt:variant>
        <vt:i4>164</vt:i4>
      </vt:variant>
      <vt:variant>
        <vt:i4>0</vt:i4>
      </vt:variant>
      <vt:variant>
        <vt:i4>5</vt:i4>
      </vt:variant>
      <vt:variant>
        <vt:lpwstr/>
      </vt:variant>
      <vt:variant>
        <vt:lpwstr>_Toc179531218</vt:lpwstr>
      </vt:variant>
      <vt:variant>
        <vt:i4>1376313</vt:i4>
      </vt:variant>
      <vt:variant>
        <vt:i4>158</vt:i4>
      </vt:variant>
      <vt:variant>
        <vt:i4>0</vt:i4>
      </vt:variant>
      <vt:variant>
        <vt:i4>5</vt:i4>
      </vt:variant>
      <vt:variant>
        <vt:lpwstr/>
      </vt:variant>
      <vt:variant>
        <vt:lpwstr>_Toc179531217</vt:lpwstr>
      </vt:variant>
      <vt:variant>
        <vt:i4>1376313</vt:i4>
      </vt:variant>
      <vt:variant>
        <vt:i4>152</vt:i4>
      </vt:variant>
      <vt:variant>
        <vt:i4>0</vt:i4>
      </vt:variant>
      <vt:variant>
        <vt:i4>5</vt:i4>
      </vt:variant>
      <vt:variant>
        <vt:lpwstr/>
      </vt:variant>
      <vt:variant>
        <vt:lpwstr>_Toc179531216</vt:lpwstr>
      </vt:variant>
      <vt:variant>
        <vt:i4>1376313</vt:i4>
      </vt:variant>
      <vt:variant>
        <vt:i4>146</vt:i4>
      </vt:variant>
      <vt:variant>
        <vt:i4>0</vt:i4>
      </vt:variant>
      <vt:variant>
        <vt:i4>5</vt:i4>
      </vt:variant>
      <vt:variant>
        <vt:lpwstr/>
      </vt:variant>
      <vt:variant>
        <vt:lpwstr>_Toc179531215</vt:lpwstr>
      </vt:variant>
      <vt:variant>
        <vt:i4>1376313</vt:i4>
      </vt:variant>
      <vt:variant>
        <vt:i4>140</vt:i4>
      </vt:variant>
      <vt:variant>
        <vt:i4>0</vt:i4>
      </vt:variant>
      <vt:variant>
        <vt:i4>5</vt:i4>
      </vt:variant>
      <vt:variant>
        <vt:lpwstr/>
      </vt:variant>
      <vt:variant>
        <vt:lpwstr>_Toc179531214</vt:lpwstr>
      </vt:variant>
      <vt:variant>
        <vt:i4>1376313</vt:i4>
      </vt:variant>
      <vt:variant>
        <vt:i4>134</vt:i4>
      </vt:variant>
      <vt:variant>
        <vt:i4>0</vt:i4>
      </vt:variant>
      <vt:variant>
        <vt:i4>5</vt:i4>
      </vt:variant>
      <vt:variant>
        <vt:lpwstr/>
      </vt:variant>
      <vt:variant>
        <vt:lpwstr>_Toc179531213</vt:lpwstr>
      </vt:variant>
      <vt:variant>
        <vt:i4>1376313</vt:i4>
      </vt:variant>
      <vt:variant>
        <vt:i4>128</vt:i4>
      </vt:variant>
      <vt:variant>
        <vt:i4>0</vt:i4>
      </vt:variant>
      <vt:variant>
        <vt:i4>5</vt:i4>
      </vt:variant>
      <vt:variant>
        <vt:lpwstr/>
      </vt:variant>
      <vt:variant>
        <vt:lpwstr>_Toc179531212</vt:lpwstr>
      </vt:variant>
      <vt:variant>
        <vt:i4>1376313</vt:i4>
      </vt:variant>
      <vt:variant>
        <vt:i4>122</vt:i4>
      </vt:variant>
      <vt:variant>
        <vt:i4>0</vt:i4>
      </vt:variant>
      <vt:variant>
        <vt:i4>5</vt:i4>
      </vt:variant>
      <vt:variant>
        <vt:lpwstr/>
      </vt:variant>
      <vt:variant>
        <vt:lpwstr>_Toc179531211</vt:lpwstr>
      </vt:variant>
      <vt:variant>
        <vt:i4>1376313</vt:i4>
      </vt:variant>
      <vt:variant>
        <vt:i4>116</vt:i4>
      </vt:variant>
      <vt:variant>
        <vt:i4>0</vt:i4>
      </vt:variant>
      <vt:variant>
        <vt:i4>5</vt:i4>
      </vt:variant>
      <vt:variant>
        <vt:lpwstr/>
      </vt:variant>
      <vt:variant>
        <vt:lpwstr>_Toc179531210</vt:lpwstr>
      </vt:variant>
      <vt:variant>
        <vt:i4>1310777</vt:i4>
      </vt:variant>
      <vt:variant>
        <vt:i4>110</vt:i4>
      </vt:variant>
      <vt:variant>
        <vt:i4>0</vt:i4>
      </vt:variant>
      <vt:variant>
        <vt:i4>5</vt:i4>
      </vt:variant>
      <vt:variant>
        <vt:lpwstr/>
      </vt:variant>
      <vt:variant>
        <vt:lpwstr>_Toc179531209</vt:lpwstr>
      </vt:variant>
      <vt:variant>
        <vt:i4>1310777</vt:i4>
      </vt:variant>
      <vt:variant>
        <vt:i4>104</vt:i4>
      </vt:variant>
      <vt:variant>
        <vt:i4>0</vt:i4>
      </vt:variant>
      <vt:variant>
        <vt:i4>5</vt:i4>
      </vt:variant>
      <vt:variant>
        <vt:lpwstr/>
      </vt:variant>
      <vt:variant>
        <vt:lpwstr>_Toc179531208</vt:lpwstr>
      </vt:variant>
      <vt:variant>
        <vt:i4>1310777</vt:i4>
      </vt:variant>
      <vt:variant>
        <vt:i4>98</vt:i4>
      </vt:variant>
      <vt:variant>
        <vt:i4>0</vt:i4>
      </vt:variant>
      <vt:variant>
        <vt:i4>5</vt:i4>
      </vt:variant>
      <vt:variant>
        <vt:lpwstr/>
      </vt:variant>
      <vt:variant>
        <vt:lpwstr>_Toc179531207</vt:lpwstr>
      </vt:variant>
      <vt:variant>
        <vt:i4>1310777</vt:i4>
      </vt:variant>
      <vt:variant>
        <vt:i4>92</vt:i4>
      </vt:variant>
      <vt:variant>
        <vt:i4>0</vt:i4>
      </vt:variant>
      <vt:variant>
        <vt:i4>5</vt:i4>
      </vt:variant>
      <vt:variant>
        <vt:lpwstr/>
      </vt:variant>
      <vt:variant>
        <vt:lpwstr>_Toc179531206</vt:lpwstr>
      </vt:variant>
      <vt:variant>
        <vt:i4>1310777</vt:i4>
      </vt:variant>
      <vt:variant>
        <vt:i4>86</vt:i4>
      </vt:variant>
      <vt:variant>
        <vt:i4>0</vt:i4>
      </vt:variant>
      <vt:variant>
        <vt:i4>5</vt:i4>
      </vt:variant>
      <vt:variant>
        <vt:lpwstr/>
      </vt:variant>
      <vt:variant>
        <vt:lpwstr>_Toc179531205</vt:lpwstr>
      </vt:variant>
      <vt:variant>
        <vt:i4>1310777</vt:i4>
      </vt:variant>
      <vt:variant>
        <vt:i4>80</vt:i4>
      </vt:variant>
      <vt:variant>
        <vt:i4>0</vt:i4>
      </vt:variant>
      <vt:variant>
        <vt:i4>5</vt:i4>
      </vt:variant>
      <vt:variant>
        <vt:lpwstr/>
      </vt:variant>
      <vt:variant>
        <vt:lpwstr>_Toc179531204</vt:lpwstr>
      </vt:variant>
      <vt:variant>
        <vt:i4>1310777</vt:i4>
      </vt:variant>
      <vt:variant>
        <vt:i4>74</vt:i4>
      </vt:variant>
      <vt:variant>
        <vt:i4>0</vt:i4>
      </vt:variant>
      <vt:variant>
        <vt:i4>5</vt:i4>
      </vt:variant>
      <vt:variant>
        <vt:lpwstr/>
      </vt:variant>
      <vt:variant>
        <vt:lpwstr>_Toc179531203</vt:lpwstr>
      </vt:variant>
      <vt:variant>
        <vt:i4>1310777</vt:i4>
      </vt:variant>
      <vt:variant>
        <vt:i4>68</vt:i4>
      </vt:variant>
      <vt:variant>
        <vt:i4>0</vt:i4>
      </vt:variant>
      <vt:variant>
        <vt:i4>5</vt:i4>
      </vt:variant>
      <vt:variant>
        <vt:lpwstr/>
      </vt:variant>
      <vt:variant>
        <vt:lpwstr>_Toc179531202</vt:lpwstr>
      </vt:variant>
      <vt:variant>
        <vt:i4>1310777</vt:i4>
      </vt:variant>
      <vt:variant>
        <vt:i4>62</vt:i4>
      </vt:variant>
      <vt:variant>
        <vt:i4>0</vt:i4>
      </vt:variant>
      <vt:variant>
        <vt:i4>5</vt:i4>
      </vt:variant>
      <vt:variant>
        <vt:lpwstr/>
      </vt:variant>
      <vt:variant>
        <vt:lpwstr>_Toc179531201</vt:lpwstr>
      </vt:variant>
      <vt:variant>
        <vt:i4>1310777</vt:i4>
      </vt:variant>
      <vt:variant>
        <vt:i4>56</vt:i4>
      </vt:variant>
      <vt:variant>
        <vt:i4>0</vt:i4>
      </vt:variant>
      <vt:variant>
        <vt:i4>5</vt:i4>
      </vt:variant>
      <vt:variant>
        <vt:lpwstr/>
      </vt:variant>
      <vt:variant>
        <vt:lpwstr>_Toc179531200</vt:lpwstr>
      </vt:variant>
      <vt:variant>
        <vt:i4>1900602</vt:i4>
      </vt:variant>
      <vt:variant>
        <vt:i4>50</vt:i4>
      </vt:variant>
      <vt:variant>
        <vt:i4>0</vt:i4>
      </vt:variant>
      <vt:variant>
        <vt:i4>5</vt:i4>
      </vt:variant>
      <vt:variant>
        <vt:lpwstr/>
      </vt:variant>
      <vt:variant>
        <vt:lpwstr>_Toc179531199</vt:lpwstr>
      </vt:variant>
      <vt:variant>
        <vt:i4>1900602</vt:i4>
      </vt:variant>
      <vt:variant>
        <vt:i4>44</vt:i4>
      </vt:variant>
      <vt:variant>
        <vt:i4>0</vt:i4>
      </vt:variant>
      <vt:variant>
        <vt:i4>5</vt:i4>
      </vt:variant>
      <vt:variant>
        <vt:lpwstr/>
      </vt:variant>
      <vt:variant>
        <vt:lpwstr>_Toc179531198</vt:lpwstr>
      </vt:variant>
      <vt:variant>
        <vt:i4>1900602</vt:i4>
      </vt:variant>
      <vt:variant>
        <vt:i4>38</vt:i4>
      </vt:variant>
      <vt:variant>
        <vt:i4>0</vt:i4>
      </vt:variant>
      <vt:variant>
        <vt:i4>5</vt:i4>
      </vt:variant>
      <vt:variant>
        <vt:lpwstr/>
      </vt:variant>
      <vt:variant>
        <vt:lpwstr>_Toc179531197</vt:lpwstr>
      </vt:variant>
      <vt:variant>
        <vt:i4>1900602</vt:i4>
      </vt:variant>
      <vt:variant>
        <vt:i4>32</vt:i4>
      </vt:variant>
      <vt:variant>
        <vt:i4>0</vt:i4>
      </vt:variant>
      <vt:variant>
        <vt:i4>5</vt:i4>
      </vt:variant>
      <vt:variant>
        <vt:lpwstr/>
      </vt:variant>
      <vt:variant>
        <vt:lpwstr>_Toc179531196</vt:lpwstr>
      </vt:variant>
      <vt:variant>
        <vt:i4>1900602</vt:i4>
      </vt:variant>
      <vt:variant>
        <vt:i4>26</vt:i4>
      </vt:variant>
      <vt:variant>
        <vt:i4>0</vt:i4>
      </vt:variant>
      <vt:variant>
        <vt:i4>5</vt:i4>
      </vt:variant>
      <vt:variant>
        <vt:lpwstr/>
      </vt:variant>
      <vt:variant>
        <vt:lpwstr>_Toc179531195</vt:lpwstr>
      </vt:variant>
      <vt:variant>
        <vt:i4>1900602</vt:i4>
      </vt:variant>
      <vt:variant>
        <vt:i4>20</vt:i4>
      </vt:variant>
      <vt:variant>
        <vt:i4>0</vt:i4>
      </vt:variant>
      <vt:variant>
        <vt:i4>5</vt:i4>
      </vt:variant>
      <vt:variant>
        <vt:lpwstr/>
      </vt:variant>
      <vt:variant>
        <vt:lpwstr>_Toc179531194</vt:lpwstr>
      </vt:variant>
      <vt:variant>
        <vt:i4>1900602</vt:i4>
      </vt:variant>
      <vt:variant>
        <vt:i4>14</vt:i4>
      </vt:variant>
      <vt:variant>
        <vt:i4>0</vt:i4>
      </vt:variant>
      <vt:variant>
        <vt:i4>5</vt:i4>
      </vt:variant>
      <vt:variant>
        <vt:lpwstr/>
      </vt:variant>
      <vt:variant>
        <vt:lpwstr>_Toc179531193</vt:lpwstr>
      </vt:variant>
      <vt:variant>
        <vt:i4>1900602</vt:i4>
      </vt:variant>
      <vt:variant>
        <vt:i4>8</vt:i4>
      </vt:variant>
      <vt:variant>
        <vt:i4>0</vt:i4>
      </vt:variant>
      <vt:variant>
        <vt:i4>5</vt:i4>
      </vt:variant>
      <vt:variant>
        <vt:lpwstr/>
      </vt:variant>
      <vt:variant>
        <vt:lpwstr>_Toc179531192</vt:lpwstr>
      </vt:variant>
      <vt:variant>
        <vt:i4>1900602</vt:i4>
      </vt:variant>
      <vt:variant>
        <vt:i4>2</vt:i4>
      </vt:variant>
      <vt:variant>
        <vt:i4>0</vt:i4>
      </vt:variant>
      <vt:variant>
        <vt:i4>5</vt:i4>
      </vt:variant>
      <vt:variant>
        <vt:lpwstr/>
      </vt:variant>
      <vt:variant>
        <vt:lpwstr>_Toc179531191</vt:lpwstr>
      </vt:variant>
      <vt:variant>
        <vt:i4>7209056</vt:i4>
      </vt:variant>
      <vt:variant>
        <vt:i4>6</vt:i4>
      </vt:variant>
      <vt:variant>
        <vt:i4>0</vt:i4>
      </vt:variant>
      <vt:variant>
        <vt:i4>5</vt:i4>
      </vt:variant>
      <vt:variant>
        <vt:lpwstr>https://www.melbournewater.com.au/water-and-environment/water-management/water-storage-levels%22 /l %22/ws/freq/weekly/type/storage</vt:lpwstr>
      </vt:variant>
      <vt:variant>
        <vt:lpwstr/>
      </vt:variant>
      <vt:variant>
        <vt:i4>2490375</vt:i4>
      </vt:variant>
      <vt:variant>
        <vt:i4>3</vt:i4>
      </vt:variant>
      <vt:variant>
        <vt:i4>0</vt:i4>
      </vt:variant>
      <vt:variant>
        <vt:i4>5</vt:i4>
      </vt:variant>
      <vt:variant>
        <vt:lpwstr>https://www.gww.com.au/sites/default/files/2022-12/GWW0053_Melbournes_Water_Outlook_Report_V10_Accessible_alt-text.pdf</vt:lpwstr>
      </vt:variant>
      <vt:variant>
        <vt:lpwstr/>
      </vt:variant>
      <vt:variant>
        <vt:i4>589852</vt:i4>
      </vt:variant>
      <vt:variant>
        <vt:i4>0</vt:i4>
      </vt:variant>
      <vt:variant>
        <vt:i4>0</vt:i4>
      </vt:variant>
      <vt:variant>
        <vt:i4>5</vt:i4>
      </vt:variant>
      <vt:variant>
        <vt:lpwstr>https://www.waterrating.gov.au/about/review-evaluation/strategic-plan-2022-25</vt:lpwstr>
      </vt:variant>
      <vt:variant>
        <vt:lpwstr/>
      </vt:variant>
      <vt:variant>
        <vt:i4>1704049</vt:i4>
      </vt:variant>
      <vt:variant>
        <vt:i4>9</vt:i4>
      </vt:variant>
      <vt:variant>
        <vt:i4>0</vt:i4>
      </vt:variant>
      <vt:variant>
        <vt:i4>5</vt:i4>
      </vt:variant>
      <vt:variant>
        <vt:lpwstr>mailto:jessica.nolan@deeca.vic.gov.au</vt:lpwstr>
      </vt:variant>
      <vt:variant>
        <vt:lpwstr/>
      </vt:variant>
      <vt:variant>
        <vt:i4>1704049</vt:i4>
      </vt:variant>
      <vt:variant>
        <vt:i4>6</vt:i4>
      </vt:variant>
      <vt:variant>
        <vt:i4>0</vt:i4>
      </vt:variant>
      <vt:variant>
        <vt:i4>5</vt:i4>
      </vt:variant>
      <vt:variant>
        <vt:lpwstr>mailto:jessica.nolan@deeca.vic.gov.au</vt:lpwstr>
      </vt:variant>
      <vt:variant>
        <vt:lpwstr/>
      </vt:variant>
      <vt:variant>
        <vt:i4>3080279</vt:i4>
      </vt:variant>
      <vt:variant>
        <vt:i4>3</vt:i4>
      </vt:variant>
      <vt:variant>
        <vt:i4>0</vt:i4>
      </vt:variant>
      <vt:variant>
        <vt:i4>5</vt:i4>
      </vt:variant>
      <vt:variant>
        <vt:lpwstr>mailto:Randal.Nott@deeca.vic.gov.au</vt:lpwstr>
      </vt:variant>
      <vt:variant>
        <vt:lpwstr/>
      </vt:variant>
      <vt:variant>
        <vt:i4>7733248</vt:i4>
      </vt:variant>
      <vt:variant>
        <vt:i4>0</vt:i4>
      </vt:variant>
      <vt:variant>
        <vt:i4>0</vt:i4>
      </vt:variant>
      <vt:variant>
        <vt:i4>5</vt:i4>
      </vt:variant>
      <vt:variant>
        <vt:lpwstr>mailto:heather.griffith@deeca.vic.gov.au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2024 EC5 Eval Report - 03_Appendix A - Project Evaluation Summaries</dc:title>
  <dc:subject/>
  <dc:creator>Coff, Brittany</dc:creator>
  <cp:keywords/>
  <dc:description/>
  <cp:lastModifiedBy>Coff, Brittany</cp:lastModifiedBy>
  <cp:revision>344</cp:revision>
  <cp:lastPrinted>2024-12-10T21:19:00Z</cp:lastPrinted>
  <dcterms:created xsi:type="dcterms:W3CDTF">2024-10-12T08:38:00Z</dcterms:created>
  <dcterms:modified xsi:type="dcterms:W3CDTF">2024-12-10T21:19:00Z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et">
    <vt:lpwstr>Jacobs en.dotx</vt:lpwstr>
  </property>
  <property fmtid="{D5CDD505-2E9C-101B-9397-08002B2CF9AE}" pid="3" name="ContentTypeId">
    <vt:lpwstr>0x0101002517F445A0F35E449C98AAD631F2B0380F00DA6BABBD5E205441ACDFC001CFFBDBFB</vt:lpwstr>
  </property>
  <property fmtid="{D5CDD505-2E9C-101B-9397-08002B2CF9AE}" pid="4" name="MediaServiceImageTags">
    <vt:lpwstr/>
  </property>
  <property fmtid="{D5CDD505-2E9C-101B-9397-08002B2CF9AE}" pid="5" name="MSIP_Label_fbc029f1-7b6e-4e10-8282-fc5331153e31_Enabled">
    <vt:lpwstr>true</vt:lpwstr>
  </property>
  <property fmtid="{D5CDD505-2E9C-101B-9397-08002B2CF9AE}" pid="6" name="MSIP_Label_fbc029f1-7b6e-4e10-8282-fc5331153e31_SetDate">
    <vt:lpwstr>2024-09-22T23:16:53Z</vt:lpwstr>
  </property>
  <property fmtid="{D5CDD505-2E9C-101B-9397-08002B2CF9AE}" pid="7" name="MSIP_Label_fbc029f1-7b6e-4e10-8282-fc5331153e31_Method">
    <vt:lpwstr>Privileged</vt:lpwstr>
  </property>
  <property fmtid="{D5CDD505-2E9C-101B-9397-08002B2CF9AE}" pid="8" name="MSIP_Label_fbc029f1-7b6e-4e10-8282-fc5331153e31_Name">
    <vt:lpwstr>fbc029f1-7b6e-4e10-8282-fc5331153e31</vt:lpwstr>
  </property>
  <property fmtid="{D5CDD505-2E9C-101B-9397-08002B2CF9AE}" pid="9" name="MSIP_Label_fbc029f1-7b6e-4e10-8282-fc5331153e31_SiteId">
    <vt:lpwstr>37247798-f42c-42fd-8a37-d49c7128d36b</vt:lpwstr>
  </property>
  <property fmtid="{D5CDD505-2E9C-101B-9397-08002B2CF9AE}" pid="10" name="MSIP_Label_fbc029f1-7b6e-4e10-8282-fc5331153e31_ActionId">
    <vt:lpwstr>cc2b670b-fc28-4193-bb8c-04cd08c6a870</vt:lpwstr>
  </property>
  <property fmtid="{D5CDD505-2E9C-101B-9397-08002B2CF9AE}" pid="11" name="MSIP_Label_fbc029f1-7b6e-4e10-8282-fc5331153e31_ContentBits">
    <vt:lpwstr>0</vt:lpwstr>
  </property>
  <property fmtid="{D5CDD505-2E9C-101B-9397-08002B2CF9AE}" pid="12" name="Folder_Number">
    <vt:lpwstr/>
  </property>
  <property fmtid="{D5CDD505-2E9C-101B-9397-08002B2CF9AE}" pid="13" name="Folder_Code">
    <vt:lpwstr/>
  </property>
  <property fmtid="{D5CDD505-2E9C-101B-9397-08002B2CF9AE}" pid="14" name="Folder_Name">
    <vt:lpwstr/>
  </property>
  <property fmtid="{D5CDD505-2E9C-101B-9397-08002B2CF9AE}" pid="15" name="Folder_Description">
    <vt:lpwstr/>
  </property>
  <property fmtid="{D5CDD505-2E9C-101B-9397-08002B2CF9AE}" pid="16" name="/Folder_Name/">
    <vt:lpwstr/>
  </property>
  <property fmtid="{D5CDD505-2E9C-101B-9397-08002B2CF9AE}" pid="17" name="/Folder_Description/">
    <vt:lpwstr/>
  </property>
  <property fmtid="{D5CDD505-2E9C-101B-9397-08002B2CF9AE}" pid="18" name="Folder_Version">
    <vt:lpwstr/>
  </property>
  <property fmtid="{D5CDD505-2E9C-101B-9397-08002B2CF9AE}" pid="19" name="Folder_VersionSeq">
    <vt:lpwstr/>
  </property>
  <property fmtid="{D5CDD505-2E9C-101B-9397-08002B2CF9AE}" pid="20" name="Folder_Manager">
    <vt:lpwstr/>
  </property>
  <property fmtid="{D5CDD505-2E9C-101B-9397-08002B2CF9AE}" pid="21" name="Folder_ManagerDesc">
    <vt:lpwstr/>
  </property>
  <property fmtid="{D5CDD505-2E9C-101B-9397-08002B2CF9AE}" pid="22" name="Folder_Storage">
    <vt:lpwstr/>
  </property>
  <property fmtid="{D5CDD505-2E9C-101B-9397-08002B2CF9AE}" pid="23" name="Folder_StorageDesc">
    <vt:lpwstr/>
  </property>
  <property fmtid="{D5CDD505-2E9C-101B-9397-08002B2CF9AE}" pid="24" name="Folder_Creator">
    <vt:lpwstr/>
  </property>
  <property fmtid="{D5CDD505-2E9C-101B-9397-08002B2CF9AE}" pid="25" name="Folder_CreatorDesc">
    <vt:lpwstr/>
  </property>
  <property fmtid="{D5CDD505-2E9C-101B-9397-08002B2CF9AE}" pid="26" name="Folder_CreateDate">
    <vt:lpwstr/>
  </property>
  <property fmtid="{D5CDD505-2E9C-101B-9397-08002B2CF9AE}" pid="27" name="Folder_Updater">
    <vt:lpwstr/>
  </property>
  <property fmtid="{D5CDD505-2E9C-101B-9397-08002B2CF9AE}" pid="28" name="Folder_UpdaterDesc">
    <vt:lpwstr/>
  </property>
  <property fmtid="{D5CDD505-2E9C-101B-9397-08002B2CF9AE}" pid="29" name="Folder_UpdateDate">
    <vt:lpwstr/>
  </property>
  <property fmtid="{D5CDD505-2E9C-101B-9397-08002B2CF9AE}" pid="30" name="Document_Number">
    <vt:lpwstr/>
  </property>
  <property fmtid="{D5CDD505-2E9C-101B-9397-08002B2CF9AE}" pid="31" name="Document_Name">
    <vt:lpwstr/>
  </property>
  <property fmtid="{D5CDD505-2E9C-101B-9397-08002B2CF9AE}" pid="32" name="Document_FileName">
    <vt:lpwstr/>
  </property>
  <property fmtid="{D5CDD505-2E9C-101B-9397-08002B2CF9AE}" pid="33" name="Document_Version">
    <vt:lpwstr/>
  </property>
  <property fmtid="{D5CDD505-2E9C-101B-9397-08002B2CF9AE}" pid="34" name="Document_VersionSeq">
    <vt:lpwstr/>
  </property>
  <property fmtid="{D5CDD505-2E9C-101B-9397-08002B2CF9AE}" pid="35" name="Document_Creator">
    <vt:lpwstr/>
  </property>
  <property fmtid="{D5CDD505-2E9C-101B-9397-08002B2CF9AE}" pid="36" name="Document_CreatorDesc">
    <vt:lpwstr/>
  </property>
  <property fmtid="{D5CDD505-2E9C-101B-9397-08002B2CF9AE}" pid="37" name="Document_CreateDate">
    <vt:lpwstr/>
  </property>
  <property fmtid="{D5CDD505-2E9C-101B-9397-08002B2CF9AE}" pid="38" name="Document_Updater">
    <vt:lpwstr/>
  </property>
  <property fmtid="{D5CDD505-2E9C-101B-9397-08002B2CF9AE}" pid="39" name="Document_UpdaterDesc">
    <vt:lpwstr/>
  </property>
  <property fmtid="{D5CDD505-2E9C-101B-9397-08002B2CF9AE}" pid="40" name="Document_UpdateDate">
    <vt:lpwstr/>
  </property>
  <property fmtid="{D5CDD505-2E9C-101B-9397-08002B2CF9AE}" pid="41" name="Document_Size">
    <vt:lpwstr/>
  </property>
  <property fmtid="{D5CDD505-2E9C-101B-9397-08002B2CF9AE}" pid="42" name="Document_Storage">
    <vt:lpwstr/>
  </property>
  <property fmtid="{D5CDD505-2E9C-101B-9397-08002B2CF9AE}" pid="43" name="Document_StorageDesc">
    <vt:lpwstr/>
  </property>
  <property fmtid="{D5CDD505-2E9C-101B-9397-08002B2CF9AE}" pid="44" name="Document_Department">
    <vt:lpwstr/>
  </property>
  <property fmtid="{D5CDD505-2E9C-101B-9397-08002B2CF9AE}" pid="45" name="Document_DepartmentDesc">
    <vt:lpwstr/>
  </property>
  <property fmtid="{D5CDD505-2E9C-101B-9397-08002B2CF9AE}" pid="46" name="ClassificationContentMarkingFooterShapeIds">
    <vt:lpwstr>8ac0020,25152a23,4c71dfb7,776947e0,348dd131,6c546a3</vt:lpwstr>
  </property>
  <property fmtid="{D5CDD505-2E9C-101B-9397-08002B2CF9AE}" pid="47" name="ClassificationContentMarkingFooterFontProps">
    <vt:lpwstr>#000000,12,Calibri</vt:lpwstr>
  </property>
  <property fmtid="{D5CDD505-2E9C-101B-9397-08002B2CF9AE}" pid="48" name="ClassificationContentMarkingFooterText">
    <vt:lpwstr>OFFICIAL</vt:lpwstr>
  </property>
  <property fmtid="{D5CDD505-2E9C-101B-9397-08002B2CF9AE}" pid="49" name="MSIP_Label_4257e2ab-f512-40e2-9c9a-c64247360765_Enabled">
    <vt:lpwstr>true</vt:lpwstr>
  </property>
  <property fmtid="{D5CDD505-2E9C-101B-9397-08002B2CF9AE}" pid="50" name="MSIP_Label_4257e2ab-f512-40e2-9c9a-c64247360765_SetDate">
    <vt:lpwstr>2024-10-07T05:20:44Z</vt:lpwstr>
  </property>
  <property fmtid="{D5CDD505-2E9C-101B-9397-08002B2CF9AE}" pid="51" name="MSIP_Label_4257e2ab-f512-40e2-9c9a-c64247360765_Method">
    <vt:lpwstr>Privileged</vt:lpwstr>
  </property>
  <property fmtid="{D5CDD505-2E9C-101B-9397-08002B2CF9AE}" pid="52" name="MSIP_Label_4257e2ab-f512-40e2-9c9a-c64247360765_Name">
    <vt:lpwstr>OFFICIAL</vt:lpwstr>
  </property>
  <property fmtid="{D5CDD505-2E9C-101B-9397-08002B2CF9AE}" pid="53" name="MSIP_Label_4257e2ab-f512-40e2-9c9a-c64247360765_SiteId">
    <vt:lpwstr>e8bdd6f7-fc18-4e48-a554-7f547927223b</vt:lpwstr>
  </property>
  <property fmtid="{D5CDD505-2E9C-101B-9397-08002B2CF9AE}" pid="54" name="MSIP_Label_4257e2ab-f512-40e2-9c9a-c64247360765_ActionId">
    <vt:lpwstr>a6b99277-0a64-4f45-b29f-79525ebd38c7</vt:lpwstr>
  </property>
  <property fmtid="{D5CDD505-2E9C-101B-9397-08002B2CF9AE}" pid="55" name="MSIP_Label_4257e2ab-f512-40e2-9c9a-c64247360765_ContentBits">
    <vt:lpwstr>2</vt:lpwstr>
  </property>
  <property fmtid="{D5CDD505-2E9C-101B-9397-08002B2CF9AE}" pid="56" name="Order">
    <vt:r8>38600</vt:r8>
  </property>
  <property fmtid="{D5CDD505-2E9C-101B-9397-08002B2CF9AE}" pid="57" name="xd_ProgID">
    <vt:lpwstr/>
  </property>
  <property fmtid="{D5CDD505-2E9C-101B-9397-08002B2CF9AE}" pid="58" name="ComplianceAssetId">
    <vt:lpwstr/>
  </property>
  <property fmtid="{D5CDD505-2E9C-101B-9397-08002B2CF9AE}" pid="59" name="TemplateUrl">
    <vt:lpwstr/>
  </property>
  <property fmtid="{D5CDD505-2E9C-101B-9397-08002B2CF9AE}" pid="60" name="_ExtendedDescription">
    <vt:lpwstr/>
  </property>
  <property fmtid="{D5CDD505-2E9C-101B-9397-08002B2CF9AE}" pid="61" name="xd_Signature">
    <vt:bool>false</vt:bool>
  </property>
  <property fmtid="{D5CDD505-2E9C-101B-9397-08002B2CF9AE}" pid="62" name="Department Document Type">
    <vt:lpwstr/>
  </property>
  <property fmtid="{D5CDD505-2E9C-101B-9397-08002B2CF9AE}" pid="63" name="Dissemination Limiting Marker">
    <vt:lpwstr>2;#FOUO|955eb6fc-b35a-4808-8aa5-31e514fa3f26</vt:lpwstr>
  </property>
  <property fmtid="{D5CDD505-2E9C-101B-9397-08002B2CF9AE}" pid="64" name="Security Classification">
    <vt:lpwstr>3;#Unclassified|7fa379f4-4aba-4692-ab80-7d39d3a23cf4</vt:lpwstr>
  </property>
  <property fmtid="{D5CDD505-2E9C-101B-9397-08002B2CF9AE}" pid="65" name="Records Class Int Committee Work Grp">
    <vt:lpwstr>50</vt:lpwstr>
  </property>
  <property fmtid="{D5CDD505-2E9C-101B-9397-08002B2CF9AE}" pid="66" name="_dlc_DocIdItemGuid">
    <vt:lpwstr>78bd4f80-d755-4c7a-9c9f-781045d6defc</vt:lpwstr>
  </property>
  <property fmtid="{D5CDD505-2E9C-101B-9397-08002B2CF9AE}" pid="67" name="g91c59fb10974fa1a03160ad8386f0f4">
    <vt:lpwstr/>
  </property>
  <property fmtid="{D5CDD505-2E9C-101B-9397-08002B2CF9AE}" pid="68" name="Record_x0020_Purpose">
    <vt:lpwstr/>
  </property>
  <property fmtid="{D5CDD505-2E9C-101B-9397-08002B2CF9AE}" pid="69" name="Record Purpose">
    <vt:lpwstr/>
  </property>
  <property fmtid="{D5CDD505-2E9C-101B-9397-08002B2CF9AE}" pid="70" name="pd01c257034b4e86b1f58279a3bd54c6">
    <vt:lpwstr>Unclassified|7fa379f4-4aba-4692-ab80-7d39d3a23cf4</vt:lpwstr>
  </property>
  <property fmtid="{D5CDD505-2E9C-101B-9397-08002B2CF9AE}" pid="71" name="DLCPolicyLabelClientValue">
    <vt:lpwstr>Version {_UIVersionString}</vt:lpwstr>
  </property>
  <property fmtid="{D5CDD505-2E9C-101B-9397-08002B2CF9AE}" pid="72" name="fb3179c379644f499d7166d0c985669b">
    <vt:lpwstr>FOUO|955eb6fc-b35a-4808-8aa5-31e514fa3f26</vt:lpwstr>
  </property>
  <property fmtid="{D5CDD505-2E9C-101B-9397-08002B2CF9AE}" pid="73" name="j03bbfc8a05341eb824aeedd3064713b">
    <vt:lpwstr>Internal Committee - Strategic|8cc4f503-7d1e-4b9b-b5af-ba2ac4e77ed9</vt:lpwstr>
  </property>
  <property fmtid="{D5CDD505-2E9C-101B-9397-08002B2CF9AE}" pid="74" name="DLCPolicyLabelValue">
    <vt:lpwstr>Version 1.0</vt:lpwstr>
  </property>
  <property fmtid="{D5CDD505-2E9C-101B-9397-08002B2CF9AE}" pid="75" name="_SourceUrl">
    <vt:lpwstr/>
  </property>
  <property fmtid="{D5CDD505-2E9C-101B-9397-08002B2CF9AE}" pid="76" name="_SharedFileIndex">
    <vt:lpwstr/>
  </property>
  <property fmtid="{D5CDD505-2E9C-101B-9397-08002B2CF9AE}" pid="77" name="SharedWithUsers">
    <vt:lpwstr/>
  </property>
  <property fmtid="{D5CDD505-2E9C-101B-9397-08002B2CF9AE}" pid="78" name="TriggerFlowInfo">
    <vt:lpwstr/>
  </property>
  <property fmtid="{D5CDD505-2E9C-101B-9397-08002B2CF9AE}" pid="79" name="Sub-Section">
    <vt:lpwstr/>
  </property>
  <property fmtid="{D5CDD505-2E9C-101B-9397-08002B2CF9AE}" pid="80" name="Agency">
    <vt:lpwstr>147;#Department of Energy, Environment and Climate Action|6ec2007c-62f7-4367-85b3-4db3e85c504f</vt:lpwstr>
  </property>
  <property fmtid="{D5CDD505-2E9C-101B-9397-08002B2CF9AE}" pid="81" name="Branch">
    <vt:lpwstr>6;#Executive Services|e5dac3b6-3758-40a7-8921-77a6f8094098</vt:lpwstr>
  </property>
  <property fmtid="{D5CDD505-2E9C-101B-9397-08002B2CF9AE}" pid="82" name="Stage">
    <vt:lpwstr>49</vt:lpwstr>
  </property>
  <property fmtid="{D5CDD505-2E9C-101B-9397-08002B2CF9AE}" pid="83" name="Division">
    <vt:lpwstr>5;#Office of the Deputy Secretary Water and Catchments|3c1e8dec-6a81-4ef2-b151-e0b49bc0f761</vt:lpwstr>
  </property>
  <property fmtid="{D5CDD505-2E9C-101B-9397-08002B2CF9AE}" pid="84" name="Security_x0020_Classification">
    <vt:lpwstr>3;#Unclassified|7fa379f4-4aba-4692-ab80-7d39d3a23cf4</vt:lpwstr>
  </property>
  <property fmtid="{D5CDD505-2E9C-101B-9397-08002B2CF9AE}" pid="85" name="lcf76f155ced4ddcb4097134ff3c332f">
    <vt:lpwstr/>
  </property>
  <property fmtid="{D5CDD505-2E9C-101B-9397-08002B2CF9AE}" pid="86" name="Reference Type">
    <vt:lpwstr/>
  </property>
  <property fmtid="{D5CDD505-2E9C-101B-9397-08002B2CF9AE}" pid="87" name="Dissemination_x0020_Limiting_x0020_Marker">
    <vt:lpwstr>2;#FOUO|955eb6fc-b35a-4808-8aa5-31e514fa3f26</vt:lpwstr>
  </property>
  <property fmtid="{D5CDD505-2E9C-101B-9397-08002B2CF9AE}" pid="88" name="Location Type">
    <vt:lpwstr/>
  </property>
  <property fmtid="{D5CDD505-2E9C-101B-9397-08002B2CF9AE}" pid="89" name="Tranche">
    <vt:lpwstr>64</vt:lpwstr>
  </property>
  <property fmtid="{D5CDD505-2E9C-101B-9397-08002B2CF9AE}" pid="90" name="Group1">
    <vt:lpwstr>4;#Water and Catchments|04babe5f-fe90-4982-9f33-c4fc8f4bb63f</vt:lpwstr>
  </property>
  <property fmtid="{D5CDD505-2E9C-101B-9397-08002B2CF9AE}" pid="91" name="Section">
    <vt:lpwstr/>
  </property>
  <property fmtid="{D5CDD505-2E9C-101B-9397-08002B2CF9AE}" pid="92" name="ldae123d493c4587b9039adfc6aa0718">
    <vt:lpwstr/>
  </property>
  <property fmtid="{D5CDD505-2E9C-101B-9397-08002B2CF9AE}" pid="93" name="Location_x0020_Type">
    <vt:lpwstr/>
  </property>
  <property fmtid="{D5CDD505-2E9C-101B-9397-08002B2CF9AE}" pid="94" name="Copyright_x0020_Licence_x0020_Name">
    <vt:lpwstr/>
  </property>
  <property fmtid="{D5CDD505-2E9C-101B-9397-08002B2CF9AE}" pid="95" name="Sub_x002d_Section">
    <vt:lpwstr/>
  </property>
  <property fmtid="{D5CDD505-2E9C-101B-9397-08002B2CF9AE}" pid="96" name="Copyright_x0020_License_x0020_Type">
    <vt:lpwstr/>
  </property>
  <property fmtid="{D5CDD505-2E9C-101B-9397-08002B2CF9AE}" pid="97" name="o85941e134754762b9719660a258a6e6">
    <vt:lpwstr/>
  </property>
  <property fmtid="{D5CDD505-2E9C-101B-9397-08002B2CF9AE}" pid="98" name="Reference_x0020_Type">
    <vt:lpwstr/>
  </property>
  <property fmtid="{D5CDD505-2E9C-101B-9397-08002B2CF9AE}" pid="99" name="df723ab3fe1c4eb7a0b151674e7ac40d">
    <vt:lpwstr/>
  </property>
  <property fmtid="{D5CDD505-2E9C-101B-9397-08002B2CF9AE}" pid="100" name="Process_x0020_Stage">
    <vt:lpwstr/>
  </property>
  <property fmtid="{D5CDD505-2E9C-101B-9397-08002B2CF9AE}" pid="101" name="Copyright License Type">
    <vt:lpwstr/>
  </property>
  <property fmtid="{D5CDD505-2E9C-101B-9397-08002B2CF9AE}" pid="102" name="Process Stage">
    <vt:lpwstr/>
  </property>
  <property fmtid="{D5CDD505-2E9C-101B-9397-08002B2CF9AE}" pid="103" name="Copyright Licence Name">
    <vt:lpwstr/>
  </property>
  <property fmtid="{D5CDD505-2E9C-101B-9397-08002B2CF9AE}" pid="104" name="_docset_NoMedatataSyncRequired">
    <vt:lpwstr>True</vt:lpwstr>
  </property>
</Properties>
</file>