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D57E2" w14:textId="4D09D6D2" w:rsidR="003838F2" w:rsidRPr="00C56B54" w:rsidRDefault="00980A55" w:rsidP="003838F2">
      <w:pPr>
        <w:pStyle w:val="Title"/>
        <w:tabs>
          <w:tab w:val="left" w:pos="9214"/>
        </w:tabs>
        <w:rPr>
          <w:rFonts w:ascii="Arial" w:hAnsi="Arial" w:cs="Arial"/>
          <w:color w:val="auto"/>
          <w:sz w:val="48"/>
          <w:szCs w:val="48"/>
        </w:rPr>
      </w:pPr>
      <w:sdt>
        <w:sdtPr>
          <w:rPr>
            <w:rFonts w:ascii="Arial" w:hAnsi="Arial" w:cs="Arial"/>
            <w:color w:val="auto"/>
            <w:sz w:val="48"/>
            <w:szCs w:val="48"/>
          </w:rPr>
          <w:alias w:val="Document Title"/>
          <w:tag w:val=""/>
          <w:id w:val="-432211567"/>
          <w:placeholder>
            <w:docPart w:val="82C97B838BE84B19B5B74F9E04382185"/>
          </w:placeholder>
          <w:dataBinding w:prefixMappings="xmlns:ns0='http://purl.org/dc/elements/1.1/' xmlns:ns1='http://schemas.openxmlformats.org/package/2006/metadata/core-properties' " w:xpath="/ns1:coreProperties[1]/ns0:title[1]" w:storeItemID="{6C3C8BC8-F283-45AE-878A-BAB7291924A1}"/>
          <w:text/>
        </w:sdtPr>
        <w:sdtContent>
          <w:r w:rsidR="003838F2" w:rsidRPr="00C56B54">
            <w:rPr>
              <w:rFonts w:ascii="Arial" w:hAnsi="Arial" w:cs="Arial"/>
              <w:color w:val="auto"/>
              <w:sz w:val="48"/>
              <w:szCs w:val="48"/>
            </w:rPr>
            <w:t>Special Water Supply Catchment Areas</w:t>
          </w:r>
        </w:sdtContent>
      </w:sdt>
    </w:p>
    <w:sdt>
      <w:sdtPr>
        <w:rPr>
          <w:rFonts w:ascii="Arial" w:hAnsi="Arial" w:cs="Arial"/>
          <w:color w:val="auto"/>
          <w:sz w:val="32"/>
          <w:szCs w:val="32"/>
          <w:shd w:val="clear" w:color="auto" w:fill="E6E6E6"/>
        </w:rPr>
        <w:alias w:val="Subtitle"/>
        <w:tag w:val=""/>
        <w:id w:val="328029620"/>
        <w:placeholder>
          <w:docPart w:val="D492E023730B4BA0801AB759ADDCAA71"/>
        </w:placeholder>
        <w:dataBinding w:prefixMappings="xmlns:ns0='http://purl.org/dc/elements/1.1/' xmlns:ns1='http://schemas.openxmlformats.org/package/2006/metadata/core-properties' " w:xpath="/ns1:coreProperties[1]/ns0:subject[1]" w:storeItemID="{6C3C8BC8-F283-45AE-878A-BAB7291924A1}"/>
        <w:text/>
      </w:sdtPr>
      <w:sdtContent>
        <w:p w14:paraId="61A141C8" w14:textId="62CB7E63" w:rsidR="003838F2" w:rsidRPr="00C56B54" w:rsidRDefault="00AF32FD" w:rsidP="003838F2">
          <w:pPr>
            <w:pStyle w:val="Subtitle"/>
            <w:rPr>
              <w:rFonts w:ascii="Arial" w:hAnsi="Arial" w:cs="Arial"/>
              <w:color w:val="auto"/>
              <w:sz w:val="32"/>
              <w:szCs w:val="32"/>
            </w:rPr>
          </w:pPr>
          <w:r w:rsidRPr="00C56B54">
            <w:rPr>
              <w:rFonts w:ascii="Arial" w:hAnsi="Arial" w:cs="Arial"/>
              <w:color w:val="auto"/>
              <w:sz w:val="32"/>
              <w:szCs w:val="32"/>
            </w:rPr>
            <w:t>Guidelines for the declaration, amendment, and revocation of Special Water Supply Catchment Areas</w:t>
          </w:r>
        </w:p>
      </w:sdtContent>
    </w:sdt>
    <w:p w14:paraId="40EDCA9A" w14:textId="75BD4666" w:rsidR="001B0756" w:rsidRDefault="001B0756"/>
    <w:p w14:paraId="7F543C30" w14:textId="7942B8AD" w:rsidR="00C56B54" w:rsidRDefault="00A408CF">
      <w:r>
        <w:rPr>
          <w:noProof/>
          <w:color w:val="2B579A"/>
          <w:shd w:val="clear" w:color="auto" w:fill="E6E6E6"/>
          <w:lang w:val="en-GB"/>
        </w:rPr>
        <w:drawing>
          <wp:anchor distT="0" distB="0" distL="114300" distR="114300" simplePos="0" relativeHeight="251658240" behindDoc="0" locked="0" layoutInCell="1" allowOverlap="1" wp14:anchorId="689C3640" wp14:editId="0FB3CE58">
            <wp:simplePos x="0" y="0"/>
            <wp:positionH relativeFrom="margin">
              <wp:align>left</wp:align>
            </wp:positionH>
            <wp:positionV relativeFrom="paragraph">
              <wp:posOffset>8255</wp:posOffset>
            </wp:positionV>
            <wp:extent cx="2358390" cy="603885"/>
            <wp:effectExtent l="0" t="0" r="3810" b="5715"/>
            <wp:wrapSquare wrapText="bothSides"/>
            <wp:docPr id="683919737" name="Picture 683919737" descr="Department of 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19737" name="Picture 1" descr="Department of Energy, Environment and Climate Action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8390" cy="603885"/>
                    </a:xfrm>
                    <a:prstGeom prst="rect">
                      <a:avLst/>
                    </a:prstGeom>
                  </pic:spPr>
                </pic:pic>
              </a:graphicData>
            </a:graphic>
          </wp:anchor>
        </w:drawing>
      </w:r>
    </w:p>
    <w:p w14:paraId="5BD1C989" w14:textId="77777777" w:rsidR="00C56B54" w:rsidRDefault="00C56B54"/>
    <w:p w14:paraId="4C74CDA8" w14:textId="77777777" w:rsidR="00A05EDB" w:rsidRDefault="00A05EDB" w:rsidP="00A05EDB"/>
    <w:p w14:paraId="0430E852" w14:textId="77777777" w:rsidR="00A408CF" w:rsidRPr="00E74A9E" w:rsidRDefault="00A408CF" w:rsidP="00A408CF">
      <w:pPr>
        <w:pStyle w:val="BoldBodyText"/>
        <w:rPr>
          <w:rFonts w:ascii="Arial" w:hAnsi="Arial" w:cs="Arial"/>
          <w:b/>
          <w:bCs w:val="0"/>
          <w:sz w:val="22"/>
          <w:szCs w:val="22"/>
        </w:rPr>
      </w:pPr>
      <w:r w:rsidRPr="00E74A9E">
        <w:rPr>
          <w:rFonts w:ascii="Arial" w:hAnsi="Arial" w:cs="Arial"/>
          <w:b/>
          <w:bCs w:val="0"/>
          <w:sz w:val="22"/>
          <w:szCs w:val="22"/>
        </w:rPr>
        <w:t>Author</w:t>
      </w:r>
    </w:p>
    <w:p w14:paraId="634D4F4E" w14:textId="77777777" w:rsidR="00A408CF" w:rsidRPr="00E74A9E" w:rsidRDefault="00A408CF" w:rsidP="00FC4CDC">
      <w:pPr>
        <w:pStyle w:val="BodyText"/>
        <w:spacing w:line="360" w:lineRule="auto"/>
        <w:rPr>
          <w:rFonts w:ascii="Arial" w:hAnsi="Arial" w:cs="Arial"/>
          <w:sz w:val="22"/>
          <w:szCs w:val="22"/>
        </w:rPr>
      </w:pPr>
      <w:r w:rsidRPr="00E74A9E">
        <w:rPr>
          <w:rFonts w:ascii="Arial" w:hAnsi="Arial" w:cs="Arial"/>
          <w:sz w:val="22"/>
          <w:szCs w:val="22"/>
        </w:rPr>
        <w:t>Catchment Stewardship Team, Water and Catchments Group</w:t>
      </w:r>
      <w:r w:rsidRPr="00E74A9E">
        <w:rPr>
          <w:rFonts w:ascii="Arial" w:hAnsi="Arial" w:cs="Arial"/>
          <w:sz w:val="22"/>
          <w:szCs w:val="22"/>
        </w:rPr>
        <w:br/>
        <w:t xml:space="preserve">Department of Energy, Environment and Climate Action </w:t>
      </w:r>
    </w:p>
    <w:p w14:paraId="687C24B4" w14:textId="77777777" w:rsidR="00A05EDB" w:rsidRDefault="00A05EDB" w:rsidP="00A05EDB"/>
    <w:p w14:paraId="60441AC2" w14:textId="77777777" w:rsidR="00BC2934" w:rsidRPr="00BC2934" w:rsidRDefault="00BC2934" w:rsidP="00BC2934">
      <w:pPr>
        <w:rPr>
          <w:rFonts w:ascii="Arial" w:hAnsi="Arial" w:cs="Arial"/>
        </w:rPr>
      </w:pPr>
      <w:r w:rsidRPr="00BC2934">
        <w:rPr>
          <w:rFonts w:ascii="Arial" w:hAnsi="Arial" w:cs="Arial"/>
        </w:rPr>
        <w:t>We acknowledge and respect Victorian Traditional Owners as the original custodians of Victoria’s land and waters, their unique ability to care for Country and deep spiritual connection to it.</w:t>
      </w:r>
    </w:p>
    <w:p w14:paraId="7839563D" w14:textId="482F55E5" w:rsidR="00BC2934" w:rsidRPr="00BC2934" w:rsidRDefault="00BC2934" w:rsidP="00BC2934">
      <w:pPr>
        <w:rPr>
          <w:rFonts w:ascii="Arial" w:hAnsi="Arial" w:cs="Arial"/>
        </w:rPr>
      </w:pPr>
      <w:r w:rsidRPr="00BC2934">
        <w:rPr>
          <w:rFonts w:ascii="Arial" w:hAnsi="Arial" w:cs="Arial"/>
        </w:rPr>
        <w:t>We honour Elders past and present whose knowledge and wisdom has ensured the continuation of culture and traditional practices.</w:t>
      </w:r>
    </w:p>
    <w:p w14:paraId="12460766" w14:textId="4AAE4A4F" w:rsidR="00A408CF" w:rsidRDefault="00BC2934" w:rsidP="00BC2934">
      <w:pPr>
        <w:rPr>
          <w:rFonts w:ascii="Arial" w:hAnsi="Arial" w:cs="Arial"/>
        </w:rPr>
      </w:pPr>
      <w:r w:rsidRPr="00BC2934">
        <w:rPr>
          <w:rFonts w:ascii="Arial" w:hAnsi="Arial" w:cs="Arial"/>
        </w:rPr>
        <w:t>DEECA is committed to genuinely partnering with Victorian Traditional Owners and Victoria’s Aboriginal community to progress their aspirations.</w:t>
      </w:r>
    </w:p>
    <w:p w14:paraId="590FF11A" w14:textId="77777777" w:rsidR="00714EB0" w:rsidRDefault="00714EB0" w:rsidP="00714EB0">
      <w:pPr>
        <w:pStyle w:val="DisclaimerTextLeft"/>
        <w:framePr w:hSpace="0" w:wrap="auto" w:hAnchor="text" w:yAlign="inline"/>
        <w:suppressOverlap w:val="0"/>
        <w:rPr>
          <w:rFonts w:ascii="Arial" w:hAnsi="Arial"/>
          <w:sz w:val="22"/>
          <w:szCs w:val="22"/>
        </w:rPr>
      </w:pPr>
      <w:r w:rsidRPr="00714EB0">
        <w:rPr>
          <w:rFonts w:ascii="Arial" w:hAnsi="Arial"/>
          <w:sz w:val="22"/>
          <w:szCs w:val="22"/>
        </w:rPr>
        <w:t>©</w:t>
      </w:r>
      <w:bookmarkStart w:id="0" w:name="_Copyright"/>
      <w:bookmarkEnd w:id="0"/>
      <w:r w:rsidRPr="00714EB0">
        <w:rPr>
          <w:rFonts w:ascii="Arial" w:hAnsi="Arial"/>
          <w:sz w:val="22"/>
          <w:szCs w:val="22"/>
        </w:rPr>
        <w:t xml:space="preserve"> The State of Victoria Department of Energy, Environment and Climate Action April 2024.</w:t>
      </w:r>
    </w:p>
    <w:p w14:paraId="304B3692" w14:textId="77777777" w:rsidR="00714EB0" w:rsidRPr="00714EB0" w:rsidRDefault="00714EB0" w:rsidP="00714EB0">
      <w:pPr>
        <w:pStyle w:val="DisclaimerTextLeft"/>
        <w:framePr w:hSpace="0" w:wrap="auto" w:hAnchor="text" w:yAlign="inline"/>
        <w:suppressOverlap w:val="0"/>
        <w:rPr>
          <w:rFonts w:ascii="Arial" w:hAnsi="Arial"/>
          <w:sz w:val="22"/>
          <w:szCs w:val="22"/>
        </w:rPr>
      </w:pPr>
    </w:p>
    <w:p w14:paraId="53A152CD" w14:textId="77777777" w:rsidR="00714EB0" w:rsidRPr="00714EB0" w:rsidRDefault="00714EB0" w:rsidP="00061F37">
      <w:pPr>
        <w:pStyle w:val="DisclaimerTextLeftBold"/>
        <w:framePr w:hSpace="0" w:wrap="auto" w:hAnchor="text" w:yAlign="inline"/>
        <w:spacing w:line="360" w:lineRule="auto"/>
        <w:suppressOverlap w:val="0"/>
        <w:rPr>
          <w:rFonts w:ascii="Arial" w:hAnsi="Arial"/>
          <w:sz w:val="22"/>
          <w:szCs w:val="22"/>
        </w:rPr>
      </w:pPr>
      <w:bookmarkStart w:id="1" w:name="_CreativeCommonsMarker"/>
      <w:bookmarkStart w:id="2" w:name="_CreativeCommonsContent"/>
      <w:bookmarkEnd w:id="1"/>
      <w:r w:rsidRPr="00714EB0">
        <w:rPr>
          <w:rFonts w:ascii="Arial" w:hAnsi="Arial"/>
          <w:sz w:val="22"/>
          <w:szCs w:val="22"/>
        </w:rPr>
        <w:t>Creative Commons</w:t>
      </w:r>
    </w:p>
    <w:p w14:paraId="6EF272F0" w14:textId="77777777" w:rsidR="00714EB0" w:rsidRPr="00714EB0" w:rsidRDefault="00714EB0" w:rsidP="00061F37">
      <w:pPr>
        <w:pStyle w:val="DisclaimerTextLeft"/>
        <w:framePr w:hSpace="0" w:wrap="auto" w:hAnchor="text" w:yAlign="inline"/>
        <w:spacing w:line="360" w:lineRule="auto"/>
        <w:suppressOverlap w:val="0"/>
        <w:rPr>
          <w:rFonts w:ascii="Arial" w:hAnsi="Arial"/>
          <w:sz w:val="22"/>
          <w:szCs w:val="22"/>
        </w:rPr>
      </w:pPr>
      <w:r w:rsidRPr="00714EB0">
        <w:rPr>
          <w:rFonts w:ascii="Arial" w:hAnsi="Arial"/>
          <w:sz w:val="22"/>
          <w:szCs w:val="22"/>
        </w:rPr>
        <w:t xml:space="preserve">This work is licensed under a Creative Commons Attribution 4.0 International licence, visit the </w:t>
      </w:r>
      <w:hyperlink r:id="rId14" w:tooltip="Creative Commons website" w:history="1">
        <w:r w:rsidRPr="00714EB0">
          <w:rPr>
            <w:rStyle w:val="Hyperlink"/>
            <w:rFonts w:ascii="Arial" w:hAnsi="Arial"/>
            <w:sz w:val="22"/>
            <w:szCs w:val="22"/>
          </w:rPr>
          <w:t>Creative Commons website</w:t>
        </w:r>
      </w:hyperlink>
      <w:r w:rsidRPr="00714EB0">
        <w:rPr>
          <w:rFonts w:ascii="Arial" w:hAnsi="Arial"/>
          <w:sz w:val="22"/>
          <w:szCs w:val="22"/>
        </w:rPr>
        <w:t xml:space="preserve"> (</w:t>
      </w:r>
      <w:hyperlink r:id="rId15" w:history="1">
        <w:r w:rsidRPr="00714EB0">
          <w:rPr>
            <w:rStyle w:val="Hyperlink"/>
            <w:rFonts w:ascii="Arial" w:hAnsi="Arial"/>
            <w:sz w:val="22"/>
            <w:szCs w:val="22"/>
          </w:rPr>
          <w:t>http://creativecommons.org/licenses/by/4.0/</w:t>
        </w:r>
      </w:hyperlink>
      <w:r w:rsidRPr="00714EB0">
        <w:rPr>
          <w:rFonts w:ascii="Arial" w:hAnsi="Arial"/>
          <w:sz w:val="22"/>
          <w:szCs w:val="22"/>
        </w:rPr>
        <w:t>).</w:t>
      </w:r>
    </w:p>
    <w:p w14:paraId="663053AD" w14:textId="77777777" w:rsidR="00714EB0" w:rsidRPr="00714EB0" w:rsidRDefault="00714EB0" w:rsidP="00061F37">
      <w:pPr>
        <w:pStyle w:val="DisclaimerTextLeft"/>
        <w:framePr w:hSpace="0" w:wrap="auto" w:hAnchor="text" w:yAlign="inline"/>
        <w:spacing w:line="360" w:lineRule="auto"/>
        <w:suppressOverlap w:val="0"/>
        <w:rPr>
          <w:rFonts w:ascii="Arial" w:hAnsi="Arial"/>
          <w:strike/>
          <w:sz w:val="22"/>
          <w:szCs w:val="22"/>
        </w:rPr>
      </w:pPr>
      <w:r w:rsidRPr="00714EB0">
        <w:rPr>
          <w:rFonts w:ascii="Arial" w:hAnsi="Arial"/>
          <w:sz w:val="22"/>
          <w:szCs w:val="22"/>
        </w:rPr>
        <w:t>You are free to re-use the work under that licence, on the condition that you credit the State of Victoria as author. The licence does not apply to any images, photographs, or branding, including the Victorian Coat of Arms, and the Victorian Government and Department logos.</w:t>
      </w:r>
    </w:p>
    <w:p w14:paraId="670702AA" w14:textId="77777777" w:rsidR="00714EB0" w:rsidRPr="00714EB0" w:rsidRDefault="00714EB0" w:rsidP="00061F37">
      <w:pPr>
        <w:pStyle w:val="DisclaimerTextRightBold"/>
        <w:framePr w:hSpace="0" w:wrap="auto" w:hAnchor="text" w:yAlign="inline"/>
        <w:spacing w:line="360" w:lineRule="auto"/>
        <w:suppressOverlap w:val="0"/>
        <w:rPr>
          <w:rFonts w:ascii="Arial" w:hAnsi="Arial"/>
          <w:sz w:val="22"/>
          <w:szCs w:val="22"/>
        </w:rPr>
      </w:pPr>
      <w:r w:rsidRPr="00714EB0">
        <w:rPr>
          <w:rFonts w:ascii="Arial" w:hAnsi="Arial"/>
          <w:sz w:val="22"/>
          <w:szCs w:val="22"/>
        </w:rPr>
        <w:t xml:space="preserve">ISBN 978-1-76136-594-2 (pdf/online/MS word) </w:t>
      </w:r>
    </w:p>
    <w:p w14:paraId="7B25118B" w14:textId="77777777" w:rsidR="00DF3EE5" w:rsidRDefault="00DF3EE5" w:rsidP="00061F37">
      <w:pPr>
        <w:pStyle w:val="DisclaimerTextRightBold"/>
        <w:framePr w:hSpace="0" w:wrap="auto" w:hAnchor="text" w:yAlign="inline"/>
        <w:spacing w:line="360" w:lineRule="auto"/>
        <w:suppressOverlap w:val="0"/>
        <w:rPr>
          <w:rFonts w:ascii="Arial" w:hAnsi="Arial"/>
          <w:b/>
          <w:bCs/>
          <w:sz w:val="22"/>
          <w:szCs w:val="22"/>
        </w:rPr>
      </w:pPr>
    </w:p>
    <w:p w14:paraId="12FE2667" w14:textId="5030CC93" w:rsidR="00714EB0" w:rsidRPr="00714EB0" w:rsidRDefault="00714EB0" w:rsidP="00061F37">
      <w:pPr>
        <w:pStyle w:val="DisclaimerTextRightBold"/>
        <w:framePr w:hSpace="0" w:wrap="auto" w:hAnchor="text" w:yAlign="inline"/>
        <w:spacing w:line="360" w:lineRule="auto"/>
        <w:suppressOverlap w:val="0"/>
        <w:rPr>
          <w:rFonts w:ascii="Arial" w:hAnsi="Arial"/>
          <w:b/>
          <w:bCs/>
          <w:sz w:val="22"/>
          <w:szCs w:val="22"/>
        </w:rPr>
      </w:pPr>
      <w:r w:rsidRPr="00714EB0">
        <w:rPr>
          <w:rFonts w:ascii="Arial" w:hAnsi="Arial"/>
          <w:b/>
          <w:bCs/>
          <w:sz w:val="22"/>
          <w:szCs w:val="22"/>
        </w:rPr>
        <w:t>Disclaimer</w:t>
      </w:r>
    </w:p>
    <w:p w14:paraId="3B13ED73" w14:textId="77777777" w:rsidR="00714EB0" w:rsidRPr="00714EB0" w:rsidRDefault="00714EB0" w:rsidP="00061F37">
      <w:pPr>
        <w:pStyle w:val="DisclaimerTextRight"/>
        <w:framePr w:hSpace="0" w:wrap="auto" w:hAnchor="text" w:yAlign="inline"/>
        <w:spacing w:line="360" w:lineRule="auto"/>
        <w:suppressOverlap w:val="0"/>
        <w:rPr>
          <w:rFonts w:ascii="Arial" w:hAnsi="Arial"/>
          <w:sz w:val="22"/>
          <w:szCs w:val="22"/>
        </w:rPr>
      </w:pPr>
      <w:r w:rsidRPr="00714EB0">
        <w:rPr>
          <w:rFonts w:ascii="Arial" w:hAnsi="Arial"/>
          <w:sz w:val="22"/>
          <w:szCs w:val="22"/>
        </w:rPr>
        <w:t xml:space="preserve">This publication may be of assistance to </w:t>
      </w:r>
      <w:proofErr w:type="gramStart"/>
      <w:r w:rsidRPr="00714EB0">
        <w:rPr>
          <w:rFonts w:ascii="Arial" w:hAnsi="Arial"/>
          <w:sz w:val="22"/>
          <w:szCs w:val="22"/>
        </w:rPr>
        <w:t>you</w:t>
      </w:r>
      <w:proofErr w:type="gramEnd"/>
      <w:r w:rsidRPr="00714EB0">
        <w:rPr>
          <w:rFonts w:ascii="Arial" w:hAnsi="Arial"/>
          <w:sz w:val="22"/>
          <w:szCs w:val="22"/>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8A24100" w14:textId="77777777" w:rsidR="00DF3EE5" w:rsidRDefault="00DF3EE5" w:rsidP="00061F37">
      <w:pPr>
        <w:pStyle w:val="DisclaimerTextRightBold12pt"/>
        <w:framePr w:hSpace="0" w:wrap="auto" w:hAnchor="text" w:yAlign="inline"/>
        <w:spacing w:line="360" w:lineRule="auto"/>
        <w:suppressOverlap w:val="0"/>
        <w:rPr>
          <w:rFonts w:ascii="Arial" w:hAnsi="Arial"/>
          <w:b/>
          <w:bCs/>
          <w:sz w:val="22"/>
          <w:szCs w:val="22"/>
        </w:rPr>
      </w:pPr>
    </w:p>
    <w:p w14:paraId="14B56735" w14:textId="77777777" w:rsidR="00DF3EE5" w:rsidRDefault="00DF3EE5" w:rsidP="00061F37">
      <w:pPr>
        <w:pStyle w:val="DisclaimerTextRightBold12pt"/>
        <w:framePr w:hSpace="0" w:wrap="auto" w:hAnchor="text" w:yAlign="inline"/>
        <w:spacing w:line="360" w:lineRule="auto"/>
        <w:suppressOverlap w:val="0"/>
        <w:rPr>
          <w:rFonts w:ascii="Arial" w:hAnsi="Arial"/>
          <w:b/>
          <w:bCs/>
          <w:sz w:val="22"/>
          <w:szCs w:val="22"/>
        </w:rPr>
      </w:pPr>
    </w:p>
    <w:p w14:paraId="068918D1" w14:textId="43A464A2" w:rsidR="00714EB0" w:rsidRPr="00714EB0" w:rsidRDefault="00714EB0" w:rsidP="00061F37">
      <w:pPr>
        <w:pStyle w:val="DisclaimerTextRightBold12pt"/>
        <w:framePr w:hSpace="0" w:wrap="auto" w:hAnchor="text" w:yAlign="inline"/>
        <w:spacing w:line="360" w:lineRule="auto"/>
        <w:suppressOverlap w:val="0"/>
        <w:rPr>
          <w:rFonts w:ascii="Arial" w:hAnsi="Arial"/>
          <w:b/>
          <w:bCs/>
          <w:sz w:val="22"/>
          <w:szCs w:val="22"/>
        </w:rPr>
      </w:pPr>
      <w:r w:rsidRPr="00714EB0">
        <w:rPr>
          <w:rFonts w:ascii="Arial" w:hAnsi="Arial"/>
          <w:b/>
          <w:bCs/>
          <w:sz w:val="22"/>
          <w:szCs w:val="22"/>
        </w:rPr>
        <w:t>Accessibility</w:t>
      </w:r>
    </w:p>
    <w:p w14:paraId="5489BAB4" w14:textId="568E7159" w:rsidR="00714EB0" w:rsidRDefault="00714EB0" w:rsidP="00061F37">
      <w:pPr>
        <w:pStyle w:val="DisclaimerTextRight12pt"/>
        <w:framePr w:hSpace="0" w:wrap="auto" w:hAnchor="text" w:yAlign="inline"/>
        <w:spacing w:line="360" w:lineRule="auto"/>
        <w:suppressOverlap w:val="0"/>
        <w:rPr>
          <w:rFonts w:ascii="Arial" w:hAnsi="Arial"/>
          <w:sz w:val="22"/>
          <w:szCs w:val="22"/>
        </w:rPr>
      </w:pPr>
      <w:r w:rsidRPr="00714EB0">
        <w:rPr>
          <w:rFonts w:ascii="Arial" w:hAnsi="Arial"/>
          <w:sz w:val="22"/>
          <w:szCs w:val="22"/>
        </w:rPr>
        <w:t xml:space="preserve">To receive this document in an alternative format, phone the Customer Service Centre on 136 186, email </w:t>
      </w:r>
      <w:hyperlink r:id="rId16" w:history="1">
        <w:r w:rsidRPr="00714EB0">
          <w:rPr>
            <w:rStyle w:val="Hyperlink"/>
            <w:rFonts w:ascii="Arial" w:hAnsi="Arial"/>
            <w:sz w:val="22"/>
            <w:szCs w:val="22"/>
          </w:rPr>
          <w:t>customer.service@deeca.vic.gov.au</w:t>
        </w:r>
      </w:hyperlink>
      <w:r w:rsidRPr="00714EB0">
        <w:rPr>
          <w:rFonts w:ascii="Arial" w:hAnsi="Arial"/>
          <w:sz w:val="22"/>
          <w:szCs w:val="22"/>
        </w:rPr>
        <w:t xml:space="preserve">, or contact National Relay Service on 133 677. Available at </w:t>
      </w:r>
      <w:hyperlink r:id="rId17" w:tooltip="Department of Energy, Environment and Climate Action website" w:history="1">
        <w:r w:rsidRPr="00714EB0">
          <w:rPr>
            <w:rStyle w:val="Hyperlink"/>
            <w:rFonts w:ascii="Arial" w:hAnsi="Arial"/>
            <w:sz w:val="22"/>
            <w:szCs w:val="22"/>
          </w:rPr>
          <w:t>DEECA website</w:t>
        </w:r>
      </w:hyperlink>
      <w:r w:rsidRPr="00714EB0">
        <w:rPr>
          <w:rFonts w:ascii="Arial" w:hAnsi="Arial"/>
          <w:sz w:val="22"/>
          <w:szCs w:val="22"/>
        </w:rPr>
        <w:t xml:space="preserve"> (</w:t>
      </w:r>
      <w:hyperlink r:id="rId18" w:history="1">
        <w:r w:rsidR="009206E7" w:rsidRPr="00602E72">
          <w:rPr>
            <w:rStyle w:val="Hyperlink"/>
            <w:rFonts w:ascii="Arial" w:hAnsi="Arial"/>
            <w:sz w:val="22"/>
            <w:szCs w:val="22"/>
          </w:rPr>
          <w:t>www.deeca.vic.gov.au</w:t>
        </w:r>
      </w:hyperlink>
      <w:r w:rsidRPr="00714EB0">
        <w:rPr>
          <w:rFonts w:ascii="Arial" w:hAnsi="Arial"/>
          <w:sz w:val="22"/>
          <w:szCs w:val="22"/>
        </w:rPr>
        <w:t xml:space="preserve">). </w:t>
      </w:r>
      <w:bookmarkEnd w:id="2"/>
    </w:p>
    <w:p w14:paraId="1BD4AF87" w14:textId="77777777" w:rsidR="009206E7" w:rsidRDefault="009206E7" w:rsidP="00061F37">
      <w:pPr>
        <w:pStyle w:val="DisclaimerTextRight12pt"/>
        <w:framePr w:hSpace="0" w:wrap="auto" w:hAnchor="text" w:yAlign="inline"/>
        <w:spacing w:line="360" w:lineRule="auto"/>
        <w:suppressOverlap w:val="0"/>
        <w:rPr>
          <w:rFonts w:ascii="Arial" w:hAnsi="Arial"/>
          <w:sz w:val="22"/>
          <w:szCs w:val="22"/>
        </w:rPr>
      </w:pPr>
    </w:p>
    <w:p w14:paraId="40017475" w14:textId="77777777" w:rsidR="009206E7" w:rsidRDefault="009206E7" w:rsidP="00061F37">
      <w:pPr>
        <w:pStyle w:val="DisclaimerTextRight12pt"/>
        <w:framePr w:hSpace="0" w:wrap="auto" w:hAnchor="text" w:yAlign="inline"/>
        <w:spacing w:line="360" w:lineRule="auto"/>
        <w:suppressOverlap w:val="0"/>
        <w:rPr>
          <w:rFonts w:ascii="Arial" w:hAnsi="Arial"/>
          <w:sz w:val="22"/>
          <w:szCs w:val="22"/>
        </w:rPr>
      </w:pPr>
    </w:p>
    <w:p w14:paraId="0B006488"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67F45BC8"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41B921BB"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6DD5EC21"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58D47546"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4EEBB262"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524C2374"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651ADB7F"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4F6A3088"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738C8F23"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51BDE68A"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6CE43105"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7F9ECDAA"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10B6C9E0"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63309407"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2C8B828E"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7CD562D0"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3017A902"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31AA0516"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1110E516"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098AA3DD"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3FB4F39A"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37AE9FDF"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1BCEBC2D" w14:textId="77777777" w:rsidR="00DF3EE5" w:rsidRDefault="00DF3EE5" w:rsidP="00061F37">
      <w:pPr>
        <w:pStyle w:val="DisclaimerTextRight12pt"/>
        <w:framePr w:hSpace="0" w:wrap="auto" w:hAnchor="text" w:yAlign="inline"/>
        <w:spacing w:line="360" w:lineRule="auto"/>
        <w:suppressOverlap w:val="0"/>
        <w:rPr>
          <w:rFonts w:ascii="Arial" w:hAnsi="Arial"/>
          <w:sz w:val="22"/>
          <w:szCs w:val="22"/>
        </w:rPr>
      </w:pPr>
    </w:p>
    <w:p w14:paraId="0D488307" w14:textId="77777777" w:rsidR="00DF3EE5" w:rsidRPr="00714EB0" w:rsidRDefault="00DF3EE5" w:rsidP="00061F37">
      <w:pPr>
        <w:pStyle w:val="DisclaimerTextRight12pt"/>
        <w:framePr w:hSpace="0" w:wrap="auto" w:hAnchor="text" w:yAlign="inline"/>
        <w:spacing w:line="360" w:lineRule="auto"/>
        <w:suppressOverlap w:val="0"/>
        <w:rPr>
          <w:rFonts w:ascii="Arial" w:hAnsi="Arial"/>
          <w:sz w:val="22"/>
          <w:szCs w:val="22"/>
        </w:rPr>
      </w:pPr>
    </w:p>
    <w:p w14:paraId="06BC6465" w14:textId="77777777" w:rsidR="00471472" w:rsidRPr="009206E7" w:rsidRDefault="00471472" w:rsidP="00061F37">
      <w:pPr>
        <w:pStyle w:val="TOCHeading"/>
        <w:spacing w:line="360" w:lineRule="auto"/>
        <w:rPr>
          <w:rFonts w:ascii="Arial" w:hAnsi="Arial"/>
          <w:color w:val="auto"/>
        </w:rPr>
      </w:pPr>
      <w:r w:rsidRPr="009206E7">
        <w:rPr>
          <w:rFonts w:ascii="Arial" w:hAnsi="Arial"/>
          <w:color w:val="auto"/>
        </w:rPr>
        <w:t>Contents</w:t>
      </w:r>
      <w:bookmarkStart w:id="3" w:name="_TOCMarker"/>
      <w:bookmarkEnd w:id="3"/>
    </w:p>
    <w:p w14:paraId="04641C62" w14:textId="77777777" w:rsidR="00471472" w:rsidRPr="009206E7" w:rsidRDefault="00471472" w:rsidP="00061F37">
      <w:pPr>
        <w:pStyle w:val="TOC1"/>
        <w:spacing w:line="360" w:lineRule="auto"/>
        <w:rPr>
          <w:rFonts w:ascii="Arial" w:eastAsiaTheme="minorEastAsia" w:hAnsi="Arial"/>
          <w:b w:val="0"/>
          <w:color w:val="auto"/>
          <w:kern w:val="2"/>
          <w:sz w:val="22"/>
          <w:szCs w:val="22"/>
          <w14:ligatures w14:val="standardContextual"/>
        </w:rPr>
      </w:pPr>
      <w:r w:rsidRPr="009206E7">
        <w:rPr>
          <w:rFonts w:ascii="Arial" w:eastAsiaTheme="majorEastAsia" w:hAnsi="Arial"/>
          <w:b w:val="0"/>
          <w:color w:val="auto"/>
          <w:sz w:val="22"/>
          <w:szCs w:val="22"/>
          <w:shd w:val="clear" w:color="auto" w:fill="E6E6E6"/>
        </w:rPr>
        <w:fldChar w:fldCharType="begin"/>
      </w:r>
      <w:r w:rsidRPr="009206E7">
        <w:rPr>
          <w:rFonts w:ascii="Arial" w:eastAsiaTheme="majorEastAsia" w:hAnsi="Arial"/>
          <w:b w:val="0"/>
          <w:color w:val="auto"/>
          <w:sz w:val="22"/>
          <w:szCs w:val="22"/>
        </w:rPr>
        <w:instrText xml:space="preserve"> TOC \o "1-4" \h \z \u \t  </w:instrText>
      </w:r>
      <w:r w:rsidRPr="009206E7">
        <w:rPr>
          <w:rFonts w:ascii="Arial" w:eastAsiaTheme="majorEastAsia" w:hAnsi="Arial"/>
          <w:b w:val="0"/>
          <w:color w:val="auto"/>
          <w:sz w:val="22"/>
          <w:szCs w:val="22"/>
          <w:shd w:val="clear" w:color="auto" w:fill="E6E6E6"/>
        </w:rPr>
        <w:fldChar w:fldCharType="separate"/>
      </w:r>
      <w:hyperlink w:anchor="_Toc163804229" w:history="1">
        <w:r w:rsidRPr="009206E7">
          <w:rPr>
            <w:rStyle w:val="Hyperlink"/>
            <w:rFonts w:ascii="Arial" w:hAnsi="Arial"/>
            <w:color w:val="auto"/>
            <w:sz w:val="22"/>
            <w:szCs w:val="22"/>
          </w:rPr>
          <w:t>Introduction</w:t>
        </w:r>
        <w:r w:rsidRPr="009206E7">
          <w:rPr>
            <w:rFonts w:ascii="Arial" w:hAnsi="Arial"/>
            <w:webHidden/>
            <w:color w:val="auto"/>
            <w:sz w:val="22"/>
            <w:szCs w:val="22"/>
          </w:rPr>
          <w:tab/>
        </w:r>
        <w:r w:rsidRPr="009206E7">
          <w:rPr>
            <w:rFonts w:ascii="Arial" w:hAnsi="Arial"/>
            <w:webHidden/>
            <w:color w:val="auto"/>
            <w:sz w:val="22"/>
            <w:szCs w:val="22"/>
            <w:shd w:val="clear" w:color="auto" w:fill="E6E6E6"/>
          </w:rPr>
          <w:fldChar w:fldCharType="begin"/>
        </w:r>
        <w:r w:rsidRPr="009206E7">
          <w:rPr>
            <w:rFonts w:ascii="Arial" w:hAnsi="Arial"/>
            <w:webHidden/>
            <w:color w:val="auto"/>
            <w:sz w:val="22"/>
            <w:szCs w:val="22"/>
          </w:rPr>
          <w:instrText xml:space="preserve"> PAGEREF _Toc163804229 \h </w:instrText>
        </w:r>
        <w:r w:rsidRPr="009206E7">
          <w:rPr>
            <w:rFonts w:ascii="Arial" w:hAnsi="Arial"/>
            <w:webHidden/>
            <w:color w:val="auto"/>
            <w:sz w:val="22"/>
            <w:szCs w:val="22"/>
            <w:shd w:val="clear" w:color="auto" w:fill="E6E6E6"/>
          </w:rPr>
        </w:r>
        <w:r w:rsidRPr="009206E7">
          <w:rPr>
            <w:rFonts w:ascii="Arial" w:hAnsi="Arial"/>
            <w:webHidden/>
            <w:color w:val="auto"/>
            <w:sz w:val="22"/>
            <w:szCs w:val="22"/>
            <w:shd w:val="clear" w:color="auto" w:fill="E6E6E6"/>
          </w:rPr>
          <w:fldChar w:fldCharType="separate"/>
        </w:r>
        <w:r w:rsidRPr="009206E7">
          <w:rPr>
            <w:rFonts w:ascii="Arial" w:hAnsi="Arial"/>
            <w:webHidden/>
            <w:color w:val="auto"/>
            <w:sz w:val="22"/>
            <w:szCs w:val="22"/>
          </w:rPr>
          <w:t>2</w:t>
        </w:r>
        <w:r w:rsidRPr="009206E7">
          <w:rPr>
            <w:rFonts w:ascii="Arial" w:hAnsi="Arial"/>
            <w:webHidden/>
            <w:color w:val="auto"/>
            <w:sz w:val="22"/>
            <w:szCs w:val="22"/>
            <w:shd w:val="clear" w:color="auto" w:fill="E6E6E6"/>
          </w:rPr>
          <w:fldChar w:fldCharType="end"/>
        </w:r>
      </w:hyperlink>
    </w:p>
    <w:p w14:paraId="0FA19D18" w14:textId="77777777" w:rsidR="00471472" w:rsidRPr="009206E7" w:rsidRDefault="00980A55" w:rsidP="00061F37">
      <w:pPr>
        <w:pStyle w:val="TOC2"/>
        <w:spacing w:line="360" w:lineRule="auto"/>
        <w:rPr>
          <w:rFonts w:ascii="Arial" w:eastAsiaTheme="minorEastAsia" w:hAnsi="Arial"/>
          <w:color w:val="auto"/>
          <w:kern w:val="2"/>
          <w:szCs w:val="22"/>
          <w14:ligatures w14:val="standardContextual"/>
        </w:rPr>
      </w:pPr>
      <w:hyperlink w:anchor="_Toc163804230" w:history="1">
        <w:r w:rsidR="00471472" w:rsidRPr="009206E7">
          <w:rPr>
            <w:rStyle w:val="Hyperlink"/>
            <w:rFonts w:ascii="Arial" w:hAnsi="Arial"/>
            <w:color w:val="auto"/>
            <w:szCs w:val="22"/>
          </w:rPr>
          <w:t>Purpose of these guidelines</w:t>
        </w:r>
        <w:r w:rsidR="00471472" w:rsidRPr="009206E7">
          <w:rPr>
            <w:rFonts w:ascii="Arial" w:hAnsi="Arial"/>
            <w:webHidden/>
            <w:color w:val="auto"/>
            <w:szCs w:val="22"/>
          </w:rPr>
          <w:tab/>
        </w:r>
        <w:r w:rsidR="00471472" w:rsidRPr="009206E7">
          <w:rPr>
            <w:rFonts w:ascii="Arial" w:hAnsi="Arial"/>
            <w:webHidden/>
            <w:color w:val="auto"/>
            <w:szCs w:val="22"/>
            <w:shd w:val="clear" w:color="auto" w:fill="E6E6E6"/>
          </w:rPr>
          <w:fldChar w:fldCharType="begin"/>
        </w:r>
        <w:r w:rsidR="00471472" w:rsidRPr="009206E7">
          <w:rPr>
            <w:rFonts w:ascii="Arial" w:hAnsi="Arial"/>
            <w:webHidden/>
            <w:color w:val="auto"/>
            <w:szCs w:val="22"/>
          </w:rPr>
          <w:instrText xml:space="preserve"> PAGEREF _Toc163804230 \h </w:instrText>
        </w:r>
        <w:r w:rsidR="00471472" w:rsidRPr="009206E7">
          <w:rPr>
            <w:rFonts w:ascii="Arial" w:hAnsi="Arial"/>
            <w:webHidden/>
            <w:color w:val="auto"/>
            <w:szCs w:val="22"/>
            <w:shd w:val="clear" w:color="auto" w:fill="E6E6E6"/>
          </w:rPr>
        </w:r>
        <w:r w:rsidR="00471472" w:rsidRPr="009206E7">
          <w:rPr>
            <w:rFonts w:ascii="Arial" w:hAnsi="Arial"/>
            <w:webHidden/>
            <w:color w:val="auto"/>
            <w:szCs w:val="22"/>
            <w:shd w:val="clear" w:color="auto" w:fill="E6E6E6"/>
          </w:rPr>
          <w:fldChar w:fldCharType="separate"/>
        </w:r>
        <w:r w:rsidR="00471472" w:rsidRPr="009206E7">
          <w:rPr>
            <w:rFonts w:ascii="Arial" w:hAnsi="Arial"/>
            <w:webHidden/>
            <w:color w:val="auto"/>
            <w:szCs w:val="22"/>
          </w:rPr>
          <w:t>2</w:t>
        </w:r>
        <w:r w:rsidR="00471472" w:rsidRPr="009206E7">
          <w:rPr>
            <w:rFonts w:ascii="Arial" w:hAnsi="Arial"/>
            <w:webHidden/>
            <w:color w:val="auto"/>
            <w:szCs w:val="22"/>
            <w:shd w:val="clear" w:color="auto" w:fill="E6E6E6"/>
          </w:rPr>
          <w:fldChar w:fldCharType="end"/>
        </w:r>
      </w:hyperlink>
    </w:p>
    <w:p w14:paraId="46144BC1" w14:textId="77777777" w:rsidR="00471472" w:rsidRPr="009206E7" w:rsidRDefault="00980A55" w:rsidP="00061F37">
      <w:pPr>
        <w:pStyle w:val="TOC2"/>
        <w:spacing w:line="360" w:lineRule="auto"/>
        <w:rPr>
          <w:rFonts w:ascii="Arial" w:eastAsiaTheme="minorEastAsia" w:hAnsi="Arial"/>
          <w:color w:val="auto"/>
          <w:kern w:val="2"/>
          <w:szCs w:val="22"/>
          <w14:ligatures w14:val="standardContextual"/>
        </w:rPr>
      </w:pPr>
      <w:hyperlink w:anchor="_Toc163804231" w:history="1">
        <w:r w:rsidR="00471472" w:rsidRPr="009206E7">
          <w:rPr>
            <w:rStyle w:val="Hyperlink"/>
            <w:rFonts w:ascii="Arial" w:hAnsi="Arial"/>
            <w:color w:val="auto"/>
            <w:szCs w:val="22"/>
          </w:rPr>
          <w:t>Context</w:t>
        </w:r>
        <w:r w:rsidR="00471472" w:rsidRPr="009206E7">
          <w:rPr>
            <w:rFonts w:ascii="Arial" w:hAnsi="Arial"/>
            <w:webHidden/>
            <w:color w:val="auto"/>
            <w:szCs w:val="22"/>
          </w:rPr>
          <w:tab/>
        </w:r>
        <w:r w:rsidR="00471472" w:rsidRPr="009206E7">
          <w:rPr>
            <w:rFonts w:ascii="Arial" w:hAnsi="Arial"/>
            <w:webHidden/>
            <w:color w:val="auto"/>
            <w:szCs w:val="22"/>
            <w:shd w:val="clear" w:color="auto" w:fill="E6E6E6"/>
          </w:rPr>
          <w:fldChar w:fldCharType="begin"/>
        </w:r>
        <w:r w:rsidR="00471472" w:rsidRPr="009206E7">
          <w:rPr>
            <w:rFonts w:ascii="Arial" w:hAnsi="Arial"/>
            <w:webHidden/>
            <w:color w:val="auto"/>
            <w:szCs w:val="22"/>
          </w:rPr>
          <w:instrText xml:space="preserve"> PAGEREF _Toc163804231 \h </w:instrText>
        </w:r>
        <w:r w:rsidR="00471472" w:rsidRPr="009206E7">
          <w:rPr>
            <w:rFonts w:ascii="Arial" w:hAnsi="Arial"/>
            <w:webHidden/>
            <w:color w:val="auto"/>
            <w:szCs w:val="22"/>
            <w:shd w:val="clear" w:color="auto" w:fill="E6E6E6"/>
          </w:rPr>
        </w:r>
        <w:r w:rsidR="00471472" w:rsidRPr="009206E7">
          <w:rPr>
            <w:rFonts w:ascii="Arial" w:hAnsi="Arial"/>
            <w:webHidden/>
            <w:color w:val="auto"/>
            <w:szCs w:val="22"/>
            <w:shd w:val="clear" w:color="auto" w:fill="E6E6E6"/>
          </w:rPr>
          <w:fldChar w:fldCharType="separate"/>
        </w:r>
        <w:r w:rsidR="00471472" w:rsidRPr="009206E7">
          <w:rPr>
            <w:rFonts w:ascii="Arial" w:hAnsi="Arial"/>
            <w:webHidden/>
            <w:color w:val="auto"/>
            <w:szCs w:val="22"/>
          </w:rPr>
          <w:t>2</w:t>
        </w:r>
        <w:r w:rsidR="00471472" w:rsidRPr="009206E7">
          <w:rPr>
            <w:rFonts w:ascii="Arial" w:hAnsi="Arial"/>
            <w:webHidden/>
            <w:color w:val="auto"/>
            <w:szCs w:val="22"/>
            <w:shd w:val="clear" w:color="auto" w:fill="E6E6E6"/>
          </w:rPr>
          <w:fldChar w:fldCharType="end"/>
        </w:r>
      </w:hyperlink>
    </w:p>
    <w:p w14:paraId="13AB0122" w14:textId="77777777" w:rsidR="00471472" w:rsidRPr="009206E7" w:rsidRDefault="00980A55" w:rsidP="00061F37">
      <w:pPr>
        <w:pStyle w:val="TOC3"/>
        <w:spacing w:line="360" w:lineRule="auto"/>
        <w:rPr>
          <w:rFonts w:ascii="Arial" w:hAnsi="Arial" w:cs="Arial"/>
          <w:b w:val="0"/>
          <w:color w:val="auto"/>
          <w:kern w:val="2"/>
          <w:sz w:val="22"/>
          <w:szCs w:val="22"/>
          <w14:ligatures w14:val="standardContextual"/>
        </w:rPr>
      </w:pPr>
      <w:hyperlink w:anchor="_Toc163804232" w:history="1">
        <w:r w:rsidR="00471472" w:rsidRPr="009206E7">
          <w:rPr>
            <w:rStyle w:val="Hyperlink"/>
            <w:rFonts w:ascii="Arial" w:hAnsi="Arial" w:cs="Arial"/>
            <w:color w:val="auto"/>
            <w:sz w:val="22"/>
            <w:szCs w:val="22"/>
          </w:rPr>
          <w:t>Catchment and Land Protection Act 1994</w:t>
        </w:r>
        <w:r w:rsidR="00471472" w:rsidRPr="009206E7">
          <w:rPr>
            <w:rFonts w:ascii="Arial" w:hAnsi="Arial" w:cs="Arial"/>
            <w:webHidden/>
            <w:color w:val="auto"/>
            <w:sz w:val="22"/>
            <w:szCs w:val="22"/>
          </w:rPr>
          <w:tab/>
        </w:r>
        <w:r w:rsidR="00471472" w:rsidRPr="009206E7">
          <w:rPr>
            <w:rFonts w:ascii="Arial" w:hAnsi="Arial" w:cs="Arial"/>
            <w:webHidden/>
            <w:color w:val="auto"/>
            <w:sz w:val="22"/>
            <w:szCs w:val="22"/>
            <w:shd w:val="clear" w:color="auto" w:fill="E6E6E6"/>
          </w:rPr>
          <w:fldChar w:fldCharType="begin"/>
        </w:r>
        <w:r w:rsidR="00471472" w:rsidRPr="009206E7">
          <w:rPr>
            <w:rFonts w:ascii="Arial" w:hAnsi="Arial" w:cs="Arial"/>
            <w:webHidden/>
            <w:color w:val="auto"/>
            <w:sz w:val="22"/>
            <w:szCs w:val="22"/>
          </w:rPr>
          <w:instrText xml:space="preserve"> PAGEREF _Toc163804232 \h </w:instrText>
        </w:r>
        <w:r w:rsidR="00471472" w:rsidRPr="009206E7">
          <w:rPr>
            <w:rFonts w:ascii="Arial" w:hAnsi="Arial" w:cs="Arial"/>
            <w:webHidden/>
            <w:color w:val="auto"/>
            <w:sz w:val="22"/>
            <w:szCs w:val="22"/>
            <w:shd w:val="clear" w:color="auto" w:fill="E6E6E6"/>
          </w:rPr>
        </w:r>
        <w:r w:rsidR="00471472" w:rsidRPr="009206E7">
          <w:rPr>
            <w:rFonts w:ascii="Arial" w:hAnsi="Arial" w:cs="Arial"/>
            <w:webHidden/>
            <w:color w:val="auto"/>
            <w:sz w:val="22"/>
            <w:szCs w:val="22"/>
            <w:shd w:val="clear" w:color="auto" w:fill="E6E6E6"/>
          </w:rPr>
          <w:fldChar w:fldCharType="separate"/>
        </w:r>
        <w:r w:rsidR="00471472" w:rsidRPr="009206E7">
          <w:rPr>
            <w:rFonts w:ascii="Arial" w:hAnsi="Arial" w:cs="Arial"/>
            <w:webHidden/>
            <w:color w:val="auto"/>
            <w:sz w:val="22"/>
            <w:szCs w:val="22"/>
          </w:rPr>
          <w:t>2</w:t>
        </w:r>
        <w:r w:rsidR="00471472" w:rsidRPr="009206E7">
          <w:rPr>
            <w:rFonts w:ascii="Arial" w:hAnsi="Arial" w:cs="Arial"/>
            <w:webHidden/>
            <w:color w:val="auto"/>
            <w:sz w:val="22"/>
            <w:szCs w:val="22"/>
            <w:shd w:val="clear" w:color="auto" w:fill="E6E6E6"/>
          </w:rPr>
          <w:fldChar w:fldCharType="end"/>
        </w:r>
      </w:hyperlink>
    </w:p>
    <w:p w14:paraId="22573CE9" w14:textId="77777777" w:rsidR="00471472" w:rsidRPr="009206E7" w:rsidRDefault="00980A55" w:rsidP="00061F37">
      <w:pPr>
        <w:pStyle w:val="TOC3"/>
        <w:spacing w:line="360" w:lineRule="auto"/>
        <w:rPr>
          <w:rFonts w:ascii="Arial" w:hAnsi="Arial" w:cs="Arial"/>
          <w:b w:val="0"/>
          <w:color w:val="auto"/>
          <w:kern w:val="2"/>
          <w:sz w:val="22"/>
          <w:szCs w:val="22"/>
          <w14:ligatures w14:val="standardContextual"/>
        </w:rPr>
      </w:pPr>
      <w:hyperlink w:anchor="_Toc163804233" w:history="1">
        <w:r w:rsidR="00471472" w:rsidRPr="009206E7">
          <w:rPr>
            <w:rStyle w:val="Hyperlink"/>
            <w:rFonts w:ascii="Arial" w:hAnsi="Arial" w:cs="Arial"/>
            <w:color w:val="auto"/>
            <w:sz w:val="22"/>
            <w:szCs w:val="22"/>
          </w:rPr>
          <w:t>Current Special Water Supply Catchment Areas</w:t>
        </w:r>
        <w:r w:rsidR="00471472" w:rsidRPr="009206E7">
          <w:rPr>
            <w:rFonts w:ascii="Arial" w:hAnsi="Arial" w:cs="Arial"/>
            <w:webHidden/>
            <w:color w:val="auto"/>
            <w:sz w:val="22"/>
            <w:szCs w:val="22"/>
          </w:rPr>
          <w:tab/>
        </w:r>
        <w:r w:rsidR="00471472" w:rsidRPr="009206E7">
          <w:rPr>
            <w:rFonts w:ascii="Arial" w:hAnsi="Arial" w:cs="Arial"/>
            <w:webHidden/>
            <w:color w:val="auto"/>
            <w:sz w:val="22"/>
            <w:szCs w:val="22"/>
            <w:shd w:val="clear" w:color="auto" w:fill="E6E6E6"/>
          </w:rPr>
          <w:fldChar w:fldCharType="begin"/>
        </w:r>
        <w:r w:rsidR="00471472" w:rsidRPr="009206E7">
          <w:rPr>
            <w:rFonts w:ascii="Arial" w:hAnsi="Arial" w:cs="Arial"/>
            <w:webHidden/>
            <w:color w:val="auto"/>
            <w:sz w:val="22"/>
            <w:szCs w:val="22"/>
          </w:rPr>
          <w:instrText xml:space="preserve"> PAGEREF _Toc163804233 \h </w:instrText>
        </w:r>
        <w:r w:rsidR="00471472" w:rsidRPr="009206E7">
          <w:rPr>
            <w:rFonts w:ascii="Arial" w:hAnsi="Arial" w:cs="Arial"/>
            <w:webHidden/>
            <w:color w:val="auto"/>
            <w:sz w:val="22"/>
            <w:szCs w:val="22"/>
            <w:shd w:val="clear" w:color="auto" w:fill="E6E6E6"/>
          </w:rPr>
        </w:r>
        <w:r w:rsidR="00471472" w:rsidRPr="009206E7">
          <w:rPr>
            <w:rFonts w:ascii="Arial" w:hAnsi="Arial" w:cs="Arial"/>
            <w:webHidden/>
            <w:color w:val="auto"/>
            <w:sz w:val="22"/>
            <w:szCs w:val="22"/>
            <w:shd w:val="clear" w:color="auto" w:fill="E6E6E6"/>
          </w:rPr>
          <w:fldChar w:fldCharType="separate"/>
        </w:r>
        <w:r w:rsidR="00471472" w:rsidRPr="009206E7">
          <w:rPr>
            <w:rFonts w:ascii="Arial" w:hAnsi="Arial" w:cs="Arial"/>
            <w:webHidden/>
            <w:color w:val="auto"/>
            <w:sz w:val="22"/>
            <w:szCs w:val="22"/>
          </w:rPr>
          <w:t>2</w:t>
        </w:r>
        <w:r w:rsidR="00471472" w:rsidRPr="009206E7">
          <w:rPr>
            <w:rFonts w:ascii="Arial" w:hAnsi="Arial" w:cs="Arial"/>
            <w:webHidden/>
            <w:color w:val="auto"/>
            <w:sz w:val="22"/>
            <w:szCs w:val="22"/>
            <w:shd w:val="clear" w:color="auto" w:fill="E6E6E6"/>
          </w:rPr>
          <w:fldChar w:fldCharType="end"/>
        </w:r>
      </w:hyperlink>
    </w:p>
    <w:p w14:paraId="07C87C08" w14:textId="77777777" w:rsidR="00471472" w:rsidRPr="009206E7" w:rsidRDefault="00980A55" w:rsidP="00061F37">
      <w:pPr>
        <w:pStyle w:val="TOC2"/>
        <w:spacing w:line="360" w:lineRule="auto"/>
        <w:rPr>
          <w:rFonts w:ascii="Arial" w:eastAsiaTheme="minorEastAsia" w:hAnsi="Arial"/>
          <w:color w:val="auto"/>
          <w:kern w:val="2"/>
          <w:szCs w:val="22"/>
          <w14:ligatures w14:val="standardContextual"/>
        </w:rPr>
      </w:pPr>
      <w:hyperlink w:anchor="_Toc163804234" w:history="1">
        <w:r w:rsidR="00471472" w:rsidRPr="009206E7">
          <w:rPr>
            <w:rStyle w:val="Hyperlink"/>
            <w:rFonts w:ascii="Arial" w:hAnsi="Arial"/>
            <w:color w:val="auto"/>
            <w:szCs w:val="22"/>
          </w:rPr>
          <w:t>Process to declare, amend or revoke a Special Water Supply Catchment Area</w:t>
        </w:r>
        <w:r w:rsidR="00471472" w:rsidRPr="009206E7">
          <w:rPr>
            <w:rFonts w:ascii="Arial" w:hAnsi="Arial"/>
            <w:webHidden/>
            <w:color w:val="auto"/>
            <w:szCs w:val="22"/>
          </w:rPr>
          <w:tab/>
        </w:r>
        <w:r w:rsidR="00471472" w:rsidRPr="009206E7">
          <w:rPr>
            <w:rFonts w:ascii="Arial" w:hAnsi="Arial"/>
            <w:webHidden/>
            <w:color w:val="auto"/>
            <w:szCs w:val="22"/>
            <w:shd w:val="clear" w:color="auto" w:fill="E6E6E6"/>
          </w:rPr>
          <w:fldChar w:fldCharType="begin"/>
        </w:r>
        <w:r w:rsidR="00471472" w:rsidRPr="009206E7">
          <w:rPr>
            <w:rFonts w:ascii="Arial" w:hAnsi="Arial"/>
            <w:webHidden/>
            <w:color w:val="auto"/>
            <w:szCs w:val="22"/>
          </w:rPr>
          <w:instrText xml:space="preserve"> PAGEREF _Toc163804234 \h </w:instrText>
        </w:r>
        <w:r w:rsidR="00471472" w:rsidRPr="009206E7">
          <w:rPr>
            <w:rFonts w:ascii="Arial" w:hAnsi="Arial"/>
            <w:webHidden/>
            <w:color w:val="auto"/>
            <w:szCs w:val="22"/>
            <w:shd w:val="clear" w:color="auto" w:fill="E6E6E6"/>
          </w:rPr>
        </w:r>
        <w:r w:rsidR="00471472" w:rsidRPr="009206E7">
          <w:rPr>
            <w:rFonts w:ascii="Arial" w:hAnsi="Arial"/>
            <w:webHidden/>
            <w:color w:val="auto"/>
            <w:szCs w:val="22"/>
            <w:shd w:val="clear" w:color="auto" w:fill="E6E6E6"/>
          </w:rPr>
          <w:fldChar w:fldCharType="separate"/>
        </w:r>
        <w:r w:rsidR="00471472" w:rsidRPr="009206E7">
          <w:rPr>
            <w:rFonts w:ascii="Arial" w:hAnsi="Arial"/>
            <w:webHidden/>
            <w:color w:val="auto"/>
            <w:szCs w:val="22"/>
          </w:rPr>
          <w:t>3</w:t>
        </w:r>
        <w:r w:rsidR="00471472" w:rsidRPr="009206E7">
          <w:rPr>
            <w:rFonts w:ascii="Arial" w:hAnsi="Arial"/>
            <w:webHidden/>
            <w:color w:val="auto"/>
            <w:szCs w:val="22"/>
            <w:shd w:val="clear" w:color="auto" w:fill="E6E6E6"/>
          </w:rPr>
          <w:fldChar w:fldCharType="end"/>
        </w:r>
      </w:hyperlink>
    </w:p>
    <w:p w14:paraId="314AFA07" w14:textId="77777777" w:rsidR="00471472" w:rsidRPr="009206E7" w:rsidRDefault="00980A55" w:rsidP="00061F37">
      <w:pPr>
        <w:pStyle w:val="TOC2"/>
        <w:spacing w:line="360" w:lineRule="auto"/>
        <w:rPr>
          <w:rFonts w:ascii="Arial" w:eastAsiaTheme="minorEastAsia" w:hAnsi="Arial"/>
          <w:color w:val="auto"/>
          <w:kern w:val="2"/>
          <w:szCs w:val="22"/>
          <w14:ligatures w14:val="standardContextual"/>
        </w:rPr>
      </w:pPr>
      <w:hyperlink w:anchor="_Toc163804235" w:history="1">
        <w:r w:rsidR="00471472" w:rsidRPr="009206E7">
          <w:rPr>
            <w:rStyle w:val="Hyperlink"/>
            <w:rFonts w:ascii="Arial" w:hAnsi="Arial"/>
            <w:color w:val="auto"/>
            <w:szCs w:val="22"/>
          </w:rPr>
          <w:t>Roles and responsibilities</w:t>
        </w:r>
        <w:r w:rsidR="00471472" w:rsidRPr="009206E7">
          <w:rPr>
            <w:rFonts w:ascii="Arial" w:hAnsi="Arial"/>
            <w:webHidden/>
            <w:color w:val="auto"/>
            <w:szCs w:val="22"/>
          </w:rPr>
          <w:tab/>
        </w:r>
        <w:r w:rsidR="00471472" w:rsidRPr="009206E7">
          <w:rPr>
            <w:rFonts w:ascii="Arial" w:hAnsi="Arial"/>
            <w:webHidden/>
            <w:color w:val="auto"/>
            <w:szCs w:val="22"/>
            <w:shd w:val="clear" w:color="auto" w:fill="E6E6E6"/>
          </w:rPr>
          <w:fldChar w:fldCharType="begin"/>
        </w:r>
        <w:r w:rsidR="00471472" w:rsidRPr="009206E7">
          <w:rPr>
            <w:rFonts w:ascii="Arial" w:hAnsi="Arial"/>
            <w:webHidden/>
            <w:color w:val="auto"/>
            <w:szCs w:val="22"/>
          </w:rPr>
          <w:instrText xml:space="preserve"> PAGEREF _Toc163804235 \h </w:instrText>
        </w:r>
        <w:r w:rsidR="00471472" w:rsidRPr="009206E7">
          <w:rPr>
            <w:rFonts w:ascii="Arial" w:hAnsi="Arial"/>
            <w:webHidden/>
            <w:color w:val="auto"/>
            <w:szCs w:val="22"/>
            <w:shd w:val="clear" w:color="auto" w:fill="E6E6E6"/>
          </w:rPr>
        </w:r>
        <w:r w:rsidR="00471472" w:rsidRPr="009206E7">
          <w:rPr>
            <w:rFonts w:ascii="Arial" w:hAnsi="Arial"/>
            <w:webHidden/>
            <w:color w:val="auto"/>
            <w:szCs w:val="22"/>
            <w:shd w:val="clear" w:color="auto" w:fill="E6E6E6"/>
          </w:rPr>
          <w:fldChar w:fldCharType="separate"/>
        </w:r>
        <w:r w:rsidR="00471472" w:rsidRPr="009206E7">
          <w:rPr>
            <w:rFonts w:ascii="Arial" w:hAnsi="Arial"/>
            <w:webHidden/>
            <w:color w:val="auto"/>
            <w:szCs w:val="22"/>
          </w:rPr>
          <w:t>3</w:t>
        </w:r>
        <w:r w:rsidR="00471472" w:rsidRPr="009206E7">
          <w:rPr>
            <w:rFonts w:ascii="Arial" w:hAnsi="Arial"/>
            <w:webHidden/>
            <w:color w:val="auto"/>
            <w:szCs w:val="22"/>
            <w:shd w:val="clear" w:color="auto" w:fill="E6E6E6"/>
          </w:rPr>
          <w:fldChar w:fldCharType="end"/>
        </w:r>
      </w:hyperlink>
    </w:p>
    <w:p w14:paraId="24669E16" w14:textId="77777777" w:rsidR="00471472" w:rsidRPr="009206E7" w:rsidRDefault="00980A55" w:rsidP="00061F37">
      <w:pPr>
        <w:pStyle w:val="TOC3"/>
        <w:spacing w:line="360" w:lineRule="auto"/>
        <w:rPr>
          <w:rFonts w:ascii="Arial" w:hAnsi="Arial" w:cs="Arial"/>
          <w:b w:val="0"/>
          <w:color w:val="auto"/>
          <w:kern w:val="2"/>
          <w:sz w:val="22"/>
          <w:szCs w:val="22"/>
          <w14:ligatures w14:val="standardContextual"/>
        </w:rPr>
      </w:pPr>
      <w:hyperlink w:anchor="_Toc163804236" w:history="1">
        <w:r w:rsidR="00471472" w:rsidRPr="009206E7">
          <w:rPr>
            <w:rStyle w:val="Hyperlink"/>
            <w:rFonts w:ascii="Arial" w:hAnsi="Arial" w:cs="Arial"/>
            <w:color w:val="auto"/>
            <w:sz w:val="22"/>
            <w:szCs w:val="22"/>
          </w:rPr>
          <w:t>The Need, Rationale &amp; Evidence</w:t>
        </w:r>
        <w:r w:rsidR="00471472" w:rsidRPr="009206E7">
          <w:rPr>
            <w:rFonts w:ascii="Arial" w:hAnsi="Arial" w:cs="Arial"/>
            <w:webHidden/>
            <w:color w:val="auto"/>
            <w:sz w:val="22"/>
            <w:szCs w:val="22"/>
          </w:rPr>
          <w:tab/>
        </w:r>
        <w:r w:rsidR="00471472" w:rsidRPr="009206E7">
          <w:rPr>
            <w:rFonts w:ascii="Arial" w:hAnsi="Arial" w:cs="Arial"/>
            <w:webHidden/>
            <w:color w:val="auto"/>
            <w:sz w:val="22"/>
            <w:szCs w:val="22"/>
            <w:shd w:val="clear" w:color="auto" w:fill="E6E6E6"/>
          </w:rPr>
          <w:fldChar w:fldCharType="begin"/>
        </w:r>
        <w:r w:rsidR="00471472" w:rsidRPr="009206E7">
          <w:rPr>
            <w:rFonts w:ascii="Arial" w:hAnsi="Arial" w:cs="Arial"/>
            <w:webHidden/>
            <w:color w:val="auto"/>
            <w:sz w:val="22"/>
            <w:szCs w:val="22"/>
          </w:rPr>
          <w:instrText xml:space="preserve"> PAGEREF _Toc163804236 \h </w:instrText>
        </w:r>
        <w:r w:rsidR="00471472" w:rsidRPr="009206E7">
          <w:rPr>
            <w:rFonts w:ascii="Arial" w:hAnsi="Arial" w:cs="Arial"/>
            <w:webHidden/>
            <w:color w:val="auto"/>
            <w:sz w:val="22"/>
            <w:szCs w:val="22"/>
            <w:shd w:val="clear" w:color="auto" w:fill="E6E6E6"/>
          </w:rPr>
        </w:r>
        <w:r w:rsidR="00471472" w:rsidRPr="009206E7">
          <w:rPr>
            <w:rFonts w:ascii="Arial" w:hAnsi="Arial" w:cs="Arial"/>
            <w:webHidden/>
            <w:color w:val="auto"/>
            <w:sz w:val="22"/>
            <w:szCs w:val="22"/>
            <w:shd w:val="clear" w:color="auto" w:fill="E6E6E6"/>
          </w:rPr>
          <w:fldChar w:fldCharType="separate"/>
        </w:r>
        <w:r w:rsidR="00471472" w:rsidRPr="009206E7">
          <w:rPr>
            <w:rFonts w:ascii="Arial" w:hAnsi="Arial" w:cs="Arial"/>
            <w:webHidden/>
            <w:color w:val="auto"/>
            <w:sz w:val="22"/>
            <w:szCs w:val="22"/>
          </w:rPr>
          <w:t>3</w:t>
        </w:r>
        <w:r w:rsidR="00471472" w:rsidRPr="009206E7">
          <w:rPr>
            <w:rFonts w:ascii="Arial" w:hAnsi="Arial" w:cs="Arial"/>
            <w:webHidden/>
            <w:color w:val="auto"/>
            <w:sz w:val="22"/>
            <w:szCs w:val="22"/>
            <w:shd w:val="clear" w:color="auto" w:fill="E6E6E6"/>
          </w:rPr>
          <w:fldChar w:fldCharType="end"/>
        </w:r>
      </w:hyperlink>
    </w:p>
    <w:p w14:paraId="0FCB66AC" w14:textId="77777777" w:rsidR="00471472" w:rsidRPr="009206E7" w:rsidRDefault="00980A55" w:rsidP="00061F37">
      <w:pPr>
        <w:pStyle w:val="TOC3"/>
        <w:spacing w:line="360" w:lineRule="auto"/>
        <w:rPr>
          <w:rFonts w:ascii="Arial" w:hAnsi="Arial" w:cs="Arial"/>
          <w:b w:val="0"/>
          <w:color w:val="auto"/>
          <w:kern w:val="2"/>
          <w:sz w:val="22"/>
          <w:szCs w:val="22"/>
          <w14:ligatures w14:val="standardContextual"/>
        </w:rPr>
      </w:pPr>
      <w:hyperlink w:anchor="_Toc163804237" w:history="1">
        <w:r w:rsidR="00471472" w:rsidRPr="009206E7">
          <w:rPr>
            <w:rStyle w:val="Hyperlink"/>
            <w:rFonts w:ascii="Arial" w:hAnsi="Arial" w:cs="Arial"/>
            <w:color w:val="auto"/>
            <w:sz w:val="22"/>
            <w:szCs w:val="22"/>
          </w:rPr>
          <w:t>Recommendation</w:t>
        </w:r>
        <w:r w:rsidR="00471472" w:rsidRPr="009206E7">
          <w:rPr>
            <w:rFonts w:ascii="Arial" w:hAnsi="Arial" w:cs="Arial"/>
            <w:webHidden/>
            <w:color w:val="auto"/>
            <w:sz w:val="22"/>
            <w:szCs w:val="22"/>
          </w:rPr>
          <w:tab/>
        </w:r>
        <w:r w:rsidR="00471472" w:rsidRPr="009206E7">
          <w:rPr>
            <w:rFonts w:ascii="Arial" w:hAnsi="Arial" w:cs="Arial"/>
            <w:webHidden/>
            <w:color w:val="auto"/>
            <w:sz w:val="22"/>
            <w:szCs w:val="22"/>
            <w:shd w:val="clear" w:color="auto" w:fill="E6E6E6"/>
          </w:rPr>
          <w:fldChar w:fldCharType="begin"/>
        </w:r>
        <w:r w:rsidR="00471472" w:rsidRPr="009206E7">
          <w:rPr>
            <w:rFonts w:ascii="Arial" w:hAnsi="Arial" w:cs="Arial"/>
            <w:webHidden/>
            <w:color w:val="auto"/>
            <w:sz w:val="22"/>
            <w:szCs w:val="22"/>
          </w:rPr>
          <w:instrText xml:space="preserve"> PAGEREF _Toc163804237 \h </w:instrText>
        </w:r>
        <w:r w:rsidR="00471472" w:rsidRPr="009206E7">
          <w:rPr>
            <w:rFonts w:ascii="Arial" w:hAnsi="Arial" w:cs="Arial"/>
            <w:webHidden/>
            <w:color w:val="auto"/>
            <w:sz w:val="22"/>
            <w:szCs w:val="22"/>
            <w:shd w:val="clear" w:color="auto" w:fill="E6E6E6"/>
          </w:rPr>
        </w:r>
        <w:r w:rsidR="00471472" w:rsidRPr="009206E7">
          <w:rPr>
            <w:rFonts w:ascii="Arial" w:hAnsi="Arial" w:cs="Arial"/>
            <w:webHidden/>
            <w:color w:val="auto"/>
            <w:sz w:val="22"/>
            <w:szCs w:val="22"/>
            <w:shd w:val="clear" w:color="auto" w:fill="E6E6E6"/>
          </w:rPr>
          <w:fldChar w:fldCharType="separate"/>
        </w:r>
        <w:r w:rsidR="00471472" w:rsidRPr="009206E7">
          <w:rPr>
            <w:rFonts w:ascii="Arial" w:hAnsi="Arial" w:cs="Arial"/>
            <w:webHidden/>
            <w:color w:val="auto"/>
            <w:sz w:val="22"/>
            <w:szCs w:val="22"/>
          </w:rPr>
          <w:t>4</w:t>
        </w:r>
        <w:r w:rsidR="00471472" w:rsidRPr="009206E7">
          <w:rPr>
            <w:rFonts w:ascii="Arial" w:hAnsi="Arial" w:cs="Arial"/>
            <w:webHidden/>
            <w:color w:val="auto"/>
            <w:sz w:val="22"/>
            <w:szCs w:val="22"/>
            <w:shd w:val="clear" w:color="auto" w:fill="E6E6E6"/>
          </w:rPr>
          <w:fldChar w:fldCharType="end"/>
        </w:r>
      </w:hyperlink>
    </w:p>
    <w:p w14:paraId="092E7C33" w14:textId="77777777" w:rsidR="00471472" w:rsidRPr="009206E7" w:rsidRDefault="00980A55" w:rsidP="00061F37">
      <w:pPr>
        <w:pStyle w:val="TOC3"/>
        <w:spacing w:line="360" w:lineRule="auto"/>
        <w:rPr>
          <w:rFonts w:ascii="Arial" w:hAnsi="Arial" w:cs="Arial"/>
          <w:b w:val="0"/>
          <w:color w:val="auto"/>
          <w:kern w:val="2"/>
          <w:sz w:val="22"/>
          <w:szCs w:val="22"/>
          <w14:ligatures w14:val="standardContextual"/>
        </w:rPr>
      </w:pPr>
      <w:hyperlink w:anchor="_Toc163804238" w:history="1">
        <w:r w:rsidR="00471472" w:rsidRPr="009206E7">
          <w:rPr>
            <w:rStyle w:val="Hyperlink"/>
            <w:rFonts w:ascii="Arial" w:hAnsi="Arial" w:cs="Arial"/>
            <w:color w:val="auto"/>
            <w:sz w:val="22"/>
            <w:szCs w:val="22"/>
          </w:rPr>
          <w:t>Decision</w:t>
        </w:r>
        <w:r w:rsidR="00471472" w:rsidRPr="009206E7">
          <w:rPr>
            <w:rFonts w:ascii="Arial" w:hAnsi="Arial" w:cs="Arial"/>
            <w:webHidden/>
            <w:color w:val="auto"/>
            <w:sz w:val="22"/>
            <w:szCs w:val="22"/>
          </w:rPr>
          <w:tab/>
        </w:r>
        <w:r w:rsidR="00471472" w:rsidRPr="009206E7">
          <w:rPr>
            <w:rFonts w:ascii="Arial" w:hAnsi="Arial" w:cs="Arial"/>
            <w:webHidden/>
            <w:color w:val="auto"/>
            <w:sz w:val="22"/>
            <w:szCs w:val="22"/>
            <w:shd w:val="clear" w:color="auto" w:fill="E6E6E6"/>
          </w:rPr>
          <w:fldChar w:fldCharType="begin"/>
        </w:r>
        <w:r w:rsidR="00471472" w:rsidRPr="009206E7">
          <w:rPr>
            <w:rFonts w:ascii="Arial" w:hAnsi="Arial" w:cs="Arial"/>
            <w:webHidden/>
            <w:color w:val="auto"/>
            <w:sz w:val="22"/>
            <w:szCs w:val="22"/>
          </w:rPr>
          <w:instrText xml:space="preserve"> PAGEREF _Toc163804238 \h </w:instrText>
        </w:r>
        <w:r w:rsidR="00471472" w:rsidRPr="009206E7">
          <w:rPr>
            <w:rFonts w:ascii="Arial" w:hAnsi="Arial" w:cs="Arial"/>
            <w:webHidden/>
            <w:color w:val="auto"/>
            <w:sz w:val="22"/>
            <w:szCs w:val="22"/>
            <w:shd w:val="clear" w:color="auto" w:fill="E6E6E6"/>
          </w:rPr>
        </w:r>
        <w:r w:rsidR="00471472" w:rsidRPr="009206E7">
          <w:rPr>
            <w:rFonts w:ascii="Arial" w:hAnsi="Arial" w:cs="Arial"/>
            <w:webHidden/>
            <w:color w:val="auto"/>
            <w:sz w:val="22"/>
            <w:szCs w:val="22"/>
            <w:shd w:val="clear" w:color="auto" w:fill="E6E6E6"/>
          </w:rPr>
          <w:fldChar w:fldCharType="separate"/>
        </w:r>
        <w:r w:rsidR="00471472" w:rsidRPr="009206E7">
          <w:rPr>
            <w:rFonts w:ascii="Arial" w:hAnsi="Arial" w:cs="Arial"/>
            <w:webHidden/>
            <w:color w:val="auto"/>
            <w:sz w:val="22"/>
            <w:szCs w:val="22"/>
          </w:rPr>
          <w:t>4</w:t>
        </w:r>
        <w:r w:rsidR="00471472" w:rsidRPr="009206E7">
          <w:rPr>
            <w:rFonts w:ascii="Arial" w:hAnsi="Arial" w:cs="Arial"/>
            <w:webHidden/>
            <w:color w:val="auto"/>
            <w:sz w:val="22"/>
            <w:szCs w:val="22"/>
            <w:shd w:val="clear" w:color="auto" w:fill="E6E6E6"/>
          </w:rPr>
          <w:fldChar w:fldCharType="end"/>
        </w:r>
      </w:hyperlink>
    </w:p>
    <w:p w14:paraId="575F6E58" w14:textId="77777777" w:rsidR="00471472" w:rsidRPr="009206E7" w:rsidRDefault="00980A55" w:rsidP="00061F37">
      <w:pPr>
        <w:pStyle w:val="TOC3"/>
        <w:spacing w:line="360" w:lineRule="auto"/>
        <w:rPr>
          <w:rFonts w:ascii="Arial" w:hAnsi="Arial" w:cs="Arial"/>
          <w:b w:val="0"/>
          <w:color w:val="auto"/>
          <w:kern w:val="2"/>
          <w:sz w:val="22"/>
          <w:szCs w:val="22"/>
          <w14:ligatures w14:val="standardContextual"/>
        </w:rPr>
      </w:pPr>
      <w:hyperlink w:anchor="_Toc163804239" w:history="1">
        <w:r w:rsidR="00471472" w:rsidRPr="009206E7">
          <w:rPr>
            <w:rStyle w:val="Hyperlink"/>
            <w:rFonts w:ascii="Arial" w:hAnsi="Arial" w:cs="Arial"/>
            <w:color w:val="auto"/>
            <w:sz w:val="22"/>
            <w:szCs w:val="22"/>
          </w:rPr>
          <w:t>Implementation</w:t>
        </w:r>
        <w:r w:rsidR="00471472" w:rsidRPr="009206E7">
          <w:rPr>
            <w:rFonts w:ascii="Arial" w:hAnsi="Arial" w:cs="Arial"/>
            <w:webHidden/>
            <w:color w:val="auto"/>
            <w:sz w:val="22"/>
            <w:szCs w:val="22"/>
          </w:rPr>
          <w:tab/>
        </w:r>
        <w:r w:rsidR="00471472" w:rsidRPr="009206E7">
          <w:rPr>
            <w:rFonts w:ascii="Arial" w:hAnsi="Arial" w:cs="Arial"/>
            <w:webHidden/>
            <w:color w:val="auto"/>
            <w:sz w:val="22"/>
            <w:szCs w:val="22"/>
            <w:shd w:val="clear" w:color="auto" w:fill="E6E6E6"/>
          </w:rPr>
          <w:fldChar w:fldCharType="begin"/>
        </w:r>
        <w:r w:rsidR="00471472" w:rsidRPr="009206E7">
          <w:rPr>
            <w:rFonts w:ascii="Arial" w:hAnsi="Arial" w:cs="Arial"/>
            <w:webHidden/>
            <w:color w:val="auto"/>
            <w:sz w:val="22"/>
            <w:szCs w:val="22"/>
          </w:rPr>
          <w:instrText xml:space="preserve"> PAGEREF _Toc163804239 \h </w:instrText>
        </w:r>
        <w:r w:rsidR="00471472" w:rsidRPr="009206E7">
          <w:rPr>
            <w:rFonts w:ascii="Arial" w:hAnsi="Arial" w:cs="Arial"/>
            <w:webHidden/>
            <w:color w:val="auto"/>
            <w:sz w:val="22"/>
            <w:szCs w:val="22"/>
            <w:shd w:val="clear" w:color="auto" w:fill="E6E6E6"/>
          </w:rPr>
        </w:r>
        <w:r w:rsidR="00471472" w:rsidRPr="009206E7">
          <w:rPr>
            <w:rFonts w:ascii="Arial" w:hAnsi="Arial" w:cs="Arial"/>
            <w:webHidden/>
            <w:color w:val="auto"/>
            <w:sz w:val="22"/>
            <w:szCs w:val="22"/>
            <w:shd w:val="clear" w:color="auto" w:fill="E6E6E6"/>
          </w:rPr>
          <w:fldChar w:fldCharType="separate"/>
        </w:r>
        <w:r w:rsidR="00471472" w:rsidRPr="009206E7">
          <w:rPr>
            <w:rFonts w:ascii="Arial" w:hAnsi="Arial" w:cs="Arial"/>
            <w:webHidden/>
            <w:color w:val="auto"/>
            <w:sz w:val="22"/>
            <w:szCs w:val="22"/>
          </w:rPr>
          <w:t>4</w:t>
        </w:r>
        <w:r w:rsidR="00471472" w:rsidRPr="009206E7">
          <w:rPr>
            <w:rFonts w:ascii="Arial" w:hAnsi="Arial" w:cs="Arial"/>
            <w:webHidden/>
            <w:color w:val="auto"/>
            <w:sz w:val="22"/>
            <w:szCs w:val="22"/>
            <w:shd w:val="clear" w:color="auto" w:fill="E6E6E6"/>
          </w:rPr>
          <w:fldChar w:fldCharType="end"/>
        </w:r>
      </w:hyperlink>
    </w:p>
    <w:p w14:paraId="0318FA31" w14:textId="77777777" w:rsidR="00471472" w:rsidRPr="009206E7" w:rsidRDefault="00980A55" w:rsidP="00061F37">
      <w:pPr>
        <w:pStyle w:val="TOC2"/>
        <w:spacing w:line="360" w:lineRule="auto"/>
        <w:rPr>
          <w:rFonts w:ascii="Arial" w:eastAsiaTheme="minorEastAsia" w:hAnsi="Arial"/>
          <w:color w:val="auto"/>
          <w:kern w:val="2"/>
          <w:szCs w:val="22"/>
          <w14:ligatures w14:val="standardContextual"/>
        </w:rPr>
      </w:pPr>
      <w:hyperlink w:anchor="_Toc163804240" w:history="1">
        <w:r w:rsidR="00471472" w:rsidRPr="009206E7">
          <w:rPr>
            <w:rStyle w:val="Hyperlink"/>
            <w:rFonts w:ascii="Arial" w:hAnsi="Arial"/>
            <w:color w:val="auto"/>
            <w:szCs w:val="22"/>
          </w:rPr>
          <w:t>General Guidance</w:t>
        </w:r>
        <w:r w:rsidR="00471472" w:rsidRPr="009206E7">
          <w:rPr>
            <w:rFonts w:ascii="Arial" w:hAnsi="Arial"/>
            <w:webHidden/>
            <w:color w:val="auto"/>
            <w:szCs w:val="22"/>
          </w:rPr>
          <w:tab/>
        </w:r>
        <w:r w:rsidR="00471472" w:rsidRPr="009206E7">
          <w:rPr>
            <w:rFonts w:ascii="Arial" w:hAnsi="Arial"/>
            <w:webHidden/>
            <w:color w:val="auto"/>
            <w:szCs w:val="22"/>
            <w:shd w:val="clear" w:color="auto" w:fill="E6E6E6"/>
          </w:rPr>
          <w:fldChar w:fldCharType="begin"/>
        </w:r>
        <w:r w:rsidR="00471472" w:rsidRPr="009206E7">
          <w:rPr>
            <w:rFonts w:ascii="Arial" w:hAnsi="Arial"/>
            <w:webHidden/>
            <w:color w:val="auto"/>
            <w:szCs w:val="22"/>
          </w:rPr>
          <w:instrText xml:space="preserve"> PAGEREF _Toc163804240 \h </w:instrText>
        </w:r>
        <w:r w:rsidR="00471472" w:rsidRPr="009206E7">
          <w:rPr>
            <w:rFonts w:ascii="Arial" w:hAnsi="Arial"/>
            <w:webHidden/>
            <w:color w:val="auto"/>
            <w:szCs w:val="22"/>
            <w:shd w:val="clear" w:color="auto" w:fill="E6E6E6"/>
          </w:rPr>
        </w:r>
        <w:r w:rsidR="00471472" w:rsidRPr="009206E7">
          <w:rPr>
            <w:rFonts w:ascii="Arial" w:hAnsi="Arial"/>
            <w:webHidden/>
            <w:color w:val="auto"/>
            <w:szCs w:val="22"/>
            <w:shd w:val="clear" w:color="auto" w:fill="E6E6E6"/>
          </w:rPr>
          <w:fldChar w:fldCharType="separate"/>
        </w:r>
        <w:r w:rsidR="00471472" w:rsidRPr="009206E7">
          <w:rPr>
            <w:rFonts w:ascii="Arial" w:hAnsi="Arial"/>
            <w:webHidden/>
            <w:color w:val="auto"/>
            <w:szCs w:val="22"/>
          </w:rPr>
          <w:t>5</w:t>
        </w:r>
        <w:r w:rsidR="00471472" w:rsidRPr="009206E7">
          <w:rPr>
            <w:rFonts w:ascii="Arial" w:hAnsi="Arial"/>
            <w:webHidden/>
            <w:color w:val="auto"/>
            <w:szCs w:val="22"/>
            <w:shd w:val="clear" w:color="auto" w:fill="E6E6E6"/>
          </w:rPr>
          <w:fldChar w:fldCharType="end"/>
        </w:r>
      </w:hyperlink>
    </w:p>
    <w:p w14:paraId="7042E391" w14:textId="77777777" w:rsidR="00471472" w:rsidRPr="009206E7" w:rsidRDefault="00980A55" w:rsidP="00061F37">
      <w:pPr>
        <w:pStyle w:val="TOC2"/>
        <w:spacing w:line="360" w:lineRule="auto"/>
        <w:rPr>
          <w:rFonts w:ascii="Arial" w:eastAsiaTheme="minorEastAsia" w:hAnsi="Arial"/>
          <w:color w:val="auto"/>
          <w:kern w:val="2"/>
          <w:szCs w:val="22"/>
          <w14:ligatures w14:val="standardContextual"/>
        </w:rPr>
      </w:pPr>
      <w:hyperlink w:anchor="_Toc163804241" w:history="1">
        <w:r w:rsidR="00471472" w:rsidRPr="009206E7">
          <w:rPr>
            <w:rStyle w:val="Hyperlink"/>
            <w:rFonts w:ascii="Arial" w:hAnsi="Arial"/>
            <w:color w:val="auto"/>
            <w:szCs w:val="22"/>
          </w:rPr>
          <w:t>Specific Guidance</w:t>
        </w:r>
        <w:r w:rsidR="00471472" w:rsidRPr="009206E7">
          <w:rPr>
            <w:rFonts w:ascii="Arial" w:hAnsi="Arial"/>
            <w:webHidden/>
            <w:color w:val="auto"/>
            <w:szCs w:val="22"/>
          </w:rPr>
          <w:tab/>
        </w:r>
        <w:r w:rsidR="00471472" w:rsidRPr="009206E7">
          <w:rPr>
            <w:rFonts w:ascii="Arial" w:hAnsi="Arial"/>
            <w:webHidden/>
            <w:color w:val="auto"/>
            <w:szCs w:val="22"/>
            <w:shd w:val="clear" w:color="auto" w:fill="E6E6E6"/>
          </w:rPr>
          <w:fldChar w:fldCharType="begin"/>
        </w:r>
        <w:r w:rsidR="00471472" w:rsidRPr="009206E7">
          <w:rPr>
            <w:rFonts w:ascii="Arial" w:hAnsi="Arial"/>
            <w:webHidden/>
            <w:color w:val="auto"/>
            <w:szCs w:val="22"/>
          </w:rPr>
          <w:instrText xml:space="preserve"> PAGEREF _Toc163804241 \h </w:instrText>
        </w:r>
        <w:r w:rsidR="00471472" w:rsidRPr="009206E7">
          <w:rPr>
            <w:rFonts w:ascii="Arial" w:hAnsi="Arial"/>
            <w:webHidden/>
            <w:color w:val="auto"/>
            <w:szCs w:val="22"/>
            <w:shd w:val="clear" w:color="auto" w:fill="E6E6E6"/>
          </w:rPr>
        </w:r>
        <w:r w:rsidR="00471472" w:rsidRPr="009206E7">
          <w:rPr>
            <w:rFonts w:ascii="Arial" w:hAnsi="Arial"/>
            <w:webHidden/>
            <w:color w:val="auto"/>
            <w:szCs w:val="22"/>
            <w:shd w:val="clear" w:color="auto" w:fill="E6E6E6"/>
          </w:rPr>
          <w:fldChar w:fldCharType="separate"/>
        </w:r>
        <w:r w:rsidR="00471472" w:rsidRPr="009206E7">
          <w:rPr>
            <w:rFonts w:ascii="Arial" w:hAnsi="Arial"/>
            <w:webHidden/>
            <w:color w:val="auto"/>
            <w:szCs w:val="22"/>
          </w:rPr>
          <w:t>5</w:t>
        </w:r>
        <w:r w:rsidR="00471472" w:rsidRPr="009206E7">
          <w:rPr>
            <w:rFonts w:ascii="Arial" w:hAnsi="Arial"/>
            <w:webHidden/>
            <w:color w:val="auto"/>
            <w:szCs w:val="22"/>
            <w:shd w:val="clear" w:color="auto" w:fill="E6E6E6"/>
          </w:rPr>
          <w:fldChar w:fldCharType="end"/>
        </w:r>
      </w:hyperlink>
    </w:p>
    <w:p w14:paraId="5121339A" w14:textId="77777777" w:rsidR="00471472" w:rsidRPr="009206E7" w:rsidRDefault="00980A55" w:rsidP="00061F37">
      <w:pPr>
        <w:pStyle w:val="TOC3"/>
        <w:spacing w:line="360" w:lineRule="auto"/>
        <w:rPr>
          <w:rFonts w:ascii="Arial" w:hAnsi="Arial" w:cs="Arial"/>
          <w:b w:val="0"/>
          <w:color w:val="auto"/>
          <w:kern w:val="2"/>
          <w:sz w:val="22"/>
          <w:szCs w:val="22"/>
          <w14:ligatures w14:val="standardContextual"/>
        </w:rPr>
      </w:pPr>
      <w:hyperlink w:anchor="_Toc163804242" w:history="1">
        <w:r w:rsidR="00471472" w:rsidRPr="009206E7">
          <w:rPr>
            <w:rStyle w:val="Hyperlink"/>
            <w:rFonts w:ascii="Arial" w:hAnsi="Arial" w:cs="Arial"/>
            <w:color w:val="auto"/>
            <w:sz w:val="22"/>
            <w:szCs w:val="22"/>
          </w:rPr>
          <w:t>Minimum information and legislative requirements for a recommendation</w:t>
        </w:r>
        <w:r w:rsidR="00471472" w:rsidRPr="009206E7">
          <w:rPr>
            <w:rFonts w:ascii="Arial" w:hAnsi="Arial" w:cs="Arial"/>
            <w:webHidden/>
            <w:color w:val="auto"/>
            <w:sz w:val="22"/>
            <w:szCs w:val="22"/>
          </w:rPr>
          <w:tab/>
        </w:r>
        <w:r w:rsidR="00471472" w:rsidRPr="009206E7">
          <w:rPr>
            <w:rFonts w:ascii="Arial" w:hAnsi="Arial" w:cs="Arial"/>
            <w:webHidden/>
            <w:color w:val="auto"/>
            <w:sz w:val="22"/>
            <w:szCs w:val="22"/>
            <w:shd w:val="clear" w:color="auto" w:fill="E6E6E6"/>
          </w:rPr>
          <w:fldChar w:fldCharType="begin"/>
        </w:r>
        <w:r w:rsidR="00471472" w:rsidRPr="009206E7">
          <w:rPr>
            <w:rFonts w:ascii="Arial" w:hAnsi="Arial" w:cs="Arial"/>
            <w:webHidden/>
            <w:color w:val="auto"/>
            <w:sz w:val="22"/>
            <w:szCs w:val="22"/>
          </w:rPr>
          <w:instrText xml:space="preserve"> PAGEREF _Toc163804242 \h </w:instrText>
        </w:r>
        <w:r w:rsidR="00471472" w:rsidRPr="009206E7">
          <w:rPr>
            <w:rFonts w:ascii="Arial" w:hAnsi="Arial" w:cs="Arial"/>
            <w:webHidden/>
            <w:color w:val="auto"/>
            <w:sz w:val="22"/>
            <w:szCs w:val="22"/>
            <w:shd w:val="clear" w:color="auto" w:fill="E6E6E6"/>
          </w:rPr>
        </w:r>
        <w:r w:rsidR="00471472" w:rsidRPr="009206E7">
          <w:rPr>
            <w:rFonts w:ascii="Arial" w:hAnsi="Arial" w:cs="Arial"/>
            <w:webHidden/>
            <w:color w:val="auto"/>
            <w:sz w:val="22"/>
            <w:szCs w:val="22"/>
            <w:shd w:val="clear" w:color="auto" w:fill="E6E6E6"/>
          </w:rPr>
          <w:fldChar w:fldCharType="separate"/>
        </w:r>
        <w:r w:rsidR="00471472" w:rsidRPr="009206E7">
          <w:rPr>
            <w:rFonts w:ascii="Arial" w:hAnsi="Arial" w:cs="Arial"/>
            <w:webHidden/>
            <w:color w:val="auto"/>
            <w:sz w:val="22"/>
            <w:szCs w:val="22"/>
          </w:rPr>
          <w:t>5</w:t>
        </w:r>
        <w:r w:rsidR="00471472" w:rsidRPr="009206E7">
          <w:rPr>
            <w:rFonts w:ascii="Arial" w:hAnsi="Arial" w:cs="Arial"/>
            <w:webHidden/>
            <w:color w:val="auto"/>
            <w:sz w:val="22"/>
            <w:szCs w:val="22"/>
            <w:shd w:val="clear" w:color="auto" w:fill="E6E6E6"/>
          </w:rPr>
          <w:fldChar w:fldCharType="end"/>
        </w:r>
      </w:hyperlink>
    </w:p>
    <w:p w14:paraId="01C58A85" w14:textId="77777777" w:rsidR="00471472" w:rsidRPr="009206E7" w:rsidRDefault="00980A55" w:rsidP="00061F37">
      <w:pPr>
        <w:pStyle w:val="TOC3"/>
        <w:spacing w:line="360" w:lineRule="auto"/>
        <w:rPr>
          <w:rFonts w:ascii="Arial" w:hAnsi="Arial" w:cs="Arial"/>
          <w:b w:val="0"/>
          <w:color w:val="auto"/>
          <w:kern w:val="2"/>
          <w:sz w:val="22"/>
          <w:szCs w:val="22"/>
          <w14:ligatures w14:val="standardContextual"/>
        </w:rPr>
      </w:pPr>
      <w:hyperlink w:anchor="_Toc163804243" w:history="1">
        <w:r w:rsidR="00471472" w:rsidRPr="009206E7">
          <w:rPr>
            <w:rStyle w:val="Hyperlink"/>
            <w:rFonts w:ascii="Arial" w:hAnsi="Arial" w:cs="Arial"/>
            <w:color w:val="auto"/>
            <w:sz w:val="22"/>
            <w:szCs w:val="22"/>
          </w:rPr>
          <w:t>Optional information to support a recommendation</w:t>
        </w:r>
        <w:r w:rsidR="00471472" w:rsidRPr="009206E7">
          <w:rPr>
            <w:rFonts w:ascii="Arial" w:hAnsi="Arial" w:cs="Arial"/>
            <w:webHidden/>
            <w:color w:val="auto"/>
            <w:sz w:val="22"/>
            <w:szCs w:val="22"/>
          </w:rPr>
          <w:tab/>
        </w:r>
        <w:r w:rsidR="00471472" w:rsidRPr="009206E7">
          <w:rPr>
            <w:rFonts w:ascii="Arial" w:hAnsi="Arial" w:cs="Arial"/>
            <w:webHidden/>
            <w:color w:val="auto"/>
            <w:sz w:val="22"/>
            <w:szCs w:val="22"/>
            <w:shd w:val="clear" w:color="auto" w:fill="E6E6E6"/>
          </w:rPr>
          <w:fldChar w:fldCharType="begin"/>
        </w:r>
        <w:r w:rsidR="00471472" w:rsidRPr="009206E7">
          <w:rPr>
            <w:rFonts w:ascii="Arial" w:hAnsi="Arial" w:cs="Arial"/>
            <w:webHidden/>
            <w:color w:val="auto"/>
            <w:sz w:val="22"/>
            <w:szCs w:val="22"/>
          </w:rPr>
          <w:instrText xml:space="preserve"> PAGEREF _Toc163804243 \h </w:instrText>
        </w:r>
        <w:r w:rsidR="00471472" w:rsidRPr="009206E7">
          <w:rPr>
            <w:rFonts w:ascii="Arial" w:hAnsi="Arial" w:cs="Arial"/>
            <w:webHidden/>
            <w:color w:val="auto"/>
            <w:sz w:val="22"/>
            <w:szCs w:val="22"/>
            <w:shd w:val="clear" w:color="auto" w:fill="E6E6E6"/>
          </w:rPr>
        </w:r>
        <w:r w:rsidR="00471472" w:rsidRPr="009206E7">
          <w:rPr>
            <w:rFonts w:ascii="Arial" w:hAnsi="Arial" w:cs="Arial"/>
            <w:webHidden/>
            <w:color w:val="auto"/>
            <w:sz w:val="22"/>
            <w:szCs w:val="22"/>
            <w:shd w:val="clear" w:color="auto" w:fill="E6E6E6"/>
          </w:rPr>
          <w:fldChar w:fldCharType="separate"/>
        </w:r>
        <w:r w:rsidR="00471472" w:rsidRPr="009206E7">
          <w:rPr>
            <w:rFonts w:ascii="Arial" w:hAnsi="Arial" w:cs="Arial"/>
            <w:webHidden/>
            <w:color w:val="auto"/>
            <w:sz w:val="22"/>
            <w:szCs w:val="22"/>
          </w:rPr>
          <w:t>5</w:t>
        </w:r>
        <w:r w:rsidR="00471472" w:rsidRPr="009206E7">
          <w:rPr>
            <w:rFonts w:ascii="Arial" w:hAnsi="Arial" w:cs="Arial"/>
            <w:webHidden/>
            <w:color w:val="auto"/>
            <w:sz w:val="22"/>
            <w:szCs w:val="22"/>
            <w:shd w:val="clear" w:color="auto" w:fill="E6E6E6"/>
          </w:rPr>
          <w:fldChar w:fldCharType="end"/>
        </w:r>
      </w:hyperlink>
    </w:p>
    <w:p w14:paraId="125FAF31" w14:textId="77777777" w:rsidR="00471472" w:rsidRPr="009206E7" w:rsidRDefault="00980A55" w:rsidP="00061F37">
      <w:pPr>
        <w:pStyle w:val="TOC1"/>
        <w:spacing w:line="360" w:lineRule="auto"/>
        <w:rPr>
          <w:rFonts w:ascii="Arial" w:eastAsiaTheme="minorEastAsia" w:hAnsi="Arial"/>
          <w:b w:val="0"/>
          <w:color w:val="auto"/>
          <w:kern w:val="2"/>
          <w:sz w:val="22"/>
          <w:szCs w:val="22"/>
          <w14:ligatures w14:val="standardContextual"/>
        </w:rPr>
      </w:pPr>
      <w:hyperlink w:anchor="_Toc163804244" w:history="1">
        <w:r w:rsidR="00471472" w:rsidRPr="009206E7">
          <w:rPr>
            <w:rStyle w:val="Hyperlink"/>
            <w:rFonts w:ascii="Arial" w:hAnsi="Arial"/>
            <w:color w:val="auto"/>
            <w:sz w:val="22"/>
            <w:szCs w:val="22"/>
          </w:rPr>
          <w:t>Appendix</w:t>
        </w:r>
        <w:r w:rsidR="00471472" w:rsidRPr="009206E7">
          <w:rPr>
            <w:rFonts w:ascii="Arial" w:hAnsi="Arial"/>
            <w:webHidden/>
            <w:color w:val="auto"/>
            <w:sz w:val="22"/>
            <w:szCs w:val="22"/>
          </w:rPr>
          <w:tab/>
        </w:r>
        <w:r w:rsidR="00471472" w:rsidRPr="009206E7">
          <w:rPr>
            <w:rFonts w:ascii="Arial" w:hAnsi="Arial"/>
            <w:webHidden/>
            <w:color w:val="auto"/>
            <w:sz w:val="22"/>
            <w:szCs w:val="22"/>
            <w:shd w:val="clear" w:color="auto" w:fill="E6E6E6"/>
          </w:rPr>
          <w:fldChar w:fldCharType="begin"/>
        </w:r>
        <w:r w:rsidR="00471472" w:rsidRPr="009206E7">
          <w:rPr>
            <w:rFonts w:ascii="Arial" w:hAnsi="Arial"/>
            <w:webHidden/>
            <w:color w:val="auto"/>
            <w:sz w:val="22"/>
            <w:szCs w:val="22"/>
          </w:rPr>
          <w:instrText xml:space="preserve"> PAGEREF _Toc163804244 \h </w:instrText>
        </w:r>
        <w:r w:rsidR="00471472" w:rsidRPr="009206E7">
          <w:rPr>
            <w:rFonts w:ascii="Arial" w:hAnsi="Arial"/>
            <w:webHidden/>
            <w:color w:val="auto"/>
            <w:sz w:val="22"/>
            <w:szCs w:val="22"/>
            <w:shd w:val="clear" w:color="auto" w:fill="E6E6E6"/>
          </w:rPr>
        </w:r>
        <w:r w:rsidR="00471472" w:rsidRPr="009206E7">
          <w:rPr>
            <w:rFonts w:ascii="Arial" w:hAnsi="Arial"/>
            <w:webHidden/>
            <w:color w:val="auto"/>
            <w:sz w:val="22"/>
            <w:szCs w:val="22"/>
            <w:shd w:val="clear" w:color="auto" w:fill="E6E6E6"/>
          </w:rPr>
          <w:fldChar w:fldCharType="separate"/>
        </w:r>
        <w:r w:rsidR="00471472" w:rsidRPr="009206E7">
          <w:rPr>
            <w:rFonts w:ascii="Arial" w:hAnsi="Arial"/>
            <w:webHidden/>
            <w:color w:val="auto"/>
            <w:sz w:val="22"/>
            <w:szCs w:val="22"/>
          </w:rPr>
          <w:t>7</w:t>
        </w:r>
        <w:r w:rsidR="00471472" w:rsidRPr="009206E7">
          <w:rPr>
            <w:rFonts w:ascii="Arial" w:hAnsi="Arial"/>
            <w:webHidden/>
            <w:color w:val="auto"/>
            <w:sz w:val="22"/>
            <w:szCs w:val="22"/>
            <w:shd w:val="clear" w:color="auto" w:fill="E6E6E6"/>
          </w:rPr>
          <w:fldChar w:fldCharType="end"/>
        </w:r>
      </w:hyperlink>
    </w:p>
    <w:p w14:paraId="7BD097FB" w14:textId="77777777" w:rsidR="00471472" w:rsidRPr="009206E7" w:rsidRDefault="00980A55" w:rsidP="00061F37">
      <w:pPr>
        <w:pStyle w:val="TOC1"/>
        <w:spacing w:line="360" w:lineRule="auto"/>
        <w:rPr>
          <w:rFonts w:ascii="Arial" w:eastAsiaTheme="minorEastAsia" w:hAnsi="Arial"/>
          <w:b w:val="0"/>
          <w:color w:val="auto"/>
          <w:kern w:val="2"/>
          <w:sz w:val="22"/>
          <w:szCs w:val="22"/>
          <w14:ligatures w14:val="standardContextual"/>
        </w:rPr>
      </w:pPr>
      <w:hyperlink w:anchor="_Toc163804245" w:history="1">
        <w:r w:rsidR="00471472" w:rsidRPr="009206E7">
          <w:rPr>
            <w:rStyle w:val="Hyperlink"/>
            <w:rFonts w:ascii="Arial" w:hAnsi="Arial"/>
            <w:color w:val="auto"/>
            <w:sz w:val="22"/>
            <w:szCs w:val="22"/>
          </w:rPr>
          <w:t>Appendix 1: Clarification between legislative areas for water</w:t>
        </w:r>
        <w:r w:rsidR="00471472" w:rsidRPr="009206E7">
          <w:rPr>
            <w:rFonts w:ascii="Arial" w:hAnsi="Arial"/>
            <w:webHidden/>
            <w:color w:val="auto"/>
            <w:sz w:val="22"/>
            <w:szCs w:val="22"/>
          </w:rPr>
          <w:tab/>
        </w:r>
        <w:r w:rsidR="00471472" w:rsidRPr="009206E7">
          <w:rPr>
            <w:rFonts w:ascii="Arial" w:hAnsi="Arial"/>
            <w:webHidden/>
            <w:color w:val="auto"/>
            <w:sz w:val="22"/>
            <w:szCs w:val="22"/>
            <w:shd w:val="clear" w:color="auto" w:fill="E6E6E6"/>
          </w:rPr>
          <w:fldChar w:fldCharType="begin"/>
        </w:r>
        <w:r w:rsidR="00471472" w:rsidRPr="009206E7">
          <w:rPr>
            <w:rFonts w:ascii="Arial" w:hAnsi="Arial"/>
            <w:webHidden/>
            <w:color w:val="auto"/>
            <w:sz w:val="22"/>
            <w:szCs w:val="22"/>
          </w:rPr>
          <w:instrText xml:space="preserve"> PAGEREF _Toc163804245 \h </w:instrText>
        </w:r>
        <w:r w:rsidR="00471472" w:rsidRPr="009206E7">
          <w:rPr>
            <w:rFonts w:ascii="Arial" w:hAnsi="Arial"/>
            <w:webHidden/>
            <w:color w:val="auto"/>
            <w:sz w:val="22"/>
            <w:szCs w:val="22"/>
            <w:shd w:val="clear" w:color="auto" w:fill="E6E6E6"/>
          </w:rPr>
        </w:r>
        <w:r w:rsidR="00471472" w:rsidRPr="009206E7">
          <w:rPr>
            <w:rFonts w:ascii="Arial" w:hAnsi="Arial"/>
            <w:webHidden/>
            <w:color w:val="auto"/>
            <w:sz w:val="22"/>
            <w:szCs w:val="22"/>
            <w:shd w:val="clear" w:color="auto" w:fill="E6E6E6"/>
          </w:rPr>
          <w:fldChar w:fldCharType="separate"/>
        </w:r>
        <w:r w:rsidR="00471472" w:rsidRPr="009206E7">
          <w:rPr>
            <w:rFonts w:ascii="Arial" w:hAnsi="Arial"/>
            <w:webHidden/>
            <w:color w:val="auto"/>
            <w:sz w:val="22"/>
            <w:szCs w:val="22"/>
          </w:rPr>
          <w:t>8</w:t>
        </w:r>
        <w:r w:rsidR="00471472" w:rsidRPr="009206E7">
          <w:rPr>
            <w:rFonts w:ascii="Arial" w:hAnsi="Arial"/>
            <w:webHidden/>
            <w:color w:val="auto"/>
            <w:sz w:val="22"/>
            <w:szCs w:val="22"/>
            <w:shd w:val="clear" w:color="auto" w:fill="E6E6E6"/>
          </w:rPr>
          <w:fldChar w:fldCharType="end"/>
        </w:r>
      </w:hyperlink>
    </w:p>
    <w:p w14:paraId="0C637D56" w14:textId="77777777" w:rsidR="00471472" w:rsidRPr="009206E7" w:rsidRDefault="00980A55" w:rsidP="00061F37">
      <w:pPr>
        <w:pStyle w:val="TOC3"/>
        <w:spacing w:line="360" w:lineRule="auto"/>
        <w:rPr>
          <w:rFonts w:ascii="Arial" w:hAnsi="Arial" w:cs="Arial"/>
          <w:b w:val="0"/>
          <w:color w:val="auto"/>
          <w:kern w:val="2"/>
          <w:sz w:val="22"/>
          <w:szCs w:val="22"/>
          <w14:ligatures w14:val="standardContextual"/>
        </w:rPr>
      </w:pPr>
      <w:hyperlink w:anchor="_Toc163804246" w:history="1">
        <w:r w:rsidR="00471472" w:rsidRPr="009206E7">
          <w:rPr>
            <w:rStyle w:val="Hyperlink"/>
            <w:rFonts w:ascii="Arial" w:hAnsi="Arial" w:cs="Arial"/>
            <w:color w:val="auto"/>
            <w:sz w:val="22"/>
            <w:szCs w:val="22"/>
          </w:rPr>
          <w:t>Catchment and Land Protection Act 1994 – Special Water Supply Catchment Areas</w:t>
        </w:r>
        <w:r w:rsidR="00471472" w:rsidRPr="009206E7">
          <w:rPr>
            <w:rFonts w:ascii="Arial" w:hAnsi="Arial" w:cs="Arial"/>
            <w:webHidden/>
            <w:color w:val="auto"/>
            <w:sz w:val="22"/>
            <w:szCs w:val="22"/>
          </w:rPr>
          <w:tab/>
        </w:r>
        <w:r w:rsidR="00471472" w:rsidRPr="009206E7">
          <w:rPr>
            <w:rFonts w:ascii="Arial" w:hAnsi="Arial" w:cs="Arial"/>
            <w:webHidden/>
            <w:color w:val="auto"/>
            <w:sz w:val="22"/>
            <w:szCs w:val="22"/>
            <w:shd w:val="clear" w:color="auto" w:fill="E6E6E6"/>
          </w:rPr>
          <w:fldChar w:fldCharType="begin"/>
        </w:r>
        <w:r w:rsidR="00471472" w:rsidRPr="009206E7">
          <w:rPr>
            <w:rFonts w:ascii="Arial" w:hAnsi="Arial" w:cs="Arial"/>
            <w:webHidden/>
            <w:color w:val="auto"/>
            <w:sz w:val="22"/>
            <w:szCs w:val="22"/>
          </w:rPr>
          <w:instrText xml:space="preserve"> PAGEREF _Toc163804246 \h </w:instrText>
        </w:r>
        <w:r w:rsidR="00471472" w:rsidRPr="009206E7">
          <w:rPr>
            <w:rFonts w:ascii="Arial" w:hAnsi="Arial" w:cs="Arial"/>
            <w:webHidden/>
            <w:color w:val="auto"/>
            <w:sz w:val="22"/>
            <w:szCs w:val="22"/>
            <w:shd w:val="clear" w:color="auto" w:fill="E6E6E6"/>
          </w:rPr>
        </w:r>
        <w:r w:rsidR="00471472" w:rsidRPr="009206E7">
          <w:rPr>
            <w:rFonts w:ascii="Arial" w:hAnsi="Arial" w:cs="Arial"/>
            <w:webHidden/>
            <w:color w:val="auto"/>
            <w:sz w:val="22"/>
            <w:szCs w:val="22"/>
            <w:shd w:val="clear" w:color="auto" w:fill="E6E6E6"/>
          </w:rPr>
          <w:fldChar w:fldCharType="separate"/>
        </w:r>
        <w:r w:rsidR="00471472" w:rsidRPr="009206E7">
          <w:rPr>
            <w:rFonts w:ascii="Arial" w:hAnsi="Arial" w:cs="Arial"/>
            <w:webHidden/>
            <w:color w:val="auto"/>
            <w:sz w:val="22"/>
            <w:szCs w:val="22"/>
          </w:rPr>
          <w:t>8</w:t>
        </w:r>
        <w:r w:rsidR="00471472" w:rsidRPr="009206E7">
          <w:rPr>
            <w:rFonts w:ascii="Arial" w:hAnsi="Arial" w:cs="Arial"/>
            <w:webHidden/>
            <w:color w:val="auto"/>
            <w:sz w:val="22"/>
            <w:szCs w:val="22"/>
            <w:shd w:val="clear" w:color="auto" w:fill="E6E6E6"/>
          </w:rPr>
          <w:fldChar w:fldCharType="end"/>
        </w:r>
      </w:hyperlink>
    </w:p>
    <w:p w14:paraId="5FCBF72D" w14:textId="77777777" w:rsidR="00471472" w:rsidRPr="009206E7" w:rsidRDefault="00980A55" w:rsidP="00061F37">
      <w:pPr>
        <w:pStyle w:val="TOC3"/>
        <w:spacing w:line="360" w:lineRule="auto"/>
        <w:rPr>
          <w:rFonts w:ascii="Arial" w:hAnsi="Arial" w:cs="Arial"/>
          <w:b w:val="0"/>
          <w:color w:val="auto"/>
          <w:kern w:val="2"/>
          <w:sz w:val="22"/>
          <w:szCs w:val="22"/>
          <w14:ligatures w14:val="standardContextual"/>
        </w:rPr>
      </w:pPr>
      <w:hyperlink w:anchor="_Toc163804247" w:history="1">
        <w:r w:rsidR="00471472" w:rsidRPr="009206E7">
          <w:rPr>
            <w:rStyle w:val="Hyperlink"/>
            <w:rFonts w:ascii="Arial" w:hAnsi="Arial" w:cs="Arial"/>
            <w:color w:val="auto"/>
            <w:sz w:val="22"/>
            <w:szCs w:val="22"/>
          </w:rPr>
          <w:t>Water Act 1989 - Water Supply Protection Areas</w:t>
        </w:r>
        <w:r w:rsidR="00471472" w:rsidRPr="009206E7">
          <w:rPr>
            <w:rFonts w:ascii="Arial" w:hAnsi="Arial" w:cs="Arial"/>
            <w:webHidden/>
            <w:color w:val="auto"/>
            <w:sz w:val="22"/>
            <w:szCs w:val="22"/>
          </w:rPr>
          <w:tab/>
        </w:r>
        <w:r w:rsidR="00471472" w:rsidRPr="009206E7">
          <w:rPr>
            <w:rFonts w:ascii="Arial" w:hAnsi="Arial" w:cs="Arial"/>
            <w:webHidden/>
            <w:color w:val="auto"/>
            <w:sz w:val="22"/>
            <w:szCs w:val="22"/>
            <w:shd w:val="clear" w:color="auto" w:fill="E6E6E6"/>
          </w:rPr>
          <w:fldChar w:fldCharType="begin"/>
        </w:r>
        <w:r w:rsidR="00471472" w:rsidRPr="009206E7">
          <w:rPr>
            <w:rFonts w:ascii="Arial" w:hAnsi="Arial" w:cs="Arial"/>
            <w:webHidden/>
            <w:color w:val="auto"/>
            <w:sz w:val="22"/>
            <w:szCs w:val="22"/>
          </w:rPr>
          <w:instrText xml:space="preserve"> PAGEREF _Toc163804247 \h </w:instrText>
        </w:r>
        <w:r w:rsidR="00471472" w:rsidRPr="009206E7">
          <w:rPr>
            <w:rFonts w:ascii="Arial" w:hAnsi="Arial" w:cs="Arial"/>
            <w:webHidden/>
            <w:color w:val="auto"/>
            <w:sz w:val="22"/>
            <w:szCs w:val="22"/>
            <w:shd w:val="clear" w:color="auto" w:fill="E6E6E6"/>
          </w:rPr>
        </w:r>
        <w:r w:rsidR="00471472" w:rsidRPr="009206E7">
          <w:rPr>
            <w:rFonts w:ascii="Arial" w:hAnsi="Arial" w:cs="Arial"/>
            <w:webHidden/>
            <w:color w:val="auto"/>
            <w:sz w:val="22"/>
            <w:szCs w:val="22"/>
            <w:shd w:val="clear" w:color="auto" w:fill="E6E6E6"/>
          </w:rPr>
          <w:fldChar w:fldCharType="separate"/>
        </w:r>
        <w:r w:rsidR="00471472" w:rsidRPr="009206E7">
          <w:rPr>
            <w:rFonts w:ascii="Arial" w:hAnsi="Arial" w:cs="Arial"/>
            <w:webHidden/>
            <w:color w:val="auto"/>
            <w:sz w:val="22"/>
            <w:szCs w:val="22"/>
          </w:rPr>
          <w:t>8</w:t>
        </w:r>
        <w:r w:rsidR="00471472" w:rsidRPr="009206E7">
          <w:rPr>
            <w:rFonts w:ascii="Arial" w:hAnsi="Arial" w:cs="Arial"/>
            <w:webHidden/>
            <w:color w:val="auto"/>
            <w:sz w:val="22"/>
            <w:szCs w:val="22"/>
            <w:shd w:val="clear" w:color="auto" w:fill="E6E6E6"/>
          </w:rPr>
          <w:fldChar w:fldCharType="end"/>
        </w:r>
      </w:hyperlink>
    </w:p>
    <w:p w14:paraId="2ED65643" w14:textId="77777777" w:rsidR="00471472" w:rsidRPr="009206E7" w:rsidRDefault="00980A55" w:rsidP="00061F37">
      <w:pPr>
        <w:pStyle w:val="TOC3"/>
        <w:spacing w:line="360" w:lineRule="auto"/>
        <w:rPr>
          <w:rFonts w:ascii="Arial" w:hAnsi="Arial" w:cs="Arial"/>
          <w:b w:val="0"/>
          <w:color w:val="auto"/>
          <w:kern w:val="2"/>
          <w:sz w:val="22"/>
          <w:szCs w:val="22"/>
          <w14:ligatures w14:val="standardContextual"/>
        </w:rPr>
      </w:pPr>
      <w:hyperlink w:anchor="_Toc163804248" w:history="1">
        <w:r w:rsidR="00471472" w:rsidRPr="009206E7">
          <w:rPr>
            <w:rStyle w:val="Hyperlink"/>
            <w:rFonts w:ascii="Arial" w:hAnsi="Arial" w:cs="Arial"/>
            <w:color w:val="auto"/>
            <w:sz w:val="22"/>
            <w:szCs w:val="22"/>
          </w:rPr>
          <w:t>National Parks Act 1975 - Designated Water Supply Catchment Areas</w:t>
        </w:r>
        <w:r w:rsidR="00471472" w:rsidRPr="009206E7">
          <w:rPr>
            <w:rFonts w:ascii="Arial" w:hAnsi="Arial" w:cs="Arial"/>
            <w:webHidden/>
            <w:color w:val="auto"/>
            <w:sz w:val="22"/>
            <w:szCs w:val="22"/>
          </w:rPr>
          <w:tab/>
        </w:r>
        <w:r w:rsidR="00471472" w:rsidRPr="009206E7">
          <w:rPr>
            <w:rFonts w:ascii="Arial" w:hAnsi="Arial" w:cs="Arial"/>
            <w:webHidden/>
            <w:color w:val="auto"/>
            <w:sz w:val="22"/>
            <w:szCs w:val="22"/>
            <w:shd w:val="clear" w:color="auto" w:fill="E6E6E6"/>
          </w:rPr>
          <w:fldChar w:fldCharType="begin"/>
        </w:r>
        <w:r w:rsidR="00471472" w:rsidRPr="009206E7">
          <w:rPr>
            <w:rFonts w:ascii="Arial" w:hAnsi="Arial" w:cs="Arial"/>
            <w:webHidden/>
            <w:color w:val="auto"/>
            <w:sz w:val="22"/>
            <w:szCs w:val="22"/>
          </w:rPr>
          <w:instrText xml:space="preserve"> PAGEREF _Toc163804248 \h </w:instrText>
        </w:r>
        <w:r w:rsidR="00471472" w:rsidRPr="009206E7">
          <w:rPr>
            <w:rFonts w:ascii="Arial" w:hAnsi="Arial" w:cs="Arial"/>
            <w:webHidden/>
            <w:color w:val="auto"/>
            <w:sz w:val="22"/>
            <w:szCs w:val="22"/>
            <w:shd w:val="clear" w:color="auto" w:fill="E6E6E6"/>
          </w:rPr>
        </w:r>
        <w:r w:rsidR="00471472" w:rsidRPr="009206E7">
          <w:rPr>
            <w:rFonts w:ascii="Arial" w:hAnsi="Arial" w:cs="Arial"/>
            <w:webHidden/>
            <w:color w:val="auto"/>
            <w:sz w:val="22"/>
            <w:szCs w:val="22"/>
            <w:shd w:val="clear" w:color="auto" w:fill="E6E6E6"/>
          </w:rPr>
          <w:fldChar w:fldCharType="separate"/>
        </w:r>
        <w:r w:rsidR="00471472" w:rsidRPr="009206E7">
          <w:rPr>
            <w:rFonts w:ascii="Arial" w:hAnsi="Arial" w:cs="Arial"/>
            <w:webHidden/>
            <w:color w:val="auto"/>
            <w:sz w:val="22"/>
            <w:szCs w:val="22"/>
          </w:rPr>
          <w:t>8</w:t>
        </w:r>
        <w:r w:rsidR="00471472" w:rsidRPr="009206E7">
          <w:rPr>
            <w:rFonts w:ascii="Arial" w:hAnsi="Arial" w:cs="Arial"/>
            <w:webHidden/>
            <w:color w:val="auto"/>
            <w:sz w:val="22"/>
            <w:szCs w:val="22"/>
            <w:shd w:val="clear" w:color="auto" w:fill="E6E6E6"/>
          </w:rPr>
          <w:fldChar w:fldCharType="end"/>
        </w:r>
      </w:hyperlink>
    </w:p>
    <w:p w14:paraId="6FB804CE" w14:textId="77777777" w:rsidR="00471472" w:rsidRDefault="00471472" w:rsidP="00061F37">
      <w:pPr>
        <w:pStyle w:val="NoSpacing"/>
        <w:spacing w:line="360" w:lineRule="auto"/>
        <w:rPr>
          <w:rFonts w:eastAsiaTheme="majorEastAsia"/>
        </w:rPr>
      </w:pPr>
      <w:r w:rsidRPr="009206E7">
        <w:rPr>
          <w:rFonts w:ascii="Arial" w:eastAsiaTheme="majorEastAsia" w:hAnsi="Arial" w:cs="Arial"/>
          <w:b/>
          <w:color w:val="2B579A"/>
          <w:sz w:val="22"/>
          <w:szCs w:val="22"/>
          <w:shd w:val="clear" w:color="auto" w:fill="E6E6E6"/>
        </w:rPr>
        <w:fldChar w:fldCharType="end"/>
      </w:r>
    </w:p>
    <w:p w14:paraId="019D4315" w14:textId="77777777" w:rsidR="00471472" w:rsidRPr="009206E7" w:rsidRDefault="00471472" w:rsidP="00061F37">
      <w:pPr>
        <w:pStyle w:val="NoSpacing"/>
        <w:spacing w:line="360" w:lineRule="auto"/>
        <w:rPr>
          <w:rFonts w:ascii="Arial" w:hAnsi="Arial" w:cs="Arial"/>
          <w:sz w:val="22"/>
          <w:szCs w:val="22"/>
        </w:rPr>
      </w:pPr>
    </w:p>
    <w:p w14:paraId="09233401" w14:textId="77777777" w:rsidR="00471472" w:rsidRPr="00DF3EE5" w:rsidRDefault="00471472" w:rsidP="00061F37">
      <w:pPr>
        <w:spacing w:line="360" w:lineRule="auto"/>
        <w:rPr>
          <w:rFonts w:ascii="Arial" w:hAnsi="Arial" w:cs="Arial"/>
        </w:rPr>
        <w:sectPr w:rsidR="00471472" w:rsidRPr="00DF3EE5">
          <w:pgSz w:w="11907" w:h="16839" w:code="9"/>
          <w:pgMar w:top="1134" w:right="1134" w:bottom="1134" w:left="1134" w:header="283" w:footer="283" w:gutter="0"/>
          <w:pgNumType w:start="1"/>
          <w:cols w:space="454"/>
          <w:noEndnote/>
          <w:docGrid w:linePitch="360"/>
        </w:sectPr>
      </w:pPr>
    </w:p>
    <w:p w14:paraId="268EC6C2" w14:textId="77777777" w:rsidR="00471472" w:rsidRPr="00DF3EE5" w:rsidRDefault="00471472" w:rsidP="00061F37">
      <w:pPr>
        <w:pStyle w:val="BodyText"/>
        <w:spacing w:after="0" w:line="360" w:lineRule="auto"/>
        <w:rPr>
          <w:rFonts w:ascii="Arial" w:hAnsi="Arial" w:cs="Arial"/>
          <w:sz w:val="22"/>
          <w:szCs w:val="22"/>
        </w:rPr>
      </w:pPr>
      <w:r w:rsidRPr="00DF3EE5">
        <w:rPr>
          <w:rFonts w:ascii="Arial" w:hAnsi="Arial" w:cs="Arial"/>
          <w:sz w:val="22"/>
          <w:szCs w:val="22"/>
        </w:rPr>
        <w:t xml:space="preserve">Advice on the process to make a recommendation to declare, amend, or revoke a Special Water Supply Catchment Area can be sought from the Department of Energy, Environment and Climate Action early in the process. Requests for advice can be lodged via </w:t>
      </w:r>
      <w:hyperlink r:id="rId19" w:history="1">
        <w:r w:rsidRPr="00DF3EE5">
          <w:rPr>
            <w:rStyle w:val="Hyperlink"/>
            <w:rFonts w:ascii="Arial" w:hAnsi="Arial" w:cs="Arial"/>
            <w:sz w:val="22"/>
            <w:szCs w:val="22"/>
          </w:rPr>
          <w:t>OurCatchments.OurCommunities@deeca.vic.gov.au</w:t>
        </w:r>
      </w:hyperlink>
      <w:r w:rsidRPr="00DF3EE5">
        <w:rPr>
          <w:rFonts w:ascii="Arial" w:hAnsi="Arial" w:cs="Arial"/>
          <w:sz w:val="22"/>
          <w:szCs w:val="22"/>
        </w:rPr>
        <w:t>.</w:t>
      </w:r>
    </w:p>
    <w:p w14:paraId="4E6BCEE3" w14:textId="77777777" w:rsidR="00471472" w:rsidRPr="00DF3EE5" w:rsidRDefault="00471472" w:rsidP="00061F37">
      <w:pPr>
        <w:pStyle w:val="BodyText"/>
        <w:spacing w:after="0" w:line="360" w:lineRule="auto"/>
        <w:rPr>
          <w:sz w:val="22"/>
          <w:szCs w:val="22"/>
        </w:rPr>
      </w:pPr>
    </w:p>
    <w:p w14:paraId="18ECCAD3" w14:textId="77777777" w:rsidR="00471472" w:rsidRPr="00FC4CDC" w:rsidRDefault="00471472" w:rsidP="00061F37">
      <w:pPr>
        <w:pStyle w:val="Heading1"/>
        <w:spacing w:line="360" w:lineRule="auto"/>
        <w:rPr>
          <w:rFonts w:ascii="Arial" w:hAnsi="Arial" w:cs="Arial"/>
          <w:b/>
          <w:bCs w:val="0"/>
          <w:color w:val="auto"/>
          <w:sz w:val="32"/>
          <w:szCs w:val="32"/>
        </w:rPr>
      </w:pPr>
      <w:bookmarkStart w:id="4" w:name="_Toc163804229"/>
      <w:r w:rsidRPr="00FC4CDC">
        <w:rPr>
          <w:rFonts w:ascii="Arial" w:hAnsi="Arial" w:cs="Arial"/>
          <w:b/>
          <w:bCs w:val="0"/>
          <w:color w:val="auto"/>
          <w:sz w:val="32"/>
          <w:szCs w:val="32"/>
        </w:rPr>
        <w:t>Introduction</w:t>
      </w:r>
      <w:bookmarkEnd w:id="4"/>
    </w:p>
    <w:p w14:paraId="4F2DAF1B" w14:textId="77777777" w:rsidR="00471472" w:rsidRPr="00DF3EE5" w:rsidRDefault="00471472" w:rsidP="00061F37">
      <w:pPr>
        <w:pStyle w:val="IntroFeatureText"/>
        <w:spacing w:line="360" w:lineRule="auto"/>
        <w:rPr>
          <w:rFonts w:ascii="Arial" w:hAnsi="Arial" w:cs="Arial"/>
          <w:color w:val="auto"/>
          <w:sz w:val="22"/>
          <w:szCs w:val="22"/>
        </w:rPr>
      </w:pPr>
      <w:r w:rsidRPr="00DF3EE5">
        <w:rPr>
          <w:rFonts w:ascii="Arial" w:hAnsi="Arial" w:cs="Arial"/>
          <w:color w:val="auto"/>
          <w:sz w:val="22"/>
          <w:szCs w:val="22"/>
        </w:rPr>
        <w:t xml:space="preserve">Special Water Supply Catchment Areas are important mechanisms to protect water resources for a range of uses. Provisions to declare, amend, or revoke these areas exist under the </w:t>
      </w:r>
      <w:r w:rsidRPr="00DF3EE5">
        <w:rPr>
          <w:rFonts w:ascii="Arial" w:hAnsi="Arial" w:cs="Arial"/>
          <w:i/>
          <w:iCs/>
          <w:color w:val="auto"/>
          <w:sz w:val="22"/>
          <w:szCs w:val="22"/>
        </w:rPr>
        <w:t>Catchment and Land Protection Act 1994</w:t>
      </w:r>
      <w:r w:rsidRPr="00DF3EE5">
        <w:rPr>
          <w:rFonts w:ascii="Arial" w:hAnsi="Arial" w:cs="Arial"/>
          <w:color w:val="auto"/>
          <w:sz w:val="22"/>
          <w:szCs w:val="22"/>
        </w:rPr>
        <w:t xml:space="preserve"> to strengthen or remove protection measures to meet the needs of Victorian communities.</w:t>
      </w:r>
    </w:p>
    <w:p w14:paraId="26A39054" w14:textId="77777777" w:rsidR="00471472" w:rsidRPr="00FC4CDC" w:rsidRDefault="00471472" w:rsidP="00061F37">
      <w:pPr>
        <w:pStyle w:val="Heading2"/>
        <w:spacing w:line="360" w:lineRule="auto"/>
        <w:rPr>
          <w:rFonts w:ascii="Arial" w:hAnsi="Arial" w:cs="Arial"/>
          <w:color w:val="auto"/>
          <w:szCs w:val="32"/>
        </w:rPr>
      </w:pPr>
      <w:bookmarkStart w:id="5" w:name="_Toc163804230"/>
      <w:r w:rsidRPr="00FC4CDC">
        <w:rPr>
          <w:rFonts w:ascii="Arial" w:hAnsi="Arial" w:cs="Arial"/>
          <w:color w:val="auto"/>
          <w:szCs w:val="32"/>
        </w:rPr>
        <w:t>Purpose of these guidelines</w:t>
      </w:r>
      <w:bookmarkEnd w:id="5"/>
    </w:p>
    <w:p w14:paraId="6BE4A11B" w14:textId="77777777" w:rsidR="00471472" w:rsidRPr="00DF3EE5" w:rsidRDefault="00471472" w:rsidP="00061F37">
      <w:pPr>
        <w:pStyle w:val="BodyText"/>
        <w:spacing w:line="360" w:lineRule="auto"/>
        <w:rPr>
          <w:rFonts w:ascii="Arial" w:hAnsi="Arial" w:cs="Arial"/>
          <w:sz w:val="22"/>
          <w:szCs w:val="22"/>
        </w:rPr>
      </w:pPr>
      <w:r w:rsidRPr="00DF3EE5">
        <w:rPr>
          <w:rFonts w:ascii="Arial" w:hAnsi="Arial" w:cs="Arial"/>
          <w:sz w:val="22"/>
          <w:szCs w:val="22"/>
        </w:rPr>
        <w:t xml:space="preserve">This guidance material provides information for water corporations and catchment management authorities (CMAs) to support them in making recommendations to declare, amend, or revoke a Special Water Supply Catchment Area. They summarise the process and outline the roles and responsibilities for water corporations, CMAs, local government, and the Department of Energy, Environment and Climate Action (DEECA). </w:t>
      </w:r>
    </w:p>
    <w:p w14:paraId="3D058AA9" w14:textId="77777777" w:rsidR="00471472" w:rsidRPr="00FC4CDC" w:rsidRDefault="00471472" w:rsidP="00061F37">
      <w:pPr>
        <w:pStyle w:val="Heading2"/>
        <w:spacing w:line="360" w:lineRule="auto"/>
        <w:rPr>
          <w:rFonts w:ascii="Arial" w:hAnsi="Arial" w:cs="Arial"/>
          <w:color w:val="auto"/>
          <w:szCs w:val="32"/>
        </w:rPr>
      </w:pPr>
      <w:bookmarkStart w:id="6" w:name="_Toc163804231"/>
      <w:r w:rsidRPr="00FC4CDC">
        <w:rPr>
          <w:rFonts w:ascii="Arial" w:hAnsi="Arial" w:cs="Arial"/>
          <w:color w:val="auto"/>
          <w:szCs w:val="32"/>
        </w:rPr>
        <w:t>Context</w:t>
      </w:r>
      <w:bookmarkEnd w:id="6"/>
    </w:p>
    <w:p w14:paraId="18A546FF" w14:textId="77777777" w:rsidR="00471472" w:rsidRPr="00FC4CDC" w:rsidRDefault="00471472" w:rsidP="00061F37">
      <w:pPr>
        <w:pStyle w:val="Heading3"/>
        <w:spacing w:line="360" w:lineRule="auto"/>
        <w:rPr>
          <w:rFonts w:ascii="Arial" w:hAnsi="Arial" w:cs="Arial"/>
          <w:color w:val="auto"/>
          <w:szCs w:val="28"/>
        </w:rPr>
      </w:pPr>
      <w:bookmarkStart w:id="7" w:name="_Toc163804232"/>
      <w:r w:rsidRPr="00FC4CDC">
        <w:rPr>
          <w:rFonts w:ascii="Arial" w:hAnsi="Arial" w:cs="Arial"/>
          <w:color w:val="auto"/>
          <w:szCs w:val="28"/>
        </w:rPr>
        <w:t>Catchment and Land Protection Act 1994</w:t>
      </w:r>
      <w:bookmarkEnd w:id="7"/>
    </w:p>
    <w:p w14:paraId="17A150B3" w14:textId="77777777" w:rsidR="00471472" w:rsidRPr="00DF3EE5" w:rsidRDefault="00471472" w:rsidP="00061F37">
      <w:pPr>
        <w:pStyle w:val="BodyText"/>
        <w:spacing w:line="360" w:lineRule="auto"/>
        <w:rPr>
          <w:rFonts w:ascii="Arial" w:hAnsi="Arial" w:cs="Arial"/>
          <w:sz w:val="22"/>
          <w:szCs w:val="22"/>
        </w:rPr>
      </w:pPr>
      <w:r w:rsidRPr="00DF3EE5">
        <w:rPr>
          <w:rFonts w:ascii="Arial" w:hAnsi="Arial" w:cs="Arial"/>
          <w:sz w:val="22"/>
          <w:szCs w:val="22"/>
        </w:rPr>
        <w:t>Many catchments supplying water for domestic, irrigation or other purposes within Victoria are protected under the </w:t>
      </w:r>
      <w:hyperlink r:id="rId20" w:history="1">
        <w:r w:rsidRPr="00DF3EE5">
          <w:rPr>
            <w:rFonts w:ascii="Arial" w:hAnsi="Arial" w:cs="Arial"/>
            <w:i/>
            <w:iCs/>
            <w:sz w:val="22"/>
            <w:szCs w:val="22"/>
          </w:rPr>
          <w:t>Catchment and Land Protection Act 1994 (</w:t>
        </w:r>
        <w:r w:rsidRPr="00DF3EE5">
          <w:rPr>
            <w:rFonts w:ascii="Arial" w:hAnsi="Arial" w:cs="Arial"/>
            <w:sz w:val="22"/>
            <w:szCs w:val="22"/>
          </w:rPr>
          <w:t>CaLP Act</w:t>
        </w:r>
        <w:r w:rsidRPr="00DF3EE5">
          <w:rPr>
            <w:rFonts w:ascii="Arial" w:hAnsi="Arial" w:cs="Arial"/>
            <w:i/>
            <w:iCs/>
            <w:sz w:val="22"/>
            <w:szCs w:val="22"/>
          </w:rPr>
          <w:t>)</w:t>
        </w:r>
        <w:r w:rsidRPr="00DF3EE5">
          <w:rPr>
            <w:rFonts w:ascii="Arial" w:hAnsi="Arial" w:cs="Arial"/>
            <w:sz w:val="22"/>
            <w:szCs w:val="22"/>
          </w:rPr>
          <w:t>.</w:t>
        </w:r>
      </w:hyperlink>
      <w:r w:rsidRPr="00DF3EE5">
        <w:rPr>
          <w:rFonts w:ascii="Arial" w:hAnsi="Arial" w:cs="Arial"/>
          <w:sz w:val="22"/>
          <w:szCs w:val="22"/>
        </w:rPr>
        <w:t xml:space="preserve"> These safeguards protect the catchments and water quality from land use and development.</w:t>
      </w:r>
    </w:p>
    <w:p w14:paraId="22A18F03" w14:textId="77777777" w:rsidR="00471472" w:rsidRPr="00DF3EE5" w:rsidRDefault="00471472" w:rsidP="00061F37">
      <w:pPr>
        <w:pStyle w:val="BodyText"/>
        <w:spacing w:line="360" w:lineRule="auto"/>
        <w:rPr>
          <w:rFonts w:ascii="Arial" w:hAnsi="Arial" w:cs="Arial"/>
          <w:sz w:val="22"/>
          <w:szCs w:val="22"/>
        </w:rPr>
      </w:pPr>
      <w:r w:rsidRPr="00DF3EE5">
        <w:rPr>
          <w:rFonts w:ascii="Arial" w:hAnsi="Arial" w:cs="Arial"/>
          <w:sz w:val="22"/>
          <w:szCs w:val="22"/>
        </w:rPr>
        <w:t>Under the CaLP Act (s.27), land can be declared a Special Area where the existing or potential use of the area may adversely affect:</w:t>
      </w:r>
    </w:p>
    <w:p w14:paraId="2AF83178" w14:textId="77777777" w:rsidR="00471472" w:rsidRPr="00DF3EE5" w:rsidRDefault="00471472" w:rsidP="00061F37">
      <w:pPr>
        <w:pStyle w:val="ListBullet"/>
        <w:spacing w:line="360" w:lineRule="auto"/>
        <w:rPr>
          <w:rFonts w:ascii="Arial" w:hAnsi="Arial" w:cs="Arial"/>
          <w:sz w:val="22"/>
          <w:szCs w:val="22"/>
        </w:rPr>
      </w:pPr>
      <w:r w:rsidRPr="00DF3EE5">
        <w:rPr>
          <w:rFonts w:ascii="Arial" w:hAnsi="Arial" w:cs="Arial"/>
          <w:sz w:val="22"/>
          <w:szCs w:val="22"/>
        </w:rPr>
        <w:t>The quality and condition of land; or</w:t>
      </w:r>
    </w:p>
    <w:p w14:paraId="0E8E9819" w14:textId="77777777" w:rsidR="00471472" w:rsidRPr="00DF3EE5" w:rsidRDefault="00471472" w:rsidP="00061F37">
      <w:pPr>
        <w:pStyle w:val="ListBullet"/>
        <w:spacing w:line="360" w:lineRule="auto"/>
        <w:rPr>
          <w:rFonts w:ascii="Arial" w:hAnsi="Arial" w:cs="Arial"/>
          <w:sz w:val="22"/>
          <w:szCs w:val="22"/>
        </w:rPr>
      </w:pPr>
      <w:r w:rsidRPr="00DF3EE5">
        <w:rPr>
          <w:rFonts w:ascii="Arial" w:hAnsi="Arial" w:cs="Arial"/>
          <w:sz w:val="22"/>
          <w:szCs w:val="22"/>
        </w:rPr>
        <w:t>Water quality or aquatic habitats; or</w:t>
      </w:r>
    </w:p>
    <w:p w14:paraId="0F6D9FD9" w14:textId="77777777" w:rsidR="00471472" w:rsidRPr="00DF3EE5" w:rsidRDefault="00471472" w:rsidP="00061F37">
      <w:pPr>
        <w:pStyle w:val="ListBullet"/>
        <w:spacing w:line="360" w:lineRule="auto"/>
        <w:rPr>
          <w:rFonts w:ascii="Arial" w:hAnsi="Arial" w:cs="Arial"/>
          <w:sz w:val="22"/>
          <w:szCs w:val="22"/>
        </w:rPr>
      </w:pPr>
      <w:r w:rsidRPr="00DF3EE5">
        <w:rPr>
          <w:rFonts w:ascii="Arial" w:hAnsi="Arial" w:cs="Arial"/>
          <w:sz w:val="22"/>
          <w:szCs w:val="22"/>
        </w:rPr>
        <w:t>Aquifer recharge or discharge areas.</w:t>
      </w:r>
    </w:p>
    <w:p w14:paraId="7B99F41D" w14:textId="77777777" w:rsidR="00471472" w:rsidRPr="00DF3EE5" w:rsidRDefault="00471472" w:rsidP="00061F37">
      <w:pPr>
        <w:pStyle w:val="ListAlpha"/>
        <w:numPr>
          <w:ilvl w:val="0"/>
          <w:numId w:val="0"/>
        </w:numPr>
        <w:spacing w:line="360" w:lineRule="auto"/>
        <w:rPr>
          <w:rFonts w:ascii="Arial" w:hAnsi="Arial" w:cs="Arial"/>
          <w:sz w:val="22"/>
          <w:szCs w:val="22"/>
        </w:rPr>
      </w:pPr>
      <w:r w:rsidRPr="00DF3EE5">
        <w:rPr>
          <w:rFonts w:ascii="Arial" w:hAnsi="Arial" w:cs="Arial"/>
          <w:sz w:val="22"/>
          <w:szCs w:val="22"/>
        </w:rPr>
        <w:t>A declared Special Area may be classified as a Special Water Supply Catchment Area (SWSCA) (s.27(2)), recognising the area as a significant source of water supply for potable, domestic, irrigation, stock, and industry use. Provisions for SWSCAs are contained in Part 4, Division 2 of the CaLP Act.</w:t>
      </w:r>
    </w:p>
    <w:p w14:paraId="5C36E3C9" w14:textId="77777777" w:rsidR="00471472" w:rsidRPr="00DF3EE5" w:rsidRDefault="00471472" w:rsidP="00061F37">
      <w:pPr>
        <w:pStyle w:val="ListAlpha"/>
        <w:numPr>
          <w:ilvl w:val="0"/>
          <w:numId w:val="0"/>
        </w:numPr>
        <w:spacing w:line="360" w:lineRule="auto"/>
        <w:rPr>
          <w:rFonts w:ascii="Arial" w:hAnsi="Arial" w:cs="Arial"/>
          <w:sz w:val="22"/>
          <w:szCs w:val="22"/>
        </w:rPr>
      </w:pPr>
      <w:r w:rsidRPr="00DF3EE5">
        <w:rPr>
          <w:rFonts w:ascii="Arial" w:hAnsi="Arial" w:cs="Arial"/>
          <w:sz w:val="22"/>
          <w:szCs w:val="22"/>
        </w:rPr>
        <w:t xml:space="preserve">A SWSCA provides a greater level of protection for the supply and quality of water for communities. Water quality protection and risk management occurs through planning referrals for land use and development proposals and applications of various codes of practice for timber production, agriculture, onsite wastewater management, and others that may refer to SWSCAs. </w:t>
      </w:r>
    </w:p>
    <w:p w14:paraId="40CD7B8C" w14:textId="77777777" w:rsidR="00471472" w:rsidRPr="009206E7" w:rsidRDefault="00471472" w:rsidP="00061F37">
      <w:pPr>
        <w:pStyle w:val="Heading3"/>
        <w:spacing w:line="360" w:lineRule="auto"/>
        <w:rPr>
          <w:rFonts w:ascii="Arial" w:hAnsi="Arial" w:cs="Arial"/>
          <w:color w:val="auto"/>
        </w:rPr>
      </w:pPr>
      <w:bookmarkStart w:id="8" w:name="_Toc163804233"/>
      <w:r w:rsidRPr="009206E7">
        <w:rPr>
          <w:rFonts w:ascii="Arial" w:hAnsi="Arial" w:cs="Arial"/>
          <w:color w:val="auto"/>
        </w:rPr>
        <w:t>Current Special Water Supply Catchment Areas</w:t>
      </w:r>
      <w:bookmarkEnd w:id="8"/>
    </w:p>
    <w:p w14:paraId="2609886C" w14:textId="77777777" w:rsidR="00471472" w:rsidRPr="002D4A77" w:rsidRDefault="00471472" w:rsidP="00061F37">
      <w:pPr>
        <w:pStyle w:val="ListAlpha"/>
        <w:numPr>
          <w:ilvl w:val="0"/>
          <w:numId w:val="0"/>
        </w:numPr>
        <w:spacing w:line="360" w:lineRule="auto"/>
        <w:rPr>
          <w:rFonts w:ascii="Arial" w:hAnsi="Arial" w:cs="Arial"/>
          <w:sz w:val="22"/>
          <w:szCs w:val="22"/>
        </w:rPr>
      </w:pPr>
      <w:r w:rsidRPr="002D4A77">
        <w:rPr>
          <w:rFonts w:ascii="Arial" w:hAnsi="Arial" w:cs="Arial"/>
          <w:sz w:val="22"/>
          <w:szCs w:val="22"/>
        </w:rPr>
        <w:t>As of April 2024, there were 123 SWSCAs across Victoria (Figure 1). The spatial data layer (SWSCA100) is available on:</w:t>
      </w:r>
    </w:p>
    <w:p w14:paraId="56C3538D" w14:textId="77777777" w:rsidR="00471472" w:rsidRPr="002D4A77" w:rsidRDefault="00471472" w:rsidP="00061F37">
      <w:pPr>
        <w:pStyle w:val="ListBullet"/>
        <w:spacing w:line="360" w:lineRule="auto"/>
        <w:rPr>
          <w:rFonts w:ascii="Arial" w:hAnsi="Arial" w:cs="Arial"/>
          <w:sz w:val="22"/>
          <w:szCs w:val="22"/>
        </w:rPr>
      </w:pPr>
      <w:proofErr w:type="spellStart"/>
      <w:r w:rsidRPr="002D4A77">
        <w:rPr>
          <w:rFonts w:ascii="Arial" w:hAnsi="Arial" w:cs="Arial"/>
          <w:sz w:val="22"/>
          <w:szCs w:val="22"/>
        </w:rPr>
        <w:t>VicPlan</w:t>
      </w:r>
      <w:proofErr w:type="spellEnd"/>
      <w:r w:rsidRPr="002D4A77">
        <w:rPr>
          <w:rFonts w:ascii="Arial" w:hAnsi="Arial" w:cs="Arial"/>
          <w:sz w:val="22"/>
          <w:szCs w:val="22"/>
        </w:rPr>
        <w:t xml:space="preserve"> (</w:t>
      </w:r>
      <w:hyperlink r:id="rId21" w:history="1">
        <w:r w:rsidRPr="002D4A77">
          <w:rPr>
            <w:rStyle w:val="Hyperlink"/>
            <w:rFonts w:ascii="Arial" w:hAnsi="Arial" w:cs="Arial"/>
            <w:sz w:val="22"/>
            <w:szCs w:val="22"/>
          </w:rPr>
          <w:t>https://mapshare.vic.gov.au/vicplan</w:t>
        </w:r>
      </w:hyperlink>
      <w:r w:rsidRPr="002D4A77">
        <w:rPr>
          <w:rFonts w:ascii="Arial" w:hAnsi="Arial" w:cs="Arial"/>
          <w:sz w:val="22"/>
          <w:szCs w:val="22"/>
        </w:rPr>
        <w:t>); and</w:t>
      </w:r>
    </w:p>
    <w:p w14:paraId="1E692A88" w14:textId="77777777" w:rsidR="00471472" w:rsidRPr="002D4A77" w:rsidRDefault="00471472" w:rsidP="00061F37">
      <w:pPr>
        <w:pStyle w:val="ListBullet"/>
        <w:spacing w:line="360" w:lineRule="auto"/>
        <w:rPr>
          <w:rFonts w:ascii="Arial" w:hAnsi="Arial" w:cs="Arial"/>
          <w:sz w:val="22"/>
          <w:szCs w:val="22"/>
        </w:rPr>
      </w:pPr>
      <w:proofErr w:type="spellStart"/>
      <w:r w:rsidRPr="002D4A77">
        <w:rPr>
          <w:rFonts w:ascii="Arial" w:hAnsi="Arial" w:cs="Arial"/>
          <w:sz w:val="22"/>
          <w:szCs w:val="22"/>
        </w:rPr>
        <w:t>MapshareVic</w:t>
      </w:r>
      <w:proofErr w:type="spellEnd"/>
      <w:r w:rsidRPr="002D4A77">
        <w:rPr>
          <w:rFonts w:ascii="Arial" w:hAnsi="Arial" w:cs="Arial"/>
          <w:sz w:val="22"/>
          <w:szCs w:val="22"/>
        </w:rPr>
        <w:t xml:space="preserve"> (</w:t>
      </w:r>
      <w:hyperlink r:id="rId22" w:history="1">
        <w:r w:rsidRPr="002D4A77">
          <w:rPr>
            <w:rStyle w:val="Hyperlink"/>
            <w:rFonts w:ascii="Arial" w:hAnsi="Arial" w:cs="Arial"/>
            <w:sz w:val="22"/>
            <w:szCs w:val="22"/>
          </w:rPr>
          <w:t>https://mapshare.vic.gov.au/mapsharevic</w:t>
        </w:r>
      </w:hyperlink>
      <w:r w:rsidRPr="002D4A77">
        <w:rPr>
          <w:rFonts w:ascii="Arial" w:hAnsi="Arial" w:cs="Arial"/>
          <w:sz w:val="22"/>
          <w:szCs w:val="22"/>
        </w:rPr>
        <w:t>).</w:t>
      </w:r>
    </w:p>
    <w:p w14:paraId="439162DF" w14:textId="77777777" w:rsidR="00471472" w:rsidRPr="002D4A77" w:rsidRDefault="00471472" w:rsidP="00061F37">
      <w:pPr>
        <w:pStyle w:val="ListAlpha"/>
        <w:numPr>
          <w:ilvl w:val="0"/>
          <w:numId w:val="0"/>
        </w:numPr>
        <w:spacing w:line="360" w:lineRule="auto"/>
        <w:rPr>
          <w:rFonts w:ascii="Arial" w:hAnsi="Arial" w:cs="Arial"/>
          <w:sz w:val="22"/>
          <w:szCs w:val="22"/>
        </w:rPr>
      </w:pPr>
      <w:r w:rsidRPr="002D4A77">
        <w:rPr>
          <w:rFonts w:ascii="Arial" w:hAnsi="Arial" w:cs="Arial"/>
          <w:sz w:val="22"/>
          <w:szCs w:val="22"/>
        </w:rPr>
        <w:t xml:space="preserve">Most SWSCAs existed as Proclaimed Water Supply Catchments under the </w:t>
      </w:r>
      <w:r w:rsidRPr="002D4A77">
        <w:rPr>
          <w:rFonts w:ascii="Arial" w:hAnsi="Arial" w:cs="Arial"/>
          <w:i/>
          <w:iCs/>
          <w:sz w:val="22"/>
          <w:szCs w:val="22"/>
        </w:rPr>
        <w:t>Soil Conservation and Land Utilization Act 1958</w:t>
      </w:r>
      <w:r w:rsidRPr="002D4A77">
        <w:rPr>
          <w:rFonts w:ascii="Arial" w:hAnsi="Arial" w:cs="Arial"/>
          <w:sz w:val="22"/>
          <w:szCs w:val="22"/>
        </w:rPr>
        <w:t xml:space="preserve"> and were transferred to the CaLP Act when the former legislation was repealed. </w:t>
      </w:r>
    </w:p>
    <w:p w14:paraId="618F3320" w14:textId="536217DB" w:rsidR="00EC6717" w:rsidRDefault="00EC6717" w:rsidP="00061F37">
      <w:pPr>
        <w:pStyle w:val="ListAlpha"/>
        <w:numPr>
          <w:ilvl w:val="0"/>
          <w:numId w:val="0"/>
        </w:numPr>
        <w:spacing w:line="360" w:lineRule="auto"/>
        <w:rPr>
          <w:rFonts w:ascii="Arial" w:hAnsi="Arial" w:cs="Arial"/>
          <w:sz w:val="22"/>
          <w:szCs w:val="22"/>
        </w:rPr>
      </w:pPr>
      <w:r>
        <w:rPr>
          <w:rFonts w:ascii="Arial" w:hAnsi="Arial" w:cs="Arial"/>
          <w:b/>
          <w:bCs/>
          <w:sz w:val="22"/>
          <w:szCs w:val="22"/>
        </w:rPr>
        <w:t>CaLP Act – Schedule 5</w:t>
      </w:r>
    </w:p>
    <w:p w14:paraId="72882FF2" w14:textId="6ECC49D5" w:rsidR="00EC6717" w:rsidRDefault="00EC6717" w:rsidP="00061F37">
      <w:pPr>
        <w:pStyle w:val="NormalWeb"/>
        <w:spacing w:before="0" w:beforeAutospacing="0" w:after="200" w:afterAutospacing="0" w:line="360" w:lineRule="auto"/>
        <w:rPr>
          <w:rFonts w:ascii="Arial" w:hAnsi="Arial" w:cs="Arial"/>
          <w:sz w:val="22"/>
          <w:szCs w:val="22"/>
        </w:rPr>
      </w:pPr>
      <w:r>
        <w:rPr>
          <w:rFonts w:ascii="Arial" w:hAnsi="Arial" w:cs="Arial"/>
          <w:sz w:val="22"/>
          <w:szCs w:val="22"/>
        </w:rPr>
        <w:t xml:space="preserve">It should be noted that the list of SWSCAs in Schedule 5 of the CaLP Act was created at the time of drafting the legislation. It does not include any subsequent declaration, amendment, </w:t>
      </w:r>
      <w:r w:rsidR="00980A55">
        <w:rPr>
          <w:rFonts w:ascii="Arial" w:hAnsi="Arial" w:cs="Arial"/>
          <w:sz w:val="22"/>
          <w:szCs w:val="22"/>
        </w:rPr>
        <w:t>or</w:t>
      </w:r>
      <w:r>
        <w:rPr>
          <w:rFonts w:ascii="Arial" w:hAnsi="Arial" w:cs="Arial"/>
          <w:sz w:val="22"/>
          <w:szCs w:val="22"/>
        </w:rPr>
        <w:t xml:space="preserve"> revocation of SWSCAs. </w:t>
      </w:r>
    </w:p>
    <w:p w14:paraId="6DA44A3A" w14:textId="77777777" w:rsidR="00EC6717" w:rsidRDefault="00EC6717" w:rsidP="00061F37">
      <w:pPr>
        <w:pStyle w:val="NormalWeb"/>
        <w:spacing w:before="0" w:beforeAutospacing="0" w:after="200" w:afterAutospacing="0" w:line="360" w:lineRule="auto"/>
        <w:rPr>
          <w:rFonts w:ascii="Arial" w:hAnsi="Arial" w:cs="Arial"/>
          <w:sz w:val="22"/>
          <w:szCs w:val="22"/>
        </w:rPr>
      </w:pPr>
      <w:r>
        <w:rPr>
          <w:rFonts w:ascii="Arial" w:hAnsi="Arial" w:cs="Arial"/>
          <w:b/>
          <w:bCs/>
          <w:sz w:val="22"/>
          <w:szCs w:val="22"/>
        </w:rPr>
        <w:t xml:space="preserve">Former Land Use Determinations (LUDs) </w:t>
      </w:r>
    </w:p>
    <w:p w14:paraId="52C081E3" w14:textId="77777777" w:rsidR="00EC6717" w:rsidRDefault="00EC6717" w:rsidP="00061F37">
      <w:pPr>
        <w:pStyle w:val="NormalWeb"/>
        <w:spacing w:before="0" w:beforeAutospacing="0" w:after="200" w:afterAutospacing="0" w:line="360" w:lineRule="auto"/>
        <w:rPr>
          <w:rFonts w:ascii="Arial" w:hAnsi="Arial" w:cs="Arial"/>
          <w:sz w:val="22"/>
          <w:szCs w:val="22"/>
        </w:rPr>
      </w:pPr>
      <w:r>
        <w:rPr>
          <w:rFonts w:ascii="Arial" w:hAnsi="Arial" w:cs="Arial"/>
          <w:sz w:val="22"/>
          <w:szCs w:val="22"/>
        </w:rPr>
        <w:t xml:space="preserve">LUDs under the former legislation ceased to exist in 2006. Special Area Plan provisions replaced LUDs under the </w:t>
      </w:r>
    </w:p>
    <w:p w14:paraId="3E43D42E" w14:textId="77777777" w:rsidR="00EC6717" w:rsidRDefault="00EC6717" w:rsidP="00061F37">
      <w:pPr>
        <w:pStyle w:val="NormalWeb"/>
        <w:spacing w:before="0" w:beforeAutospacing="0" w:after="200" w:afterAutospacing="0" w:line="360" w:lineRule="auto"/>
        <w:rPr>
          <w:rFonts w:ascii="Arial" w:hAnsi="Arial" w:cs="Arial"/>
          <w:sz w:val="22"/>
          <w:szCs w:val="22"/>
        </w:rPr>
      </w:pPr>
      <w:r>
        <w:rPr>
          <w:rFonts w:ascii="Arial" w:hAnsi="Arial" w:cs="Arial"/>
          <w:sz w:val="22"/>
          <w:szCs w:val="22"/>
        </w:rPr>
        <w:t>CaLP Act (s.28 to 32 and Schedule 2).</w:t>
      </w:r>
    </w:p>
    <w:p w14:paraId="563D2D56" w14:textId="746851CD" w:rsidR="00471472" w:rsidRPr="006119A2" w:rsidRDefault="00471472" w:rsidP="00061F37">
      <w:pPr>
        <w:pStyle w:val="Caption"/>
        <w:spacing w:line="360" w:lineRule="auto"/>
        <w:rPr>
          <w:rFonts w:ascii="Arial" w:hAnsi="Arial" w:cs="Arial"/>
        </w:rPr>
      </w:pPr>
      <w:r w:rsidRPr="00EC6717">
        <w:rPr>
          <w:rFonts w:ascii="Arial" w:hAnsi="Arial" w:cs="Arial"/>
          <w:sz w:val="22"/>
          <w:szCs w:val="24"/>
        </w:rPr>
        <w:t xml:space="preserve">Figure </w:t>
      </w:r>
      <w:r w:rsidRPr="00EC6717">
        <w:rPr>
          <w:rFonts w:ascii="Arial" w:hAnsi="Arial" w:cs="Arial"/>
          <w:color w:val="2B579A"/>
          <w:sz w:val="22"/>
          <w:szCs w:val="24"/>
          <w:shd w:val="clear" w:color="auto" w:fill="E6E6E6"/>
        </w:rPr>
        <w:fldChar w:fldCharType="begin"/>
      </w:r>
      <w:r w:rsidRPr="00EC6717">
        <w:rPr>
          <w:rFonts w:ascii="Arial" w:hAnsi="Arial" w:cs="Arial"/>
          <w:sz w:val="22"/>
          <w:szCs w:val="24"/>
        </w:rPr>
        <w:instrText xml:space="preserve"> SEQ Figure \* ARABIC </w:instrText>
      </w:r>
      <w:r w:rsidRPr="00EC6717">
        <w:rPr>
          <w:rFonts w:ascii="Arial" w:hAnsi="Arial" w:cs="Arial"/>
          <w:color w:val="2B579A"/>
          <w:sz w:val="22"/>
          <w:szCs w:val="24"/>
          <w:shd w:val="clear" w:color="auto" w:fill="E6E6E6"/>
        </w:rPr>
        <w:fldChar w:fldCharType="separate"/>
      </w:r>
      <w:r w:rsidRPr="00EC6717">
        <w:rPr>
          <w:rFonts w:ascii="Arial" w:hAnsi="Arial" w:cs="Arial"/>
          <w:noProof/>
          <w:sz w:val="22"/>
          <w:szCs w:val="24"/>
        </w:rPr>
        <w:t>1</w:t>
      </w:r>
      <w:r w:rsidRPr="00EC6717">
        <w:rPr>
          <w:rFonts w:ascii="Arial" w:hAnsi="Arial" w:cs="Arial"/>
          <w:color w:val="2B579A"/>
          <w:sz w:val="22"/>
          <w:szCs w:val="24"/>
          <w:shd w:val="clear" w:color="auto" w:fill="E6E6E6"/>
        </w:rPr>
        <w:fldChar w:fldCharType="end"/>
      </w:r>
      <w:r w:rsidRPr="00EC6717">
        <w:rPr>
          <w:rFonts w:ascii="Arial" w:hAnsi="Arial" w:cs="Arial"/>
          <w:sz w:val="22"/>
          <w:szCs w:val="24"/>
        </w:rPr>
        <w:t xml:space="preserve">: </w:t>
      </w:r>
      <w:r w:rsidR="006119A2" w:rsidRPr="00EC6717">
        <w:rPr>
          <w:rFonts w:ascii="Arial" w:hAnsi="Arial" w:cs="Arial"/>
          <w:sz w:val="22"/>
          <w:szCs w:val="24"/>
        </w:rPr>
        <w:t>A map of the d</w:t>
      </w:r>
      <w:r w:rsidRPr="00EC6717">
        <w:rPr>
          <w:rFonts w:ascii="Arial" w:hAnsi="Arial" w:cs="Arial"/>
          <w:sz w:val="22"/>
          <w:szCs w:val="24"/>
        </w:rPr>
        <w:t>eclared Special Water Supply Catchment Areas</w:t>
      </w:r>
      <w:r w:rsidR="006119A2" w:rsidRPr="00EC6717">
        <w:rPr>
          <w:rFonts w:ascii="Arial" w:hAnsi="Arial" w:cs="Arial"/>
          <w:sz w:val="22"/>
          <w:szCs w:val="24"/>
        </w:rPr>
        <w:t xml:space="preserve"> in Victoria</w:t>
      </w:r>
      <w:r w:rsidRPr="00EC6717">
        <w:rPr>
          <w:rFonts w:ascii="Arial" w:hAnsi="Arial" w:cs="Arial"/>
          <w:sz w:val="22"/>
          <w:szCs w:val="24"/>
        </w:rPr>
        <w:t>.</w:t>
      </w:r>
    </w:p>
    <w:p w14:paraId="04011CE7" w14:textId="77777777" w:rsidR="00471472" w:rsidRPr="006119A2" w:rsidRDefault="00471472" w:rsidP="00061F37">
      <w:pPr>
        <w:pStyle w:val="Heading2"/>
        <w:spacing w:before="480" w:line="360" w:lineRule="auto"/>
        <w:rPr>
          <w:rFonts w:ascii="Arial" w:hAnsi="Arial" w:cs="Arial"/>
          <w:color w:val="auto"/>
        </w:rPr>
      </w:pPr>
      <w:bookmarkStart w:id="9" w:name="_Toc163804234"/>
      <w:r w:rsidRPr="006119A2">
        <w:rPr>
          <w:rFonts w:ascii="Arial" w:hAnsi="Arial" w:cs="Arial"/>
          <w:color w:val="auto"/>
        </w:rPr>
        <w:t>Process to declare, amend or revoke a Special Water Supply Catchment Area</w:t>
      </w:r>
      <w:bookmarkEnd w:id="9"/>
    </w:p>
    <w:p w14:paraId="5DAF0869" w14:textId="0A4ECFA0"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The key steps to declare, amend, or revoke a SWSCA are the same and summarised in Figure 2.</w:t>
      </w:r>
    </w:p>
    <w:p w14:paraId="20BA9F1F" w14:textId="590F0E39" w:rsidR="0934608B" w:rsidRDefault="0934608B" w:rsidP="238DB453">
      <w:pPr>
        <w:pStyle w:val="BodyText"/>
        <w:numPr>
          <w:ilvl w:val="0"/>
          <w:numId w:val="4"/>
        </w:numPr>
        <w:spacing w:line="360" w:lineRule="auto"/>
        <w:rPr>
          <w:rFonts w:ascii="Arial" w:hAnsi="Arial" w:cs="Arial"/>
          <w:sz w:val="22"/>
          <w:szCs w:val="22"/>
        </w:rPr>
      </w:pPr>
      <w:r w:rsidRPr="238DB453">
        <w:rPr>
          <w:rFonts w:ascii="Arial" w:hAnsi="Arial" w:cs="Arial"/>
          <w:sz w:val="22"/>
          <w:szCs w:val="22"/>
        </w:rPr>
        <w:t>The Need, Rationale and Evidence</w:t>
      </w:r>
    </w:p>
    <w:p w14:paraId="67152F3A" w14:textId="1847F489" w:rsidR="0934608B" w:rsidRDefault="0934608B" w:rsidP="0D5D51DB">
      <w:pPr>
        <w:pStyle w:val="BodyText"/>
        <w:spacing w:line="360" w:lineRule="auto"/>
        <w:ind w:left="720"/>
        <w:rPr>
          <w:rFonts w:ascii="Arial" w:hAnsi="Arial" w:cs="Arial"/>
          <w:sz w:val="22"/>
          <w:szCs w:val="22"/>
        </w:rPr>
      </w:pPr>
      <w:r w:rsidRPr="0D5D51DB">
        <w:rPr>
          <w:rFonts w:ascii="Arial" w:hAnsi="Arial" w:cs="Arial"/>
          <w:sz w:val="22"/>
          <w:szCs w:val="22"/>
        </w:rPr>
        <w:t>The water corporation identifies the need, and provides the rationale and evidence</w:t>
      </w:r>
    </w:p>
    <w:p w14:paraId="76A7DA44" w14:textId="2E8549E8" w:rsidR="0934608B" w:rsidRDefault="0934608B" w:rsidP="238DB453">
      <w:pPr>
        <w:pStyle w:val="BodyText"/>
        <w:numPr>
          <w:ilvl w:val="0"/>
          <w:numId w:val="4"/>
        </w:numPr>
        <w:spacing w:line="360" w:lineRule="auto"/>
        <w:rPr>
          <w:rFonts w:ascii="Arial" w:hAnsi="Arial" w:cs="Arial"/>
          <w:sz w:val="22"/>
          <w:szCs w:val="22"/>
        </w:rPr>
      </w:pPr>
      <w:r w:rsidRPr="1993C775">
        <w:rPr>
          <w:rFonts w:ascii="Arial" w:hAnsi="Arial" w:cs="Arial"/>
          <w:sz w:val="22"/>
          <w:szCs w:val="22"/>
        </w:rPr>
        <w:t>Recommendation</w:t>
      </w:r>
    </w:p>
    <w:p w14:paraId="1D85F6E9" w14:textId="2E8549E8" w:rsidR="0934608B" w:rsidRDefault="0934608B" w:rsidP="0D5D51DB">
      <w:pPr>
        <w:pStyle w:val="BodyText"/>
        <w:spacing w:line="360" w:lineRule="auto"/>
        <w:ind w:left="720"/>
        <w:rPr>
          <w:rFonts w:ascii="Arial" w:hAnsi="Arial" w:cs="Arial"/>
          <w:sz w:val="22"/>
          <w:szCs w:val="22"/>
        </w:rPr>
      </w:pPr>
      <w:r w:rsidRPr="0D5D51DB">
        <w:rPr>
          <w:rFonts w:ascii="Arial" w:hAnsi="Arial" w:cs="Arial"/>
          <w:sz w:val="22"/>
          <w:szCs w:val="22"/>
        </w:rPr>
        <w:t>The CMA makes the recommendation to the Minister</w:t>
      </w:r>
    </w:p>
    <w:p w14:paraId="65666D05" w14:textId="2E8549E8" w:rsidR="0934608B" w:rsidRDefault="0934608B" w:rsidP="1993C775">
      <w:pPr>
        <w:pStyle w:val="BodyText"/>
        <w:numPr>
          <w:ilvl w:val="0"/>
          <w:numId w:val="4"/>
        </w:numPr>
        <w:spacing w:line="360" w:lineRule="auto"/>
        <w:rPr>
          <w:rFonts w:ascii="Arial" w:hAnsi="Arial" w:cs="Arial"/>
          <w:sz w:val="22"/>
          <w:szCs w:val="22"/>
        </w:rPr>
      </w:pPr>
      <w:r w:rsidRPr="1993C775">
        <w:rPr>
          <w:rFonts w:ascii="Arial" w:hAnsi="Arial" w:cs="Arial"/>
          <w:sz w:val="22"/>
          <w:szCs w:val="22"/>
        </w:rPr>
        <w:t>Decision</w:t>
      </w:r>
    </w:p>
    <w:p w14:paraId="653712D8" w14:textId="2E8549E8" w:rsidR="0934608B" w:rsidRDefault="0934608B" w:rsidP="0D5D51DB">
      <w:pPr>
        <w:pStyle w:val="BodyText"/>
        <w:spacing w:line="360" w:lineRule="auto"/>
        <w:ind w:left="720"/>
        <w:rPr>
          <w:rFonts w:ascii="Arial" w:hAnsi="Arial" w:cs="Arial"/>
          <w:sz w:val="22"/>
          <w:szCs w:val="22"/>
        </w:rPr>
      </w:pPr>
      <w:r w:rsidRPr="0D5D51DB">
        <w:rPr>
          <w:rFonts w:ascii="Arial" w:hAnsi="Arial" w:cs="Arial"/>
          <w:sz w:val="22"/>
          <w:szCs w:val="22"/>
        </w:rPr>
        <w:t>The Minister accepts the recommendation</w:t>
      </w:r>
    </w:p>
    <w:p w14:paraId="3E7295E9" w14:textId="23EAA4AF" w:rsidR="0934608B" w:rsidRDefault="0934608B" w:rsidP="0D5D51DB">
      <w:pPr>
        <w:pStyle w:val="BodyText"/>
        <w:spacing w:line="360" w:lineRule="auto"/>
        <w:ind w:left="720"/>
        <w:rPr>
          <w:rFonts w:ascii="Arial" w:hAnsi="Arial" w:cs="Arial"/>
          <w:sz w:val="22"/>
          <w:szCs w:val="22"/>
        </w:rPr>
      </w:pPr>
      <w:r w:rsidRPr="0EF9223C">
        <w:rPr>
          <w:rFonts w:ascii="Arial" w:hAnsi="Arial" w:cs="Arial"/>
          <w:sz w:val="22"/>
          <w:szCs w:val="22"/>
        </w:rPr>
        <w:t>Governor in Council enacts the recommendation</w:t>
      </w:r>
      <w:r>
        <w:br/>
      </w:r>
      <w:r w:rsidRPr="0EF9223C">
        <w:rPr>
          <w:rFonts w:ascii="Arial" w:hAnsi="Arial" w:cs="Arial"/>
          <w:sz w:val="22"/>
          <w:szCs w:val="22"/>
        </w:rPr>
        <w:t>OR</w:t>
      </w:r>
    </w:p>
    <w:p w14:paraId="321F28A2" w14:textId="4D1B81CF" w:rsidR="0934608B" w:rsidRDefault="0934608B" w:rsidP="0EF9223C">
      <w:pPr>
        <w:pStyle w:val="BodyText"/>
        <w:spacing w:line="360" w:lineRule="auto"/>
        <w:ind w:left="720"/>
        <w:rPr>
          <w:rFonts w:ascii="Arial" w:hAnsi="Arial" w:cs="Arial"/>
          <w:sz w:val="22"/>
          <w:szCs w:val="22"/>
        </w:rPr>
      </w:pPr>
      <w:r w:rsidRPr="3E824555">
        <w:rPr>
          <w:rFonts w:ascii="Arial" w:hAnsi="Arial" w:cs="Arial"/>
          <w:sz w:val="22"/>
          <w:szCs w:val="22"/>
        </w:rPr>
        <w:t>Recommendation is rejected</w:t>
      </w:r>
    </w:p>
    <w:p w14:paraId="1710691D" w14:textId="224ED44E" w:rsidR="0934608B" w:rsidRDefault="0934608B" w:rsidP="0D5D51DB">
      <w:pPr>
        <w:pStyle w:val="BodyText"/>
        <w:numPr>
          <w:ilvl w:val="0"/>
          <w:numId w:val="4"/>
        </w:numPr>
        <w:spacing w:line="360" w:lineRule="auto"/>
        <w:rPr>
          <w:rFonts w:ascii="Arial" w:hAnsi="Arial" w:cs="Arial"/>
          <w:sz w:val="22"/>
          <w:szCs w:val="22"/>
        </w:rPr>
      </w:pPr>
      <w:r w:rsidRPr="0D5D51DB">
        <w:rPr>
          <w:rFonts w:ascii="Arial" w:hAnsi="Arial" w:cs="Arial"/>
          <w:sz w:val="22"/>
          <w:szCs w:val="22"/>
        </w:rPr>
        <w:t>Implementation</w:t>
      </w:r>
    </w:p>
    <w:p w14:paraId="28FBEC9E" w14:textId="13104951" w:rsidR="0934608B" w:rsidRDefault="0934608B" w:rsidP="7AD0C319">
      <w:pPr>
        <w:pStyle w:val="BodyText"/>
        <w:spacing w:line="360" w:lineRule="auto"/>
        <w:ind w:left="720"/>
        <w:rPr>
          <w:rFonts w:ascii="Arial" w:hAnsi="Arial" w:cs="Arial"/>
          <w:sz w:val="22"/>
          <w:szCs w:val="22"/>
        </w:rPr>
      </w:pPr>
      <w:r w:rsidRPr="7AD0C319">
        <w:rPr>
          <w:rFonts w:ascii="Arial" w:hAnsi="Arial" w:cs="Arial"/>
          <w:sz w:val="22"/>
          <w:szCs w:val="22"/>
        </w:rPr>
        <w:t>The water corporation and local government implement the SYSCA through land use planning</w:t>
      </w:r>
    </w:p>
    <w:p w14:paraId="1EE29477" w14:textId="14D51993" w:rsidR="00471472" w:rsidRPr="002D4A77" w:rsidRDefault="00471472" w:rsidP="00061F37">
      <w:pPr>
        <w:pStyle w:val="Caption"/>
        <w:spacing w:line="360" w:lineRule="auto"/>
        <w:rPr>
          <w:rFonts w:ascii="Arial" w:hAnsi="Arial" w:cs="Arial"/>
          <w:sz w:val="22"/>
          <w:szCs w:val="22"/>
        </w:rPr>
      </w:pPr>
      <w:r w:rsidRPr="002D4A77">
        <w:rPr>
          <w:rFonts w:ascii="Arial" w:hAnsi="Arial" w:cs="Arial"/>
          <w:sz w:val="22"/>
          <w:szCs w:val="22"/>
        </w:rPr>
        <w:t xml:space="preserve">Figure </w:t>
      </w:r>
      <w:r w:rsidRPr="6E0B686E">
        <w:rPr>
          <w:rFonts w:ascii="Arial" w:hAnsi="Arial" w:cs="Arial"/>
          <w:color w:val="2B579A"/>
          <w:sz w:val="22"/>
          <w:szCs w:val="22"/>
          <w:shd w:val="clear" w:color="auto" w:fill="E6E6E6"/>
        </w:rPr>
        <w:fldChar w:fldCharType="begin"/>
      </w:r>
      <w:r w:rsidRPr="002D4A77">
        <w:rPr>
          <w:rFonts w:ascii="Arial" w:hAnsi="Arial" w:cs="Arial"/>
          <w:sz w:val="22"/>
          <w:szCs w:val="22"/>
        </w:rPr>
        <w:instrText xml:space="preserve"> SEQ Figure \* ARABIC </w:instrText>
      </w:r>
      <w:r w:rsidRPr="6E0B686E">
        <w:rPr>
          <w:rFonts w:ascii="Arial" w:hAnsi="Arial" w:cs="Arial"/>
          <w:color w:val="2B579A"/>
          <w:sz w:val="22"/>
          <w:szCs w:val="22"/>
          <w:shd w:val="clear" w:color="auto" w:fill="E6E6E6"/>
        </w:rPr>
        <w:fldChar w:fldCharType="separate"/>
      </w:r>
      <w:r w:rsidRPr="002D4A77">
        <w:rPr>
          <w:rFonts w:ascii="Arial" w:hAnsi="Arial" w:cs="Arial"/>
          <w:noProof/>
          <w:sz w:val="22"/>
          <w:szCs w:val="22"/>
        </w:rPr>
        <w:t>2</w:t>
      </w:r>
      <w:r w:rsidRPr="6E0B686E">
        <w:rPr>
          <w:rFonts w:ascii="Arial" w:hAnsi="Arial" w:cs="Arial"/>
          <w:color w:val="2B579A"/>
          <w:sz w:val="22"/>
          <w:szCs w:val="22"/>
          <w:shd w:val="clear" w:color="auto" w:fill="E6E6E6"/>
        </w:rPr>
        <w:fldChar w:fldCharType="end"/>
      </w:r>
      <w:r w:rsidRPr="002D4A77">
        <w:rPr>
          <w:rFonts w:ascii="Arial" w:hAnsi="Arial" w:cs="Arial"/>
          <w:sz w:val="22"/>
          <w:szCs w:val="22"/>
        </w:rPr>
        <w:t xml:space="preserve">: </w:t>
      </w:r>
      <w:r w:rsidR="006119A2" w:rsidRPr="002D4A77">
        <w:rPr>
          <w:rFonts w:ascii="Arial" w:hAnsi="Arial" w:cs="Arial"/>
          <w:sz w:val="22"/>
          <w:szCs w:val="22"/>
        </w:rPr>
        <w:t>Flowchart of the p</w:t>
      </w:r>
      <w:r w:rsidRPr="002D4A77">
        <w:rPr>
          <w:rFonts w:ascii="Arial" w:hAnsi="Arial" w:cs="Arial"/>
          <w:sz w:val="22"/>
          <w:szCs w:val="22"/>
        </w:rPr>
        <w:t>rocess to declare, amend or revoke a Special Water Supply</w:t>
      </w:r>
      <w:r w:rsidR="009206E7" w:rsidRPr="002D4A77">
        <w:rPr>
          <w:rFonts w:ascii="Arial" w:hAnsi="Arial" w:cs="Arial"/>
          <w:sz w:val="22"/>
          <w:szCs w:val="22"/>
        </w:rPr>
        <w:t xml:space="preserve"> </w:t>
      </w:r>
      <w:r w:rsidRPr="002D4A77">
        <w:rPr>
          <w:rFonts w:ascii="Arial" w:hAnsi="Arial" w:cs="Arial"/>
          <w:sz w:val="22"/>
          <w:szCs w:val="22"/>
        </w:rPr>
        <w:t>Catchment Area</w:t>
      </w:r>
    </w:p>
    <w:p w14:paraId="7566576B" w14:textId="77777777" w:rsidR="00471472" w:rsidRPr="006119A2" w:rsidRDefault="00471472" w:rsidP="00061F37">
      <w:pPr>
        <w:pStyle w:val="Heading2"/>
        <w:spacing w:line="360" w:lineRule="auto"/>
        <w:rPr>
          <w:rFonts w:ascii="Arial" w:hAnsi="Arial" w:cs="Arial"/>
          <w:color w:val="auto"/>
        </w:rPr>
      </w:pPr>
      <w:bookmarkStart w:id="10" w:name="_Toc163804235"/>
      <w:r w:rsidRPr="006119A2">
        <w:rPr>
          <w:rFonts w:ascii="Arial" w:hAnsi="Arial" w:cs="Arial"/>
          <w:color w:val="auto"/>
        </w:rPr>
        <w:t>Roles and responsibilities</w:t>
      </w:r>
      <w:bookmarkEnd w:id="10"/>
      <w:r w:rsidRPr="006119A2">
        <w:rPr>
          <w:rFonts w:ascii="Arial" w:hAnsi="Arial" w:cs="Arial"/>
          <w:color w:val="auto"/>
        </w:rPr>
        <w:t xml:space="preserve"> </w:t>
      </w:r>
    </w:p>
    <w:p w14:paraId="72349AEE" w14:textId="77777777" w:rsidR="00471472" w:rsidRPr="006119A2" w:rsidRDefault="00471472" w:rsidP="00061F37">
      <w:pPr>
        <w:pStyle w:val="Heading3"/>
        <w:spacing w:line="360" w:lineRule="auto"/>
        <w:rPr>
          <w:rFonts w:ascii="Arial" w:hAnsi="Arial" w:cs="Arial"/>
          <w:color w:val="auto"/>
        </w:rPr>
      </w:pPr>
      <w:bookmarkStart w:id="11" w:name="_Toc163804236"/>
      <w:r w:rsidRPr="006119A2">
        <w:rPr>
          <w:rFonts w:ascii="Arial" w:hAnsi="Arial" w:cs="Arial"/>
          <w:color w:val="auto"/>
        </w:rPr>
        <w:t>The Need, Rationale &amp; Evidence</w:t>
      </w:r>
      <w:bookmarkEnd w:id="11"/>
    </w:p>
    <w:p w14:paraId="67288E6D"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 xml:space="preserve">Water corporations provide safe drinking water to customers and identify the need to declare, amend, or revoke a SWSCA. Declaring or amending a SWSCA is a tool that can be used to manage land use and development risks to water demand and quality objectives. Revoking a SWSCA removes restrictions on land use and development where they are no longer required in decommissioned water supply areas. </w:t>
      </w:r>
    </w:p>
    <w:p w14:paraId="19ECD014"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The water corporation should engage with the relevant CMA when identifying the need to declare, amend, or revoke a SWSCA to support their role in making the recommendation to the Minister.</w:t>
      </w:r>
    </w:p>
    <w:p w14:paraId="2CF758FF"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 xml:space="preserve">To assist the Minister’s consideration of a recommendation, the water corporation will be responsible for providing the CMA with the information required to support a decision, and to meet the requirements of the CaLP Act. </w:t>
      </w:r>
    </w:p>
    <w:p w14:paraId="281DFE4A"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The Water and Catchments Group of the DEECA can provide advice to water corporations and CMAs on proposed recommendations to declare, amend, or revoke a SWSCA if requested.</w:t>
      </w:r>
    </w:p>
    <w:p w14:paraId="21B11395" w14:textId="77777777" w:rsidR="00471472" w:rsidRPr="006A38CF" w:rsidRDefault="00471472" w:rsidP="00061F37">
      <w:pPr>
        <w:pStyle w:val="Heading3"/>
        <w:spacing w:line="360" w:lineRule="auto"/>
        <w:rPr>
          <w:rFonts w:ascii="Arial" w:hAnsi="Arial" w:cs="Arial"/>
          <w:color w:val="auto"/>
        </w:rPr>
      </w:pPr>
      <w:bookmarkStart w:id="12" w:name="_Toc163804237"/>
      <w:r w:rsidRPr="006A38CF">
        <w:rPr>
          <w:rFonts w:ascii="Arial" w:hAnsi="Arial" w:cs="Arial"/>
          <w:color w:val="auto"/>
        </w:rPr>
        <w:t>Recommendation</w:t>
      </w:r>
      <w:bookmarkEnd w:id="12"/>
    </w:p>
    <w:p w14:paraId="21490589"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 xml:space="preserve">CMAs and Melbourne Water are defined as Authorities under the CaLP Act. It is the role of the Authority to write to the responsible Minister about SWSCA recommendations (CaLP Act s.27(1)(a) and (b)). The relevant CMA does this for SWSCAs on behalf of the water corporation in their catchment and land protection regions. </w:t>
      </w:r>
    </w:p>
    <w:p w14:paraId="09661A69" w14:textId="77777777" w:rsidR="00471472" w:rsidRPr="006119A2" w:rsidRDefault="00471472" w:rsidP="00061F37">
      <w:pPr>
        <w:pStyle w:val="Heading3"/>
        <w:spacing w:line="360" w:lineRule="auto"/>
        <w:rPr>
          <w:rFonts w:ascii="Arial" w:hAnsi="Arial" w:cs="Arial"/>
          <w:color w:val="auto"/>
        </w:rPr>
      </w:pPr>
      <w:bookmarkStart w:id="13" w:name="_Toc163804238"/>
      <w:r w:rsidRPr="006119A2">
        <w:rPr>
          <w:rFonts w:ascii="Arial" w:hAnsi="Arial" w:cs="Arial"/>
          <w:color w:val="auto"/>
        </w:rPr>
        <w:t>Decision</w:t>
      </w:r>
      <w:bookmarkEnd w:id="13"/>
    </w:p>
    <w:p w14:paraId="2D0FE61E"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The Minister for Water is the responsible Minister for SWSCAs under the CaLP Act and can accept or reject a recommendation from a CMA to declare, amend, or revoke a SWSCA (CaLP Act s.27(3)(4)). Consideration of a recommendation is based on demonstrating how the existing or potential use of the area may adversely affect:</w:t>
      </w:r>
    </w:p>
    <w:p w14:paraId="55FBDAAC"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The quality and condition of land; or</w:t>
      </w:r>
    </w:p>
    <w:p w14:paraId="3A00E727"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Water quality or aquatic habitats; or</w:t>
      </w:r>
    </w:p>
    <w:p w14:paraId="4FB0A7DF"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Aquifer recharge or discharge areas.</w:t>
      </w:r>
    </w:p>
    <w:p w14:paraId="4724F4A5" w14:textId="77777777" w:rsidR="00471472" w:rsidRPr="002D4A77" w:rsidRDefault="00471472" w:rsidP="00061F37">
      <w:pPr>
        <w:pStyle w:val="ListBullet"/>
        <w:numPr>
          <w:ilvl w:val="0"/>
          <w:numId w:val="0"/>
        </w:numPr>
        <w:spacing w:line="360" w:lineRule="auto"/>
        <w:rPr>
          <w:rFonts w:ascii="Arial" w:hAnsi="Arial" w:cs="Arial"/>
          <w:sz w:val="22"/>
          <w:szCs w:val="22"/>
        </w:rPr>
      </w:pPr>
      <w:r w:rsidRPr="002D4A77">
        <w:rPr>
          <w:rFonts w:ascii="Arial" w:hAnsi="Arial" w:cs="Arial"/>
          <w:sz w:val="22"/>
          <w:szCs w:val="22"/>
        </w:rPr>
        <w:t>If accepted, the Minister makes the recommendation to the Governor in Council (CaLP Act s.27(5)).</w:t>
      </w:r>
    </w:p>
    <w:p w14:paraId="6FCA4796" w14:textId="77777777" w:rsidR="00471472" w:rsidRPr="002D4A77" w:rsidRDefault="00471472" w:rsidP="00061F37">
      <w:pPr>
        <w:pStyle w:val="ListBullet"/>
        <w:numPr>
          <w:ilvl w:val="0"/>
          <w:numId w:val="0"/>
        </w:numPr>
        <w:spacing w:line="360" w:lineRule="auto"/>
        <w:rPr>
          <w:rFonts w:ascii="Arial" w:hAnsi="Arial" w:cs="Arial"/>
          <w:sz w:val="22"/>
          <w:szCs w:val="22"/>
        </w:rPr>
      </w:pPr>
      <w:r w:rsidRPr="002D4A77">
        <w:rPr>
          <w:rFonts w:ascii="Arial" w:hAnsi="Arial" w:cs="Arial"/>
          <w:sz w:val="22"/>
          <w:szCs w:val="22"/>
        </w:rPr>
        <w:t>Should the Minister reject a recommendation, the water corporation and CMA should review the proposal. Advice can be sought from the Water and Catchments Group in DEECA on the response from the Minister.</w:t>
      </w:r>
    </w:p>
    <w:p w14:paraId="3E294A0A"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 xml:space="preserve">The Governor in Council is the process through which the Government implements aspects of its business. It is a body that comprises the Governor as Chair, and members of the Executive Council. </w:t>
      </w:r>
    </w:p>
    <w:p w14:paraId="510A47E9"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 xml:space="preserve">On the Minister’s recommendation, the Governor in Council by Order published in the Victoria Government Gazette may declare, amend, or revoke a SWSCA (CaLP Act s.27(6)). The recommendation comes into effect on the date the Order is published, or another date specified. </w:t>
      </w:r>
    </w:p>
    <w:p w14:paraId="12758D2A"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 xml:space="preserve">The Water and Catchments Group in DEECA supports the decision processes of the Minister and the Governor in Council for SWSCAs by administering s.27 of the CaLP Act. DEECA will notify the relevant water corporation and CMA on the decision and the date of publication in the Victoria Government Gazette. </w:t>
      </w:r>
    </w:p>
    <w:p w14:paraId="42B53DBA" w14:textId="77777777" w:rsidR="00471472" w:rsidRPr="006119A2" w:rsidRDefault="00471472" w:rsidP="00061F37">
      <w:pPr>
        <w:pStyle w:val="Heading3"/>
        <w:spacing w:line="360" w:lineRule="auto"/>
        <w:rPr>
          <w:rFonts w:ascii="Arial" w:hAnsi="Arial" w:cs="Arial"/>
          <w:color w:val="auto"/>
        </w:rPr>
      </w:pPr>
      <w:bookmarkStart w:id="14" w:name="_Toc163804239"/>
      <w:r w:rsidRPr="006119A2">
        <w:rPr>
          <w:rFonts w:ascii="Arial" w:hAnsi="Arial" w:cs="Arial"/>
          <w:color w:val="auto"/>
        </w:rPr>
        <w:t>Implementation</w:t>
      </w:r>
      <w:bookmarkEnd w:id="14"/>
    </w:p>
    <w:p w14:paraId="3E0DEEA0"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Water corporations and the Secretary responsible for administering the CaLP Act are determining referral authorities for certain planning permit applications within a SWSCA under Clause 66 of planning schemes. The determining referral authority assesses and approves referred applications from local government, approves with conditions, or rejects applications based on risks to water resources.</w:t>
      </w:r>
    </w:p>
    <w:p w14:paraId="378832BD"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As planning authorities, councils are responsible for strategic and statutory land use planning for their municipal districts. They develop local planning policy, assess permit applications, and enforce the planning and building system.</w:t>
      </w:r>
    </w:p>
    <w:p w14:paraId="7F0F427D"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 xml:space="preserve">Under Clause 66 referrals of planning schemes, councils are required to enforce the decision of the determining referral authority for the referred planning applications within a SWSCA. The Clause 66 planning provisions relevant for SWSCAs are: </w:t>
      </w:r>
    </w:p>
    <w:p w14:paraId="0776C0B5" w14:textId="77777777" w:rsidR="00471472" w:rsidRPr="002D4A77" w:rsidRDefault="00471472" w:rsidP="00061F37">
      <w:pPr>
        <w:pStyle w:val="BodyText"/>
        <w:numPr>
          <w:ilvl w:val="0"/>
          <w:numId w:val="3"/>
        </w:numPr>
        <w:spacing w:line="360" w:lineRule="auto"/>
        <w:rPr>
          <w:rFonts w:ascii="Arial" w:hAnsi="Arial" w:cs="Arial"/>
          <w:sz w:val="22"/>
          <w:szCs w:val="22"/>
        </w:rPr>
      </w:pPr>
      <w:r w:rsidRPr="002D4A77">
        <w:rPr>
          <w:rFonts w:ascii="Arial" w:hAnsi="Arial" w:cs="Arial"/>
          <w:sz w:val="22"/>
          <w:szCs w:val="22"/>
        </w:rPr>
        <w:t xml:space="preserve">Clause 66.02-3 Cattle feedlot – Determining referral authority: the Secretary to the Department administering the </w:t>
      </w:r>
      <w:r w:rsidRPr="002D4A77">
        <w:rPr>
          <w:rFonts w:ascii="Arial" w:hAnsi="Arial" w:cs="Arial"/>
          <w:i/>
          <w:iCs/>
          <w:sz w:val="22"/>
          <w:szCs w:val="22"/>
        </w:rPr>
        <w:t>Catchment and Land Protection Act 1994.</w:t>
      </w:r>
    </w:p>
    <w:p w14:paraId="71CB86A4" w14:textId="77777777" w:rsidR="00471472" w:rsidRPr="002D4A77" w:rsidRDefault="00471472" w:rsidP="00061F37">
      <w:pPr>
        <w:pStyle w:val="BodyText"/>
        <w:numPr>
          <w:ilvl w:val="0"/>
          <w:numId w:val="3"/>
        </w:numPr>
        <w:spacing w:line="360" w:lineRule="auto"/>
        <w:rPr>
          <w:rFonts w:ascii="Arial" w:hAnsi="Arial" w:cs="Arial"/>
          <w:sz w:val="22"/>
          <w:szCs w:val="22"/>
        </w:rPr>
      </w:pPr>
      <w:r w:rsidRPr="002D4A77">
        <w:rPr>
          <w:rFonts w:ascii="Arial" w:hAnsi="Arial" w:cs="Arial"/>
          <w:sz w:val="22"/>
          <w:szCs w:val="22"/>
        </w:rPr>
        <w:t>Clause 66.02-5 Special water supply catchment area – Determining referral authority: The relevant water board or water supply authority.</w:t>
      </w:r>
    </w:p>
    <w:p w14:paraId="27F925D6" w14:textId="77777777" w:rsidR="00471472" w:rsidRPr="002D4A77" w:rsidRDefault="00471472" w:rsidP="00061F37">
      <w:pPr>
        <w:pStyle w:val="BodyText"/>
        <w:numPr>
          <w:ilvl w:val="0"/>
          <w:numId w:val="3"/>
        </w:numPr>
        <w:spacing w:line="360" w:lineRule="auto"/>
        <w:rPr>
          <w:rFonts w:ascii="Arial" w:hAnsi="Arial" w:cs="Arial"/>
          <w:sz w:val="22"/>
          <w:szCs w:val="22"/>
        </w:rPr>
      </w:pPr>
      <w:r w:rsidRPr="002D4A77">
        <w:rPr>
          <w:rFonts w:ascii="Arial" w:hAnsi="Arial" w:cs="Arial"/>
          <w:sz w:val="22"/>
          <w:szCs w:val="22"/>
        </w:rPr>
        <w:t xml:space="preserve">Clause 66.02-8 Extractive industry – Referral authority: Department administering the </w:t>
      </w:r>
      <w:r w:rsidRPr="002D4A77">
        <w:rPr>
          <w:rFonts w:ascii="Arial" w:hAnsi="Arial" w:cs="Arial"/>
          <w:i/>
          <w:iCs/>
          <w:sz w:val="22"/>
          <w:szCs w:val="22"/>
        </w:rPr>
        <w:t>Catchment and Land Protection Act 1994.</w:t>
      </w:r>
    </w:p>
    <w:p w14:paraId="1C2D37B8"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Planning decisions in SWSCAs should also consider:</w:t>
      </w:r>
    </w:p>
    <w:p w14:paraId="0DBF516F" w14:textId="77777777" w:rsidR="00471472" w:rsidRPr="00CB42DB" w:rsidRDefault="00471472" w:rsidP="00061F37">
      <w:pPr>
        <w:pStyle w:val="BodyText"/>
        <w:numPr>
          <w:ilvl w:val="0"/>
          <w:numId w:val="3"/>
        </w:numPr>
        <w:spacing w:line="360" w:lineRule="auto"/>
        <w:rPr>
          <w:rFonts w:ascii="Arial" w:hAnsi="Arial" w:cs="Arial"/>
          <w:sz w:val="22"/>
          <w:szCs w:val="22"/>
        </w:rPr>
      </w:pPr>
      <w:r w:rsidRPr="00CB42DB">
        <w:rPr>
          <w:rFonts w:ascii="Arial" w:hAnsi="Arial" w:cs="Arial"/>
          <w:sz w:val="22"/>
          <w:szCs w:val="22"/>
        </w:rPr>
        <w:t>Planning Practice Note 54 Referral and Notice Provisions</w:t>
      </w:r>
    </w:p>
    <w:p w14:paraId="7FA3BCA7" w14:textId="77777777" w:rsidR="00471472" w:rsidRPr="00CB42DB" w:rsidRDefault="00471472" w:rsidP="00061F37">
      <w:pPr>
        <w:pStyle w:val="BodyText"/>
        <w:numPr>
          <w:ilvl w:val="0"/>
          <w:numId w:val="3"/>
        </w:numPr>
        <w:spacing w:line="360" w:lineRule="auto"/>
        <w:rPr>
          <w:rFonts w:ascii="Arial" w:hAnsi="Arial" w:cs="Arial"/>
          <w:sz w:val="22"/>
          <w:szCs w:val="22"/>
        </w:rPr>
      </w:pPr>
      <w:r w:rsidRPr="00CB42DB">
        <w:rPr>
          <w:rFonts w:ascii="Arial" w:hAnsi="Arial" w:cs="Arial"/>
          <w:sz w:val="22"/>
          <w:szCs w:val="22"/>
        </w:rPr>
        <w:t>Planning Practice Note 55 Planning in Open Drinking Water Catchments</w:t>
      </w:r>
    </w:p>
    <w:p w14:paraId="47894EC0" w14:textId="77777777" w:rsidR="00471472" w:rsidRPr="002D4A77" w:rsidRDefault="00471472" w:rsidP="00061F37">
      <w:pPr>
        <w:pStyle w:val="BodyText"/>
        <w:numPr>
          <w:ilvl w:val="0"/>
          <w:numId w:val="3"/>
        </w:numPr>
        <w:spacing w:line="360" w:lineRule="auto"/>
        <w:rPr>
          <w:rFonts w:ascii="Arial" w:hAnsi="Arial" w:cs="Arial"/>
          <w:sz w:val="22"/>
          <w:szCs w:val="22"/>
        </w:rPr>
      </w:pPr>
      <w:r w:rsidRPr="00CB42DB">
        <w:rPr>
          <w:rFonts w:ascii="Arial" w:hAnsi="Arial" w:cs="Arial"/>
          <w:sz w:val="22"/>
          <w:szCs w:val="22"/>
        </w:rPr>
        <w:t>Planning Permit Applications in Special Water Supply Catchment Areas Guidelines (2024)</w:t>
      </w:r>
      <w:r w:rsidRPr="002D4A77">
        <w:rPr>
          <w:rFonts w:ascii="Arial" w:hAnsi="Arial" w:cs="Arial"/>
          <w:i/>
          <w:iCs/>
          <w:sz w:val="22"/>
          <w:szCs w:val="22"/>
        </w:rPr>
        <w:t xml:space="preserve"> (</w:t>
      </w:r>
      <w:r w:rsidRPr="00CB42DB">
        <w:rPr>
          <w:rFonts w:ascii="Arial" w:hAnsi="Arial" w:cs="Arial"/>
          <w:sz w:val="22"/>
          <w:szCs w:val="22"/>
        </w:rPr>
        <w:t>Available at</w:t>
      </w:r>
      <w:r w:rsidRPr="002D4A77">
        <w:rPr>
          <w:rFonts w:ascii="Arial" w:hAnsi="Arial" w:cs="Arial"/>
          <w:i/>
          <w:iCs/>
          <w:sz w:val="22"/>
          <w:szCs w:val="22"/>
        </w:rPr>
        <w:t xml:space="preserve"> – </w:t>
      </w:r>
      <w:hyperlink r:id="rId23" w:history="1">
        <w:r w:rsidRPr="002D4A77">
          <w:rPr>
            <w:rStyle w:val="Hyperlink"/>
            <w:rFonts w:ascii="Arial" w:hAnsi="Arial" w:cs="Arial"/>
            <w:sz w:val="22"/>
            <w:szCs w:val="22"/>
          </w:rPr>
          <w:t>https://www.water.vic.gov.au/catchments/special-water-supply-catchment-areas</w:t>
        </w:r>
      </w:hyperlink>
      <w:r w:rsidRPr="002D4A77">
        <w:rPr>
          <w:rFonts w:ascii="Arial" w:hAnsi="Arial" w:cs="Arial"/>
          <w:sz w:val="22"/>
          <w:szCs w:val="22"/>
        </w:rPr>
        <w:t xml:space="preserve">). </w:t>
      </w:r>
    </w:p>
    <w:p w14:paraId="1101D6F5" w14:textId="77777777" w:rsidR="00471472" w:rsidRPr="006119A2" w:rsidRDefault="00471472" w:rsidP="00061F37">
      <w:pPr>
        <w:pStyle w:val="Heading2"/>
        <w:spacing w:line="360" w:lineRule="auto"/>
        <w:rPr>
          <w:rFonts w:ascii="Arial" w:hAnsi="Arial" w:cs="Arial"/>
          <w:color w:val="auto"/>
        </w:rPr>
      </w:pPr>
      <w:bookmarkStart w:id="15" w:name="_Toc163804240"/>
      <w:r w:rsidRPr="006119A2">
        <w:rPr>
          <w:rFonts w:ascii="Arial" w:hAnsi="Arial" w:cs="Arial"/>
          <w:color w:val="auto"/>
        </w:rPr>
        <w:t>General Guidance</w:t>
      </w:r>
      <w:bookmarkEnd w:id="15"/>
      <w:r w:rsidRPr="006119A2">
        <w:rPr>
          <w:rFonts w:ascii="Arial" w:hAnsi="Arial" w:cs="Arial"/>
          <w:color w:val="auto"/>
        </w:rPr>
        <w:t xml:space="preserve"> </w:t>
      </w:r>
    </w:p>
    <w:p w14:paraId="0EA02A35"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The water corporation prepares the rationale and provides the evidence for the recommendation. The information needed to support the recommendation is outlined below under Specific Guidance. Supporting information may depend on a case-by-case basis and the current and future land use and development projections. It is recommended that proposals are discussed with DEECA early in the process for specific advice and support if required.</w:t>
      </w:r>
    </w:p>
    <w:p w14:paraId="317FE562"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 xml:space="preserve">Exemption Note: Recommendations to declare, amend, or revoke a SWSCA do not require a Regulatory Impact Statement. Under Schedule 1 of the Subordinate Legislation (Legislative Instruments) Regulations 2011, instruments under the CaLP Act are not prescribed to be legislative instruments and are exempt. </w:t>
      </w:r>
    </w:p>
    <w:p w14:paraId="128FA7F0"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Consultation to declare, amend, or revoke a SWSCA is not a statutory requirement under the CaLP Act (although it is required to develop a Special Area Plan). However, consultation is highly recommended to support the Minister’s decision on a recommendation.</w:t>
      </w:r>
    </w:p>
    <w:p w14:paraId="2C2A52AB" w14:textId="77777777" w:rsidR="00471472" w:rsidRPr="007F7E6D" w:rsidRDefault="00471472" w:rsidP="00061F37">
      <w:pPr>
        <w:pStyle w:val="Heading2"/>
        <w:spacing w:line="360" w:lineRule="auto"/>
        <w:rPr>
          <w:rFonts w:ascii="Arial" w:hAnsi="Arial" w:cs="Arial"/>
          <w:color w:val="auto"/>
        </w:rPr>
      </w:pPr>
      <w:bookmarkStart w:id="16" w:name="_Toc163804241"/>
      <w:r w:rsidRPr="007F7E6D">
        <w:rPr>
          <w:rFonts w:ascii="Arial" w:hAnsi="Arial" w:cs="Arial"/>
          <w:color w:val="auto"/>
        </w:rPr>
        <w:t>Specific Guidance</w:t>
      </w:r>
      <w:bookmarkEnd w:id="16"/>
    </w:p>
    <w:p w14:paraId="6EB2319A" w14:textId="77777777" w:rsidR="00471472" w:rsidRPr="007F7E6D" w:rsidRDefault="00471472" w:rsidP="00061F37">
      <w:pPr>
        <w:pStyle w:val="Heading3"/>
        <w:spacing w:line="360" w:lineRule="auto"/>
        <w:rPr>
          <w:rFonts w:ascii="Arial" w:hAnsi="Arial" w:cs="Arial"/>
          <w:color w:val="auto"/>
        </w:rPr>
      </w:pPr>
      <w:bookmarkStart w:id="17" w:name="_Toc163804242"/>
      <w:r w:rsidRPr="007F7E6D">
        <w:rPr>
          <w:rFonts w:ascii="Arial" w:hAnsi="Arial" w:cs="Arial"/>
          <w:color w:val="auto"/>
        </w:rPr>
        <w:t>Minimum information and legislative requirements for a recommendation</w:t>
      </w:r>
      <w:bookmarkEnd w:id="17"/>
    </w:p>
    <w:p w14:paraId="4525C5B9" w14:textId="77777777" w:rsidR="00471472" w:rsidRPr="002D4A77" w:rsidRDefault="00471472" w:rsidP="00061F37">
      <w:pPr>
        <w:pStyle w:val="BodyText"/>
        <w:spacing w:line="360" w:lineRule="auto"/>
        <w:rPr>
          <w:rFonts w:ascii="Arial" w:hAnsi="Arial" w:cs="Arial"/>
          <w:sz w:val="22"/>
          <w:szCs w:val="22"/>
        </w:rPr>
      </w:pPr>
      <w:r w:rsidRPr="002D4A77">
        <w:rPr>
          <w:rFonts w:ascii="Arial" w:hAnsi="Arial" w:cs="Arial"/>
          <w:sz w:val="22"/>
          <w:szCs w:val="22"/>
        </w:rPr>
        <w:t>The following information must be provided to meet the requirements of the CaLP Act, and will support the Minister’s consideration of a recommendation:</w:t>
      </w:r>
    </w:p>
    <w:p w14:paraId="551F2FE2"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A summary of the reasons for/justification of the recommendation to declare, amend, or revoke a SWSCA.</w:t>
      </w:r>
    </w:p>
    <w:p w14:paraId="287CDD99"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Context for the recommendation – Catchment description, water supply system, water quality, and supply demand.</w:t>
      </w:r>
    </w:p>
    <w:p w14:paraId="594E1105"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For recommendations to declare or amend a SWSCA – Description of the area and the land use zones.</w:t>
      </w:r>
    </w:p>
    <w:p w14:paraId="22EFCFE0"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A map of the SWSCA area boundary (proposed, existing and amended, or boundary to be revoked); cadastral layer showing public and private land; water supply system (including all relevant waterways, channels, dams, reservoirs, and off take sites); topographical layer; and key defining features such as regional centres, townships, or highways.</w:t>
      </w:r>
    </w:p>
    <w:p w14:paraId="65067CCB"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CaLP Act requirements – Evidence or justification how the existing and/or potential land use and development within the current or proposed recommendation area may adversely affect the quality and condition of land; or water quality or aquatic habitats; or aquifer recharge or discharge areas. This should be provided in context of the water corporation’s water supply and quality needs for communities.</w:t>
      </w:r>
    </w:p>
    <w:p w14:paraId="44EE6F55" w14:textId="77777777" w:rsidR="00471472" w:rsidRPr="002D4A77" w:rsidRDefault="00471472" w:rsidP="00061F37">
      <w:pPr>
        <w:pStyle w:val="ListBullet"/>
        <w:spacing w:line="360" w:lineRule="auto"/>
        <w:rPr>
          <w:rFonts w:ascii="Arial" w:hAnsi="Arial" w:cs="Arial"/>
          <w:sz w:val="22"/>
          <w:szCs w:val="22"/>
        </w:rPr>
      </w:pPr>
      <w:r w:rsidRPr="002D4A77">
        <w:rPr>
          <w:rFonts w:ascii="Arial" w:hAnsi="Arial" w:cs="Arial"/>
          <w:sz w:val="22"/>
          <w:szCs w:val="22"/>
        </w:rPr>
        <w:t>It is recommended that consultation at a minimum occurs with those who have SWSCA roles and responsibilities including those responsible for giving them effect. The water corporation should consult and include the opinions of the relevant CMA and councils to inform the Minister for Water’s consideration of the recommendation. The level of consultation is on a case-by-case basis reflecting the specific circumstances of the recommendation. The Minister may request further consultation where a recommendation will impact a considerable number of landowners and private enterprises, or limit or restrict land use change or development opportunities.</w:t>
      </w:r>
    </w:p>
    <w:p w14:paraId="0A31E5D3" w14:textId="77777777" w:rsidR="00471472" w:rsidRPr="007F7E6D" w:rsidRDefault="00471472" w:rsidP="00061F37">
      <w:pPr>
        <w:pStyle w:val="Heading3"/>
        <w:spacing w:line="360" w:lineRule="auto"/>
        <w:rPr>
          <w:rFonts w:ascii="Arial" w:hAnsi="Arial" w:cs="Arial"/>
          <w:color w:val="auto"/>
        </w:rPr>
      </w:pPr>
      <w:bookmarkStart w:id="18" w:name="_Toc163804243"/>
      <w:r w:rsidRPr="007F7E6D">
        <w:rPr>
          <w:rFonts w:ascii="Arial" w:hAnsi="Arial" w:cs="Arial"/>
          <w:color w:val="auto"/>
        </w:rPr>
        <w:t>Optional information to support a recommendation</w:t>
      </w:r>
      <w:bookmarkEnd w:id="18"/>
    </w:p>
    <w:p w14:paraId="374A903E" w14:textId="77777777" w:rsidR="00471472" w:rsidRPr="006A38CF" w:rsidRDefault="00471472" w:rsidP="00061F37">
      <w:pPr>
        <w:pStyle w:val="BodyText"/>
        <w:spacing w:line="360" w:lineRule="auto"/>
        <w:rPr>
          <w:rFonts w:ascii="Arial" w:hAnsi="Arial" w:cs="Arial"/>
          <w:sz w:val="22"/>
          <w:szCs w:val="22"/>
        </w:rPr>
      </w:pPr>
      <w:r w:rsidRPr="006A38CF">
        <w:rPr>
          <w:rFonts w:ascii="Arial" w:hAnsi="Arial" w:cs="Arial"/>
          <w:sz w:val="22"/>
          <w:szCs w:val="22"/>
        </w:rPr>
        <w:t>A water corporation may have additional information that can support the Minister’s consideration of a recommendation, particularly where a considerable number of private properties are proposed to be within a SWSCA. Relevant information that is not required under the CaLP Act but may provide supporting evidence includes:</w:t>
      </w:r>
    </w:p>
    <w:p w14:paraId="428C6407" w14:textId="77777777" w:rsidR="00471472" w:rsidRPr="006A38CF" w:rsidRDefault="00471472" w:rsidP="00061F37">
      <w:pPr>
        <w:pStyle w:val="ListBullet"/>
        <w:spacing w:line="360" w:lineRule="auto"/>
        <w:rPr>
          <w:rFonts w:ascii="Arial" w:hAnsi="Arial" w:cs="Arial"/>
          <w:sz w:val="22"/>
          <w:szCs w:val="22"/>
        </w:rPr>
      </w:pPr>
      <w:r w:rsidRPr="006A38CF">
        <w:rPr>
          <w:rFonts w:ascii="Arial" w:hAnsi="Arial" w:cs="Arial"/>
          <w:sz w:val="22"/>
          <w:szCs w:val="22"/>
        </w:rPr>
        <w:t>Expected impact on current and future landowners (e.g., land use and development limitations).</w:t>
      </w:r>
    </w:p>
    <w:p w14:paraId="1EE641A7" w14:textId="77777777" w:rsidR="00471472" w:rsidRPr="006A38CF" w:rsidRDefault="00471472" w:rsidP="00061F37">
      <w:pPr>
        <w:pStyle w:val="ListBullet"/>
        <w:spacing w:line="360" w:lineRule="auto"/>
        <w:rPr>
          <w:rFonts w:ascii="Arial" w:hAnsi="Arial" w:cs="Arial"/>
          <w:sz w:val="22"/>
          <w:szCs w:val="22"/>
        </w:rPr>
      </w:pPr>
      <w:r w:rsidRPr="006A38CF">
        <w:rPr>
          <w:rFonts w:ascii="Arial" w:hAnsi="Arial" w:cs="Arial"/>
          <w:sz w:val="22"/>
          <w:szCs w:val="22"/>
        </w:rPr>
        <w:t>Identification and assessment of point source and diffuse water quality risks to demonstrate the threats.</w:t>
      </w:r>
    </w:p>
    <w:p w14:paraId="027166BC" w14:textId="77777777" w:rsidR="00471472" w:rsidRPr="006A38CF" w:rsidRDefault="00471472" w:rsidP="00061F37">
      <w:pPr>
        <w:pStyle w:val="ListBullet"/>
        <w:spacing w:line="360" w:lineRule="auto"/>
        <w:rPr>
          <w:rFonts w:ascii="Arial" w:hAnsi="Arial" w:cs="Arial"/>
          <w:sz w:val="22"/>
          <w:szCs w:val="22"/>
        </w:rPr>
      </w:pPr>
      <w:r w:rsidRPr="006A38CF">
        <w:rPr>
          <w:rFonts w:ascii="Arial" w:hAnsi="Arial" w:cs="Arial"/>
          <w:sz w:val="22"/>
          <w:szCs w:val="22"/>
        </w:rPr>
        <w:t>Modelled or estimated impacts of point source and diffuse water quality risks on water quality measured against statutory requirements or other standards (e.g., Health Based Targets for Australian drinking water).</w:t>
      </w:r>
    </w:p>
    <w:p w14:paraId="537EDD36" w14:textId="77777777" w:rsidR="00471472" w:rsidRPr="006A38CF" w:rsidRDefault="00471472" w:rsidP="00061F37">
      <w:pPr>
        <w:pStyle w:val="ListBullet"/>
        <w:spacing w:line="360" w:lineRule="auto"/>
        <w:rPr>
          <w:rFonts w:ascii="Arial" w:hAnsi="Arial" w:cs="Arial"/>
          <w:sz w:val="22"/>
          <w:szCs w:val="22"/>
        </w:rPr>
      </w:pPr>
      <w:r w:rsidRPr="006A38CF">
        <w:rPr>
          <w:rFonts w:ascii="Arial" w:hAnsi="Arial" w:cs="Arial"/>
          <w:sz w:val="22"/>
          <w:szCs w:val="22"/>
        </w:rPr>
        <w:t>How the recommendation assists managing climate change scenario risks such as projected reduced flows and impacts on water resources.</w:t>
      </w:r>
    </w:p>
    <w:p w14:paraId="44F9532F" w14:textId="77777777" w:rsidR="00471472" w:rsidRPr="006A38CF" w:rsidRDefault="00471472" w:rsidP="00061F37">
      <w:pPr>
        <w:pStyle w:val="ListBullet"/>
        <w:spacing w:line="360" w:lineRule="auto"/>
        <w:rPr>
          <w:rFonts w:ascii="Arial" w:hAnsi="Arial" w:cs="Arial"/>
          <w:sz w:val="22"/>
          <w:szCs w:val="22"/>
        </w:rPr>
      </w:pPr>
      <w:r w:rsidRPr="006A38CF">
        <w:rPr>
          <w:rFonts w:ascii="Arial" w:hAnsi="Arial" w:cs="Arial"/>
          <w:sz w:val="22"/>
          <w:szCs w:val="22"/>
        </w:rPr>
        <w:t>Effectiveness of current water treatment systems assessed against the risks posed by catchment activities (i.e., the drivers to declare or amend a SWSCA).</w:t>
      </w:r>
    </w:p>
    <w:p w14:paraId="2BF91881" w14:textId="77777777" w:rsidR="00471472" w:rsidRPr="006A38CF" w:rsidRDefault="00471472" w:rsidP="00061F37">
      <w:pPr>
        <w:pStyle w:val="ListBullet"/>
        <w:spacing w:line="360" w:lineRule="auto"/>
        <w:rPr>
          <w:rFonts w:ascii="Arial" w:hAnsi="Arial" w:cs="Arial"/>
          <w:sz w:val="22"/>
          <w:szCs w:val="22"/>
        </w:rPr>
      </w:pPr>
      <w:r w:rsidRPr="006A38CF">
        <w:rPr>
          <w:rFonts w:ascii="Arial" w:hAnsi="Arial" w:cs="Arial"/>
          <w:sz w:val="22"/>
          <w:szCs w:val="22"/>
        </w:rPr>
        <w:t>Comparison of the benefits of the outcomes expected from the recommendation compared to additional water treatment infrastructure augmentation costs and impacts on the community (e.g., Essential Services pricing submission impacts).</w:t>
      </w:r>
    </w:p>
    <w:p w14:paraId="0E2DCBF5" w14:textId="77777777" w:rsidR="00471472" w:rsidRPr="006A38CF" w:rsidRDefault="00471472" w:rsidP="00061F37">
      <w:pPr>
        <w:pStyle w:val="ListBullet"/>
        <w:spacing w:line="360" w:lineRule="auto"/>
        <w:rPr>
          <w:rFonts w:ascii="Arial" w:hAnsi="Arial" w:cs="Arial"/>
          <w:sz w:val="22"/>
          <w:szCs w:val="22"/>
        </w:rPr>
      </w:pPr>
      <w:r w:rsidRPr="006A38CF">
        <w:rPr>
          <w:rFonts w:ascii="Arial" w:hAnsi="Arial" w:cs="Arial"/>
          <w:sz w:val="22"/>
          <w:szCs w:val="22"/>
        </w:rPr>
        <w:t>Any additional analysis that supports the recommendation.</w:t>
      </w:r>
    </w:p>
    <w:p w14:paraId="374BE93C" w14:textId="77777777" w:rsidR="00471472" w:rsidRPr="006A38CF" w:rsidRDefault="00471472" w:rsidP="00061F37">
      <w:pPr>
        <w:pStyle w:val="BodyText"/>
        <w:spacing w:line="360" w:lineRule="auto"/>
        <w:rPr>
          <w:rFonts w:ascii="Arial" w:hAnsi="Arial" w:cs="Arial"/>
          <w:sz w:val="22"/>
          <w:szCs w:val="22"/>
        </w:rPr>
      </w:pPr>
    </w:p>
    <w:p w14:paraId="763F84BA" w14:textId="77777777" w:rsidR="00471472" w:rsidRPr="006A38CF" w:rsidRDefault="00471472" w:rsidP="00061F37">
      <w:pPr>
        <w:pStyle w:val="BodyText"/>
        <w:spacing w:line="360" w:lineRule="auto"/>
        <w:rPr>
          <w:rFonts w:ascii="Arial" w:hAnsi="Arial" w:cs="Arial"/>
          <w:sz w:val="22"/>
          <w:szCs w:val="22"/>
        </w:rPr>
      </w:pPr>
      <w:r w:rsidRPr="006A38CF">
        <w:rPr>
          <w:rFonts w:ascii="Arial" w:hAnsi="Arial" w:cs="Arial"/>
          <w:sz w:val="22"/>
          <w:szCs w:val="22"/>
        </w:rPr>
        <w:t xml:space="preserve">For further information, visit the SWSCA page on the DEECA website:  </w:t>
      </w:r>
      <w:hyperlink r:id="rId24" w:history="1">
        <w:r w:rsidRPr="006A38CF">
          <w:rPr>
            <w:rStyle w:val="Hyperlink"/>
            <w:rFonts w:ascii="Arial" w:hAnsi="Arial" w:cs="Arial"/>
            <w:sz w:val="22"/>
            <w:szCs w:val="22"/>
          </w:rPr>
          <w:t>www.water.vic.gov.au/catchments/special-water-supply-catchment-areas</w:t>
        </w:r>
      </w:hyperlink>
    </w:p>
    <w:p w14:paraId="7DD3BCEB" w14:textId="77777777" w:rsidR="00471472" w:rsidRDefault="00471472" w:rsidP="00061F37">
      <w:pPr>
        <w:pStyle w:val="BodyText"/>
        <w:spacing w:line="360" w:lineRule="auto"/>
      </w:pPr>
    </w:p>
    <w:p w14:paraId="741E1978" w14:textId="77777777" w:rsidR="00CB42DB" w:rsidRDefault="00CB42DB" w:rsidP="00061F37">
      <w:pPr>
        <w:pStyle w:val="BodyText"/>
        <w:spacing w:line="360" w:lineRule="auto"/>
      </w:pPr>
    </w:p>
    <w:p w14:paraId="18BF9F8D" w14:textId="77777777" w:rsidR="00CB42DB" w:rsidRDefault="00CB42DB" w:rsidP="00061F37">
      <w:pPr>
        <w:pStyle w:val="BodyText"/>
        <w:spacing w:line="360" w:lineRule="auto"/>
      </w:pPr>
    </w:p>
    <w:p w14:paraId="08246D23" w14:textId="77777777" w:rsidR="00CB42DB" w:rsidRDefault="00CB42DB" w:rsidP="00061F37">
      <w:pPr>
        <w:pStyle w:val="BodyText"/>
        <w:spacing w:line="360" w:lineRule="auto"/>
      </w:pPr>
    </w:p>
    <w:p w14:paraId="465FA5B2" w14:textId="69BCDF0C" w:rsidR="00396974" w:rsidRPr="00CB42DB" w:rsidRDefault="00396974" w:rsidP="00061F37">
      <w:pPr>
        <w:pStyle w:val="BodyText"/>
        <w:spacing w:line="360" w:lineRule="auto"/>
        <w:rPr>
          <w:rFonts w:ascii="Arial" w:hAnsi="Arial" w:cs="Arial"/>
          <w:b/>
          <w:bCs/>
          <w:sz w:val="36"/>
          <w:szCs w:val="36"/>
        </w:rPr>
      </w:pPr>
      <w:r w:rsidRPr="002D4A77">
        <w:rPr>
          <w:rFonts w:ascii="Arial" w:hAnsi="Arial" w:cs="Arial"/>
          <w:b/>
          <w:bCs/>
          <w:sz w:val="36"/>
          <w:szCs w:val="36"/>
        </w:rPr>
        <w:t>Appendix</w:t>
      </w:r>
    </w:p>
    <w:p w14:paraId="74288017" w14:textId="77777777" w:rsidR="00396974" w:rsidRPr="000F604C" w:rsidRDefault="00396974" w:rsidP="00061F37">
      <w:pPr>
        <w:spacing w:line="360" w:lineRule="auto"/>
        <w:rPr>
          <w:rFonts w:ascii="Arial" w:hAnsi="Arial" w:cs="Arial"/>
          <w:b/>
          <w:bCs/>
        </w:rPr>
      </w:pPr>
      <w:r w:rsidRPr="000F604C">
        <w:rPr>
          <w:rFonts w:ascii="Arial" w:hAnsi="Arial" w:cs="Arial"/>
          <w:b/>
          <w:bCs/>
        </w:rPr>
        <w:t>Appendix 1: Clarification between legislative areas for water</w:t>
      </w:r>
    </w:p>
    <w:p w14:paraId="50C6E405" w14:textId="77777777" w:rsidR="00396974" w:rsidRPr="00396974" w:rsidRDefault="00396974" w:rsidP="00061F37">
      <w:pPr>
        <w:spacing w:line="360" w:lineRule="auto"/>
        <w:rPr>
          <w:rFonts w:ascii="Arial" w:hAnsi="Arial" w:cs="Arial"/>
        </w:rPr>
      </w:pPr>
      <w:r w:rsidRPr="00396974">
        <w:rPr>
          <w:rFonts w:ascii="Arial" w:hAnsi="Arial" w:cs="Arial"/>
        </w:rPr>
        <w:t xml:space="preserve">These guidelines only apply to Special Water Supply Catchment Areas under the Catchment and Land Protection Act 1994. The guidelines do not apply to other areas declared or designated in other legislation, including Water Supply Protection Areas or Designated Water Supply Catchment Areas. </w:t>
      </w:r>
    </w:p>
    <w:p w14:paraId="792682C8" w14:textId="77777777" w:rsidR="00396974" w:rsidRPr="000F604C" w:rsidRDefault="00396974" w:rsidP="00061F37">
      <w:pPr>
        <w:spacing w:line="360" w:lineRule="auto"/>
        <w:rPr>
          <w:rFonts w:ascii="Arial" w:hAnsi="Arial" w:cs="Arial"/>
          <w:b/>
          <w:bCs/>
        </w:rPr>
      </w:pPr>
      <w:r w:rsidRPr="000F604C">
        <w:rPr>
          <w:rFonts w:ascii="Arial" w:hAnsi="Arial" w:cs="Arial"/>
          <w:b/>
          <w:bCs/>
        </w:rPr>
        <w:t>Catchment and Land Protection Act 1994 – Special Water Supply Catchment Areas</w:t>
      </w:r>
    </w:p>
    <w:p w14:paraId="5574333B" w14:textId="77777777" w:rsidR="00396974" w:rsidRPr="00396974" w:rsidRDefault="00396974" w:rsidP="00061F37">
      <w:pPr>
        <w:spacing w:line="360" w:lineRule="auto"/>
        <w:rPr>
          <w:rFonts w:ascii="Arial" w:hAnsi="Arial" w:cs="Arial"/>
        </w:rPr>
      </w:pPr>
      <w:r w:rsidRPr="00396974">
        <w:rPr>
          <w:rFonts w:ascii="Arial" w:hAnsi="Arial" w:cs="Arial"/>
        </w:rPr>
        <w:t>Special Areas classified as Special Water Supply Catchment Areas that focus on how the existing or potential use of the area may adversely affect the quality and condition of land; water quality or aquatic habitats; or aquifer recharge areas or discharge areas.</w:t>
      </w:r>
    </w:p>
    <w:p w14:paraId="65DE52F2" w14:textId="77777777" w:rsidR="00396974" w:rsidRPr="000F604C" w:rsidRDefault="00396974" w:rsidP="00061F37">
      <w:pPr>
        <w:spacing w:line="360" w:lineRule="auto"/>
        <w:rPr>
          <w:rFonts w:ascii="Arial" w:hAnsi="Arial" w:cs="Arial"/>
          <w:b/>
          <w:bCs/>
        </w:rPr>
      </w:pPr>
      <w:r w:rsidRPr="000F604C">
        <w:rPr>
          <w:rFonts w:ascii="Arial" w:hAnsi="Arial" w:cs="Arial"/>
          <w:b/>
          <w:bCs/>
        </w:rPr>
        <w:t>Water Act 1989 - Water Supply Protection Areas</w:t>
      </w:r>
    </w:p>
    <w:p w14:paraId="1D20F910" w14:textId="77777777" w:rsidR="00396974" w:rsidRPr="00396974" w:rsidRDefault="00396974" w:rsidP="00061F37">
      <w:pPr>
        <w:spacing w:line="360" w:lineRule="auto"/>
        <w:rPr>
          <w:rFonts w:ascii="Arial" w:hAnsi="Arial" w:cs="Arial"/>
        </w:rPr>
      </w:pPr>
      <w:r w:rsidRPr="00396974">
        <w:rPr>
          <w:rFonts w:ascii="Arial" w:hAnsi="Arial" w:cs="Arial"/>
        </w:rPr>
        <w:t xml:space="preserve">A Water Supply Protection Area is an area declared under the Water Act 1989 for the protection of groundwater or surface water resources or both through the development of a statutory management plan. </w:t>
      </w:r>
    </w:p>
    <w:p w14:paraId="14FFAAEA" w14:textId="77777777" w:rsidR="00396974" w:rsidRPr="0006777C" w:rsidRDefault="00396974" w:rsidP="00061F37">
      <w:pPr>
        <w:spacing w:line="360" w:lineRule="auto"/>
        <w:rPr>
          <w:rFonts w:ascii="Arial" w:hAnsi="Arial" w:cs="Arial"/>
          <w:b/>
          <w:bCs/>
        </w:rPr>
      </w:pPr>
      <w:r w:rsidRPr="0006777C">
        <w:rPr>
          <w:rFonts w:ascii="Arial" w:hAnsi="Arial" w:cs="Arial"/>
          <w:b/>
          <w:bCs/>
        </w:rPr>
        <w:t>National Parks Act 1975 - Designated Water Supply Catchment Areas</w:t>
      </w:r>
    </w:p>
    <w:p w14:paraId="2F4C8D27" w14:textId="77777777" w:rsidR="00396974" w:rsidRPr="00396974" w:rsidRDefault="00396974" w:rsidP="00396974">
      <w:pPr>
        <w:rPr>
          <w:rFonts w:ascii="Arial" w:hAnsi="Arial" w:cs="Arial"/>
        </w:rPr>
      </w:pPr>
      <w:r w:rsidRPr="00396974">
        <w:rPr>
          <w:rFonts w:ascii="Arial" w:hAnsi="Arial" w:cs="Arial"/>
        </w:rPr>
        <w:t>The National Parks Act 1975 makes special provisions for Designated Water Supply Catchment Areas specifically in Kinglake, Yarra Ranges, and Great Otway National Parks for the protection of the catchment areas and the maintenance of water quality, protection of the water resources and restriction of human activity in those areas.</w:t>
      </w:r>
    </w:p>
    <w:p w14:paraId="5406CA64" w14:textId="26CFE936" w:rsidR="00BC2934" w:rsidRPr="00BC2934" w:rsidRDefault="00396974" w:rsidP="00396974">
      <w:pPr>
        <w:rPr>
          <w:rFonts w:ascii="Arial" w:hAnsi="Arial" w:cs="Arial"/>
        </w:rPr>
      </w:pPr>
      <w:r w:rsidRPr="00396974">
        <w:rPr>
          <w:rFonts w:ascii="Arial" w:hAnsi="Arial" w:cs="Arial"/>
        </w:rPr>
        <w:t>The National Parks Regulations 2013 also provide for Additional Water Supply Catchment Areas to be set aside for the protection of other water supply catchments in parks under the National Parks Act 1975.</w:t>
      </w:r>
    </w:p>
    <w:sectPr w:rsidR="00BC2934" w:rsidRPr="00BC29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87E79" w14:textId="77777777" w:rsidR="004C201E" w:rsidRDefault="004C201E" w:rsidP="00A15CD8">
      <w:pPr>
        <w:spacing w:after="0" w:line="240" w:lineRule="auto"/>
      </w:pPr>
      <w:r>
        <w:separator/>
      </w:r>
    </w:p>
  </w:endnote>
  <w:endnote w:type="continuationSeparator" w:id="0">
    <w:p w14:paraId="7B3E418E" w14:textId="77777777" w:rsidR="004C201E" w:rsidRDefault="004C201E" w:rsidP="00A15CD8">
      <w:pPr>
        <w:spacing w:after="0" w:line="240" w:lineRule="auto"/>
      </w:pPr>
      <w:r>
        <w:continuationSeparator/>
      </w:r>
    </w:p>
  </w:endnote>
  <w:endnote w:type="continuationNotice" w:id="1">
    <w:p w14:paraId="43EA8371" w14:textId="77777777" w:rsidR="004C201E" w:rsidRDefault="004C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AE7C4" w14:textId="77777777" w:rsidR="004C201E" w:rsidRDefault="004C201E" w:rsidP="00A15CD8">
      <w:pPr>
        <w:spacing w:after="0" w:line="240" w:lineRule="auto"/>
      </w:pPr>
      <w:r>
        <w:separator/>
      </w:r>
    </w:p>
  </w:footnote>
  <w:footnote w:type="continuationSeparator" w:id="0">
    <w:p w14:paraId="0B7058DD" w14:textId="77777777" w:rsidR="004C201E" w:rsidRDefault="004C201E" w:rsidP="00A15CD8">
      <w:pPr>
        <w:spacing w:after="0" w:line="240" w:lineRule="auto"/>
      </w:pPr>
      <w:r>
        <w:continuationSeparator/>
      </w:r>
    </w:p>
  </w:footnote>
  <w:footnote w:type="continuationNotice" w:id="1">
    <w:p w14:paraId="5BB19322" w14:textId="77777777" w:rsidR="004C201E" w:rsidRDefault="004C20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 w15:restartNumberingAfterBreak="0">
    <w:nsid w:val="40E423B3"/>
    <w:multiLevelType w:val="hybridMultilevel"/>
    <w:tmpl w:val="9B9C5B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 w15:restartNumberingAfterBreak="0">
    <w:nsid w:val="62066B52"/>
    <w:multiLevelType w:val="hybridMultilevel"/>
    <w:tmpl w:val="399EC1C2"/>
    <w:lvl w:ilvl="0" w:tplc="A680EFAC">
      <w:start w:val="1"/>
      <w:numFmt w:val="decimal"/>
      <w:lvlText w:val="%1."/>
      <w:lvlJc w:val="left"/>
      <w:pPr>
        <w:ind w:left="720" w:hanging="360"/>
      </w:pPr>
    </w:lvl>
    <w:lvl w:ilvl="1" w:tplc="19D8B9D4">
      <w:start w:val="1"/>
      <w:numFmt w:val="lowerLetter"/>
      <w:lvlText w:val="%2."/>
      <w:lvlJc w:val="left"/>
      <w:pPr>
        <w:ind w:left="1440" w:hanging="360"/>
      </w:pPr>
    </w:lvl>
    <w:lvl w:ilvl="2" w:tplc="8940D09A">
      <w:start w:val="1"/>
      <w:numFmt w:val="lowerRoman"/>
      <w:lvlText w:val="%3."/>
      <w:lvlJc w:val="right"/>
      <w:pPr>
        <w:ind w:left="2160" w:hanging="180"/>
      </w:pPr>
    </w:lvl>
    <w:lvl w:ilvl="3" w:tplc="23749A7C">
      <w:start w:val="1"/>
      <w:numFmt w:val="decimal"/>
      <w:lvlText w:val="%4."/>
      <w:lvlJc w:val="left"/>
      <w:pPr>
        <w:ind w:left="2880" w:hanging="360"/>
      </w:pPr>
    </w:lvl>
    <w:lvl w:ilvl="4" w:tplc="FDD45EA0">
      <w:start w:val="1"/>
      <w:numFmt w:val="lowerLetter"/>
      <w:lvlText w:val="%5."/>
      <w:lvlJc w:val="left"/>
      <w:pPr>
        <w:ind w:left="3600" w:hanging="360"/>
      </w:pPr>
    </w:lvl>
    <w:lvl w:ilvl="5" w:tplc="7A08F2A0">
      <w:start w:val="1"/>
      <w:numFmt w:val="lowerRoman"/>
      <w:lvlText w:val="%6."/>
      <w:lvlJc w:val="right"/>
      <w:pPr>
        <w:ind w:left="4320" w:hanging="180"/>
      </w:pPr>
    </w:lvl>
    <w:lvl w:ilvl="6" w:tplc="AA121560">
      <w:start w:val="1"/>
      <w:numFmt w:val="decimal"/>
      <w:lvlText w:val="%7."/>
      <w:lvlJc w:val="left"/>
      <w:pPr>
        <w:ind w:left="5040" w:hanging="360"/>
      </w:pPr>
    </w:lvl>
    <w:lvl w:ilvl="7" w:tplc="6EA069C4">
      <w:start w:val="1"/>
      <w:numFmt w:val="lowerLetter"/>
      <w:lvlText w:val="%8."/>
      <w:lvlJc w:val="left"/>
      <w:pPr>
        <w:ind w:left="5760" w:hanging="360"/>
      </w:pPr>
    </w:lvl>
    <w:lvl w:ilvl="8" w:tplc="19206376">
      <w:start w:val="1"/>
      <w:numFmt w:val="lowerRoman"/>
      <w:lvlText w:val="%9."/>
      <w:lvlJc w:val="right"/>
      <w:pPr>
        <w:ind w:left="6480" w:hanging="180"/>
      </w:pPr>
    </w:lvl>
  </w:abstractNum>
  <w:num w:numId="1" w16cid:durableId="14357270">
    <w:abstractNumId w:val="0"/>
  </w:num>
  <w:num w:numId="2" w16cid:durableId="1847358165">
    <w:abstractNumId w:val="2"/>
  </w:num>
  <w:num w:numId="3" w16cid:durableId="427504328">
    <w:abstractNumId w:val="1"/>
  </w:num>
  <w:num w:numId="4" w16cid:durableId="1443644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3D"/>
    <w:rsid w:val="00006CA1"/>
    <w:rsid w:val="00045583"/>
    <w:rsid w:val="00061F37"/>
    <w:rsid w:val="0006418B"/>
    <w:rsid w:val="0006589F"/>
    <w:rsid w:val="0006777C"/>
    <w:rsid w:val="0008060D"/>
    <w:rsid w:val="000B6133"/>
    <w:rsid w:val="000F604C"/>
    <w:rsid w:val="00100AC5"/>
    <w:rsid w:val="001040D8"/>
    <w:rsid w:val="001829E1"/>
    <w:rsid w:val="001852F9"/>
    <w:rsid w:val="001B0756"/>
    <w:rsid w:val="001B6243"/>
    <w:rsid w:val="0021626B"/>
    <w:rsid w:val="00295802"/>
    <w:rsid w:val="002A4C94"/>
    <w:rsid w:val="002A7F3E"/>
    <w:rsid w:val="002D4A77"/>
    <w:rsid w:val="002D7061"/>
    <w:rsid w:val="00334DBC"/>
    <w:rsid w:val="003505E6"/>
    <w:rsid w:val="003838F2"/>
    <w:rsid w:val="00396974"/>
    <w:rsid w:val="00432D3C"/>
    <w:rsid w:val="00435004"/>
    <w:rsid w:val="00471472"/>
    <w:rsid w:val="00477A44"/>
    <w:rsid w:val="004B797B"/>
    <w:rsid w:val="004C201E"/>
    <w:rsid w:val="00542451"/>
    <w:rsid w:val="00557CF5"/>
    <w:rsid w:val="00585C73"/>
    <w:rsid w:val="00595E29"/>
    <w:rsid w:val="005C0503"/>
    <w:rsid w:val="006119A2"/>
    <w:rsid w:val="006A38CF"/>
    <w:rsid w:val="006E40B5"/>
    <w:rsid w:val="006F698B"/>
    <w:rsid w:val="0070483C"/>
    <w:rsid w:val="00714EB0"/>
    <w:rsid w:val="00761957"/>
    <w:rsid w:val="007F58E4"/>
    <w:rsid w:val="007F7E6D"/>
    <w:rsid w:val="00817DFB"/>
    <w:rsid w:val="008A3E9E"/>
    <w:rsid w:val="008F462E"/>
    <w:rsid w:val="009206E7"/>
    <w:rsid w:val="00962C4F"/>
    <w:rsid w:val="00974CD3"/>
    <w:rsid w:val="00980A55"/>
    <w:rsid w:val="009A23C8"/>
    <w:rsid w:val="009C684E"/>
    <w:rsid w:val="009D3518"/>
    <w:rsid w:val="009D703E"/>
    <w:rsid w:val="00A05EDB"/>
    <w:rsid w:val="00A14771"/>
    <w:rsid w:val="00A15CD8"/>
    <w:rsid w:val="00A21F89"/>
    <w:rsid w:val="00A408CF"/>
    <w:rsid w:val="00AB6FD4"/>
    <w:rsid w:val="00AD7D55"/>
    <w:rsid w:val="00AE374D"/>
    <w:rsid w:val="00AE6EB4"/>
    <w:rsid w:val="00AF32FD"/>
    <w:rsid w:val="00AF7B3D"/>
    <w:rsid w:val="00B34C90"/>
    <w:rsid w:val="00B3653B"/>
    <w:rsid w:val="00B43F92"/>
    <w:rsid w:val="00B557C3"/>
    <w:rsid w:val="00B67191"/>
    <w:rsid w:val="00B8788D"/>
    <w:rsid w:val="00BC2934"/>
    <w:rsid w:val="00BD6E57"/>
    <w:rsid w:val="00BE02FF"/>
    <w:rsid w:val="00C56B54"/>
    <w:rsid w:val="00C76A60"/>
    <w:rsid w:val="00CB42DB"/>
    <w:rsid w:val="00D70D51"/>
    <w:rsid w:val="00DE5D30"/>
    <w:rsid w:val="00DF3EE5"/>
    <w:rsid w:val="00DF63BA"/>
    <w:rsid w:val="00E26E72"/>
    <w:rsid w:val="00E339FE"/>
    <w:rsid w:val="00E3431A"/>
    <w:rsid w:val="00E74A9E"/>
    <w:rsid w:val="00EC6717"/>
    <w:rsid w:val="00ED654C"/>
    <w:rsid w:val="00EF6B58"/>
    <w:rsid w:val="00F0076B"/>
    <w:rsid w:val="00FB2B10"/>
    <w:rsid w:val="00FB7104"/>
    <w:rsid w:val="00FC4CDC"/>
    <w:rsid w:val="00FF78F9"/>
    <w:rsid w:val="0934608B"/>
    <w:rsid w:val="0D5D51DB"/>
    <w:rsid w:val="0EF9223C"/>
    <w:rsid w:val="1993C775"/>
    <w:rsid w:val="238DB453"/>
    <w:rsid w:val="3E824555"/>
    <w:rsid w:val="3F18BF40"/>
    <w:rsid w:val="6E0B686E"/>
    <w:rsid w:val="7AD0C3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11F8"/>
  <w15:chartTrackingRefBased/>
  <w15:docId w15:val="{6EED6256-B936-4439-9BCE-3CAE6866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471472"/>
    <w:pPr>
      <w:keepNext/>
      <w:spacing w:after="240" w:line="230" w:lineRule="atLeast"/>
      <w:outlineLvl w:val="0"/>
    </w:pPr>
    <w:rPr>
      <w:rFonts w:asciiTheme="majorHAnsi" w:eastAsiaTheme="majorEastAsia" w:hAnsiTheme="majorHAnsi" w:cstheme="majorBidi"/>
      <w:bCs/>
      <w:color w:val="1F497D" w:themeColor="text2"/>
      <w:spacing w:val="-4"/>
      <w:sz w:val="40"/>
      <w:szCs w:val="40"/>
      <w:lang w:eastAsia="en-AU"/>
    </w:rPr>
  </w:style>
  <w:style w:type="paragraph" w:styleId="Heading2">
    <w:name w:val="heading 2"/>
    <w:basedOn w:val="Normal"/>
    <w:next w:val="BodyText"/>
    <w:link w:val="Heading2Char"/>
    <w:qFormat/>
    <w:rsid w:val="00471472"/>
    <w:pPr>
      <w:keepNext/>
      <w:keepLines/>
      <w:spacing w:before="240" w:after="120" w:line="230" w:lineRule="atLeast"/>
      <w:outlineLvl w:val="1"/>
    </w:pPr>
    <w:rPr>
      <w:rFonts w:asciiTheme="majorHAnsi" w:eastAsiaTheme="majorEastAsia" w:hAnsiTheme="majorHAnsi" w:cstheme="majorBidi"/>
      <w:b/>
      <w:bCs/>
      <w:color w:val="1F497D" w:themeColor="text2"/>
      <w:spacing w:val="-2"/>
      <w:sz w:val="32"/>
      <w:szCs w:val="26"/>
      <w:lang w:eastAsia="en-AU"/>
    </w:rPr>
  </w:style>
  <w:style w:type="paragraph" w:styleId="Heading3">
    <w:name w:val="heading 3"/>
    <w:basedOn w:val="Normal"/>
    <w:next w:val="BodyText"/>
    <w:link w:val="Heading3Char"/>
    <w:qFormat/>
    <w:rsid w:val="00471472"/>
    <w:pPr>
      <w:keepNext/>
      <w:keepLines/>
      <w:spacing w:before="200" w:after="120" w:line="240" w:lineRule="atLeast"/>
      <w:outlineLvl w:val="2"/>
    </w:pPr>
    <w:rPr>
      <w:rFonts w:asciiTheme="majorHAnsi" w:eastAsiaTheme="majorEastAsia" w:hAnsiTheme="majorHAnsi" w:cstheme="majorBidi"/>
      <w:bCs/>
      <w:color w:val="1F497D" w:themeColor="text2"/>
      <w:sz w:val="28"/>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rsid w:val="003838F2"/>
    <w:pPr>
      <w:spacing w:after="0" w:line="240" w:lineRule="auto"/>
    </w:pPr>
    <w:rPr>
      <w:rFonts w:asciiTheme="majorHAnsi" w:eastAsia="Times New Roman" w:hAnsiTheme="majorHAnsi" w:cs="Times New Roman"/>
      <w:b/>
      <w:color w:val="1F497D" w:themeColor="text2"/>
      <w:sz w:val="41"/>
      <w:szCs w:val="20"/>
      <w:lang w:eastAsia="en-AU"/>
    </w:rPr>
  </w:style>
  <w:style w:type="character" w:customStyle="1" w:styleId="TitleChar">
    <w:name w:val="Title Char"/>
    <w:basedOn w:val="DefaultParagraphFont"/>
    <w:link w:val="Title"/>
    <w:uiPriority w:val="3"/>
    <w:rsid w:val="003838F2"/>
    <w:rPr>
      <w:rFonts w:asciiTheme="majorHAnsi" w:eastAsia="Times New Roman" w:hAnsiTheme="majorHAnsi" w:cs="Times New Roman"/>
      <w:b/>
      <w:color w:val="1F497D" w:themeColor="text2"/>
      <w:sz w:val="41"/>
      <w:szCs w:val="20"/>
      <w:lang w:eastAsia="en-AU"/>
    </w:rPr>
  </w:style>
  <w:style w:type="paragraph" w:styleId="Subtitle">
    <w:name w:val="Subtitle"/>
    <w:basedOn w:val="Normal"/>
    <w:next w:val="Normal"/>
    <w:link w:val="SubtitleChar"/>
    <w:uiPriority w:val="2"/>
    <w:rsid w:val="003838F2"/>
    <w:pPr>
      <w:numPr>
        <w:ilvl w:val="1"/>
      </w:numPr>
      <w:spacing w:before="200" w:after="0" w:line="240" w:lineRule="auto"/>
      <w:contextualSpacing/>
    </w:pPr>
    <w:rPr>
      <w:rFonts w:eastAsiaTheme="minorEastAsia"/>
      <w:color w:val="1F497D" w:themeColor="text2"/>
      <w:sz w:val="24"/>
      <w:szCs w:val="18"/>
      <w:lang w:eastAsia="en-AU"/>
    </w:rPr>
  </w:style>
  <w:style w:type="character" w:customStyle="1" w:styleId="SubtitleChar">
    <w:name w:val="Subtitle Char"/>
    <w:basedOn w:val="DefaultParagraphFont"/>
    <w:link w:val="Subtitle"/>
    <w:uiPriority w:val="2"/>
    <w:rsid w:val="003838F2"/>
    <w:rPr>
      <w:rFonts w:eastAsiaTheme="minorEastAsia"/>
      <w:color w:val="1F497D" w:themeColor="text2"/>
      <w:sz w:val="24"/>
      <w:szCs w:val="18"/>
      <w:lang w:eastAsia="en-AU"/>
    </w:rPr>
  </w:style>
  <w:style w:type="paragraph" w:styleId="BodyText">
    <w:name w:val="Body Text"/>
    <w:basedOn w:val="Normal"/>
    <w:link w:val="BodyTextChar"/>
    <w:qFormat/>
    <w:rsid w:val="00A408CF"/>
    <w:pPr>
      <w:spacing w:before="120" w:after="120" w:line="240" w:lineRule="atLeast"/>
    </w:pPr>
    <w:rPr>
      <w:rFonts w:eastAsia="Times New Roman" w:cs="Times New Roman"/>
      <w:sz w:val="20"/>
      <w:szCs w:val="20"/>
      <w:lang w:eastAsia="en-AU"/>
    </w:rPr>
  </w:style>
  <w:style w:type="character" w:customStyle="1" w:styleId="BodyTextChar">
    <w:name w:val="Body Text Char"/>
    <w:basedOn w:val="DefaultParagraphFont"/>
    <w:link w:val="BodyText"/>
    <w:rsid w:val="00A408CF"/>
    <w:rPr>
      <w:rFonts w:eastAsia="Times New Roman" w:cs="Times New Roman"/>
      <w:sz w:val="20"/>
      <w:szCs w:val="20"/>
      <w:lang w:eastAsia="en-AU"/>
    </w:rPr>
  </w:style>
  <w:style w:type="paragraph" w:customStyle="1" w:styleId="BoldBodyText">
    <w:name w:val="Bold Body Text"/>
    <w:basedOn w:val="BodyText"/>
    <w:qFormat/>
    <w:rsid w:val="00A408CF"/>
    <w:rPr>
      <w:rFonts w:ascii="Arial Bold" w:hAnsi="Arial Bold"/>
      <w:bCs/>
    </w:rPr>
  </w:style>
  <w:style w:type="character" w:styleId="Hyperlink">
    <w:name w:val="Hyperlink"/>
    <w:basedOn w:val="DefaultParagraphFont"/>
    <w:uiPriority w:val="99"/>
    <w:unhideWhenUsed/>
    <w:rsid w:val="00714EB0"/>
    <w:rPr>
      <w:color w:val="0000FF" w:themeColor="hyperlink"/>
      <w:u w:val="single"/>
    </w:rPr>
  </w:style>
  <w:style w:type="paragraph" w:customStyle="1" w:styleId="DisclaimerTextLeftBold">
    <w:name w:val="Disclaimer Text Left Bold"/>
    <w:basedOn w:val="DisclaimerTextLeft"/>
    <w:next w:val="DisclaimerTextLeft"/>
    <w:uiPriority w:val="99"/>
    <w:semiHidden/>
    <w:rsid w:val="00714EB0"/>
    <w:pPr>
      <w:framePr w:wrap="around"/>
    </w:pPr>
    <w:rPr>
      <w:b/>
    </w:rPr>
  </w:style>
  <w:style w:type="paragraph" w:customStyle="1" w:styleId="DisclaimerTextLeft">
    <w:name w:val="Disclaimer Text Left"/>
    <w:basedOn w:val="Normal"/>
    <w:uiPriority w:val="99"/>
    <w:semiHidden/>
    <w:rsid w:val="00714EB0"/>
    <w:pPr>
      <w:framePr w:hSpace="181" w:wrap="around" w:hAnchor="margin" w:yAlign="bottom"/>
      <w:spacing w:after="90" w:line="240" w:lineRule="atLeast"/>
      <w:suppressOverlap/>
    </w:pPr>
    <w:rPr>
      <w:rFonts w:eastAsia="Times New Roman" w:cs="Arial"/>
      <w:color w:val="000000" w:themeColor="text1"/>
      <w:sz w:val="20"/>
      <w:szCs w:val="20"/>
      <w:lang w:eastAsia="en-AU"/>
    </w:rPr>
  </w:style>
  <w:style w:type="paragraph" w:customStyle="1" w:styleId="DisclaimerTextRightBold">
    <w:name w:val="Disclaimer Text Right Bold"/>
    <w:basedOn w:val="Normal"/>
    <w:uiPriority w:val="99"/>
    <w:semiHidden/>
    <w:rsid w:val="00714EB0"/>
    <w:pPr>
      <w:framePr w:hSpace="181" w:wrap="around" w:hAnchor="margin" w:yAlign="bottom"/>
      <w:spacing w:after="90" w:line="240" w:lineRule="atLeast"/>
      <w:suppressOverlap/>
    </w:pPr>
    <w:rPr>
      <w:rFonts w:ascii="Arial Bold" w:eastAsia="Times New Roman" w:hAnsi="Arial Bold" w:cs="Arial"/>
      <w:color w:val="000000" w:themeColor="text1"/>
      <w:sz w:val="20"/>
      <w:szCs w:val="20"/>
      <w:lang w:eastAsia="en-AU"/>
    </w:rPr>
  </w:style>
  <w:style w:type="paragraph" w:customStyle="1" w:styleId="DisclaimerTextRight12pt">
    <w:name w:val="Disclaimer Text Right 12pt"/>
    <w:basedOn w:val="Normal"/>
    <w:uiPriority w:val="99"/>
    <w:semiHidden/>
    <w:rsid w:val="00714EB0"/>
    <w:pPr>
      <w:framePr w:hSpace="181" w:wrap="around" w:hAnchor="margin" w:yAlign="bottom"/>
      <w:spacing w:after="90" w:line="240" w:lineRule="atLeast"/>
      <w:suppressOverlap/>
    </w:pPr>
    <w:rPr>
      <w:rFonts w:eastAsia="Times New Roman" w:cs="Arial"/>
      <w:color w:val="000000" w:themeColor="text1"/>
      <w:sz w:val="24"/>
      <w:szCs w:val="20"/>
      <w:lang w:eastAsia="en-AU"/>
    </w:rPr>
  </w:style>
  <w:style w:type="paragraph" w:customStyle="1" w:styleId="DisclaimerTextRightBold12pt">
    <w:name w:val="Disclaimer Text Right Bold 12 pt"/>
    <w:basedOn w:val="DisclaimerTextRightBold"/>
    <w:next w:val="DisclaimerTextRight12pt"/>
    <w:uiPriority w:val="99"/>
    <w:semiHidden/>
    <w:rsid w:val="00714EB0"/>
    <w:pPr>
      <w:framePr w:wrap="around"/>
    </w:pPr>
    <w:rPr>
      <w:sz w:val="24"/>
    </w:rPr>
  </w:style>
  <w:style w:type="paragraph" w:customStyle="1" w:styleId="DisclaimerTextRight">
    <w:name w:val="Disclaimer Text Right"/>
    <w:basedOn w:val="Normal"/>
    <w:uiPriority w:val="99"/>
    <w:semiHidden/>
    <w:rsid w:val="00714EB0"/>
    <w:pPr>
      <w:framePr w:hSpace="181" w:wrap="around" w:hAnchor="margin" w:yAlign="bottom"/>
      <w:spacing w:after="90" w:line="240" w:lineRule="atLeast"/>
      <w:suppressOverlap/>
    </w:pPr>
    <w:rPr>
      <w:rFonts w:eastAsia="Times New Roman" w:cs="Arial"/>
      <w:color w:val="000000" w:themeColor="text1"/>
      <w:sz w:val="20"/>
      <w:szCs w:val="20"/>
      <w:lang w:eastAsia="en-AU"/>
    </w:rPr>
  </w:style>
  <w:style w:type="character" w:customStyle="1" w:styleId="Heading1Char">
    <w:name w:val="Heading 1 Char"/>
    <w:basedOn w:val="DefaultParagraphFont"/>
    <w:link w:val="Heading1"/>
    <w:rsid w:val="00471472"/>
    <w:rPr>
      <w:rFonts w:asciiTheme="majorHAnsi" w:eastAsiaTheme="majorEastAsia" w:hAnsiTheme="majorHAnsi" w:cstheme="majorBidi"/>
      <w:bCs/>
      <w:color w:val="1F497D" w:themeColor="text2"/>
      <w:spacing w:val="-4"/>
      <w:sz w:val="40"/>
      <w:szCs w:val="40"/>
      <w:lang w:eastAsia="en-AU"/>
    </w:rPr>
  </w:style>
  <w:style w:type="character" w:customStyle="1" w:styleId="Heading2Char">
    <w:name w:val="Heading 2 Char"/>
    <w:basedOn w:val="DefaultParagraphFont"/>
    <w:link w:val="Heading2"/>
    <w:rsid w:val="00471472"/>
    <w:rPr>
      <w:rFonts w:asciiTheme="majorHAnsi" w:eastAsiaTheme="majorEastAsia" w:hAnsiTheme="majorHAnsi" w:cstheme="majorBidi"/>
      <w:b/>
      <w:bCs/>
      <w:color w:val="1F497D" w:themeColor="text2"/>
      <w:spacing w:val="-2"/>
      <w:sz w:val="32"/>
      <w:szCs w:val="26"/>
      <w:lang w:eastAsia="en-AU"/>
    </w:rPr>
  </w:style>
  <w:style w:type="character" w:customStyle="1" w:styleId="Heading3Char">
    <w:name w:val="Heading 3 Char"/>
    <w:basedOn w:val="DefaultParagraphFont"/>
    <w:link w:val="Heading3"/>
    <w:rsid w:val="00471472"/>
    <w:rPr>
      <w:rFonts w:asciiTheme="majorHAnsi" w:eastAsiaTheme="majorEastAsia" w:hAnsiTheme="majorHAnsi" w:cstheme="majorBidi"/>
      <w:bCs/>
      <w:color w:val="1F497D" w:themeColor="text2"/>
      <w:sz w:val="28"/>
      <w:szCs w:val="26"/>
      <w:lang w:eastAsia="en-AU"/>
    </w:rPr>
  </w:style>
  <w:style w:type="paragraph" w:styleId="ListBullet">
    <w:name w:val="List Bullet"/>
    <w:basedOn w:val="BodyText"/>
    <w:qFormat/>
    <w:rsid w:val="00471472"/>
    <w:pPr>
      <w:numPr>
        <w:numId w:val="2"/>
      </w:numPr>
    </w:pPr>
  </w:style>
  <w:style w:type="paragraph" w:styleId="ListBullet2">
    <w:name w:val="List Bullet 2"/>
    <w:basedOn w:val="ListBullet"/>
    <w:qFormat/>
    <w:rsid w:val="00471472"/>
    <w:pPr>
      <w:numPr>
        <w:ilvl w:val="1"/>
      </w:numPr>
    </w:pPr>
  </w:style>
  <w:style w:type="paragraph" w:styleId="ListBullet3">
    <w:name w:val="List Bullet 3"/>
    <w:basedOn w:val="ListBullet2"/>
    <w:qFormat/>
    <w:rsid w:val="00471472"/>
    <w:pPr>
      <w:numPr>
        <w:ilvl w:val="2"/>
      </w:numPr>
    </w:pPr>
  </w:style>
  <w:style w:type="paragraph" w:styleId="NoSpacing">
    <w:name w:val="No Spacing"/>
    <w:basedOn w:val="Normal"/>
    <w:next w:val="BodyText"/>
    <w:link w:val="NoSpacingChar"/>
    <w:qFormat/>
    <w:rsid w:val="00471472"/>
    <w:pPr>
      <w:spacing w:after="0" w:line="240" w:lineRule="atLeast"/>
    </w:pPr>
    <w:rPr>
      <w:rFonts w:eastAsia="Times New Roman" w:cs="Times New Roman"/>
      <w:sz w:val="20"/>
      <w:szCs w:val="20"/>
      <w:lang w:eastAsia="en-AU"/>
    </w:rPr>
  </w:style>
  <w:style w:type="paragraph" w:customStyle="1" w:styleId="ListAlpha">
    <w:name w:val="List Alpha"/>
    <w:basedOn w:val="Normal"/>
    <w:qFormat/>
    <w:rsid w:val="00471472"/>
    <w:pPr>
      <w:numPr>
        <w:numId w:val="1"/>
      </w:numPr>
      <w:spacing w:before="120" w:after="120" w:line="240" w:lineRule="atLeast"/>
    </w:pPr>
    <w:rPr>
      <w:rFonts w:eastAsia="Times New Roman" w:cs="Times New Roman"/>
      <w:sz w:val="20"/>
      <w:szCs w:val="20"/>
      <w:lang w:eastAsia="en-AU"/>
    </w:rPr>
  </w:style>
  <w:style w:type="paragraph" w:styleId="TOCHeading">
    <w:name w:val="TOC Heading"/>
    <w:basedOn w:val="Normal"/>
    <w:uiPriority w:val="99"/>
    <w:rsid w:val="00471472"/>
    <w:pPr>
      <w:tabs>
        <w:tab w:val="left" w:pos="1134"/>
        <w:tab w:val="left" w:pos="2268"/>
        <w:tab w:val="left" w:pos="3402"/>
        <w:tab w:val="left" w:pos="4536"/>
        <w:tab w:val="left" w:pos="5103"/>
      </w:tabs>
      <w:spacing w:after="440" w:line="240" w:lineRule="auto"/>
      <w:outlineLvl w:val="4"/>
    </w:pPr>
    <w:rPr>
      <w:rFonts w:eastAsia="Times New Roman" w:cs="Arial"/>
      <w:b/>
      <w:color w:val="1F497D" w:themeColor="text2"/>
      <w:sz w:val="40"/>
      <w:szCs w:val="40"/>
      <w:lang w:eastAsia="en-AU"/>
    </w:rPr>
  </w:style>
  <w:style w:type="paragraph" w:styleId="TOC1">
    <w:name w:val="toc 1"/>
    <w:basedOn w:val="Normal"/>
    <w:next w:val="Normal"/>
    <w:link w:val="TOC1Char"/>
    <w:uiPriority w:val="39"/>
    <w:rsid w:val="00471472"/>
    <w:pPr>
      <w:tabs>
        <w:tab w:val="right" w:leader="dot" w:pos="9582"/>
      </w:tabs>
      <w:spacing w:before="240" w:after="60" w:line="240" w:lineRule="atLeast"/>
      <w:ind w:right="851"/>
    </w:pPr>
    <w:rPr>
      <w:rFonts w:eastAsia="Times New Roman" w:cs="Arial"/>
      <w:b/>
      <w:noProof/>
      <w:color w:val="1F497D" w:themeColor="text2"/>
      <w:sz w:val="24"/>
      <w:szCs w:val="24"/>
      <w:lang w:eastAsia="en-AU"/>
    </w:rPr>
  </w:style>
  <w:style w:type="paragraph" w:styleId="TOC2">
    <w:name w:val="toc 2"/>
    <w:basedOn w:val="Normal"/>
    <w:next w:val="Normal"/>
    <w:uiPriority w:val="39"/>
    <w:rsid w:val="00471472"/>
    <w:pPr>
      <w:tabs>
        <w:tab w:val="right" w:leader="dot" w:pos="9582"/>
      </w:tabs>
      <w:spacing w:before="120" w:after="60" w:line="240" w:lineRule="atLeast"/>
      <w:ind w:right="851"/>
    </w:pPr>
    <w:rPr>
      <w:rFonts w:eastAsia="Times New Roman" w:cs="Arial"/>
      <w:noProof/>
      <w:color w:val="232222"/>
      <w:szCs w:val="28"/>
      <w:lang w:eastAsia="en-AU"/>
    </w:rPr>
  </w:style>
  <w:style w:type="character" w:customStyle="1" w:styleId="TOC1Char">
    <w:name w:val="TOC 1 Char"/>
    <w:basedOn w:val="DefaultParagraphFont"/>
    <w:link w:val="TOC1"/>
    <w:uiPriority w:val="39"/>
    <w:rsid w:val="00471472"/>
    <w:rPr>
      <w:rFonts w:eastAsia="Times New Roman" w:cs="Arial"/>
      <w:b/>
      <w:noProof/>
      <w:color w:val="1F497D" w:themeColor="text2"/>
      <w:sz w:val="24"/>
      <w:szCs w:val="24"/>
      <w:lang w:eastAsia="en-AU"/>
    </w:rPr>
  </w:style>
  <w:style w:type="paragraph" w:customStyle="1" w:styleId="IntroFeatureText">
    <w:name w:val="Intro/Feature Text"/>
    <w:basedOn w:val="Normal"/>
    <w:next w:val="Normal"/>
    <w:qFormat/>
    <w:rsid w:val="00471472"/>
    <w:pPr>
      <w:spacing w:before="160" w:after="160" w:line="240" w:lineRule="atLeast"/>
    </w:pPr>
    <w:rPr>
      <w:rFonts w:eastAsia="Times New Roman" w:cs="Times New Roman"/>
      <w:color w:val="1F497D" w:themeColor="text2"/>
      <w:spacing w:val="-1"/>
      <w:sz w:val="24"/>
      <w:szCs w:val="24"/>
      <w:lang w:eastAsia="en-AU"/>
    </w:rPr>
  </w:style>
  <w:style w:type="paragraph" w:styleId="Caption">
    <w:name w:val="caption"/>
    <w:basedOn w:val="Normal"/>
    <w:next w:val="BodyText"/>
    <w:qFormat/>
    <w:rsid w:val="00471472"/>
    <w:pPr>
      <w:keepNext/>
      <w:tabs>
        <w:tab w:val="left" w:pos="1191"/>
      </w:tabs>
      <w:spacing w:before="120" w:after="120" w:line="240" w:lineRule="atLeast"/>
      <w:ind w:left="1191" w:hanging="1191"/>
    </w:pPr>
    <w:rPr>
      <w:rFonts w:eastAsia="Times New Roman" w:cs="Times New Roman"/>
      <w:b/>
      <w:sz w:val="18"/>
      <w:szCs w:val="20"/>
      <w:lang w:eastAsia="en-AU"/>
      <w14:numSpacing w14:val="tabular"/>
    </w:rPr>
  </w:style>
  <w:style w:type="paragraph" w:styleId="TOC3">
    <w:name w:val="toc 3"/>
    <w:basedOn w:val="Normal"/>
    <w:next w:val="Normal"/>
    <w:uiPriority w:val="39"/>
    <w:rsid w:val="00471472"/>
    <w:pPr>
      <w:tabs>
        <w:tab w:val="right" w:leader="dot" w:pos="9582"/>
      </w:tabs>
      <w:spacing w:before="60" w:after="60" w:line="240" w:lineRule="atLeast"/>
      <w:ind w:left="227" w:right="851"/>
    </w:pPr>
    <w:rPr>
      <w:rFonts w:eastAsiaTheme="minorEastAsia"/>
      <w:b/>
      <w:noProof/>
      <w:color w:val="232222"/>
      <w:sz w:val="20"/>
      <w:szCs w:val="20"/>
      <w:lang w:eastAsia="en-AU"/>
    </w:rPr>
  </w:style>
  <w:style w:type="paragraph" w:customStyle="1" w:styleId="ListAlpha2">
    <w:name w:val="List Alpha 2"/>
    <w:basedOn w:val="ListAlpha"/>
    <w:qFormat/>
    <w:rsid w:val="00471472"/>
    <w:pPr>
      <w:numPr>
        <w:ilvl w:val="1"/>
      </w:numPr>
    </w:pPr>
  </w:style>
  <w:style w:type="character" w:customStyle="1" w:styleId="NoSpacingChar">
    <w:name w:val="No Spacing Char"/>
    <w:basedOn w:val="DefaultParagraphFont"/>
    <w:link w:val="NoSpacing"/>
    <w:rsid w:val="00471472"/>
    <w:rPr>
      <w:rFonts w:eastAsia="Times New Roman" w:cs="Times New Roman"/>
      <w:sz w:val="20"/>
      <w:szCs w:val="20"/>
      <w:lang w:eastAsia="en-AU"/>
    </w:rPr>
  </w:style>
  <w:style w:type="paragraph" w:customStyle="1" w:styleId="ListAlpha3">
    <w:name w:val="List Alpha 3"/>
    <w:basedOn w:val="ListAlpha2"/>
    <w:qFormat/>
    <w:rsid w:val="00471472"/>
    <w:pPr>
      <w:numPr>
        <w:ilvl w:val="2"/>
      </w:numPr>
    </w:pPr>
  </w:style>
  <w:style w:type="paragraph" w:styleId="Header">
    <w:name w:val="header"/>
    <w:basedOn w:val="Normal"/>
    <w:link w:val="HeaderChar"/>
    <w:uiPriority w:val="99"/>
    <w:semiHidden/>
    <w:unhideWhenUsed/>
    <w:rsid w:val="00A15C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5CD8"/>
  </w:style>
  <w:style w:type="paragraph" w:styleId="Footer">
    <w:name w:val="footer"/>
    <w:basedOn w:val="Normal"/>
    <w:link w:val="FooterChar"/>
    <w:uiPriority w:val="99"/>
    <w:semiHidden/>
    <w:unhideWhenUsed/>
    <w:rsid w:val="00A15C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5CD8"/>
  </w:style>
  <w:style w:type="paragraph" w:styleId="NormalWeb">
    <w:name w:val="Normal (Web)"/>
    <w:basedOn w:val="Normal"/>
    <w:uiPriority w:val="99"/>
    <w:semiHidden/>
    <w:unhideWhenUsed/>
    <w:rsid w:val="00EC67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206E7"/>
    <w:rPr>
      <w:color w:val="605E5C"/>
      <w:shd w:val="clear" w:color="auto" w:fill="E1DFDD"/>
    </w:rPr>
  </w:style>
  <w:style w:type="character" w:styleId="CommentReference">
    <w:name w:val="annotation reference"/>
    <w:basedOn w:val="DefaultParagraphFont"/>
    <w:uiPriority w:val="99"/>
    <w:semiHidden/>
    <w:unhideWhenUsed/>
    <w:rsid w:val="00B43F92"/>
    <w:rPr>
      <w:sz w:val="16"/>
      <w:szCs w:val="16"/>
    </w:rPr>
  </w:style>
  <w:style w:type="paragraph" w:styleId="CommentText">
    <w:name w:val="annotation text"/>
    <w:basedOn w:val="Normal"/>
    <w:link w:val="CommentTextChar"/>
    <w:uiPriority w:val="99"/>
    <w:unhideWhenUsed/>
    <w:rsid w:val="00B43F92"/>
    <w:pPr>
      <w:spacing w:line="240" w:lineRule="auto"/>
    </w:pPr>
    <w:rPr>
      <w:sz w:val="20"/>
      <w:szCs w:val="20"/>
    </w:rPr>
  </w:style>
  <w:style w:type="character" w:customStyle="1" w:styleId="CommentTextChar">
    <w:name w:val="Comment Text Char"/>
    <w:basedOn w:val="DefaultParagraphFont"/>
    <w:link w:val="CommentText"/>
    <w:uiPriority w:val="99"/>
    <w:rsid w:val="00B43F92"/>
    <w:rPr>
      <w:sz w:val="20"/>
      <w:szCs w:val="20"/>
    </w:rPr>
  </w:style>
  <w:style w:type="paragraph" w:styleId="CommentSubject">
    <w:name w:val="annotation subject"/>
    <w:basedOn w:val="CommentText"/>
    <w:next w:val="CommentText"/>
    <w:link w:val="CommentSubjectChar"/>
    <w:uiPriority w:val="99"/>
    <w:semiHidden/>
    <w:unhideWhenUsed/>
    <w:rsid w:val="00B43F92"/>
    <w:rPr>
      <w:b/>
      <w:bCs/>
    </w:rPr>
  </w:style>
  <w:style w:type="character" w:customStyle="1" w:styleId="CommentSubjectChar">
    <w:name w:val="Comment Subject Char"/>
    <w:basedOn w:val="CommentTextChar"/>
    <w:link w:val="CommentSubject"/>
    <w:uiPriority w:val="99"/>
    <w:semiHidden/>
    <w:rsid w:val="00B43F92"/>
    <w:rPr>
      <w:b/>
      <w:bCs/>
      <w:sz w:val="20"/>
      <w:szCs w:val="20"/>
    </w:rPr>
  </w:style>
  <w:style w:type="character" w:styleId="Mention">
    <w:name w:val="Mention"/>
    <w:basedOn w:val="DefaultParagraphFont"/>
    <w:uiPriority w:val="99"/>
    <w:unhideWhenUsed/>
    <w:rsid w:val="000B61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4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eeca.vic.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mapshare.vic.gov.au/vicpla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eeca.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ustomer.service@deeca.vic.gov.au" TargetMode="External"/><Relationship Id="rId20" Type="http://schemas.openxmlformats.org/officeDocument/2006/relationships/hyperlink" Target="https://www.legislation.vic.gov.au/in-force/acts/catchment-and-land-protection-act-199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water.vic.gov.au/catchments/special-water-supply-catchment-areas" TargetMode="External"/><Relationship Id="rId5" Type="http://schemas.openxmlformats.org/officeDocument/2006/relationships/customXml" Target="../customXml/item5.xml"/><Relationship Id="rId15" Type="http://schemas.openxmlformats.org/officeDocument/2006/relationships/hyperlink" Target="http://creativecommons.org/licenses/by/4.0/" TargetMode="External"/><Relationship Id="rId23" Type="http://schemas.openxmlformats.org/officeDocument/2006/relationships/hyperlink" Target="https://www.water.vic.gov.au/catchments/special-water-supply-catchment-areas" TargetMode="External"/><Relationship Id="rId10" Type="http://schemas.openxmlformats.org/officeDocument/2006/relationships/webSettings" Target="webSettings.xml"/><Relationship Id="rId19" Type="http://schemas.openxmlformats.org/officeDocument/2006/relationships/hyperlink" Target="mailto:OurCatchments.OurCommunities@deeca.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4.0/" TargetMode="External"/><Relationship Id="rId22" Type="http://schemas.openxmlformats.org/officeDocument/2006/relationships/hyperlink" Target="https://mapshare.vic.gov.au/mapsharevic"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2C97B838BE84B19B5B74F9E04382185"/>
        <w:category>
          <w:name w:val="General"/>
          <w:gallery w:val="placeholder"/>
        </w:category>
        <w:types>
          <w:type w:val="bbPlcHdr"/>
        </w:types>
        <w:behaviors>
          <w:behavior w:val="content"/>
        </w:behaviors>
        <w:guid w:val="{037E8309-2910-4497-92B7-DDB27F1DD343}"/>
      </w:docPartPr>
      <w:docPartBody>
        <w:p w:rsidR="002350BE" w:rsidRDefault="00477A44" w:rsidP="00477A44">
          <w:pPr>
            <w:pStyle w:val="82C97B838BE84B19B5B74F9E04382185"/>
          </w:pPr>
          <w:r w:rsidRPr="000C4F86">
            <w:rPr>
              <w:rStyle w:val="PlaceholderText"/>
            </w:rPr>
            <w:t>[Title]</w:t>
          </w:r>
        </w:p>
      </w:docPartBody>
    </w:docPart>
    <w:docPart>
      <w:docPartPr>
        <w:name w:val="D492E023730B4BA0801AB759ADDCAA71"/>
        <w:category>
          <w:name w:val="General"/>
          <w:gallery w:val="placeholder"/>
        </w:category>
        <w:types>
          <w:type w:val="bbPlcHdr"/>
        </w:types>
        <w:behaviors>
          <w:behavior w:val="content"/>
        </w:behaviors>
        <w:guid w:val="{D73B7110-B5B4-4F5B-98F8-DF35526750D5}"/>
      </w:docPartPr>
      <w:docPartBody>
        <w:p w:rsidR="002350BE" w:rsidRDefault="00477A44" w:rsidP="00477A44">
          <w:pPr>
            <w:pStyle w:val="D492E023730B4BA0801AB759ADDCAA71"/>
          </w:pPr>
          <w:r>
            <w:rPr>
              <w:color w:val="156082"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 Bold">
    <w:altName w:val="Arial"/>
    <w:panose1 w:val="00000000000000000000"/>
    <w:charset w:val="00"/>
    <w:family w:val="swiss"/>
    <w:notTrueType/>
    <w:pitch w:val="default"/>
    <w:sig w:usb0="00000003" w:usb1="00000000" w:usb2="00000000" w:usb3="00000000" w:csb0="00000001"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44"/>
    <w:rsid w:val="002350BE"/>
    <w:rsid w:val="00477A44"/>
    <w:rsid w:val="00883DB8"/>
    <w:rsid w:val="008958AC"/>
    <w:rsid w:val="00B34C90"/>
    <w:rsid w:val="00BA6EAF"/>
    <w:rsid w:val="00E07060"/>
    <w:rsid w:val="00EF6B5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77A44"/>
    <w:rPr>
      <w:color w:val="auto"/>
      <w:bdr w:val="none" w:sz="0" w:space="0" w:color="auto"/>
      <w:shd w:val="clear" w:color="auto" w:fill="FFFF00"/>
    </w:rPr>
  </w:style>
  <w:style w:type="paragraph" w:customStyle="1" w:styleId="82C97B838BE84B19B5B74F9E04382185">
    <w:name w:val="82C97B838BE84B19B5B74F9E04382185"/>
    <w:rsid w:val="00477A44"/>
  </w:style>
  <w:style w:type="paragraph" w:customStyle="1" w:styleId="D492E023730B4BA0801AB759ADDCAA71">
    <w:name w:val="D492E023730B4BA0801AB759ADDCAA71"/>
    <w:rsid w:val="00477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D9EDFE6229225B4B9CA97B3B334AB17E" ma:contentTypeVersion="38" ma:contentTypeDescription="All project related information. The library can be used to manage multiple projects." ma:contentTypeScope="" ma:versionID="69e30e3a4b6045f1aad1bc3799b861eb">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38b030e7-6682-4c92-b7d9-440873ea975f" xmlns:ns6="1da1427f-fe5a-419f-b268-bdae9afa374d" targetNamespace="http://schemas.microsoft.com/office/2006/metadata/properties" ma:root="true" ma:fieldsID="9bd60044ccadd97f8d739744fcbaf142" ns1:_="" ns2:_="" ns3:_="" ns4:_="" ns5:_="" ns6:_="">
    <xsd:import namespace="http://schemas.microsoft.com/sharepoint/v3"/>
    <xsd:import namespace="9fd47c19-1c4a-4d7d-b342-c10cef269344"/>
    <xsd:import namespace="a5f32de4-e402-4188-b034-e71ca7d22e54"/>
    <xsd:import namespace="05aa45cf-ed89-4733-97a8-db4ce5c51511"/>
    <xsd:import namespace="38b030e7-6682-4c92-b7d9-440873ea975f"/>
    <xsd:import namespace="1da1427f-fe5a-419f-b268-bdae9afa374d"/>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Name" minOccurs="0"/>
                <xsd:element ref="ns5:MediaServiceObjectDetectorVersions" minOccurs="0"/>
                <xsd:element ref="ns5:MediaServiceGenerationTime" minOccurs="0"/>
                <xsd:element ref="ns5:MediaServiceEventHashCode" minOccurs="0"/>
                <xsd:element ref="ns5:lcf76f155ced4ddcb4097134ff3c332f" minOccurs="0"/>
                <xsd:element ref="ns5:MediaServiceOCR"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Name" ma:index="32" nillable="true" ma:displayName="Project Name" ma:description="ECM V2 Project Name" ma:format="Dropdown" ma:internalName="ProjName">
      <xsd:simpleType>
        <xsd:union memberTypes="dms:Text">
          <xsd:simpleType>
            <xsd:restriction base="dms:Choice">
              <xsd:enumeration value="Reform"/>
              <xsd:enumeration value="Special Water Supply Catchment Areas"/>
              <xsd:enumeration value="Noxious weeds and pest animals"/>
              <xsd:enumeration value="Regulatio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030e7-6682-4c92-b7d9-440873ea975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8" nillable="true" ma:displayName="Extracted Text" ma:internalName="MediaServiceOCR" ma:readOnly="true">
      <xsd:simpleType>
        <xsd:restriction base="dms:Note">
          <xsd:maxLength value="255"/>
        </xsd:restriction>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1427f-fe5a-419f-b268-bdae9afa374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144</Value>
      <Value>157</Value>
      <Value>2</Value>
      <Value>3</Value>
    </TaxCatchAll>
    <ProjName xmlns="9fd47c19-1c4a-4d7d-b342-c10cef269344">Special Water Supply Catchment Areas</ProjNam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2c0c7f4f-0a0f-4031-9f65-a7ab977990a8</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106771be-6573-4a30-b5c8-d3b1f646d5eb</TermId>
        </TermInfo>
      </Terms>
    </f2ccc2d036544b63b99cbcec8aa9ae6a>
    <DLCPolicyLabelClientValue xmlns="05aa45cf-ed89-4733-97a8-db4ce5c51511">Version {_UIVersionString}</DLCPolicyLabelClientValue>
    <DLCPolicyLabelLock xmlns="05aa45cf-ed89-4733-97a8-db4ce5c51511" xsi:nil="true"/>
    <lcf76f155ced4ddcb4097134ff3c332f xmlns="38b030e7-6682-4c92-b7d9-440873ea975f">
      <Terms xmlns="http://schemas.microsoft.com/office/infopath/2007/PartnerControls"/>
    </lcf76f155ced4ddcb4097134ff3c332f>
    <_dlc_DocId xmlns="a5f32de4-e402-4188-b034-e71ca7d22e54">DOCID155-432691117-239</_dlc_DocId>
    <_dlc_DocIdUrl xmlns="a5f32de4-e402-4188-b034-e71ca7d22e54">
      <Url>https://delwpvicgovau.sharepoint.com/sites/ecm_155/_layouts/15/DocIdRedir.aspx?ID=DOCID155-432691117-239</Url>
      <Description>DOCID155-432691117-239</Description>
    </_dlc_DocIdUrl>
    <DLCPolicyLabelValue xmlns="05aa45cf-ed89-4733-97a8-db4ce5c51511">Version 0.15</DLCPolicyLabelValue>
    <SharedWithUsers xmlns="1da1427f-fe5a-419f-b268-bdae9afa374d">
      <UserInfo>
        <DisplayName/>
        <AccountId xsi:nil="true"/>
        <AccountType/>
      </UserInfo>
    </SharedWithUsers>
  </documentManagement>
</p:properties>
</file>

<file path=customXml/itemProps1.xml><?xml version="1.0" encoding="utf-8"?>
<ds:datastoreItem xmlns:ds="http://schemas.openxmlformats.org/officeDocument/2006/customXml" ds:itemID="{868A6E7E-FC83-4555-B86A-A0CA5CCE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38b030e7-6682-4c92-b7d9-440873ea975f"/>
    <ds:schemaRef ds:uri="1da1427f-fe5a-419f-b268-bdae9afa3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FFA4A-6871-4302-8C2C-FA66D558068A}">
  <ds:schemaRefs>
    <ds:schemaRef ds:uri="Microsoft.SharePoint.Taxonomy.ContentTypeSync"/>
  </ds:schemaRefs>
</ds:datastoreItem>
</file>

<file path=customXml/itemProps3.xml><?xml version="1.0" encoding="utf-8"?>
<ds:datastoreItem xmlns:ds="http://schemas.openxmlformats.org/officeDocument/2006/customXml" ds:itemID="{2CDBFF62-2196-4205-A08F-181FC098773D}">
  <ds:schemaRefs>
    <ds:schemaRef ds:uri="http://schemas.microsoft.com/sharepoint/v3/contenttype/forms"/>
  </ds:schemaRefs>
</ds:datastoreItem>
</file>

<file path=customXml/itemProps4.xml><?xml version="1.0" encoding="utf-8"?>
<ds:datastoreItem xmlns:ds="http://schemas.openxmlformats.org/officeDocument/2006/customXml" ds:itemID="{CB387682-C602-4FE8-82E9-7E4A0F2E4A6D}">
  <ds:schemaRefs>
    <ds:schemaRef ds:uri="office.server.policy"/>
  </ds:schemaRefs>
</ds:datastoreItem>
</file>

<file path=customXml/itemProps5.xml><?xml version="1.0" encoding="utf-8"?>
<ds:datastoreItem xmlns:ds="http://schemas.openxmlformats.org/officeDocument/2006/customXml" ds:itemID="{7C5DA4AC-3821-43B0-8B2B-AB99756921FD}">
  <ds:schemaRefs>
    <ds:schemaRef ds:uri="http://schemas.microsoft.com/sharepoint/events"/>
  </ds:schemaRefs>
</ds:datastoreItem>
</file>

<file path=customXml/itemProps6.xml><?xml version="1.0" encoding="utf-8"?>
<ds:datastoreItem xmlns:ds="http://schemas.openxmlformats.org/officeDocument/2006/customXml" ds:itemID="{C1432CB5-00DD-45A5-B116-773C11CA5453}">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1da1427f-fe5a-419f-b268-bdae9afa374d"/>
    <ds:schemaRef ds:uri="38b030e7-6682-4c92-b7d9-440873ea975f"/>
    <ds:schemaRef ds:uri="http://www.w3.org/XML/1998/namespace"/>
    <ds:schemaRef ds:uri="9fd47c19-1c4a-4d7d-b342-c10cef269344"/>
    <ds:schemaRef ds:uri="05aa45cf-ed89-4733-97a8-db4ce5c51511"/>
    <ds:schemaRef ds:uri="a5f32de4-e402-4188-b034-e71ca7d22e54"/>
    <ds:schemaRef ds:uri="http://schemas.microsoft.com/sharepoint/v3"/>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2894</Words>
  <Characters>16502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Please provide a title</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Water Supply Catchment Areas</dc:title>
  <dc:subject>Guidelines for the declaration, amendment, and revocation of Special Water Supply Catchment Areas</dc:subject>
  <dc:creator>Libby Sainsbury (DEECA)</dc:creator>
  <cp:keywords/>
  <dc:description/>
  <cp:lastModifiedBy>Joanne L Webber (DEECA)</cp:lastModifiedBy>
  <cp:revision>40</cp:revision>
  <dcterms:created xsi:type="dcterms:W3CDTF">2024-04-15T21:24:00Z</dcterms:created>
  <dcterms:modified xsi:type="dcterms:W3CDTF">2024-04-17T17:22:00Z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0x0101009298E819CE1EBB4F8D2096B3E0F0C2911D00D9EDFE6229225B4B9CA97B3B334AB17E</vt:lpwstr>
  </property>
  <property fmtid="{D5CDD505-2E9C-101B-9397-08002B2CF9AE}" pid="3" name="Records Class Project">
    <vt:lpwstr>157</vt:lpwstr>
  </property>
  <property fmtid="{D5CDD505-2E9C-101B-9397-08002B2CF9AE}" pid="4" name="Security Classification">
    <vt:lpwstr>3;#Unclassified|7fa379f4-4aba-4692-ab80-7d39d3a23cf4</vt:lpwstr>
  </property>
  <property fmtid="{D5CDD505-2E9C-101B-9397-08002B2CF9AE}" pid="5" name="Department Document Type">
    <vt:lpwstr>144;#Guide|2c0c7f4f-0a0f-4031-9f65-a7ab977990a8</vt:lpwstr>
  </property>
  <property fmtid="{D5CDD505-2E9C-101B-9397-08002B2CF9AE}" pid="6" name="Dissemination Limiting Marker">
    <vt:lpwstr>2;#FOUO|955eb6fc-b35a-4808-8aa5-31e514fa3f26</vt:lpwstr>
  </property>
  <property fmtid="{D5CDD505-2E9C-101B-9397-08002B2CF9AE}" pid="7" name="_dlc_DocIdItemGuid">
    <vt:lpwstr>eb54bba8-1f98-4162-a4a2-8fce0557bc5a</vt:lpwstr>
  </property>
  <property fmtid="{D5CDD505-2E9C-101B-9397-08002B2CF9AE}" pid="8" name="g91c59fb10974fa1a03160ad8386f0f4">
    <vt:lpwstr/>
  </property>
  <property fmtid="{D5CDD505-2E9C-101B-9397-08002B2CF9AE}" pid="9" name="MediaServiceImageTags">
    <vt:lpwstr/>
  </property>
  <property fmtid="{D5CDD505-2E9C-101B-9397-08002B2CF9AE}" pid="10" name="Record_x0020_Purpose">
    <vt:lpwstr/>
  </property>
  <property fmtid="{D5CDD505-2E9C-101B-9397-08002B2CF9AE}" pid="11" name="Record Purpose">
    <vt:lpwstr/>
  </property>
  <property fmtid="{D5CDD505-2E9C-101B-9397-08002B2CF9AE}" pid="12" name="MSIP_Label_5a19367b-7a73-403d-b732-ebe2e73fbf56_Enabled">
    <vt:lpwstr>True</vt:lpwstr>
  </property>
  <property fmtid="{D5CDD505-2E9C-101B-9397-08002B2CF9AE}" pid="13" name="MSIP_Label_5a19367b-7a73-403d-b732-ebe2e73fbf56_SiteId">
    <vt:lpwstr>e8bdd6f7-fc18-4e48-a554-7f547927223b</vt:lpwstr>
  </property>
  <property fmtid="{D5CDD505-2E9C-101B-9397-08002B2CF9AE}" pid="14" name="MSIP_Label_5a19367b-7a73-403d-b732-ebe2e73fbf56_SetDate">
    <vt:lpwstr>2024-04-15T03:55:41Z</vt:lpwstr>
  </property>
  <property fmtid="{D5CDD505-2E9C-101B-9397-08002B2CF9AE}" pid="15" name="MSIP_Label_5a19367b-7a73-403d-b732-ebe2e73fbf56_Name">
    <vt:lpwstr>OFFICIAL-Sensitive</vt:lpwstr>
  </property>
  <property fmtid="{D5CDD505-2E9C-101B-9397-08002B2CF9AE}" pid="16" name="MSIP_Label_5a19367b-7a73-403d-b732-ebe2e73fbf56_ActionId">
    <vt:lpwstr>e21d3ab4-6027-496f-bd08-f103d98dcc97</vt:lpwstr>
  </property>
  <property fmtid="{D5CDD505-2E9C-101B-9397-08002B2CF9AE}" pid="17" name="MSIP_Label_5a19367b-7a73-403d-b732-ebe2e73fbf56_Removed">
    <vt:lpwstr>False</vt:lpwstr>
  </property>
  <property fmtid="{D5CDD505-2E9C-101B-9397-08002B2CF9AE}" pid="18" name="MSIP_Label_5a19367b-7a73-403d-b732-ebe2e73fbf56_Extended_MSFT_Method">
    <vt:lpwstr>Privileged</vt:lpwstr>
  </property>
  <property fmtid="{D5CDD505-2E9C-101B-9397-08002B2CF9AE}" pid="19" name="Sensitivity">
    <vt:lpwstr>OFFICIAL-Sensitive</vt:lpwstr>
  </property>
</Properties>
</file>